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1E" w:rsidRPr="00EE1B12" w:rsidRDefault="00AF571E" w:rsidP="00AF571E">
      <w:pPr>
        <w:adjustRightInd w:val="0"/>
        <w:jc w:val="center"/>
        <w:rPr>
          <w:rFonts w:ascii="Palatino Linotype" w:hAnsi="Palatino Linotype" w:cs="Times New Roman"/>
          <w:b/>
          <w:sz w:val="22"/>
          <w:szCs w:val="22"/>
        </w:rPr>
      </w:pPr>
      <w:r w:rsidRPr="00EE1B12">
        <w:rPr>
          <w:rFonts w:ascii="Palatino Linotype" w:hAnsi="Palatino Linotype" w:cs="Times New Roman"/>
          <w:b/>
          <w:sz w:val="22"/>
          <w:szCs w:val="22"/>
        </w:rPr>
        <w:t>EL CONCEJO METROPOLITANO DE QUITO</w:t>
      </w:r>
    </w:p>
    <w:p w:rsidR="005F03EF" w:rsidRPr="00EE1B12" w:rsidRDefault="005F03EF" w:rsidP="005F03EF">
      <w:pPr>
        <w:jc w:val="center"/>
        <w:rPr>
          <w:rFonts w:ascii="Palatino Linotype" w:hAnsi="Palatino Linotype" w:cs="Tahoma"/>
          <w:b/>
          <w:sz w:val="22"/>
          <w:szCs w:val="22"/>
        </w:rPr>
      </w:pPr>
      <w:r w:rsidRPr="00EE1B12">
        <w:rPr>
          <w:rFonts w:ascii="Palatino Linotype" w:hAnsi="Palatino Linotype" w:cs="Tahoma"/>
          <w:b/>
          <w:sz w:val="22"/>
          <w:szCs w:val="22"/>
        </w:rPr>
        <w:t>EXPOSICION DE MOTIVOS</w:t>
      </w:r>
    </w:p>
    <w:p w:rsidR="005F03EF" w:rsidRPr="00EE1B12" w:rsidRDefault="005F03EF"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 xml:space="preserve">En cumplimiento a la Ordenanza Metropolitana No. 001, la Dirección de Gestión del Territorio de la Administración Zonal </w:t>
      </w:r>
      <w:r w:rsidR="00904801" w:rsidRPr="00EE1B12">
        <w:rPr>
          <w:rFonts w:ascii="Palatino Linotype" w:hAnsi="Palatino Linotype" w:cs="Tahoma"/>
          <w:sz w:val="22"/>
          <w:szCs w:val="22"/>
        </w:rPr>
        <w:t>Manuela Sáenz</w:t>
      </w:r>
      <w:r w:rsidRPr="00EE1B12">
        <w:rPr>
          <w:rFonts w:ascii="Palatino Linotype" w:hAnsi="Palatino Linotype" w:cs="Tahoma"/>
          <w:sz w:val="22"/>
          <w:szCs w:val="22"/>
        </w:rPr>
        <w:t xml:space="preserve">, ha realizado el análisis técnico respectivo, para regularización vial, por lo que se emite el informe técnico avalando las propuestas, cuyo criterio técnico y legal de cumplimiento </w:t>
      </w:r>
      <w:r w:rsidR="00156A40" w:rsidRPr="00EE1B12">
        <w:rPr>
          <w:rFonts w:ascii="Palatino Linotype" w:hAnsi="Palatino Linotype" w:cs="Tahoma"/>
          <w:sz w:val="22"/>
          <w:szCs w:val="22"/>
        </w:rPr>
        <w:t>se adjuntan.</w:t>
      </w:r>
    </w:p>
    <w:p w:rsidR="005F03EF" w:rsidRPr="00EE1B12" w:rsidRDefault="00D1158C"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w:t>
      </w:r>
      <w:r w:rsidR="005F03EF" w:rsidRPr="00EE1B12">
        <w:rPr>
          <w:rFonts w:ascii="Palatino Linotype" w:hAnsi="Palatino Linotype" w:cs="Tahoma"/>
          <w:sz w:val="22"/>
          <w:szCs w:val="22"/>
        </w:rPr>
        <w:t>Mediante oficio dirigido al Arq. Vladimir Tapia Guijarro, Secretario de Territorio, Habitad y Vivienda del Distrito Metropolitano de Quito, los directivos del Cabildo Sub-sectorial de Puengasí, solicitan la aprobación del trazado vial de la calle S6C y de la calle S/N que une a la Autopista General Rumiñahui integrando la comunicación vial de 24 barrios ubicados desde dicha autopista hasta el camino antiguo a Conocoto, sector de la Loma de Puengasí, además de brindar acceso al predio 201462 que abarca a un grupo considerable de familias. Indican además, que la calle a aprobarse se encuentra en uso desde hace 30 años.</w:t>
      </w:r>
    </w:p>
    <w:p w:rsidR="005F03EF"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w:t>
      </w:r>
      <w:r w:rsidR="005F03EF" w:rsidRPr="00EE1B12">
        <w:rPr>
          <w:rFonts w:ascii="Palatino Linotype" w:hAnsi="Palatino Linotype" w:cs="Tahoma"/>
          <w:sz w:val="22"/>
          <w:szCs w:val="22"/>
        </w:rPr>
        <w:t xml:space="preserve">Mediante memorando No. GADDMQ-AZMS-DGC-2021-559-M, de 01 de octubre de 2021, el Ing. Roberto Xavier Román Román, en su calidad de Director de Gestión de Territorio, adjunta el Informe Técnico No. AZC-2021-001 de Regularización de Trazado Vial de las Calles “S/N”, “S6C”, “E20F” y “GUIDO URBINA”, del Barrio “MIRAVALLE – PUENGASÍ”, el mismo que en la parte de “Criterio Técnico” señala: </w:t>
      </w:r>
    </w:p>
    <w:p w:rsidR="005F03EF" w:rsidRPr="00EE1B12" w:rsidRDefault="005F03EF" w:rsidP="005F03EF">
      <w:pPr>
        <w:autoSpaceDE w:val="0"/>
        <w:autoSpaceDN w:val="0"/>
        <w:adjustRightInd w:val="0"/>
        <w:spacing w:after="0" w:line="240" w:lineRule="auto"/>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i/>
          <w:sz w:val="22"/>
          <w:szCs w:val="22"/>
        </w:rPr>
      </w:pPr>
      <w:r w:rsidRPr="00EE1B12">
        <w:rPr>
          <w:rFonts w:ascii="Palatino Linotype" w:hAnsi="Palatino Linotype" w:cs="Tahoma"/>
          <w:sz w:val="22"/>
          <w:szCs w:val="22"/>
        </w:rPr>
        <w:t>“</w:t>
      </w:r>
      <w:r w:rsidRPr="00EE1B12">
        <w:rPr>
          <w:rFonts w:ascii="Palatino Linotype" w:hAnsi="Palatino Linotype" w:cs="Tahoma"/>
          <w:i/>
          <w:sz w:val="22"/>
          <w:szCs w:val="22"/>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w:t>
      </w:r>
    </w:p>
    <w:p w:rsidR="005F03EF" w:rsidRPr="00EE1B12" w:rsidRDefault="005F03EF" w:rsidP="005F03EF">
      <w:pPr>
        <w:autoSpaceDE w:val="0"/>
        <w:autoSpaceDN w:val="0"/>
        <w:adjustRightInd w:val="0"/>
        <w:spacing w:after="0" w:line="240" w:lineRule="auto"/>
        <w:rPr>
          <w:rFonts w:ascii="Palatino Linotype" w:hAnsi="Palatino Linotype" w:cs="Tahoma"/>
          <w:i/>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i/>
          <w:sz w:val="22"/>
          <w:szCs w:val="22"/>
        </w:rPr>
      </w:pPr>
      <w:r w:rsidRPr="00EE1B12">
        <w:rPr>
          <w:rFonts w:ascii="Palatino Linotype" w:hAnsi="Palatino Linotype" w:cs="Tahoma"/>
          <w:i/>
          <w:sz w:val="22"/>
          <w:szCs w:val="22"/>
        </w:rPr>
        <w:t>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Miravalle de la parroquia Puengasí;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w:t>
      </w:r>
    </w:p>
    <w:p w:rsidR="005F03EF" w:rsidRPr="00EE1B12" w:rsidRDefault="005F03EF" w:rsidP="005F03EF">
      <w:pPr>
        <w:autoSpaceDE w:val="0"/>
        <w:autoSpaceDN w:val="0"/>
        <w:adjustRightInd w:val="0"/>
        <w:spacing w:after="0" w:line="240" w:lineRule="auto"/>
        <w:rPr>
          <w:rFonts w:ascii="Palatino Linotype" w:hAnsi="Palatino Linotype" w:cs="Tahoma"/>
          <w:i/>
          <w:sz w:val="22"/>
          <w:szCs w:val="22"/>
        </w:rPr>
      </w:pPr>
    </w:p>
    <w:p w:rsidR="005F03EF" w:rsidRPr="00EE1B12" w:rsidRDefault="005F03EF"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i/>
          <w:sz w:val="22"/>
          <w:szCs w:val="22"/>
        </w:rPr>
        <w:lastRenderedPageBreak/>
        <w:t>Por tal motivo ésta Administración Zonal, considera la Factibilidad de aprobar el trazado vial propuesto</w:t>
      </w:r>
      <w:r w:rsidRPr="00EE1B12">
        <w:rPr>
          <w:rFonts w:ascii="Palatino Linotype" w:hAnsi="Palatino Linotype" w:cs="Tahoma"/>
          <w:sz w:val="22"/>
          <w:szCs w:val="22"/>
        </w:rPr>
        <w:t>”.</w:t>
      </w:r>
    </w:p>
    <w:p w:rsidR="005F03EF" w:rsidRPr="00EE1B12" w:rsidRDefault="00D1158C" w:rsidP="005F03EF">
      <w:pPr>
        <w:tabs>
          <w:tab w:val="center" w:pos="4252"/>
          <w:tab w:val="right" w:pos="9720"/>
        </w:tabs>
        <w:ind w:right="-1"/>
        <w:rPr>
          <w:rFonts w:ascii="Palatino Linotype" w:hAnsi="Palatino Linotype" w:cs="Tahoma"/>
          <w:sz w:val="22"/>
          <w:szCs w:val="22"/>
        </w:rPr>
      </w:pPr>
      <w:r w:rsidRPr="00EE1B12">
        <w:rPr>
          <w:rFonts w:ascii="Palatino Linotype" w:eastAsia="Times New Roman" w:hAnsi="Palatino Linotype" w:cs="Tahoma"/>
          <w:color w:val="000000"/>
          <w:sz w:val="22"/>
          <w:szCs w:val="22"/>
          <w:shd w:val="clear" w:color="auto" w:fill="FFFFFF"/>
          <w:lang w:val="es-ES_tradnl" w:bidi="en-US"/>
        </w:rPr>
        <w:t>-A través del</w:t>
      </w:r>
      <w:r w:rsidR="005F03EF" w:rsidRPr="00EE1B12">
        <w:rPr>
          <w:rFonts w:ascii="Palatino Linotype" w:eastAsia="Times New Roman" w:hAnsi="Palatino Linotype" w:cs="Tahoma"/>
          <w:color w:val="000000"/>
          <w:sz w:val="22"/>
          <w:szCs w:val="22"/>
          <w:shd w:val="clear" w:color="auto" w:fill="FFFFFF"/>
          <w:lang w:val="es-ES_tradnl" w:bidi="en-US"/>
        </w:rPr>
        <w:t xml:space="preserve"> Informe Legal constante en el </w:t>
      </w:r>
      <w:r w:rsidR="005F03EF" w:rsidRPr="00EE1B12">
        <w:rPr>
          <w:rFonts w:ascii="Palatino Linotype" w:hAnsi="Palatino Linotype" w:cs="Tahoma"/>
          <w:sz w:val="22"/>
          <w:szCs w:val="22"/>
        </w:rPr>
        <w:t>Memorando Nro. GADDMQ-AZMS-DAL-2022-006-M</w:t>
      </w:r>
      <w:r w:rsidR="005F03EF" w:rsidRPr="00EE1B12">
        <w:rPr>
          <w:rFonts w:ascii="Palatino Linotype" w:eastAsia="Times New Roman" w:hAnsi="Palatino Linotype" w:cs="Tahoma"/>
          <w:color w:val="000000"/>
          <w:sz w:val="22"/>
          <w:szCs w:val="22"/>
          <w:shd w:val="clear" w:color="auto" w:fill="FFFFFF"/>
          <w:lang w:val="es-ES_tradnl" w:bidi="en-US"/>
        </w:rPr>
        <w:t xml:space="preserve"> del 3 de enero del 2022, el Director de Asesoría Jurídica de la Administración Municipal Zona Centro Manuela Sáenz manifiesta: “</w:t>
      </w:r>
      <w:r w:rsidR="005F03EF" w:rsidRPr="00EE1B12">
        <w:rPr>
          <w:rFonts w:ascii="Palatino Linotype" w:hAnsi="Palatino Linotype" w:cs="Tahoma"/>
          <w:i/>
          <w:sz w:val="22"/>
          <w:szCs w:val="22"/>
        </w:rPr>
        <w:t>En base a los antecedentes y con fundamento a la normativa constitucional y legal citada, de conformidad al Informe Técnico Favorable No. AZC-2021-001 de Regularización de Trazado Vial de las Calles “S/N”, “S6C”, “E20F” y “GUIDO URBINA”, del Barrio “MIRAVALLE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Miravalle de la parroquia Puengasí, conforme a los planos constantes en el expediente adjunto</w:t>
      </w:r>
      <w:r w:rsidR="005F03EF" w:rsidRPr="00EE1B12">
        <w:rPr>
          <w:rFonts w:ascii="Palatino Linotype" w:hAnsi="Palatino Linotype" w:cs="Tahoma"/>
          <w:sz w:val="22"/>
          <w:szCs w:val="22"/>
        </w:rPr>
        <w:t>”.</w:t>
      </w:r>
    </w:p>
    <w:p w:rsidR="00D1158C" w:rsidRPr="00EE1B12" w:rsidRDefault="005A48C0" w:rsidP="005F03EF">
      <w:pPr>
        <w:tabs>
          <w:tab w:val="center" w:pos="4252"/>
          <w:tab w:val="right" w:pos="9720"/>
        </w:tabs>
        <w:ind w:right="-1"/>
        <w:rPr>
          <w:rFonts w:ascii="Palatino Linotype" w:eastAsia="Times New Roman" w:hAnsi="Palatino Linotype" w:cs="Tahoma"/>
          <w:color w:val="000000"/>
          <w:sz w:val="22"/>
          <w:szCs w:val="22"/>
          <w:shd w:val="clear" w:color="auto" w:fill="FFFFFF"/>
          <w:lang w:val="es-ES_tradnl" w:bidi="en-US"/>
        </w:rPr>
      </w:pPr>
      <w:r w:rsidRPr="00EE1B12">
        <w:rPr>
          <w:rFonts w:ascii="Palatino Linotype" w:hAnsi="Palatino Linotype" w:cs="Tahoma"/>
          <w:sz w:val="22"/>
          <w:szCs w:val="22"/>
        </w:rPr>
        <w:t>-</w:t>
      </w:r>
      <w:r w:rsidR="00D1158C" w:rsidRPr="00EE1B12">
        <w:rPr>
          <w:rFonts w:ascii="Palatino Linotype" w:hAnsi="Palatino Linotype" w:cs="Tahoma"/>
          <w:sz w:val="22"/>
          <w:szCs w:val="22"/>
        </w:rPr>
        <w:t xml:space="preserve">La Administración Zonal Manuela Sáenz, con </w:t>
      </w:r>
      <w:r w:rsidR="00D1158C" w:rsidRPr="00EE1B12">
        <w:rPr>
          <w:rFonts w:ascii="Palatino Linotype" w:hAnsi="Palatino Linotype" w:cs="Tahoma"/>
          <w:bCs/>
          <w:sz w:val="22"/>
          <w:szCs w:val="22"/>
        </w:rPr>
        <w:t>Oficio Nro. GADDMQ-AZMS-2022-0074-O del 17 de enero del 2022, emite el Informe de la Administración que en la parte pertinente señala, “</w:t>
      </w:r>
      <w:r w:rsidR="00D1158C" w:rsidRPr="00EE1B12">
        <w:rPr>
          <w:rFonts w:ascii="Palatino Linotype" w:eastAsia="Times New Roman" w:hAnsi="Palatino Linotype" w:cs="Tahoma"/>
          <w:color w:val="000000"/>
          <w:sz w:val="22"/>
          <w:szCs w:val="22"/>
          <w:shd w:val="clear" w:color="auto" w:fill="FFFFFF"/>
          <w:lang w:val="es-ES_tradnl" w:bidi="en-US"/>
        </w:rPr>
        <w:t xml:space="preserve">Con fundamento en lo expuesto, una vez revisado el expediente adjunto y la normativa que establece las condiciones para que tenga lugar una aprobación de trazado vial en el Distrito Metropolitano de Quito, acogiendo el </w:t>
      </w:r>
      <w:r w:rsidR="00D1158C" w:rsidRPr="00EE1B12">
        <w:rPr>
          <w:rFonts w:ascii="Palatino Linotype" w:hAnsi="Palatino Linotype" w:cs="Tahoma"/>
          <w:sz w:val="22"/>
          <w:szCs w:val="22"/>
        </w:rPr>
        <w:t>Informe Técnico No. AZC-2021-001 de Regularización de Trazado Vial de las Calles “S/N”, “S6C”, “E20F” y “GUIDO URBINA”, del Barrio “MIRAVALLE – PUENGASÍ”</w:t>
      </w:r>
      <w:r w:rsidR="00D1158C" w:rsidRPr="00EE1B12">
        <w:rPr>
          <w:rFonts w:ascii="Palatino Linotype" w:eastAsia="Times New Roman" w:hAnsi="Palatino Linotype" w:cs="Tahoma"/>
          <w:color w:val="000000"/>
          <w:sz w:val="22"/>
          <w:szCs w:val="22"/>
          <w:shd w:val="clear" w:color="auto" w:fill="FFFFFF"/>
          <w:lang w:val="es-ES_tradnl" w:bidi="en-US"/>
        </w:rPr>
        <w:t xml:space="preserve"> emitido por la Dirección de Gestión del Territorio y adjunto al</w:t>
      </w:r>
      <w:r w:rsidR="00D1158C" w:rsidRPr="00EE1B12">
        <w:rPr>
          <w:rFonts w:ascii="Palatino Linotype" w:hAnsi="Palatino Linotype" w:cs="Tahoma"/>
          <w:sz w:val="22"/>
          <w:szCs w:val="22"/>
        </w:rPr>
        <w:t xml:space="preserve"> memorando No. GADDMQ-AZMS-DGC-2021-559-M de 01 de octubre de 2021</w:t>
      </w:r>
      <w:r w:rsidR="00D1158C" w:rsidRPr="00EE1B12">
        <w:rPr>
          <w:rFonts w:ascii="Palatino Linotype" w:eastAsia="Times New Roman" w:hAnsi="Palatino Linotype" w:cs="Tahoma"/>
          <w:color w:val="000000"/>
          <w:sz w:val="22"/>
          <w:szCs w:val="22"/>
          <w:shd w:val="clear" w:color="auto" w:fill="FFFFFF"/>
          <w:lang w:val="es-ES_tradnl" w:bidi="en-US"/>
        </w:rPr>
        <w:t xml:space="preserve">, e informe legal constante en el memorando </w:t>
      </w:r>
      <w:r w:rsidR="00D1158C" w:rsidRPr="00EE1B12">
        <w:rPr>
          <w:rFonts w:ascii="Palatino Linotype" w:hAnsi="Palatino Linotype" w:cs="Tahoma"/>
          <w:sz w:val="22"/>
          <w:szCs w:val="22"/>
        </w:rPr>
        <w:t>GADDMQ-AZMS-DAL-2022-006-M</w:t>
      </w:r>
      <w:r w:rsidR="00D1158C" w:rsidRPr="00EE1B12">
        <w:rPr>
          <w:rFonts w:ascii="Palatino Linotype" w:eastAsia="Times New Roman" w:hAnsi="Palatino Linotype" w:cs="Tahoma"/>
          <w:color w:val="000000"/>
          <w:sz w:val="22"/>
          <w:szCs w:val="22"/>
          <w:shd w:val="clear" w:color="auto" w:fill="FFFFFF"/>
          <w:lang w:val="es-ES_tradnl" w:bidi="en-US"/>
        </w:rPr>
        <w:t xml:space="preserve"> del 3 de enero del 2022 emitido por la Dirección de Asesoría Jurídica, esta Administración Zonal emite informe </w:t>
      </w:r>
      <w:r w:rsidR="00D1158C" w:rsidRPr="00EE1B12">
        <w:rPr>
          <w:rFonts w:ascii="Palatino Linotype" w:eastAsia="Times New Roman" w:hAnsi="Palatino Linotype" w:cs="Tahoma"/>
          <w:b/>
          <w:color w:val="000000"/>
          <w:sz w:val="22"/>
          <w:szCs w:val="22"/>
          <w:shd w:val="clear" w:color="auto" w:fill="FFFFFF"/>
          <w:lang w:val="es-ES_tradnl" w:bidi="en-US"/>
        </w:rPr>
        <w:t>FAVORABLE</w:t>
      </w:r>
      <w:r w:rsidR="00D1158C" w:rsidRPr="00EE1B12">
        <w:rPr>
          <w:rFonts w:ascii="Palatino Linotype" w:eastAsia="Times New Roman" w:hAnsi="Palatino Linotype" w:cs="Tahoma"/>
          <w:color w:val="000000"/>
          <w:sz w:val="22"/>
          <w:szCs w:val="22"/>
          <w:shd w:val="clear" w:color="auto" w:fill="FFFFFF"/>
          <w:lang w:val="es-ES_tradnl" w:bidi="en-US"/>
        </w:rPr>
        <w:t xml:space="preserve"> para la </w:t>
      </w:r>
      <w:r w:rsidR="00D1158C" w:rsidRPr="00EE1B12">
        <w:rPr>
          <w:rFonts w:ascii="Palatino Linotype" w:hAnsi="Palatino Linotype" w:cs="Tahoma"/>
          <w:sz w:val="22"/>
          <w:szCs w:val="22"/>
        </w:rPr>
        <w:t>Regularización del trazado vial de la calle S6C (abscisa 0+000 hasta 0+702.86), calle Guido Urbina (abscisa 0+702.86 hasta 0+992.44) y aprobación del trazado vial de la calle S/N, ubicadas en el sector Miravalle de la parroquia Puengasí</w:t>
      </w:r>
      <w:r w:rsidR="00D1158C" w:rsidRPr="00EE1B12">
        <w:rPr>
          <w:rFonts w:ascii="Palatino Linotype" w:eastAsia="Times New Roman" w:hAnsi="Palatino Linotype" w:cs="Tahoma"/>
          <w:color w:val="000000"/>
          <w:sz w:val="22"/>
          <w:szCs w:val="22"/>
          <w:shd w:val="clear" w:color="auto" w:fill="FFFFFF"/>
          <w:lang w:val="es-ES_tradnl" w:bidi="en-US"/>
        </w:rPr>
        <w:t>.”.</w:t>
      </w:r>
    </w:p>
    <w:p w:rsidR="007F5B6D" w:rsidRPr="00EE1B12" w:rsidRDefault="007F5B6D"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 xml:space="preserve">-Mediante Oficio No. GADDMQ-SGCM-2022-5594-O, por disposición de la señora Concejala Abg. Mónica Sandoval, presidente de la Comisión de Uso de Suelo, conforme lo establecido en el artículo 50 del Código Municipal para el Distrito Metropolitano de Quito, considerando la resolución del Concejo Metropolitano No. C 075-2022, de 30 de junio de 2022, mediante la cual se resolvió </w:t>
      </w:r>
      <w:r w:rsidRPr="00EE1B12">
        <w:rPr>
          <w:rFonts w:ascii="Palatino Linotype" w:hAnsi="Palatino Linotype" w:cs="Tahoma"/>
          <w:i/>
          <w:sz w:val="22"/>
          <w:szCs w:val="22"/>
        </w:rPr>
        <w:t xml:space="preserve">"(...) devolver a la Comisión de Uso de Suelo, los informes Nos. IC-CUS-2022- 017, IC-CUS-2022-021 y IC-CUS-2022-033, con el fin de que se realice un análisis exhaustivo de las observaciones formuladas por la Contraloría General del Estado, en lo que se refiere a la regularización de trazados viales; y de ser el caso, se proceda a </w:t>
      </w:r>
      <w:r w:rsidRPr="00EE1B12">
        <w:rPr>
          <w:rFonts w:ascii="Palatino Linotype" w:hAnsi="Palatino Linotype" w:cs="Tahoma"/>
          <w:i/>
          <w:sz w:val="22"/>
          <w:szCs w:val="22"/>
        </w:rPr>
        <w:lastRenderedPageBreak/>
        <w:t>realizar las reconsideraciones que correspondan", y de conformidad con lo establecido en la Resolución Nro. 062-CUS-2022 de la Comisión de Uso de Suelo, solicito a usted que en el término de cinco (5) días, remita los informes técnicos o legales y el instrumento correspondientes, para conocimiento de la Comisión en mención, con relación a la regularización del trazado vial de la calle S6C (abscisa 0+000 hasta 0+702.86), calle Guido Urbina (abscisa- 0+702.86 hasta 0+992.44) y aprobación de la prolongación del trazado vial de la calle S/N, ubicadas en el sector Miravalle de la parroquia Puengasí (...)</w:t>
      </w:r>
      <w:r w:rsidRPr="00EE1B12">
        <w:rPr>
          <w:rFonts w:ascii="Palatino Linotype" w:hAnsi="Palatino Linotype" w:cs="Tahoma"/>
          <w:sz w:val="22"/>
          <w:szCs w:val="22"/>
        </w:rPr>
        <w:t>"</w:t>
      </w:r>
    </w:p>
    <w:p w:rsidR="007F5B6D" w:rsidRPr="00EE1B12" w:rsidRDefault="007F5B6D" w:rsidP="005F03EF">
      <w:pPr>
        <w:tabs>
          <w:tab w:val="center" w:pos="4252"/>
          <w:tab w:val="right" w:pos="9720"/>
        </w:tabs>
        <w:ind w:right="-1"/>
        <w:rPr>
          <w:rFonts w:ascii="Palatino Linotype" w:eastAsia="Times New Roman" w:hAnsi="Palatino Linotype" w:cs="Tahoma"/>
          <w:color w:val="000000"/>
          <w:sz w:val="22"/>
          <w:szCs w:val="22"/>
          <w:shd w:val="clear" w:color="auto" w:fill="FFFFFF"/>
          <w:lang w:val="es-ES_tradnl" w:bidi="en-US"/>
        </w:rPr>
      </w:pPr>
      <w:r w:rsidRPr="00EE1B12">
        <w:rPr>
          <w:rFonts w:ascii="Palatino Linotype" w:hAnsi="Palatino Linotype" w:cs="Tahoma"/>
          <w:sz w:val="22"/>
          <w:szCs w:val="22"/>
        </w:rPr>
        <w:t>-Con memorando Nro. GADDMQ-AZMS-DGC-2022-962-M del 18 de octubre del 2022, el Director de Gestión del Territorio de la Zona Manuela Sáenz informa al Director de Asesoría Jurídica, en respuesta al Documento No. GADDMQ-SGCM-2022-5594-O, remitiendo para el efecto</w:t>
      </w:r>
      <w:r w:rsidRPr="00EE1B12">
        <w:rPr>
          <w:rFonts w:ascii="Palatino Linotype" w:hAnsi="Palatino Linotype" w:cs="Tahoma"/>
          <w:i/>
          <w:sz w:val="22"/>
          <w:szCs w:val="22"/>
        </w:rPr>
        <w:t>, “Con este precedente, remito el Informe Técnico No. AZC-2022-02, de la propuesta de regularización vial de las vías antes señaladas</w:t>
      </w:r>
      <w:r w:rsidRPr="00EE1B12">
        <w:rPr>
          <w:rFonts w:ascii="Palatino Linotype" w:hAnsi="Palatino Linotype" w:cs="Tahoma"/>
          <w:sz w:val="22"/>
          <w:szCs w:val="22"/>
        </w:rPr>
        <w:t>”.</w:t>
      </w:r>
    </w:p>
    <w:p w:rsidR="00D1158C" w:rsidRPr="00EE1B12" w:rsidRDefault="007F5B6D"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 xml:space="preserve">-Mediante memorando Nro. GADDMQ-AZMS-DAL-2022-661-M del 20 de octubre del 2022, dirigido al Director de Gestión del Territorio de la Administración Zona Manuela Sáenz, el Director de Asesoría Jurídica, en relación al memorando Nro. GADDMQ-AZMS-DGC-2022-962-M del 18 de octubre del 2022 comunica al Director de Gestión del Territorio, </w:t>
      </w:r>
      <w:r w:rsidRPr="00EE1B12">
        <w:rPr>
          <w:rFonts w:ascii="Palatino Linotype" w:hAnsi="Palatino Linotype" w:cs="Tahoma"/>
          <w:i/>
          <w:sz w:val="22"/>
          <w:szCs w:val="22"/>
        </w:rPr>
        <w:t>“(…) a fin de precautelar la seguridad técnica y jurídica del trámite, solicito de la manera más comedida, disponga a quien corresponda, ratificar o rectificar el INFORME TÉCNICO No. AZC-2022-002 REGULARIZACIÓN DE TRAZADO VIAL DE LAS CALLES “S/N”, “S6C”, “E20F” y “GUIDO URBINA”, del Barrio “MIRAVALLE – PUENGASÍ e informe si las 3 calles a aprobarse los trazados viales se encuentran físicamente ejecutadas y en uso de la comunidad</w:t>
      </w:r>
      <w:r w:rsidRPr="00EE1B12">
        <w:rPr>
          <w:rFonts w:ascii="Palatino Linotype" w:hAnsi="Palatino Linotype" w:cs="Tahoma"/>
          <w:sz w:val="22"/>
          <w:szCs w:val="22"/>
        </w:rPr>
        <w:t>”</w:t>
      </w:r>
      <w:r w:rsidR="000A7A15" w:rsidRPr="00EE1B12">
        <w:rPr>
          <w:rFonts w:ascii="Palatino Linotype" w:hAnsi="Palatino Linotype" w:cs="Tahoma"/>
          <w:sz w:val="22"/>
          <w:szCs w:val="22"/>
        </w:rPr>
        <w:t>.</w:t>
      </w:r>
    </w:p>
    <w:p w:rsidR="000A7A15" w:rsidRPr="00EE1B12" w:rsidRDefault="000A7A15"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-Con memorando Nro. GADDMQ-AZMS-DGC-2022-980-M del 20 de octubre del 2022 comunica al Director Jurídico, “</w:t>
      </w:r>
      <w:r w:rsidRPr="00EE1B12">
        <w:rPr>
          <w:rFonts w:ascii="Palatino Linotype" w:hAnsi="Palatino Linotype" w:cs="Tahoma"/>
          <w:i/>
          <w:sz w:val="22"/>
          <w:szCs w:val="22"/>
        </w:rPr>
        <w:t xml:space="preserve">En el Informe Técnico No. AZC-2021-001, remitido con Oficio Nro. GADDMQ-AZMS-2022-0074-O del 17 de enero del 2022, dirigido al Ing. Iván Vladimir Tapia Guijarro, Secretario de Territorio, se menciona lo referente a lo expuesto en el párrafo tercero, con respecto a la calle S/N, que no se encuentra en funcionamiento, ni tiene obra alguna, en donde textualmente se señala: ("...) Con Oficio Nro. GADDMQ-AZMS-2020-2324-O, de fecha 31 de diciembre del 2020, ésta Administración Zonal, envía la propuesta de Regularización del trazado vial de la calle S6C, con informe técnico de trazado vial No. AZC-2020-004, en donde se incluye un tramo de vía con denominación calle S/N, misma que permitirá el acceso al predio No. 201462, de propiedad de GALLARDO GUERRERO JOSE RICHARD HRDS, mismo que en la actualidad no tiene acceso hacia una vía pública.(..."), las negrillas me corresponden. Con los antecedentes expuestos, esta Dirección de Gestión del Territorio, RATIFICA el contenido del Informe Técnico No. AZC-2022-002 remitido con Memorando No. GADDMQ-AZMS-DGC-2022-962-M del 18 de octubre del 2022, en donde se emite INFORME TECNICO FAVORABLE, </w:t>
      </w:r>
      <w:r w:rsidRPr="00EE1B12">
        <w:rPr>
          <w:rFonts w:ascii="Palatino Linotype" w:hAnsi="Palatino Linotype" w:cs="Tahoma"/>
          <w:i/>
          <w:sz w:val="22"/>
          <w:szCs w:val="22"/>
        </w:rPr>
        <w:lastRenderedPageBreak/>
        <w:t>para la regularización del trazado vial propuesto, acogiendo las vías: calle S6C (abscisa 0+000 hasta 0+702.86), calle Guido Urbina (abscisa0+702.86 hasta 0+992.44) y aprobación de la prolongación del trazado vial de la calle S/N.</w:t>
      </w:r>
      <w:r w:rsidRPr="00EE1B12">
        <w:rPr>
          <w:rFonts w:ascii="Palatino Linotype" w:hAnsi="Palatino Linotype" w:cs="Tahoma"/>
          <w:sz w:val="22"/>
          <w:szCs w:val="22"/>
        </w:rPr>
        <w:t>”</w:t>
      </w:r>
    </w:p>
    <w:p w:rsidR="000A7A15" w:rsidRPr="00EE1B12" w:rsidRDefault="000A7A15"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-El INFORME TÉCNICO No. AZC-2022-002 REGULARIZACIÓN DE TRAZADO VIAL DE LAS CALLES “S/N”, “S6C”, “E20F” y “GUIDO URBINA”, del Barrio “MIRAVALLE – PUENGASÍ, ratificado con el memorando Nro. GADDMQ-AZMS-DGC-2022-980-M del 20 de octubre del 2022, señala, “</w:t>
      </w:r>
      <w:r w:rsidRPr="00EE1B12">
        <w:rPr>
          <w:rFonts w:ascii="Palatino Linotype" w:hAnsi="Palatino Linotype" w:cs="Tahoma"/>
          <w:i/>
          <w:sz w:val="22"/>
          <w:szCs w:val="22"/>
        </w:rPr>
        <w:t>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la Administración Zonal Centro “Manuela Sáenz”, a través de la Dirección de Gestión del Territorio, se ratifica en el contenido del Informe Técnico No. AZC-2021-001 y emite INFORME TÉCNICO FAVORABLE, para la Regularización del trazado vial de la calle S6C (abscisa 0+000 hasta 0+702.86), calle Guido Urbina (abscisa 0+702.86 hasta 0+992.44), tramo comprendido entre la autopista Gral. Rumiñahui y calle Guido Urbina (S7) y aprobación del trazado vial de la calle S/N, ubicadas en el sector Miravalle de la parroquia Puengasí;, con el propósito de mantener uniformidad con la trama vial consolidada y permitir libre movilidad hacia barrios circundantes</w:t>
      </w:r>
      <w:r w:rsidRPr="00EE1B12">
        <w:rPr>
          <w:rFonts w:ascii="Palatino Linotype" w:hAnsi="Palatino Linotype" w:cs="Tahoma"/>
          <w:sz w:val="22"/>
          <w:szCs w:val="22"/>
        </w:rPr>
        <w:t>”.</w:t>
      </w:r>
    </w:p>
    <w:p w:rsidR="000A7A15" w:rsidRPr="00EE1B12" w:rsidRDefault="000A7A15" w:rsidP="005F03EF">
      <w:pPr>
        <w:tabs>
          <w:tab w:val="center" w:pos="4252"/>
          <w:tab w:val="right" w:pos="9720"/>
        </w:tabs>
        <w:ind w:right="-1"/>
        <w:rPr>
          <w:rFonts w:ascii="Palatino Linotype" w:hAnsi="Palatino Linotype" w:cs="Tahoma"/>
          <w:sz w:val="22"/>
          <w:szCs w:val="22"/>
        </w:rPr>
      </w:pPr>
      <w:r w:rsidRPr="00EE1B12">
        <w:rPr>
          <w:rFonts w:ascii="Palatino Linotype" w:hAnsi="Palatino Linotype" w:cs="Tahoma"/>
          <w:sz w:val="22"/>
          <w:szCs w:val="22"/>
        </w:rPr>
        <w:t xml:space="preserve">-La Dirección de Asesoría Jurídica de la Administración Zona Manuela Sáenz, con </w:t>
      </w:r>
      <w:r w:rsidR="00B41FF2" w:rsidRPr="00EE1B12">
        <w:rPr>
          <w:rFonts w:ascii="Palatino Linotype" w:hAnsi="Palatino Linotype" w:cs="Tahoma"/>
          <w:sz w:val="22"/>
          <w:szCs w:val="22"/>
        </w:rPr>
        <w:t>Memorando Nro. GADDMQ-AZMS-DAL-2022-682-M del 27 de octubre del 2022</w:t>
      </w:r>
      <w:r w:rsidRPr="00EE1B12">
        <w:rPr>
          <w:rFonts w:ascii="Palatino Linotype" w:hAnsi="Palatino Linotype" w:cs="Tahoma"/>
          <w:sz w:val="22"/>
          <w:szCs w:val="22"/>
        </w:rPr>
        <w:t>, emite el Informe legal, “</w:t>
      </w:r>
      <w:r w:rsidR="00B41FF2" w:rsidRPr="00EE1B12">
        <w:rPr>
          <w:rFonts w:ascii="Palatino Linotype" w:hAnsi="Palatino Linotype" w:cs="Tahoma"/>
          <w:i/>
          <w:sz w:val="22"/>
          <w:szCs w:val="22"/>
        </w:rPr>
        <w:t xml:space="preserve">En base a los antecedentes y con fundamento a la normativa constitucional y legal citada, de conformidad al INFORME TÉCNICO No. AZC-2022-002 REGULARIZACIÓN DE TRAZADO VIAL DE LAS CALLES “S/N”, “S6C”, “E20F” y “GUIDO URBINA”, del Barrio “MIRAVALLE – PUENGASÍ, emitido por la Dirección de Gestión del Territorio de la Administración Manuela Sáenz, adjunto al memorando Nro. GADDMQ-AZMS-DGC-2022-962-M del 18 de octubre del 2022 y ratificado con memorando Nro. GADDMQ-AZMS-DGC-2022-980-M del 20 de octubre del 2022, esta Dirección de Asesoría Jurídica ratifica los INFORMES LEGALES FAVORABLES constantes en los memorandos Nro. GADDMQ-AZMS-DAL-2020-027-M del 28 de enero del 2020; GADDMQ-AZMS-DAL-2020-328-M del 28 de septiembre del 2020; y, GADDMQ-AZMS-DAL-2022-006-M de 3 de enero de 2022, para la Regularización del trazado vial de la calle S6C (abscisa 0+000 hasta 0+702.86), y calle Guido Urbina (abscisa 0+702.86 hasta 0+992.44), excepto para la aprobación del trazado vial de la calle S/N, toda vez que de la información aparejada al expediente se determina que esta calle no se encuentra ejecutada y/o consolidada, que además afecta a propiedad particular y que daría acceso a un inmueble de propiedad privada; lo que conllevaría, de conformidad a lo dispuesto en el artículo 3652 del Código Municipal para el Distrito </w:t>
      </w:r>
      <w:r w:rsidR="00B41FF2" w:rsidRPr="00EE1B12">
        <w:rPr>
          <w:rFonts w:ascii="Palatino Linotype" w:hAnsi="Palatino Linotype" w:cs="Tahoma"/>
          <w:i/>
          <w:sz w:val="22"/>
          <w:szCs w:val="22"/>
        </w:rPr>
        <w:lastRenderedPageBreak/>
        <w:t>Metropolitano de Quito, a futuro seguir un proceso expropiatorio con pago de indemnización por afectación de suelo y ejecución de obra por parte de la Municipalidad, siendo del criterio que este caso sea tratado por cuerda separada o de forma especial</w:t>
      </w:r>
      <w:r w:rsidRPr="00EE1B12">
        <w:rPr>
          <w:rFonts w:ascii="Palatino Linotype" w:hAnsi="Palatino Linotype" w:cs="Tahoma"/>
          <w:sz w:val="22"/>
          <w:szCs w:val="22"/>
        </w:rPr>
        <w:t>”.</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485E1B" w:rsidRPr="00EE1B12" w:rsidRDefault="005F03EF" w:rsidP="00485E1B">
      <w:pPr>
        <w:pStyle w:val="Ttulo1"/>
        <w:rPr>
          <w:rFonts w:ascii="Palatino Linotype" w:hAnsi="Palatino Linotype"/>
          <w:sz w:val="22"/>
          <w:szCs w:val="22"/>
        </w:rPr>
      </w:pPr>
      <w:r w:rsidRPr="00EE1B12">
        <w:rPr>
          <w:rFonts w:ascii="Palatino Linotype" w:hAnsi="Palatino Linotype" w:cs="Tahoma"/>
        </w:rPr>
        <w:t xml:space="preserve">                                                        </w:t>
      </w:r>
      <w:r w:rsidR="00485E1B" w:rsidRPr="00EE1B12">
        <w:rPr>
          <w:rFonts w:ascii="Palatino Linotype" w:hAnsi="Palatino Linotype"/>
          <w:sz w:val="22"/>
          <w:szCs w:val="22"/>
        </w:rPr>
        <w:t>CONSIDERANDO:</w:t>
      </w:r>
    </w:p>
    <w:p w:rsidR="005F03EF" w:rsidRPr="00EE1B12" w:rsidRDefault="005F03EF" w:rsidP="005F03EF">
      <w:pPr>
        <w:tabs>
          <w:tab w:val="left" w:pos="5375"/>
        </w:tabs>
        <w:rPr>
          <w:rFonts w:ascii="Palatino Linotype" w:hAnsi="Palatino Linotype" w:cs="Tahoma"/>
          <w:b/>
          <w:sz w:val="22"/>
          <w:szCs w:val="22"/>
        </w:rPr>
      </w:pPr>
    </w:p>
    <w:p w:rsidR="005F03EF" w:rsidRPr="00EE1B12" w:rsidRDefault="005F03EF" w:rsidP="005F03EF">
      <w:pPr>
        <w:autoSpaceDE w:val="0"/>
        <w:autoSpaceDN w:val="0"/>
        <w:adjustRightInd w:val="0"/>
        <w:ind w:left="705" w:hanging="705"/>
        <w:rPr>
          <w:rFonts w:ascii="Palatino Linotype" w:hAnsi="Palatino Linotype" w:cs="Tahoma"/>
          <w:i/>
          <w:iCs/>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el artículo 240 de la Constitución de República del Ecuador, en adelante Constitución, establece: “Los</w:t>
      </w:r>
      <w:r w:rsidRPr="00EE1B12">
        <w:rPr>
          <w:rFonts w:ascii="Palatino Linotype" w:hAnsi="Palatino Linotype" w:cs="Tahoma"/>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F03EF" w:rsidRPr="00EE1B12" w:rsidRDefault="005F03EF" w:rsidP="005F03EF">
      <w:pPr>
        <w:autoSpaceDE w:val="0"/>
        <w:autoSpaceDN w:val="0"/>
        <w:adjustRightInd w:val="0"/>
        <w:ind w:left="705" w:hanging="705"/>
        <w:rPr>
          <w:rFonts w:ascii="Palatino Linotype" w:hAnsi="Palatino Linotype" w:cs="Tahoma"/>
          <w:i/>
          <w:iCs/>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el artículo 241 de la Constitución, determina: “</w:t>
      </w:r>
      <w:r w:rsidRPr="00EE1B12">
        <w:rPr>
          <w:rFonts w:ascii="Palatino Linotype" w:hAnsi="Palatino Linotype" w:cs="Tahoma"/>
          <w:i/>
          <w:iCs/>
          <w:sz w:val="22"/>
          <w:szCs w:val="22"/>
        </w:rPr>
        <w:t xml:space="preserve">La planificación garantizará el ordenamiento territorial y será obligatoria en todos los gobiernos autónomos descentralizados” </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los numerales 1, 2 y 3 del artículo 264 de la Constitución, determinan que serán competencias exclusivas de los gobiernos municipales, sin perjuicio de otras que determine la ley: </w:t>
      </w:r>
      <w:r w:rsidRPr="00EE1B12">
        <w:rPr>
          <w:rFonts w:ascii="Palatino Linotype" w:hAnsi="Palatino Linotype" w:cs="Tahoma"/>
          <w:i/>
          <w:sz w:val="22"/>
          <w:szCs w:val="22"/>
        </w:rPr>
        <w:t xml:space="preserve">"1. </w:t>
      </w:r>
      <w:r w:rsidRPr="00EE1B12">
        <w:rPr>
          <w:rFonts w:ascii="Palatino Linotype" w:hAnsi="Palatino Linotype" w:cs="Tahoma"/>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p>
    <w:p w:rsidR="005F03EF" w:rsidRPr="00EE1B12" w:rsidRDefault="005F03EF" w:rsidP="005F03EF">
      <w:pPr>
        <w:autoSpaceDE w:val="0"/>
        <w:autoSpaceDN w:val="0"/>
        <w:adjustRightInd w:val="0"/>
        <w:ind w:left="709" w:hanging="709"/>
        <w:rPr>
          <w:rFonts w:ascii="Palatino Linotype" w:hAnsi="Palatino Linotype" w:cs="Tahoma"/>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el artículo 266 de la Constitución, determina: </w:t>
      </w:r>
      <w:r w:rsidRPr="00EE1B12">
        <w:rPr>
          <w:rFonts w:ascii="Palatino Linotype" w:hAnsi="Palatino Linotype" w:cs="Tahoma"/>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E1B12">
        <w:rPr>
          <w:rFonts w:ascii="Palatino Linotype" w:hAnsi="Palatino Linotype" w:cs="Tahoma"/>
          <w:sz w:val="22"/>
          <w:szCs w:val="22"/>
        </w:rPr>
        <w:t>;</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el artículo 85 del COOTAD, estableciendo las competencias exclusivas de los distritos metropolitanos, señala: “</w:t>
      </w:r>
      <w:r w:rsidRPr="00EE1B12">
        <w:rPr>
          <w:rFonts w:ascii="Palatino Linotype" w:hAnsi="Palatino Linotype" w:cs="Tahoma"/>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 los literales a), d) y v) del artículo 87 del COOTAD, establecen como atribuciones del Concejo Metropolitano: “</w:t>
      </w:r>
      <w:r w:rsidRPr="00EE1B12">
        <w:rPr>
          <w:rFonts w:ascii="Palatino Linotype" w:hAnsi="Palatino Linotype" w:cs="Tahoma"/>
          <w:i/>
          <w:iCs/>
          <w:sz w:val="22"/>
          <w:szCs w:val="22"/>
        </w:rPr>
        <w:t xml:space="preserve">a) Ejercer la facultad normativa en las materias de competencia del gobierno autónomo descentralizado metropolitano, mediante la expedición de ordenanzas metropolitanas, acuerdos y resoluciones; (…); d) Expedir </w:t>
      </w:r>
      <w:r w:rsidRPr="00EE1B12">
        <w:rPr>
          <w:rFonts w:ascii="Palatino Linotype" w:hAnsi="Palatino Linotype" w:cs="Tahoma"/>
          <w:i/>
          <w:iCs/>
          <w:sz w:val="22"/>
          <w:szCs w:val="22"/>
        </w:rPr>
        <w:lastRenderedPageBreak/>
        <w:t>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el quinto inciso del artículo 129 del Código Orgánico de Organización Territorial, en adelante "COOTAD" dispone: </w:t>
      </w:r>
      <w:r w:rsidRPr="00EE1B12">
        <w:rPr>
          <w:rFonts w:ascii="Palatino Linotype" w:hAnsi="Palatino Linotype" w:cs="Tahoma"/>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el numeral 1 del artículo </w:t>
      </w:r>
      <w:r w:rsidRPr="00EE1B12">
        <w:rPr>
          <w:rFonts w:ascii="Palatino Linotype" w:hAnsi="Palatino Linotype" w:cs="Tahoma"/>
          <w:bCs/>
          <w:color w:val="000000"/>
          <w:sz w:val="22"/>
          <w:szCs w:val="22"/>
        </w:rPr>
        <w:t>2191</w:t>
      </w:r>
      <w:r w:rsidRPr="00EE1B12">
        <w:rPr>
          <w:rFonts w:ascii="Palatino Linotype" w:hAnsi="Palatino Linotype" w:cs="Tahoma"/>
          <w:sz w:val="22"/>
          <w:szCs w:val="22"/>
        </w:rPr>
        <w:t xml:space="preserve"> del Código Municipal para el Distrito Metropolitano de Quito, en adelante Código Municipal, señala que: </w:t>
      </w:r>
      <w:r w:rsidRPr="00EE1B12">
        <w:rPr>
          <w:rFonts w:ascii="Palatino Linotype" w:hAnsi="Palatino Linotype" w:cs="Tahoma"/>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el numeral 5 IBIDEM, señala que: </w:t>
      </w:r>
      <w:r w:rsidRPr="00EE1B12">
        <w:rPr>
          <w:rFonts w:ascii="Palatino Linotype" w:hAnsi="Palatino Linotype" w:cs="Tahoma"/>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el artículo 2192 del Código Municipal, determina: </w:t>
      </w:r>
      <w:r w:rsidRPr="00EE1B12">
        <w:rPr>
          <w:rFonts w:ascii="Palatino Linotype" w:hAnsi="Palatino Linotype" w:cs="Tahoma"/>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3A541E" w:rsidRPr="00EE1B12" w:rsidRDefault="003A541E" w:rsidP="005F03EF">
      <w:pPr>
        <w:autoSpaceDE w:val="0"/>
        <w:autoSpaceDN w:val="0"/>
        <w:adjustRightInd w:val="0"/>
        <w:spacing w:after="0" w:line="240" w:lineRule="auto"/>
        <w:ind w:left="709" w:hanging="709"/>
        <w:rPr>
          <w:rFonts w:ascii="Palatino Linotype" w:hAnsi="Palatino Linotype" w:cs="Tahoma"/>
          <w:i/>
          <w:sz w:val="22"/>
          <w:szCs w:val="22"/>
        </w:rPr>
      </w:pPr>
    </w:p>
    <w:p w:rsidR="003A541E" w:rsidRPr="00EE1B12" w:rsidRDefault="003A541E" w:rsidP="005F03EF">
      <w:pPr>
        <w:autoSpaceDE w:val="0"/>
        <w:autoSpaceDN w:val="0"/>
        <w:adjustRightInd w:val="0"/>
        <w:spacing w:after="0" w:line="240" w:lineRule="auto"/>
        <w:ind w:left="709" w:hanging="709"/>
        <w:rPr>
          <w:rFonts w:ascii="Palatino Linotype" w:hAnsi="Palatino Linotype" w:cs="Tahoma"/>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El artículo 3652 del mismo cuerpo legal, respecto de los Requisitos, Financiamiento y Procedimiento de las expropiaciones dispone, “</w:t>
      </w:r>
      <w:r w:rsidRPr="00EE1B12">
        <w:rPr>
          <w:rFonts w:ascii="Palatino Linotype" w:hAnsi="Palatino Linotype" w:cs="Tahoma"/>
          <w:i/>
          <w:sz w:val="22"/>
          <w:szCs w:val="22"/>
        </w:rPr>
        <w:t xml:space="preserve">Previo a proceder al trámite expropiatorio, el Municipio, sus dependencias o entidades, deberán contar con un proyecto aprobado por el Concejo Metropolitano o por la máxima autoridad de la entidad o dependencia requirentes y disponer de la asignación presupuestaria suficiente para la ejecución de la obra proyectada y para el pago de las indemnizaciones necesarias, siempre y cuando dicha obra se encuentre debidamente programada por la dependencia municipal ejecutora, cumpliendo el procedimiento previsto en esta normativa, excepto los casos de emergencia o fuerza mayor, cuya ejecución esté aprobada por la máxima autoridad. No </w:t>
      </w:r>
      <w:r w:rsidR="00AF571E" w:rsidRPr="00EE1B12">
        <w:rPr>
          <w:rFonts w:ascii="Palatino Linotype" w:hAnsi="Palatino Linotype" w:cs="Tahoma"/>
          <w:i/>
          <w:sz w:val="22"/>
          <w:szCs w:val="22"/>
        </w:rPr>
        <w:t>obstante,</w:t>
      </w:r>
      <w:r w:rsidRPr="00EE1B12">
        <w:rPr>
          <w:rFonts w:ascii="Palatino Linotype" w:hAnsi="Palatino Linotype" w:cs="Tahoma"/>
          <w:i/>
          <w:sz w:val="22"/>
          <w:szCs w:val="22"/>
        </w:rPr>
        <w:t xml:space="preserve"> a lo indicado en el párrafo anterior, las dependencias municipales </w:t>
      </w:r>
      <w:r w:rsidRPr="00EE1B12">
        <w:rPr>
          <w:rFonts w:ascii="Palatino Linotype" w:hAnsi="Palatino Linotype" w:cs="Tahoma"/>
          <w:i/>
          <w:sz w:val="22"/>
          <w:szCs w:val="22"/>
        </w:rPr>
        <w:lastRenderedPageBreak/>
        <w:t>requirentes deberán contar con su respectivo presupuesto; para el caso de las administraciones zonales y Administración Central Municipal deberá ser solicitado a la Dirección Metropolitana Financiera, mientras se está elaborando la proforma presupuestaria en la Comisión de Presupuesto y Finanzas del año anterior a la declaratoria de utilidad pública con fines de expropiación. La partida presupuestaria con los fondos que se han asignado para la expropiación será inamovible, a no ser que el Concejo Metropolitano deje sin efecto tal expropiación por alguna razón justificada; de no ser así, deberá reasignarse en el nuevo presupuesto únicamente para expropiaciones.</w:t>
      </w:r>
      <w:r w:rsidRPr="00EE1B12">
        <w:rPr>
          <w:rFonts w:ascii="Palatino Linotype" w:hAnsi="Palatino Linotype" w:cs="Tahoma"/>
          <w:sz w:val="22"/>
          <w:szCs w:val="22"/>
        </w:rPr>
        <w:t>”</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7923EA" w:rsidRPr="00EE1B12" w:rsidRDefault="005F03EF" w:rsidP="00480768">
      <w:pPr>
        <w:spacing w:after="0" w:line="240" w:lineRule="auto"/>
        <w:ind w:left="709" w:hanging="709"/>
        <w:rPr>
          <w:rFonts w:ascii="Palatino Linotype" w:hAnsi="Palatino Linotype" w:cs="Times New Roman"/>
          <w:i/>
          <w:iCs/>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r>
      <w:r w:rsidR="007923EA" w:rsidRPr="00EE1B12">
        <w:rPr>
          <w:rFonts w:ascii="Palatino Linotype" w:hAnsi="Palatino Linotype" w:cs="Times New Roman"/>
          <w:sz w:val="22"/>
          <w:szCs w:val="22"/>
        </w:rPr>
        <w:t xml:space="preserve">conforme la Resolución Nro. 062-CUS-2022, en el que manifiesta: “(…) </w:t>
      </w:r>
      <w:r w:rsidR="007923EA" w:rsidRPr="00EE1B12">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007923EA" w:rsidRPr="00EE1B12">
        <w:rPr>
          <w:rFonts w:ascii="Palatino Linotype" w:hAnsi="Palatino Linotype" w:cs="Times New Roman"/>
          <w:sz w:val="22"/>
          <w:szCs w:val="22"/>
        </w:rPr>
        <w:t>”.</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EE1B12" w:rsidRDefault="005F03EF" w:rsidP="005F03EF">
      <w:pPr>
        <w:autoSpaceDE w:val="0"/>
        <w:autoSpaceDN w:val="0"/>
        <w:adjustRightInd w:val="0"/>
        <w:ind w:left="709" w:hanging="709"/>
        <w:rPr>
          <w:rFonts w:ascii="Palatino Linotype" w:hAnsi="Palatino Linotype" w:cs="Tahoma"/>
          <w:sz w:val="22"/>
          <w:szCs w:val="22"/>
        </w:rPr>
      </w:pPr>
      <w:r w:rsidRPr="00EE1B12">
        <w:rPr>
          <w:rFonts w:ascii="Palatino Linotype" w:hAnsi="Palatino Linotype" w:cs="Tahoma"/>
          <w:sz w:val="22"/>
          <w:szCs w:val="22"/>
        </w:rPr>
        <w:t xml:space="preserve">Que, </w:t>
      </w:r>
      <w:r w:rsidRPr="00EE1B12">
        <w:rPr>
          <w:rFonts w:ascii="Palatino Linotype" w:hAnsi="Palatino Linotype" w:cs="Tahoma"/>
          <w:sz w:val="22"/>
          <w:szCs w:val="22"/>
        </w:rPr>
        <w:tab/>
        <w:t xml:space="preserve">la Comisión de Uso de Suelo en sesión ordinaria Nro. (…), de … de… de 2022 analizó los informes técnicos y legales que reposan en el expediente, y emitió dictamen …; </w:t>
      </w:r>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r w:rsidRPr="00EE1B12">
        <w:rPr>
          <w:rFonts w:ascii="Palatino Linotype" w:hAnsi="Palatino Linotype" w:cs="Tahoma"/>
          <w:sz w:val="22"/>
          <w:szCs w:val="22"/>
        </w:rPr>
        <w:t xml:space="preserve">Que, el Concejo Metropolitano de Quito, en sesión pública ordinaria realizada el </w:t>
      </w:r>
      <w:r w:rsidRPr="00EE1B12">
        <w:rPr>
          <w:rFonts w:ascii="Palatino Linotype" w:hAnsi="Palatino Linotype" w:cs="Tahoma"/>
          <w:iCs/>
          <w:sz w:val="22"/>
          <w:szCs w:val="22"/>
        </w:rPr>
        <w:t>…</w:t>
      </w:r>
      <w:r w:rsidRPr="00EE1B12">
        <w:rPr>
          <w:rFonts w:ascii="Palatino Linotype" w:hAnsi="Palatino Linotype" w:cs="Tahoma"/>
          <w:sz w:val="22"/>
          <w:szCs w:val="22"/>
        </w:rPr>
        <w:t xml:space="preserve"> de </w:t>
      </w:r>
      <w:r w:rsidRPr="00EE1B12">
        <w:rPr>
          <w:rFonts w:ascii="Palatino Linotype" w:hAnsi="Palatino Linotype" w:cs="Tahoma"/>
          <w:iCs/>
          <w:sz w:val="22"/>
          <w:szCs w:val="22"/>
        </w:rPr>
        <w:t xml:space="preserve">… </w:t>
      </w:r>
      <w:r w:rsidRPr="00EE1B12">
        <w:rPr>
          <w:rFonts w:ascii="Palatino Linotype" w:hAnsi="Palatino Linotype" w:cs="Tahoma"/>
          <w:sz w:val="22"/>
          <w:szCs w:val="22"/>
        </w:rPr>
        <w:t xml:space="preserve">de </w:t>
      </w:r>
      <w:r w:rsidRPr="00EE1B12">
        <w:rPr>
          <w:rFonts w:ascii="Palatino Linotype" w:hAnsi="Palatino Linotype" w:cs="Tahoma"/>
          <w:iCs/>
          <w:sz w:val="22"/>
          <w:szCs w:val="22"/>
        </w:rPr>
        <w:t>…</w:t>
      </w:r>
      <w:r w:rsidRPr="00EE1B12">
        <w:rPr>
          <w:rFonts w:ascii="Palatino Linotype" w:hAnsi="Palatino Linotype" w:cs="Tahoma"/>
          <w:sz w:val="22"/>
          <w:szCs w:val="22"/>
        </w:rPr>
        <w:t>, analizó el informe No….</w:t>
      </w:r>
      <w:r w:rsidRPr="00EE1B12">
        <w:rPr>
          <w:rFonts w:ascii="Palatino Linotype" w:hAnsi="Palatino Linotype" w:cs="Tahoma"/>
          <w:iCs/>
          <w:sz w:val="22"/>
          <w:szCs w:val="22"/>
        </w:rPr>
        <w:t>…</w:t>
      </w:r>
      <w:r w:rsidRPr="00EE1B12">
        <w:rPr>
          <w:rFonts w:ascii="Palatino Linotype" w:hAnsi="Palatino Linotype" w:cs="Tahoma"/>
          <w:sz w:val="22"/>
          <w:szCs w:val="22"/>
        </w:rPr>
        <w:t>, emitido por la Comisión de Uso de Suelo; y,</w:t>
      </w:r>
      <w:bookmarkStart w:id="0" w:name="_GoBack"/>
      <w:bookmarkEnd w:id="0"/>
    </w:p>
    <w:p w:rsidR="005F03EF" w:rsidRPr="00EE1B12"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r w:rsidRPr="00EE1B12">
        <w:rPr>
          <w:rFonts w:ascii="Palatino Linotype" w:hAnsi="Palatino Linotype" w:cs="Tahoma"/>
          <w:b/>
          <w:bCs/>
          <w:sz w:val="22"/>
          <w:szCs w:val="22"/>
        </w:rPr>
        <w:t>En ejercicio de sus atribuciones previstas en el artículo 240 de la Constitución de la República y artículos 87 letra a); y, 323 del Código Orgánico de Organización Territorial, Autonomía y Descentralización,</w:t>
      </w: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r w:rsidRPr="00EE1B12">
        <w:rPr>
          <w:rFonts w:ascii="Palatino Linotype" w:hAnsi="Palatino Linotype" w:cs="Tahoma"/>
          <w:b/>
          <w:bCs/>
          <w:sz w:val="22"/>
          <w:szCs w:val="22"/>
        </w:rPr>
        <w:tab/>
      </w:r>
      <w:r w:rsidRPr="00EE1B12">
        <w:rPr>
          <w:rFonts w:ascii="Palatino Linotype" w:hAnsi="Palatino Linotype" w:cs="Tahoma"/>
          <w:b/>
          <w:bCs/>
          <w:sz w:val="22"/>
          <w:szCs w:val="22"/>
        </w:rPr>
        <w:tab/>
      </w:r>
      <w:r w:rsidRPr="00EE1B12">
        <w:rPr>
          <w:rFonts w:ascii="Palatino Linotype" w:hAnsi="Palatino Linotype" w:cs="Tahoma"/>
          <w:b/>
          <w:bCs/>
          <w:sz w:val="22"/>
          <w:szCs w:val="22"/>
        </w:rPr>
        <w:tab/>
      </w:r>
      <w:r w:rsidRPr="00EE1B12">
        <w:rPr>
          <w:rFonts w:ascii="Palatino Linotype" w:hAnsi="Palatino Linotype" w:cs="Tahoma"/>
          <w:b/>
          <w:bCs/>
          <w:sz w:val="22"/>
          <w:szCs w:val="22"/>
        </w:rPr>
        <w:tab/>
        <w:t>EXPIDE LA SIGUIENTE</w:t>
      </w:r>
      <w:r w:rsidR="00247E1B" w:rsidRPr="00EE1B12">
        <w:rPr>
          <w:rFonts w:ascii="Palatino Linotype" w:hAnsi="Palatino Linotype" w:cs="Tahoma"/>
          <w:b/>
          <w:bCs/>
          <w:sz w:val="22"/>
          <w:szCs w:val="22"/>
        </w:rPr>
        <w:t>:</w:t>
      </w: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p>
    <w:p w:rsidR="00683418" w:rsidRPr="00EE1B12" w:rsidRDefault="00683418" w:rsidP="005F03EF">
      <w:pPr>
        <w:autoSpaceDE w:val="0"/>
        <w:autoSpaceDN w:val="0"/>
        <w:adjustRightInd w:val="0"/>
        <w:spacing w:after="0" w:line="240" w:lineRule="auto"/>
        <w:rPr>
          <w:rFonts w:ascii="Palatino Linotype" w:hAnsi="Palatino Linotype" w:cs="Tahoma"/>
          <w:b/>
          <w:bCs/>
          <w:sz w:val="22"/>
          <w:szCs w:val="22"/>
        </w:rPr>
      </w:pPr>
    </w:p>
    <w:p w:rsidR="005F03EF" w:rsidRPr="00EE1B12" w:rsidRDefault="00904801" w:rsidP="005F03EF">
      <w:pPr>
        <w:autoSpaceDE w:val="0"/>
        <w:autoSpaceDN w:val="0"/>
        <w:adjustRightInd w:val="0"/>
        <w:spacing w:after="0" w:line="240" w:lineRule="auto"/>
        <w:rPr>
          <w:rFonts w:ascii="Palatino Linotype" w:hAnsi="Palatino Linotype" w:cs="Tahoma"/>
          <w:b/>
          <w:bCs/>
          <w:sz w:val="22"/>
          <w:szCs w:val="22"/>
        </w:rPr>
      </w:pPr>
      <w:r w:rsidRPr="00EE1B12">
        <w:rPr>
          <w:rFonts w:ascii="Palatino Linotype" w:hAnsi="Palatino Linotype" w:cs="Tahoma"/>
          <w:b/>
          <w:bCs/>
          <w:sz w:val="22"/>
          <w:szCs w:val="22"/>
        </w:rPr>
        <w:lastRenderedPageBreak/>
        <w:t xml:space="preserve">ORDENANZA PARA LA </w:t>
      </w:r>
      <w:r w:rsidR="00683418" w:rsidRPr="00EE1B12">
        <w:rPr>
          <w:rFonts w:ascii="Palatino Linotype" w:hAnsi="Palatino Linotype"/>
          <w:b/>
          <w:sz w:val="22"/>
          <w:szCs w:val="22"/>
        </w:rPr>
        <w:t>“REGULARIZACIÓN DEL TRAZADO VIAL DE LA CALLE S6C (ABSCISA 0+000 HASTA 0+702.86), CALLE GUIDO URBINA (ABSCISA- 0+702.86 HASTA 0+992.44) Y APROBACIÓN DE LA PROLONGACIÓN DEL TRAZADO VIAL DE LA CALLE S/N, UBICADAS EN EL SECTOR MIRAVALLE DE LA PARROQUIA PUENGASÍ”</w:t>
      </w: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p>
    <w:p w:rsidR="00683418" w:rsidRPr="00EE1B12" w:rsidRDefault="005F03EF" w:rsidP="00683418">
      <w:pPr>
        <w:autoSpaceDE w:val="0"/>
        <w:autoSpaceDN w:val="0"/>
        <w:adjustRightInd w:val="0"/>
        <w:spacing w:after="0" w:line="240" w:lineRule="auto"/>
        <w:rPr>
          <w:rFonts w:ascii="Palatino Linotype" w:hAnsi="Palatino Linotype"/>
          <w:b/>
          <w:sz w:val="22"/>
          <w:szCs w:val="22"/>
        </w:rPr>
      </w:pPr>
      <w:r w:rsidRPr="00EE1B12">
        <w:rPr>
          <w:rFonts w:ascii="Palatino Linotype" w:hAnsi="Palatino Linotype" w:cs="Tahoma"/>
          <w:b/>
          <w:bCs/>
          <w:sz w:val="22"/>
          <w:szCs w:val="22"/>
        </w:rPr>
        <w:t xml:space="preserve">Artículo 1.- </w:t>
      </w:r>
      <w:r w:rsidR="00683418" w:rsidRPr="00EE1B12">
        <w:rPr>
          <w:rFonts w:ascii="Palatino Linotype" w:hAnsi="Palatino Linotype" w:cs="Times New Roman"/>
          <w:bCs/>
          <w:sz w:val="22"/>
          <w:szCs w:val="22"/>
        </w:rPr>
        <w:t xml:space="preserve">Apruébese la </w:t>
      </w:r>
      <w:r w:rsidR="00683418" w:rsidRPr="00EE1B12">
        <w:rPr>
          <w:rFonts w:ascii="Palatino Linotype" w:hAnsi="Palatino Linotype" w:cs="Times New Roman"/>
          <w:iCs/>
          <w:color w:val="000000" w:themeColor="text1"/>
          <w:sz w:val="22"/>
          <w:szCs w:val="22"/>
        </w:rPr>
        <w:t xml:space="preserve">regularización del trazado vial </w:t>
      </w:r>
      <w:r w:rsidR="00683418" w:rsidRPr="00EE1B12">
        <w:rPr>
          <w:rFonts w:ascii="Palatino Linotype" w:hAnsi="Palatino Linotype"/>
          <w:sz w:val="22"/>
          <w:szCs w:val="22"/>
        </w:rPr>
        <w:t>de la Calle S6C (abscisa 0+000 hasta 0+702.86), Calle Guido Urbina (abscisa- 0+702.86 hasta 0+992.44) y aprobación de la prolongación del trazado vial de la calle S/N, ubicadas en el Sector Miravalle de la Parroquia Puengasí”</w:t>
      </w:r>
      <w:r w:rsidR="00683418" w:rsidRPr="00EE1B12">
        <w:rPr>
          <w:rFonts w:ascii="Palatino Linotype" w:hAnsi="Palatino Linotype"/>
          <w:b/>
          <w:sz w:val="22"/>
          <w:szCs w:val="22"/>
        </w:rPr>
        <w:t xml:space="preserve"> </w:t>
      </w:r>
      <w:r w:rsidR="00683418" w:rsidRPr="00EE1B12">
        <w:rPr>
          <w:rFonts w:ascii="Palatino Linotype" w:hAnsi="Palatino Linotype" w:cs="Times New Roman"/>
          <w:iCs/>
          <w:color w:val="000000" w:themeColor="text1"/>
          <w:sz w:val="22"/>
          <w:szCs w:val="22"/>
        </w:rPr>
        <w:t>de conformidad con el plano adjunto al oficio Nro. GADDMQ-</w:t>
      </w:r>
      <w:r w:rsidR="00FA5405" w:rsidRPr="00EE1B12">
        <w:rPr>
          <w:rFonts w:ascii="Palatino Linotype" w:hAnsi="Palatino Linotype" w:cs="Times New Roman"/>
          <w:iCs/>
          <w:color w:val="000000" w:themeColor="text1"/>
          <w:sz w:val="22"/>
          <w:szCs w:val="22"/>
        </w:rPr>
        <w:t>STHV</w:t>
      </w:r>
      <w:r w:rsidR="00683418" w:rsidRPr="00EE1B12">
        <w:rPr>
          <w:rFonts w:ascii="Palatino Linotype" w:hAnsi="Palatino Linotype" w:cs="Times New Roman"/>
          <w:iCs/>
          <w:color w:val="000000" w:themeColor="text1"/>
          <w:sz w:val="22"/>
          <w:szCs w:val="22"/>
        </w:rPr>
        <w:t>-</w:t>
      </w:r>
      <w:r w:rsidR="00FA5405" w:rsidRPr="00EE1B12">
        <w:rPr>
          <w:rFonts w:ascii="Palatino Linotype" w:hAnsi="Palatino Linotype" w:cs="Times New Roman"/>
          <w:iCs/>
          <w:color w:val="000000" w:themeColor="text1"/>
          <w:sz w:val="22"/>
          <w:szCs w:val="22"/>
        </w:rPr>
        <w:t>DMGT-</w:t>
      </w:r>
      <w:r w:rsidR="00683418" w:rsidRPr="00EE1B12">
        <w:rPr>
          <w:rFonts w:ascii="Palatino Linotype" w:hAnsi="Palatino Linotype" w:cs="Times New Roman"/>
          <w:iCs/>
          <w:color w:val="000000" w:themeColor="text1"/>
          <w:sz w:val="22"/>
          <w:szCs w:val="22"/>
        </w:rPr>
        <w:t>2022-</w:t>
      </w:r>
      <w:r w:rsidR="00FA5405" w:rsidRPr="00EE1B12">
        <w:rPr>
          <w:rFonts w:ascii="Palatino Linotype" w:hAnsi="Palatino Linotype" w:cs="Times New Roman"/>
          <w:iCs/>
          <w:color w:val="000000" w:themeColor="text1"/>
          <w:sz w:val="22"/>
          <w:szCs w:val="22"/>
        </w:rPr>
        <w:t>0904</w:t>
      </w:r>
      <w:r w:rsidR="00683418" w:rsidRPr="00EE1B12">
        <w:rPr>
          <w:rFonts w:ascii="Palatino Linotype" w:hAnsi="Palatino Linotype" w:cs="Times New Roman"/>
          <w:iCs/>
          <w:color w:val="000000" w:themeColor="text1"/>
          <w:sz w:val="22"/>
          <w:szCs w:val="22"/>
        </w:rPr>
        <w:t xml:space="preserve">-O que forma parte integrante de la presente ordenanza, y de acuerdo a las siguientes especificaciones técnicas:   </w:t>
      </w:r>
    </w:p>
    <w:p w:rsidR="00683418" w:rsidRPr="00EE1B12" w:rsidRDefault="00683418" w:rsidP="00683418">
      <w:pPr>
        <w:autoSpaceDE w:val="0"/>
        <w:autoSpaceDN w:val="0"/>
        <w:adjustRightInd w:val="0"/>
        <w:spacing w:after="0" w:line="240" w:lineRule="auto"/>
        <w:rPr>
          <w:rFonts w:ascii="Palatino Linotype" w:hAnsi="Palatino Linotype" w:cs="Tahoma"/>
          <w:b/>
          <w:bCs/>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r w:rsidRPr="00EE1B12">
        <w:rPr>
          <w:rFonts w:ascii="Palatino Linotype" w:hAnsi="Palatino Linotype" w:cs="Tahoma"/>
          <w:b/>
          <w:bCs/>
          <w:sz w:val="22"/>
          <w:szCs w:val="22"/>
        </w:rPr>
        <w:t xml:space="preserve">1. </w:t>
      </w:r>
      <w:r w:rsidR="00904801" w:rsidRPr="00EE1B12">
        <w:rPr>
          <w:rFonts w:ascii="Palatino Linotype" w:hAnsi="Palatino Linotype" w:cs="Tahoma"/>
          <w:b/>
          <w:sz w:val="22"/>
          <w:szCs w:val="22"/>
        </w:rPr>
        <w:t>Calle S6C “Tramo Autopista General Rumiñahui – Capitán Guido Urbina”</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Longitud del tramo 702,86m (abscisa 0+000 hasta 0+702.86) </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Ancho de calzada: 9,00m </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Ancho de aceras: 2 aceras de 2,00m c/u </w:t>
      </w:r>
    </w:p>
    <w:p w:rsidR="005F03EF"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Ancho total: 13,00m</w:t>
      </w:r>
    </w:p>
    <w:p w:rsidR="005F03EF" w:rsidRPr="00EE1B12" w:rsidRDefault="005F03EF" w:rsidP="005F03EF">
      <w:pPr>
        <w:autoSpaceDE w:val="0"/>
        <w:autoSpaceDN w:val="0"/>
        <w:adjustRightInd w:val="0"/>
        <w:spacing w:after="0" w:line="240" w:lineRule="auto"/>
        <w:rPr>
          <w:rFonts w:ascii="Palatino Linotype" w:hAnsi="Palatino Linotype" w:cs="Tahoma"/>
          <w:sz w:val="22"/>
          <w:szCs w:val="22"/>
        </w:rPr>
      </w:pPr>
    </w:p>
    <w:p w:rsidR="005F03EF" w:rsidRPr="00EE1B12" w:rsidRDefault="005F03EF" w:rsidP="005F03EF">
      <w:pPr>
        <w:autoSpaceDE w:val="0"/>
        <w:autoSpaceDN w:val="0"/>
        <w:adjustRightInd w:val="0"/>
        <w:spacing w:after="0" w:line="240" w:lineRule="auto"/>
        <w:rPr>
          <w:rFonts w:ascii="Palatino Linotype" w:hAnsi="Palatino Linotype" w:cs="Tahoma"/>
          <w:b/>
          <w:bCs/>
          <w:sz w:val="22"/>
          <w:szCs w:val="22"/>
        </w:rPr>
      </w:pPr>
      <w:r w:rsidRPr="00EE1B12">
        <w:rPr>
          <w:rFonts w:ascii="Palatino Linotype" w:hAnsi="Palatino Linotype" w:cs="Tahoma"/>
          <w:b/>
          <w:bCs/>
          <w:sz w:val="22"/>
          <w:szCs w:val="22"/>
        </w:rPr>
        <w:t xml:space="preserve">2. </w:t>
      </w:r>
      <w:r w:rsidR="00904801" w:rsidRPr="00EE1B12">
        <w:rPr>
          <w:rFonts w:ascii="Palatino Linotype" w:hAnsi="Palatino Linotype" w:cs="Tahoma"/>
          <w:b/>
          <w:sz w:val="22"/>
          <w:szCs w:val="22"/>
        </w:rPr>
        <w:t>Calle Capitán Guido Urbina “Tramo desde la Calle S6C hasta la calle Cero”</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Longitud del tramo 289,58m (abscisa 0+702.86 hasta 0+992.44) </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Ancho de calzada: 8,00m </w:t>
      </w:r>
    </w:p>
    <w:p w:rsidR="00904801"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 xml:space="preserve">Ancho de aceras: 2 aceras de 2,00m c/u </w:t>
      </w:r>
    </w:p>
    <w:p w:rsidR="005F03EF" w:rsidRPr="00EE1B12" w:rsidRDefault="00904801" w:rsidP="005F03EF">
      <w:pPr>
        <w:autoSpaceDE w:val="0"/>
        <w:autoSpaceDN w:val="0"/>
        <w:adjustRightInd w:val="0"/>
        <w:spacing w:after="0" w:line="240" w:lineRule="auto"/>
        <w:rPr>
          <w:rFonts w:ascii="Palatino Linotype" w:hAnsi="Palatino Linotype" w:cs="Tahoma"/>
          <w:sz w:val="22"/>
          <w:szCs w:val="22"/>
        </w:rPr>
      </w:pPr>
      <w:r w:rsidRPr="00EE1B12">
        <w:rPr>
          <w:rFonts w:ascii="Palatino Linotype" w:hAnsi="Palatino Linotype" w:cs="Tahoma"/>
          <w:sz w:val="22"/>
          <w:szCs w:val="22"/>
        </w:rPr>
        <w:t>Ancho total: 12,00m</w:t>
      </w:r>
    </w:p>
    <w:p w:rsidR="005F7673" w:rsidRPr="00EE1B12" w:rsidRDefault="005F7673" w:rsidP="005F03EF">
      <w:pPr>
        <w:autoSpaceDE w:val="0"/>
        <w:autoSpaceDN w:val="0"/>
        <w:adjustRightInd w:val="0"/>
        <w:spacing w:after="0" w:line="240" w:lineRule="auto"/>
        <w:rPr>
          <w:rFonts w:ascii="Palatino Linotype" w:hAnsi="Palatino Linotype" w:cs="Tahoma"/>
          <w:sz w:val="22"/>
          <w:szCs w:val="22"/>
        </w:rPr>
      </w:pPr>
    </w:p>
    <w:p w:rsidR="005F7673" w:rsidRPr="00EE1B12" w:rsidRDefault="005F7673" w:rsidP="005F7673">
      <w:pPr>
        <w:shd w:val="clear" w:color="auto" w:fill="FFFFFF"/>
        <w:spacing w:after="0" w:line="240" w:lineRule="auto"/>
        <w:jc w:val="left"/>
        <w:rPr>
          <w:rFonts w:ascii="Palatino Linotype" w:eastAsia="Times New Roman" w:hAnsi="Palatino Linotype" w:cs="Times New Roman"/>
          <w:b/>
          <w:sz w:val="22"/>
          <w:szCs w:val="22"/>
          <w:lang w:val="es-CO" w:eastAsia="es-CO"/>
        </w:rPr>
      </w:pPr>
      <w:r w:rsidRPr="00EE1B12">
        <w:rPr>
          <w:rFonts w:ascii="Palatino Linotype" w:hAnsi="Palatino Linotype" w:cs="Tahoma"/>
          <w:b/>
          <w:sz w:val="22"/>
          <w:szCs w:val="22"/>
        </w:rPr>
        <w:t xml:space="preserve">3. </w:t>
      </w:r>
      <w:r w:rsidRPr="00EE1B12">
        <w:rPr>
          <w:rFonts w:ascii="Palatino Linotype" w:eastAsia="Times New Roman" w:hAnsi="Palatino Linotype" w:cs="Times New Roman"/>
          <w:b/>
          <w:sz w:val="22"/>
          <w:szCs w:val="22"/>
          <w:lang w:val="es-CO" w:eastAsia="es-CO"/>
        </w:rPr>
        <w:t xml:space="preserve">Calle S/N </w:t>
      </w:r>
    </w:p>
    <w:p w:rsidR="005F7673" w:rsidRPr="00EE1B12"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EE1B12">
        <w:rPr>
          <w:rFonts w:ascii="Palatino Linotype" w:eastAsia="Times New Roman" w:hAnsi="Palatino Linotype" w:cs="Times New Roman"/>
          <w:sz w:val="22"/>
          <w:szCs w:val="22"/>
          <w:lang w:val="es-CO" w:eastAsia="es-CO"/>
        </w:rPr>
        <w:t xml:space="preserve">Longitud del tramo 60,00m </w:t>
      </w:r>
    </w:p>
    <w:p w:rsidR="005F7673" w:rsidRPr="00EE1B12"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EE1B12">
        <w:rPr>
          <w:rFonts w:ascii="Palatino Linotype" w:eastAsia="Times New Roman" w:hAnsi="Palatino Linotype" w:cs="Times New Roman"/>
          <w:sz w:val="22"/>
          <w:szCs w:val="22"/>
          <w:lang w:val="es-CO" w:eastAsia="es-CO"/>
        </w:rPr>
        <w:t xml:space="preserve">Ancho de calzada: 9,00m </w:t>
      </w:r>
    </w:p>
    <w:p w:rsidR="005F7673" w:rsidRPr="00EE1B12"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EE1B12">
        <w:rPr>
          <w:rFonts w:ascii="Palatino Linotype" w:eastAsia="Times New Roman" w:hAnsi="Palatino Linotype" w:cs="Times New Roman"/>
          <w:sz w:val="22"/>
          <w:szCs w:val="22"/>
          <w:lang w:val="es-CO" w:eastAsia="es-CO"/>
        </w:rPr>
        <w:t xml:space="preserve">Ancho de aceras: 2 aceras de 2,00m c/u </w:t>
      </w:r>
    </w:p>
    <w:p w:rsidR="005F7673" w:rsidRPr="00EE1B12"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EE1B12">
        <w:rPr>
          <w:rFonts w:ascii="Palatino Linotype" w:eastAsia="Times New Roman" w:hAnsi="Palatino Linotype" w:cs="Times New Roman"/>
          <w:sz w:val="22"/>
          <w:szCs w:val="22"/>
          <w:lang w:val="es-CO" w:eastAsia="es-CO"/>
        </w:rPr>
        <w:t>Ancho total: 13,00m</w:t>
      </w:r>
    </w:p>
    <w:p w:rsidR="005F7673" w:rsidRPr="00EE1B12" w:rsidRDefault="005F7673" w:rsidP="005F03EF">
      <w:pPr>
        <w:autoSpaceDE w:val="0"/>
        <w:autoSpaceDN w:val="0"/>
        <w:adjustRightInd w:val="0"/>
        <w:spacing w:after="0" w:line="240" w:lineRule="auto"/>
        <w:rPr>
          <w:rFonts w:ascii="Palatino Linotype" w:hAnsi="Palatino Linotype" w:cs="Tahoma"/>
          <w:b/>
          <w:bCs/>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EE1B12" w:rsidRDefault="00131DCE" w:rsidP="00131DCE">
      <w:pPr>
        <w:autoSpaceDE w:val="0"/>
        <w:autoSpaceDN w:val="0"/>
        <w:adjustRightInd w:val="0"/>
        <w:spacing w:after="0" w:line="240" w:lineRule="auto"/>
        <w:rPr>
          <w:rFonts w:ascii="Palatino Linotype" w:hAnsi="Palatino Linotype"/>
          <w:bCs/>
          <w:sz w:val="22"/>
          <w:szCs w:val="22"/>
        </w:rPr>
      </w:pPr>
      <w:r w:rsidRPr="00EE1B12">
        <w:rPr>
          <w:rFonts w:ascii="Palatino Linotype" w:hAnsi="Palatino Linotype" w:cs="Times New Roman"/>
          <w:b/>
          <w:bCs/>
          <w:sz w:val="22"/>
          <w:szCs w:val="22"/>
        </w:rPr>
        <w:t xml:space="preserve">Disposición general única: </w:t>
      </w:r>
      <w:r w:rsidRPr="00EE1B12">
        <w:rPr>
          <w:rFonts w:ascii="Palatino Linotype" w:hAnsi="Palatino Linotype"/>
          <w:bCs/>
          <w:sz w:val="22"/>
          <w:szCs w:val="22"/>
        </w:rPr>
        <w:t>La presente Ordenanza se aprueba en base a los informes que son de exclusiva responsabilidad de los funcionarios que lo suscriben y realizan.</w:t>
      </w:r>
    </w:p>
    <w:p w:rsidR="00131DCE" w:rsidRPr="00EE1B12"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bCs/>
          <w:sz w:val="22"/>
          <w:szCs w:val="22"/>
        </w:rPr>
      </w:pPr>
      <w:r w:rsidRPr="00EE1B12">
        <w:rPr>
          <w:rFonts w:ascii="Palatino Linotype" w:hAnsi="Palatino Linotype" w:cs="Times New Roman"/>
          <w:b/>
          <w:bCs/>
          <w:sz w:val="22"/>
          <w:szCs w:val="22"/>
        </w:rPr>
        <w:t xml:space="preserve">Disposiciones transitorias: </w:t>
      </w:r>
    </w:p>
    <w:p w:rsidR="00131DCE" w:rsidRPr="00EE1B12"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r w:rsidRPr="00EE1B12">
        <w:rPr>
          <w:rFonts w:ascii="Palatino Linotype" w:hAnsi="Palatino Linotype" w:cs="Times New Roman"/>
          <w:b/>
          <w:bCs/>
          <w:sz w:val="22"/>
          <w:szCs w:val="22"/>
        </w:rPr>
        <w:t xml:space="preserve">Primera: </w:t>
      </w:r>
      <w:r w:rsidRPr="00EE1B12">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r w:rsidRPr="00EE1B12">
        <w:rPr>
          <w:rFonts w:ascii="Palatino Linotype" w:hAnsi="Palatino Linotype" w:cs="Times New Roman"/>
          <w:b/>
          <w:sz w:val="22"/>
          <w:szCs w:val="22"/>
        </w:rPr>
        <w:t xml:space="preserve">Segunda: </w:t>
      </w:r>
      <w:r w:rsidRPr="00EE1B12">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w:t>
      </w:r>
      <w:r w:rsidRPr="00EE1B12">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r w:rsidRPr="00EE1B12">
        <w:rPr>
          <w:rFonts w:ascii="Palatino Linotype" w:hAnsi="Palatino Linotype" w:cs="Times New Roman"/>
          <w:b/>
          <w:sz w:val="22"/>
          <w:szCs w:val="22"/>
        </w:rPr>
        <w:t xml:space="preserve">Tercera: </w:t>
      </w:r>
      <w:r w:rsidRPr="00EE1B12">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131DCE" w:rsidRPr="00EE1B12"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Pr="00EE1B12" w:rsidRDefault="00131DCE" w:rsidP="00480768">
      <w:pPr>
        <w:autoSpaceDE w:val="0"/>
        <w:autoSpaceDN w:val="0"/>
        <w:adjustRightInd w:val="0"/>
        <w:spacing w:after="0" w:line="240" w:lineRule="auto"/>
        <w:rPr>
          <w:rFonts w:ascii="Palatino Linotype" w:hAnsi="Palatino Linotype"/>
          <w:sz w:val="22"/>
          <w:szCs w:val="22"/>
        </w:rPr>
      </w:pPr>
      <w:r w:rsidRPr="00EE1B12">
        <w:rPr>
          <w:rFonts w:ascii="Palatino Linotype" w:hAnsi="Palatino Linotype"/>
          <w:b/>
          <w:sz w:val="22"/>
          <w:szCs w:val="22"/>
        </w:rPr>
        <w:t xml:space="preserve">Disposición Final.- </w:t>
      </w:r>
      <w:r w:rsidRPr="00EE1B12">
        <w:rPr>
          <w:rFonts w:ascii="Palatino Linotype" w:hAnsi="Palatino Linotype"/>
          <w:sz w:val="22"/>
          <w:szCs w:val="22"/>
        </w:rPr>
        <w:t>Esta ordenanza entrará en  vigencia a partir de la fecha de su sanción, sin perjuicio de la publicación en la página web institucional de la Municipalidad.</w:t>
      </w:r>
    </w:p>
    <w:p w:rsidR="00480768" w:rsidRPr="00EE1B12" w:rsidRDefault="00480768" w:rsidP="00480768">
      <w:pPr>
        <w:autoSpaceDE w:val="0"/>
        <w:autoSpaceDN w:val="0"/>
        <w:adjustRightInd w:val="0"/>
        <w:spacing w:after="0" w:line="240" w:lineRule="auto"/>
        <w:rPr>
          <w:rFonts w:ascii="Palatino Linotype" w:hAnsi="Palatino Linotype"/>
          <w:sz w:val="22"/>
          <w:szCs w:val="22"/>
        </w:rPr>
      </w:pPr>
    </w:p>
    <w:p w:rsidR="00131DCE" w:rsidRPr="00EE1B12" w:rsidRDefault="00131DCE" w:rsidP="00131DCE">
      <w:pPr>
        <w:autoSpaceDE w:val="0"/>
        <w:autoSpaceDN w:val="0"/>
        <w:adjustRightInd w:val="0"/>
        <w:rPr>
          <w:rFonts w:ascii="Palatino Linotype" w:hAnsi="Palatino Linotype"/>
          <w:b/>
          <w:sz w:val="22"/>
          <w:szCs w:val="22"/>
        </w:rPr>
      </w:pPr>
      <w:r w:rsidRPr="00EE1B12">
        <w:rPr>
          <w:rFonts w:ascii="Palatino Linotype" w:hAnsi="Palatino Linotype"/>
          <w:b/>
          <w:sz w:val="22"/>
          <w:szCs w:val="22"/>
        </w:rPr>
        <w:t>Dada, en la Sala de Sesiones del Concejo Metropolitano de Quito, el … de … del 2022.</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EE1B12">
        <w:rPr>
          <w:rFonts w:ascii="Palatino Linotype" w:hAnsi="Palatino Linotype" w:cs="Times New Roman"/>
          <w:sz w:val="22"/>
          <w:szCs w:val="22"/>
        </w:rPr>
        <w:t xml:space="preserve">Abg. Pablo Antonio Santillán Paredes </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EE1B12">
        <w:rPr>
          <w:rFonts w:ascii="Palatino Linotype" w:hAnsi="Palatino Linotype" w:cs="Times New Roman"/>
          <w:b/>
          <w:sz w:val="22"/>
          <w:szCs w:val="22"/>
        </w:rPr>
        <w:t>SECRETARIA GENERAL DEL CONCEJO METROPOLITANO DE QUITO</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EE1B12">
        <w:rPr>
          <w:rFonts w:ascii="Palatino Linotype" w:hAnsi="Palatino Linotype" w:cs="Times New Roman"/>
          <w:b/>
          <w:sz w:val="22"/>
          <w:szCs w:val="22"/>
        </w:rPr>
        <w:t>CERTIFICADO DE DISCUSIÓN</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t>El infrascrito Secretario General del Concejo Metropolitano de Quito, certifica que la presente ordenanza fue discutida y aprobada en … debates, en sesiones de .. y … de … de 2022.</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EE1B12">
        <w:rPr>
          <w:rFonts w:ascii="Palatino Linotype" w:hAnsi="Palatino Linotype" w:cs="Times New Roman"/>
          <w:b/>
          <w:sz w:val="22"/>
          <w:szCs w:val="22"/>
        </w:rPr>
        <w:tab/>
      </w:r>
      <w:r w:rsidRPr="00EE1B12">
        <w:rPr>
          <w:rFonts w:ascii="Palatino Linotype" w:hAnsi="Palatino Linotype" w:cs="Times New Roman"/>
          <w:sz w:val="22"/>
          <w:szCs w:val="22"/>
        </w:rPr>
        <w:t xml:space="preserve">Abg. Pablo Antonio Santillán Paredes </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EE1B12">
        <w:rPr>
          <w:rFonts w:ascii="Palatino Linotype" w:hAnsi="Palatino Linotype" w:cs="Times New Roman"/>
          <w:b/>
          <w:sz w:val="22"/>
          <w:szCs w:val="22"/>
        </w:rPr>
        <w:t xml:space="preserve">SECRETARIA GENERAL DEL CONCEJO METROPOLITANO DE QUITO </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t>ALCALDIA DEL DISTRITO METROPOLITANO DE QUITO, .. de… del 2022.</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t xml:space="preserve">      EJECÚTESE</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t xml:space="preserve">            Dr. Santiago Guarderas</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tab/>
      </w:r>
      <w:r w:rsidRPr="00EE1B12">
        <w:rPr>
          <w:rFonts w:ascii="Palatino Linotype" w:hAnsi="Palatino Linotype" w:cs="Times New Roman"/>
          <w:b/>
          <w:sz w:val="22"/>
          <w:szCs w:val="22"/>
        </w:rPr>
        <w:tab/>
        <w:t>ALCALDE DEL DISTRITO EMTROPOLITANO DE QUITO</w:t>
      </w: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rPr>
          <w:rFonts w:ascii="Palatino Linotype" w:hAnsi="Palatino Linotype" w:cs="Times New Roman"/>
          <w:b/>
          <w:sz w:val="22"/>
          <w:szCs w:val="22"/>
        </w:rPr>
      </w:pPr>
      <w:r w:rsidRPr="00EE1B12">
        <w:rPr>
          <w:rFonts w:ascii="Palatino Linotype" w:hAnsi="Palatino Linotype" w:cs="Times New Roman"/>
          <w:b/>
          <w:sz w:val="22"/>
          <w:szCs w:val="22"/>
        </w:rPr>
        <w:lastRenderedPageBreak/>
        <w:t>CERTIFICO, que la presente ordenanza fue sancionada por el Dr. Santiago Guarderas, Alcalde del Distrito Metropolitano de Quito, el … de … de …2022.</w:t>
      </w: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EE1B12"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EE1B12">
        <w:rPr>
          <w:rFonts w:ascii="Palatino Linotype" w:hAnsi="Palatino Linotype" w:cs="Times New Roman"/>
          <w:sz w:val="22"/>
          <w:szCs w:val="22"/>
        </w:rPr>
        <w:t xml:space="preserve">Abg. Pablo Antonio Santillán Paredes </w:t>
      </w:r>
    </w:p>
    <w:p w:rsidR="00131DCE" w:rsidRPr="00EE1B12" w:rsidRDefault="00131DCE" w:rsidP="00131DCE">
      <w:pPr>
        <w:autoSpaceDE w:val="0"/>
        <w:autoSpaceDN w:val="0"/>
        <w:adjustRightInd w:val="0"/>
        <w:spacing w:after="0" w:line="240" w:lineRule="auto"/>
        <w:jc w:val="center"/>
        <w:rPr>
          <w:rFonts w:ascii="Palatino Linotype" w:hAnsi="Palatino Linotype"/>
          <w:b/>
          <w:sz w:val="22"/>
          <w:szCs w:val="22"/>
        </w:rPr>
      </w:pPr>
      <w:r w:rsidRPr="00EE1B12">
        <w:rPr>
          <w:rFonts w:ascii="Palatino Linotype" w:hAnsi="Palatino Linotype" w:cs="Times New Roman"/>
          <w:b/>
          <w:sz w:val="22"/>
          <w:szCs w:val="22"/>
        </w:rPr>
        <w:t xml:space="preserve">SECRETARIA GENERAL DEL CONCEJO METROPOLITANO DE QUITO </w:t>
      </w:r>
    </w:p>
    <w:p w:rsidR="00156A40" w:rsidRPr="00EE1B12" w:rsidRDefault="00156A40" w:rsidP="005F03EF">
      <w:pPr>
        <w:autoSpaceDE w:val="0"/>
        <w:autoSpaceDN w:val="0"/>
        <w:adjustRightInd w:val="0"/>
        <w:spacing w:after="0" w:line="240" w:lineRule="auto"/>
        <w:rPr>
          <w:rFonts w:ascii="Palatino Linotype" w:hAnsi="Palatino Linotype" w:cs="Tahoma"/>
          <w:b/>
          <w:bCs/>
          <w:sz w:val="22"/>
          <w:szCs w:val="22"/>
        </w:rPr>
      </w:pPr>
    </w:p>
    <w:sectPr w:rsidR="00156A40" w:rsidRPr="00EE1B12" w:rsidSect="00581046">
      <w:headerReference w:type="default" r:id="rId6"/>
      <w:footerReference w:type="default" r:id="rId7"/>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CD" w:rsidRDefault="00713ECD" w:rsidP="00A8354A">
      <w:pPr>
        <w:spacing w:after="0" w:line="240" w:lineRule="auto"/>
      </w:pPr>
      <w:r>
        <w:separator/>
      </w:r>
    </w:p>
  </w:endnote>
  <w:endnote w:type="continuationSeparator" w:id="0">
    <w:p w:rsidR="00713ECD" w:rsidRDefault="00713ECD" w:rsidP="00A8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129374"/>
      <w:docPartObj>
        <w:docPartGallery w:val="Page Numbers (Bottom of Page)"/>
        <w:docPartUnique/>
      </w:docPartObj>
    </w:sdtPr>
    <w:sdtEndPr/>
    <w:sdtContent>
      <w:p w:rsidR="00AF571E" w:rsidRDefault="00AF571E">
        <w:pPr>
          <w:pStyle w:val="Piedepgina"/>
          <w:jc w:val="right"/>
        </w:pPr>
        <w:r>
          <w:fldChar w:fldCharType="begin"/>
        </w:r>
        <w:r>
          <w:instrText>PAGE   \* MERGEFORMAT</w:instrText>
        </w:r>
        <w:r>
          <w:fldChar w:fldCharType="separate"/>
        </w:r>
        <w:r w:rsidR="00EE1B12" w:rsidRPr="00EE1B12">
          <w:rPr>
            <w:noProof/>
            <w:lang w:val="es-ES"/>
          </w:rPr>
          <w:t>10</w:t>
        </w:r>
        <w:r>
          <w:fldChar w:fldCharType="end"/>
        </w:r>
      </w:p>
    </w:sdtContent>
  </w:sdt>
  <w:p w:rsidR="00AF571E" w:rsidRDefault="00AF57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CD" w:rsidRDefault="00713ECD" w:rsidP="00A8354A">
      <w:pPr>
        <w:spacing w:after="0" w:line="240" w:lineRule="auto"/>
      </w:pPr>
      <w:r>
        <w:separator/>
      </w:r>
    </w:p>
  </w:footnote>
  <w:footnote w:type="continuationSeparator" w:id="0">
    <w:p w:rsidR="00713ECD" w:rsidRDefault="00713ECD" w:rsidP="00A8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4A" w:rsidRDefault="00A8354A">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15159CD3" wp14:editId="792E0E4F">
          <wp:simplePos x="0" y="0"/>
          <wp:positionH relativeFrom="margin">
            <wp:align>center</wp:align>
          </wp:positionH>
          <wp:positionV relativeFrom="paragraph">
            <wp:posOffset>-380365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p>
  <w:p w:rsidR="00A8354A" w:rsidRDefault="00A8354A">
    <w:pPr>
      <w:pStyle w:val="Encabezado"/>
    </w:pPr>
  </w:p>
  <w:p w:rsidR="00A8354A" w:rsidRDefault="00A8354A">
    <w:pPr>
      <w:pStyle w:val="Encabezado"/>
    </w:pPr>
  </w:p>
  <w:p w:rsidR="00AF571E" w:rsidRDefault="00AF571E">
    <w:pPr>
      <w:pStyle w:val="Encabezado"/>
    </w:pPr>
  </w:p>
  <w:p w:rsidR="00AF571E" w:rsidRPr="0018018F" w:rsidRDefault="00AF571E" w:rsidP="00AF571E">
    <w:pPr>
      <w:pStyle w:val="Ttulo1"/>
      <w:ind w:left="1536"/>
      <w:rPr>
        <w:rFonts w:ascii="Palatino Linotype" w:hAnsi="Palatino Linotype"/>
        <w:b w:val="0"/>
        <w:bCs w:val="0"/>
        <w:color w:val="000000" w:themeColor="text1"/>
        <w:sz w:val="22"/>
        <w:szCs w:val="22"/>
      </w:rPr>
    </w:pP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rsidR="00AF571E" w:rsidRDefault="00AF571E">
    <w:pPr>
      <w:pStyle w:val="Encabezado"/>
    </w:pPr>
  </w:p>
  <w:p w:rsidR="00A8354A" w:rsidRDefault="00A8354A">
    <w:pPr>
      <w:pStyle w:val="Encabezado"/>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EF"/>
    <w:rsid w:val="000A7A15"/>
    <w:rsid w:val="00131DCE"/>
    <w:rsid w:val="00156A40"/>
    <w:rsid w:val="001653AD"/>
    <w:rsid w:val="00247E1B"/>
    <w:rsid w:val="003A541E"/>
    <w:rsid w:val="00472F42"/>
    <w:rsid w:val="00480768"/>
    <w:rsid w:val="00485E1B"/>
    <w:rsid w:val="005A48C0"/>
    <w:rsid w:val="005F03EF"/>
    <w:rsid w:val="005F7673"/>
    <w:rsid w:val="00683418"/>
    <w:rsid w:val="00713ECD"/>
    <w:rsid w:val="007923EA"/>
    <w:rsid w:val="007F5B6D"/>
    <w:rsid w:val="0083457D"/>
    <w:rsid w:val="00861576"/>
    <w:rsid w:val="00904801"/>
    <w:rsid w:val="0098304C"/>
    <w:rsid w:val="00A8354A"/>
    <w:rsid w:val="00AF571E"/>
    <w:rsid w:val="00AF5838"/>
    <w:rsid w:val="00B41FF2"/>
    <w:rsid w:val="00D1158C"/>
    <w:rsid w:val="00EE1B12"/>
    <w:rsid w:val="00FA54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B6F50-3478-4035-9D4C-A464788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EF"/>
    <w:pPr>
      <w:spacing w:after="200" w:line="276" w:lineRule="auto"/>
      <w:jc w:val="both"/>
    </w:pPr>
    <w:rPr>
      <w:sz w:val="20"/>
      <w:szCs w:val="20"/>
    </w:rPr>
  </w:style>
  <w:style w:type="paragraph" w:styleId="Ttulo1">
    <w:name w:val="heading 1"/>
    <w:basedOn w:val="Normal"/>
    <w:link w:val="Ttulo1Car"/>
    <w:uiPriority w:val="1"/>
    <w:qFormat/>
    <w:rsid w:val="00AF571E"/>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923EA"/>
    <w:rPr>
      <w:i/>
      <w:iCs/>
    </w:rPr>
  </w:style>
  <w:style w:type="paragraph" w:styleId="Encabezado">
    <w:name w:val="header"/>
    <w:basedOn w:val="Normal"/>
    <w:link w:val="EncabezadoCar"/>
    <w:uiPriority w:val="99"/>
    <w:unhideWhenUsed/>
    <w:rsid w:val="00A83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54A"/>
    <w:rPr>
      <w:sz w:val="20"/>
      <w:szCs w:val="20"/>
    </w:rPr>
  </w:style>
  <w:style w:type="paragraph" w:styleId="Piedepgina">
    <w:name w:val="footer"/>
    <w:basedOn w:val="Normal"/>
    <w:link w:val="PiedepginaCar"/>
    <w:uiPriority w:val="99"/>
    <w:unhideWhenUsed/>
    <w:rsid w:val="00A83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54A"/>
    <w:rPr>
      <w:sz w:val="20"/>
      <w:szCs w:val="20"/>
    </w:rPr>
  </w:style>
  <w:style w:type="character" w:customStyle="1" w:styleId="Ttulo1Car">
    <w:name w:val="Título 1 Car"/>
    <w:basedOn w:val="Fuentedeprrafopredeter"/>
    <w:link w:val="Ttulo1"/>
    <w:uiPriority w:val="1"/>
    <w:rsid w:val="00AF571E"/>
    <w:rPr>
      <w:rFonts w:ascii="Arial" w:eastAsia="Arial" w:hAnsi="Arial" w:cs="Arial"/>
      <w:b/>
      <w:bCs/>
      <w:sz w:val="24"/>
      <w:szCs w:val="24"/>
      <w:lang w:val="es-ES"/>
    </w:rPr>
  </w:style>
  <w:style w:type="paragraph" w:styleId="Sinespaciado">
    <w:name w:val="No Spacing"/>
    <w:uiPriority w:val="1"/>
    <w:qFormat/>
    <w:rsid w:val="00485E1B"/>
    <w:pPr>
      <w:spacing w:after="0" w:line="24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6909">
      <w:bodyDiv w:val="1"/>
      <w:marLeft w:val="0"/>
      <w:marRight w:val="0"/>
      <w:marTop w:val="0"/>
      <w:marBottom w:val="0"/>
      <w:divBdr>
        <w:top w:val="none" w:sz="0" w:space="0" w:color="auto"/>
        <w:left w:val="none" w:sz="0" w:space="0" w:color="auto"/>
        <w:bottom w:val="none" w:sz="0" w:space="0" w:color="auto"/>
        <w:right w:val="none" w:sz="0" w:space="0" w:color="auto"/>
      </w:divBdr>
      <w:divsChild>
        <w:div w:id="1725526150">
          <w:marLeft w:val="0"/>
          <w:marRight w:val="0"/>
          <w:marTop w:val="0"/>
          <w:marBottom w:val="0"/>
          <w:divBdr>
            <w:top w:val="none" w:sz="0" w:space="0" w:color="auto"/>
            <w:left w:val="none" w:sz="0" w:space="0" w:color="auto"/>
            <w:bottom w:val="none" w:sz="0" w:space="0" w:color="auto"/>
            <w:right w:val="none" w:sz="0" w:space="0" w:color="auto"/>
          </w:divBdr>
        </w:div>
        <w:div w:id="1663653807">
          <w:marLeft w:val="0"/>
          <w:marRight w:val="0"/>
          <w:marTop w:val="0"/>
          <w:marBottom w:val="0"/>
          <w:divBdr>
            <w:top w:val="none" w:sz="0" w:space="0" w:color="auto"/>
            <w:left w:val="none" w:sz="0" w:space="0" w:color="auto"/>
            <w:bottom w:val="none" w:sz="0" w:space="0" w:color="auto"/>
            <w:right w:val="none" w:sz="0" w:space="0" w:color="auto"/>
          </w:divBdr>
        </w:div>
        <w:div w:id="1690177486">
          <w:marLeft w:val="0"/>
          <w:marRight w:val="0"/>
          <w:marTop w:val="0"/>
          <w:marBottom w:val="0"/>
          <w:divBdr>
            <w:top w:val="none" w:sz="0" w:space="0" w:color="auto"/>
            <w:left w:val="none" w:sz="0" w:space="0" w:color="auto"/>
            <w:bottom w:val="none" w:sz="0" w:space="0" w:color="auto"/>
            <w:right w:val="none" w:sz="0" w:space="0" w:color="auto"/>
          </w:divBdr>
        </w:div>
        <w:div w:id="1552156821">
          <w:marLeft w:val="0"/>
          <w:marRight w:val="0"/>
          <w:marTop w:val="0"/>
          <w:marBottom w:val="0"/>
          <w:divBdr>
            <w:top w:val="none" w:sz="0" w:space="0" w:color="auto"/>
            <w:left w:val="none" w:sz="0" w:space="0" w:color="auto"/>
            <w:bottom w:val="none" w:sz="0" w:space="0" w:color="auto"/>
            <w:right w:val="none" w:sz="0" w:space="0" w:color="auto"/>
          </w:divBdr>
        </w:div>
        <w:div w:id="116898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3662</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Marisela Caleno</cp:lastModifiedBy>
  <cp:revision>13</cp:revision>
  <dcterms:created xsi:type="dcterms:W3CDTF">2022-10-27T15:19:00Z</dcterms:created>
  <dcterms:modified xsi:type="dcterms:W3CDTF">2022-11-18T21:03:00Z</dcterms:modified>
</cp:coreProperties>
</file>