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4277" w14:textId="77777777" w:rsidR="007625DB" w:rsidRDefault="007625DB" w:rsidP="007625DB">
      <w:pPr>
        <w:jc w:val="center"/>
        <w:rPr>
          <w:rFonts w:ascii="Didot" w:hAnsi="Didot" w:cs="Didot"/>
          <w:sz w:val="40"/>
          <w:szCs w:val="40"/>
        </w:rPr>
      </w:pPr>
    </w:p>
    <w:p w14:paraId="408B8434" w14:textId="77777777" w:rsidR="007625DB" w:rsidRDefault="007625DB" w:rsidP="007625DB">
      <w:pPr>
        <w:jc w:val="center"/>
        <w:rPr>
          <w:rFonts w:ascii="Didot" w:hAnsi="Didot" w:cs="Didot"/>
          <w:sz w:val="40"/>
          <w:szCs w:val="40"/>
        </w:rPr>
      </w:pPr>
    </w:p>
    <w:p w14:paraId="435BA8D7" w14:textId="77777777" w:rsidR="007625DB" w:rsidRDefault="007625DB" w:rsidP="007625DB">
      <w:pPr>
        <w:jc w:val="center"/>
        <w:rPr>
          <w:rFonts w:ascii="Didot" w:hAnsi="Didot" w:cs="Didot"/>
          <w:sz w:val="40"/>
          <w:szCs w:val="40"/>
        </w:rPr>
      </w:pPr>
    </w:p>
    <w:p w14:paraId="2E6913CD" w14:textId="77777777" w:rsidR="007625DB" w:rsidRDefault="007625DB" w:rsidP="007625DB">
      <w:pPr>
        <w:jc w:val="center"/>
        <w:rPr>
          <w:rFonts w:ascii="Didot" w:hAnsi="Didot" w:cs="Didot"/>
          <w:sz w:val="40"/>
          <w:szCs w:val="40"/>
        </w:rPr>
      </w:pPr>
    </w:p>
    <w:p w14:paraId="10297532" w14:textId="77777777" w:rsidR="007625DB" w:rsidRDefault="007625DB" w:rsidP="007625DB">
      <w:pPr>
        <w:jc w:val="center"/>
        <w:rPr>
          <w:rFonts w:ascii="Didot" w:hAnsi="Didot" w:cs="Didot"/>
          <w:sz w:val="40"/>
          <w:szCs w:val="40"/>
        </w:rPr>
      </w:pPr>
    </w:p>
    <w:p w14:paraId="2181AAD9" w14:textId="77777777" w:rsidR="007625DB" w:rsidRDefault="007625DB" w:rsidP="00FA1E6F">
      <w:pPr>
        <w:rPr>
          <w:rFonts w:ascii="Didot" w:hAnsi="Didot" w:cs="Didot"/>
          <w:sz w:val="40"/>
          <w:szCs w:val="40"/>
        </w:rPr>
      </w:pPr>
    </w:p>
    <w:p w14:paraId="06841CB4" w14:textId="77777777" w:rsidR="007625DB" w:rsidRDefault="007625DB" w:rsidP="007625DB">
      <w:pPr>
        <w:jc w:val="center"/>
        <w:rPr>
          <w:rFonts w:ascii="Didot" w:hAnsi="Didot" w:cs="Didot"/>
          <w:sz w:val="40"/>
          <w:szCs w:val="40"/>
        </w:rPr>
      </w:pPr>
    </w:p>
    <w:p w14:paraId="154DDF03" w14:textId="5A77B8D9" w:rsidR="007625DB" w:rsidRDefault="007625DB" w:rsidP="007625DB">
      <w:pPr>
        <w:jc w:val="center"/>
        <w:rPr>
          <w:rFonts w:ascii="Didot" w:hAnsi="Didot" w:cs="Didot"/>
          <w:sz w:val="40"/>
          <w:szCs w:val="40"/>
        </w:rPr>
      </w:pPr>
      <w:r w:rsidRPr="00E10378">
        <w:rPr>
          <w:rFonts w:ascii="Didot" w:hAnsi="Didot" w:cs="Didot"/>
          <w:sz w:val="40"/>
          <w:szCs w:val="40"/>
        </w:rPr>
        <w:t>P</w:t>
      </w:r>
      <w:r w:rsidR="00FA1E6F">
        <w:rPr>
          <w:rFonts w:ascii="Didot" w:hAnsi="Didot" w:cs="Didot"/>
          <w:sz w:val="40"/>
          <w:szCs w:val="40"/>
        </w:rPr>
        <w:t>royecto de Ordenanza reformatoria a la Ordenanza</w:t>
      </w:r>
      <w:r w:rsidR="004957FC">
        <w:rPr>
          <w:rFonts w:ascii="Didot" w:hAnsi="Didot" w:cs="Didot"/>
          <w:sz w:val="40"/>
          <w:szCs w:val="40"/>
        </w:rPr>
        <w:t xml:space="preserve"> que aprueba la</w:t>
      </w:r>
      <w:r w:rsidR="00FA1E6F">
        <w:rPr>
          <w:rFonts w:ascii="Didot" w:hAnsi="Didot" w:cs="Didot"/>
          <w:sz w:val="40"/>
          <w:szCs w:val="40"/>
        </w:rPr>
        <w:t xml:space="preserve"> </w:t>
      </w:r>
    </w:p>
    <w:p w14:paraId="677143B7" w14:textId="77777777" w:rsidR="00FA1E6F" w:rsidRDefault="00FA1E6F" w:rsidP="007625DB">
      <w:pPr>
        <w:jc w:val="center"/>
        <w:rPr>
          <w:rFonts w:ascii="Didot" w:hAnsi="Didot" w:cs="Didot"/>
          <w:sz w:val="40"/>
          <w:szCs w:val="40"/>
        </w:rPr>
      </w:pPr>
    </w:p>
    <w:p w14:paraId="7F3FA436" w14:textId="3D5AABA5" w:rsidR="00FA1E6F" w:rsidRDefault="004957FC" w:rsidP="00FA1E6F">
      <w:pPr>
        <w:jc w:val="center"/>
        <w:rPr>
          <w:rFonts w:ascii="Didot" w:hAnsi="Didot" w:cs="Didot"/>
          <w:sz w:val="40"/>
          <w:szCs w:val="40"/>
        </w:rPr>
      </w:pPr>
      <w:r>
        <w:rPr>
          <w:rFonts w:ascii="Didot" w:hAnsi="Didot" w:cs="Didot"/>
          <w:sz w:val="40"/>
          <w:szCs w:val="40"/>
        </w:rPr>
        <w:t>URBANIZACIÓN DE INTE</w:t>
      </w:r>
      <w:r w:rsidR="00114D42">
        <w:rPr>
          <w:rFonts w:ascii="Didot" w:hAnsi="Didot" w:cs="Didot"/>
          <w:sz w:val="40"/>
          <w:szCs w:val="40"/>
        </w:rPr>
        <w:t>RÉS SOCIAL</w:t>
      </w:r>
      <w:r>
        <w:rPr>
          <w:rFonts w:ascii="Didot" w:hAnsi="Didot" w:cs="Didot"/>
          <w:sz w:val="40"/>
          <w:szCs w:val="40"/>
        </w:rPr>
        <w:t xml:space="preserve"> PROGRESIVA BELLAVISTA DEL SUR </w:t>
      </w:r>
    </w:p>
    <w:p w14:paraId="478B9890" w14:textId="77777777" w:rsidR="00FA1E6F" w:rsidRDefault="00FA1E6F" w:rsidP="007625DB">
      <w:pPr>
        <w:jc w:val="center"/>
        <w:rPr>
          <w:rFonts w:ascii="Didot" w:hAnsi="Didot" w:cs="Didot"/>
          <w:sz w:val="40"/>
          <w:szCs w:val="40"/>
        </w:rPr>
      </w:pPr>
    </w:p>
    <w:p w14:paraId="5168AA59" w14:textId="77777777" w:rsidR="007625DB" w:rsidRPr="00E10378" w:rsidRDefault="007625DB" w:rsidP="007625DB">
      <w:pPr>
        <w:jc w:val="center"/>
        <w:rPr>
          <w:rFonts w:ascii="Didot" w:hAnsi="Didot" w:cs="Didot"/>
          <w:sz w:val="40"/>
          <w:szCs w:val="40"/>
        </w:rPr>
      </w:pPr>
    </w:p>
    <w:p w14:paraId="375BF099" w14:textId="77777777" w:rsidR="0026580F" w:rsidRDefault="0026580F" w:rsidP="00067F23">
      <w:r>
        <w:rPr>
          <w:sz w:val="24"/>
        </w:rPr>
        <w:br w:type="page"/>
      </w:r>
    </w:p>
    <w:p w14:paraId="5D29F65F" w14:textId="308C3374" w:rsidR="009D4CBB" w:rsidRPr="00D4047D" w:rsidRDefault="00D4047D" w:rsidP="00D4047D">
      <w:pPr>
        <w:jc w:val="center"/>
        <w:rPr>
          <w:b/>
          <w:bCs/>
        </w:rPr>
      </w:pPr>
      <w:r w:rsidRPr="00D4047D">
        <w:rPr>
          <w:b/>
          <w:bCs/>
        </w:rPr>
        <w:lastRenderedPageBreak/>
        <w:t>EXPOSICIÓN DE MOTIVOS</w:t>
      </w:r>
    </w:p>
    <w:p w14:paraId="30C78152" w14:textId="77777777" w:rsidR="00D4047D" w:rsidRDefault="00D4047D" w:rsidP="00D4047D">
      <w:pPr>
        <w:pStyle w:val="Prrafodelista"/>
        <w:numPr>
          <w:ilvl w:val="0"/>
          <w:numId w:val="0"/>
        </w:numPr>
        <w:spacing w:after="0"/>
        <w:ind w:left="720"/>
        <w:rPr>
          <w:b/>
          <w:bCs/>
        </w:rPr>
      </w:pPr>
    </w:p>
    <w:p w14:paraId="25C2AB36" w14:textId="0D2F431C" w:rsidR="00D4047D" w:rsidRDefault="00D4047D" w:rsidP="00D4047D">
      <w:r>
        <w:t>La Urbanización de Interés Social Progresivo Bellavista del Sur (la «Urbanización») fue aprobada mediante Ordenanza 3446, sancionada el 27 de marzo del 2003. Esta Ordenanza fue reformada mediante Ordenanza 3690, de 23 de julio del 2007, Ordenanza 199, de 23 de marzo de 2012, Ordenanza 011, de 4 de septiembre de 2014, y Ordenanza 0274, de 13 de diciembre del 2018.</w:t>
      </w:r>
    </w:p>
    <w:p w14:paraId="692E3CDF" w14:textId="4CAE236A" w:rsidR="00D4047D" w:rsidRDefault="00D4047D" w:rsidP="00D4047D">
      <w:r w:rsidRPr="00D4047D">
        <w:t>La Urbanización de Interés Social Progresivo Bellavista del Sur, ubicada en el sur de la ciudad de Quito, en la Av. Simón Bolívar y Camino de El Inca, se desarrolla en un área de 180.000 m2, consta de 1.171 predios con un área promedio de 72m2, áreas de vías y áreas verdes.</w:t>
      </w:r>
    </w:p>
    <w:p w14:paraId="1CC60F31" w14:textId="42877AE1" w:rsidR="002C218B" w:rsidRDefault="00D4047D" w:rsidP="00D4047D">
      <w:r>
        <w:t xml:space="preserve">Con la </w:t>
      </w:r>
      <w:r>
        <w:t xml:space="preserve">reformada </w:t>
      </w:r>
      <w:r>
        <w:t xml:space="preserve">efectuada </w:t>
      </w:r>
      <w:r>
        <w:t>mediante Ordenanza núm. 3690, de 23 de julio de 2007</w:t>
      </w:r>
      <w:r>
        <w:t>,</w:t>
      </w:r>
      <w:r>
        <w:t xml:space="preserve"> se determinó responsable a cargo de las tareas de urbanización de la </w:t>
      </w:r>
      <w:r w:rsidRPr="00D4047D">
        <w:rPr>
          <w:bCs/>
        </w:rPr>
        <w:t>segunda etapa</w:t>
      </w:r>
      <w:r>
        <w:t xml:space="preserve"> de la Urbanización</w:t>
      </w:r>
      <w:r>
        <w:t xml:space="preserve"> al Fideicomiso Mercantil de Tenencia Bellavista del Sur</w:t>
      </w:r>
      <w:r w:rsidR="002C218B">
        <w:t xml:space="preserve"> (el «Fideicomiso»)</w:t>
      </w:r>
      <w:r>
        <w:t>, representado por su administrador Fiduciario, la compañía Enlace Negocios Fiduciarios S.A. Administradora de Fondos y Fideicomisos, quien a su vez es representada por su apoderada especial Lourdes Alcívar García.</w:t>
      </w:r>
      <w:r>
        <w:t xml:space="preserve"> </w:t>
      </w:r>
    </w:p>
    <w:p w14:paraId="76966FAC" w14:textId="6B91E0EC" w:rsidR="00D4047D" w:rsidRDefault="00D4047D" w:rsidP="00D4047D">
      <w:r>
        <w:t xml:space="preserve">BMV Inmobiliaria S.A. </w:t>
      </w:r>
      <w:r w:rsidR="002C218B">
        <w:t>(la «Promotora»)</w:t>
      </w:r>
      <w:r w:rsidR="002C218B">
        <w:t xml:space="preserve"> </w:t>
      </w:r>
      <w:r>
        <w:t xml:space="preserve">es </w:t>
      </w:r>
      <w:r>
        <w:t xml:space="preserve">actualmente </w:t>
      </w:r>
      <w:r>
        <w:t>la empresa constructora de la Urbanización y el Proyecto</w:t>
      </w:r>
      <w:r w:rsidR="002C218B">
        <w:t xml:space="preserve"> (como más adelante se define)</w:t>
      </w:r>
      <w:r>
        <w:t xml:space="preserve"> a partir de 2011, esto es, luego </w:t>
      </w:r>
      <w:r w:rsidR="002C218B">
        <w:t>de que la empresa URBELSUR CIA. LTDA. cedió sus derechos fiduciarios en el Fideicomiso.</w:t>
      </w:r>
      <w:r>
        <w:t xml:space="preserve"> </w:t>
      </w:r>
      <w:r w:rsidR="002C218B">
        <w:t>La empresa URBELSUR CIA. LTDA. mantuvo su responsabilidad respecto de las obras de la primera etapa y del 25 % de las obras de equipamiento, comunales y recreativas.</w:t>
      </w:r>
    </w:p>
    <w:p w14:paraId="76D0AC80" w14:textId="7DE6FF94" w:rsidR="00D4047D" w:rsidRDefault="002C218B" w:rsidP="00D4047D">
      <w:r>
        <w:t xml:space="preserve">Desde </w:t>
      </w:r>
      <w:r w:rsidR="00D4047D">
        <w:t xml:space="preserve">el año 2011, </w:t>
      </w:r>
      <w:r w:rsidR="00D4047D">
        <w:t>el desarrollo de la</w:t>
      </w:r>
      <w:r w:rsidR="00D4047D">
        <w:t xml:space="preserve"> Urbanización, </w:t>
      </w:r>
      <w:r>
        <w:t xml:space="preserve">con autorizaciones </w:t>
      </w:r>
      <w:r w:rsidR="00D4047D">
        <w:t>destinad</w:t>
      </w:r>
      <w:r w:rsidR="00D4047D">
        <w:t>as</w:t>
      </w:r>
      <w:r w:rsidR="00D4047D">
        <w:t xml:space="preserve"> únicamente a habilitar el suelo en lotes de 72 m2 para su comercialización en el mercado</w:t>
      </w:r>
      <w:r w:rsidR="00D4047D">
        <w:t xml:space="preserve"> (predio con servicios)</w:t>
      </w:r>
      <w:r w:rsidR="00D4047D">
        <w:t>, por iniciativa de la Promotora, se orient</w:t>
      </w:r>
      <w:r>
        <w:t>ó</w:t>
      </w:r>
      <w:r w:rsidR="00D4047D">
        <w:t xml:space="preserve"> hacia </w:t>
      </w:r>
      <w:r w:rsidR="00D4047D">
        <w:t>la edificación de</w:t>
      </w:r>
      <w:r w:rsidR="00D4047D">
        <w:t xml:space="preserve"> vivienda</w:t>
      </w:r>
      <w:r w:rsidR="00D4047D">
        <w:t>s</w:t>
      </w:r>
      <w:r w:rsidR="00D4047D">
        <w:t xml:space="preserve"> de interés social para atender el déficit habitacional del segmento, y como respuesta del sector privado a las políticas públicas promovidas por la Municipalidad</w:t>
      </w:r>
      <w:r w:rsidR="00D4047D">
        <w:t>.</w:t>
      </w:r>
      <w:r w:rsidR="00246812">
        <w:t xml:space="preserve"> E</w:t>
      </w:r>
      <w:r w:rsidR="00246812">
        <w:t xml:space="preserve">l proyecto inmobiliario «Divino Niño» consiste en la construcción de </w:t>
      </w:r>
      <w:r>
        <w:t>varias</w:t>
      </w:r>
      <w:r w:rsidR="00246812">
        <w:t xml:space="preserve"> edificaci</w:t>
      </w:r>
      <w:r>
        <w:t>ones</w:t>
      </w:r>
      <w:r w:rsidR="00246812">
        <w:t xml:space="preserve"> de seis unidades habitacionales (Edificación Tipo C) sujeta</w:t>
      </w:r>
      <w:r>
        <w:t>s</w:t>
      </w:r>
      <w:r w:rsidR="00246812">
        <w:t xml:space="preserve"> a</w:t>
      </w:r>
      <w:r>
        <w:t>l</w:t>
      </w:r>
      <w:r w:rsidR="00246812">
        <w:t xml:space="preserve"> régimen de propiedad horizontal sobre los predios de la Urbanización unificados en pares, bajo un modelo constructivo estandarizado (el «Proyecto»).</w:t>
      </w:r>
    </w:p>
    <w:p w14:paraId="5C462EEE" w14:textId="5B87DED9" w:rsidR="00D4047D" w:rsidRDefault="00D4047D" w:rsidP="00D4047D">
      <w:r>
        <w:t>En razón de estas características</w:t>
      </w:r>
      <w:r>
        <w:t xml:space="preserve"> del Proyecto</w:t>
      </w:r>
      <w:r>
        <w:t xml:space="preserve">, la Municipalidad requirió </w:t>
      </w:r>
      <w:r>
        <w:t xml:space="preserve">la participación del </w:t>
      </w:r>
      <w:proofErr w:type="spellStart"/>
      <w:r>
        <w:t>Promotor</w:t>
      </w:r>
      <w:r>
        <w:t xml:space="preserve"> en el </w:t>
      </w:r>
      <w:proofErr w:type="spellEnd"/>
      <w:r>
        <w:t xml:space="preserve">procedimiento estandarizado que se encontraba impulsando y estaba ya regulado en el artículo </w:t>
      </w:r>
      <w:proofErr w:type="spellStart"/>
      <w:r>
        <w:t>innumerado</w:t>
      </w:r>
      <w:proofErr w:type="spellEnd"/>
      <w:r>
        <w:t xml:space="preserve"> 83 bis, de «Unificación de procedimientos y actos administrativos», de la Ordenanza Metropolitana 156, sancionada el 16 de diciembre de 2011, para desahogar la carga administrativa en la producción de autorizaciones y registro catastral que se debía generar para la ejecución de proyectos con la envergadura del que hacemos referencia. </w:t>
      </w:r>
    </w:p>
    <w:p w14:paraId="51ED3C7F" w14:textId="32AC8398" w:rsidR="00D4047D" w:rsidRDefault="00D4047D" w:rsidP="00D4047D">
      <w:r>
        <w:t xml:space="preserve">Con esta línea de base y considerando la homogeneidad del tipo de edificación a ser implantada en </w:t>
      </w:r>
      <w:r w:rsidR="002C218B">
        <w:t xml:space="preserve">la mayor parte de los </w:t>
      </w:r>
      <w:r>
        <w:t>terrenos unificados</w:t>
      </w:r>
      <w:r w:rsidR="002C218B">
        <w:t xml:space="preserve"> de la Urbanización</w:t>
      </w:r>
      <w:r>
        <w:t>, generalmente</w:t>
      </w:r>
      <w:r>
        <w:t xml:space="preserve"> de 144 m2</w:t>
      </w:r>
      <w:r w:rsidR="002C218B">
        <w:t>,</w:t>
      </w:r>
      <w:r>
        <w:t xml:space="preserve"> la Municipalidad procedió de acuerdo con el referido artículo </w:t>
      </w:r>
      <w:proofErr w:type="spellStart"/>
      <w:r>
        <w:t>innumerado</w:t>
      </w:r>
      <w:proofErr w:type="spellEnd"/>
      <w:r>
        <w:t xml:space="preserve"> 83 bis de la Ordenanza 156. </w:t>
      </w:r>
      <w:r>
        <w:t xml:space="preserve">En </w:t>
      </w:r>
      <w:r>
        <w:t>el trámite HC-2012-032088 por el procedimiento especial regulado en la Ordenanza 156, la Secretaría de Territorio, Hábitat y Vivienda expidió la Resolución No. PEE-A83-001-2012, de 26 de junio de 2012 (la «Resolución de 2012»), e informe técnico No. 2012-767019-0001-H.C.</w:t>
      </w:r>
    </w:p>
    <w:p w14:paraId="609FAC26" w14:textId="09FFF46C" w:rsidR="00D4047D" w:rsidRDefault="00D4047D" w:rsidP="00D4047D">
      <w:r>
        <w:t>De conformidad con la Resolución de 2012, el Director Metropolitano de Gestión el Territorio y Espacio Público resolvió</w:t>
      </w:r>
      <w:r>
        <w:t xml:space="preserve"> r</w:t>
      </w:r>
      <w:r>
        <w:t>egistrar y aprobar los planos del proyecto arquitectónico de la Edificación Tipo C del Proyecto Inmobiliario “Divino Niño a ser construida en los predios correspondientes a la Urbanización de Interés Social Progresivo Bellavista del Sur;</w:t>
      </w:r>
      <w:r>
        <w:t xml:space="preserve"> y,</w:t>
      </w:r>
      <w:r>
        <w:t xml:space="preserve">  otorgar la Licencia de Construcción y aprobar la declaratoria de propiedad horizontal, según el detalle y mecanismo regulado en la mencionada Resolución.</w:t>
      </w:r>
    </w:p>
    <w:p w14:paraId="679CC5ED" w14:textId="4A199A59" w:rsidR="00D4047D" w:rsidRDefault="00D4047D" w:rsidP="00D4047D">
      <w:r>
        <w:t>Así mismo, de acuerdo con la Resolución de 2012, la ejecución de aquello dispuesto en el referido acto administrativo fue encomendado a órganos de la misma Secretaría y se señaló que desde la fecha en que se activen los nuevos procedimientos administrativos para la emisión de las licencias metropolitanas reguladas en la Ordenanza 156, dichos órganos administrativos empezarían a producir los certificados de conformidad y los actos de autorización individuales destinados a terceros vinculados con los actos formales para los trámites de declaración de propiedad horizontal e inscripción.</w:t>
      </w:r>
      <w:r>
        <w:t xml:space="preserve"> </w:t>
      </w:r>
      <w:r>
        <w:t xml:space="preserve">Con fundamento en esta Resolución de 2012, la Secretaría ejecutó ordinariamente el acto administrativo para dos grupos de lotes de la Urbanización: el primero establecido en la misma Resolución de 2012 y, luego, a través del procedimiento regulado en el acto administrativo para las extensiones requeridas para el desarrollo del Proyecto.          </w:t>
      </w:r>
    </w:p>
    <w:p w14:paraId="3F7C57CE" w14:textId="57D2476F" w:rsidR="00D4047D" w:rsidRDefault="00D4047D" w:rsidP="00D4047D">
      <w:r>
        <w:t xml:space="preserve">Posteriormente, </w:t>
      </w:r>
      <w:r>
        <w:t>la Municipalidad del Distrito Metropolitano de Quito, a través de la Agencia Metropolitana de Control, el 13 de agosto de 2012 acreditó al Colegio de Arquitectos del Ecuador, provincia de Pichincha, el servicio de emitir certificados de conformidad de la verificación del cumplimiento de normas administrativas y reglas técnicas para los procedimientos de habitación de suelo y de edificación, previo a que las instancias municipales competentes otorguen las licencias metropolitanas urbanísticas  LUM-10 y LMU-20.</w:t>
      </w:r>
    </w:p>
    <w:p w14:paraId="02990387" w14:textId="03706882" w:rsidR="00D4047D" w:rsidRDefault="00D4047D" w:rsidP="00D4047D">
      <w:r>
        <w:t>El 7 de noviembre de 2012, el Supervisor de la Agencia Metropolitana de Control emitió la Resolución No. 0116 con la cual habilitó administrativamente a la Entidad Colaboradora ECP-CAEP conformada por el Colegio de Arquitectos del Ecuador, Provincia de Pichincha, de acuerdo con la Ordenanza 308, sobre licenciamiento metropolitano.</w:t>
      </w:r>
      <w:r>
        <w:t xml:space="preserve"> </w:t>
      </w:r>
      <w:r>
        <w:t>A partir del 10 de octubre de 2013, la Entidad Colaboradora ECP-CAE inició el servicio acreditado con lo cual, la Municipalidad del Distrito Metropolitano de Quito, implementó de manera general el nuevo procedimiento de emisión de licencias metropolitanas urbanísticas LMU 10 y LMU 20.</w:t>
      </w:r>
    </w:p>
    <w:p w14:paraId="40B12355" w14:textId="36AD3127" w:rsidR="00D4047D" w:rsidRDefault="00D4047D" w:rsidP="00D4047D">
      <w:r>
        <w:t>M</w:t>
      </w:r>
      <w:r>
        <w:t>ediante oficio No.  STHV-DMGT 02011, de 7 de mayo de 2015, la Secretaría de Territorio, Hábitat y Vivienda estableció que la Entidad Colaboradora ECP-CAE, en aplicación de la Resolución de 2012 procederá a emitir los certificados de conformidad de: planos arquitectónicos, de planos de ingenierías, declaratorias bajo el régimen de propiedad horizontal. En este mismo documento se extendió el régimen de la Resolución de 2012 a todos los predios del Proyecto, diferenciando fases y manzanas, señalando el un número de predios.</w:t>
      </w:r>
      <w:r>
        <w:t xml:space="preserve"> </w:t>
      </w:r>
      <w:r>
        <w:t xml:space="preserve">Con mayor precisión, en el mismo oficio No.  STHV-DMGT 02011 de 7 de mayo de 2015, se indica que:  «[…] la Edificación tipo C del Proyecto Inmobiliario Divino Niño tiene varias fases; es decir es una edificación estandarizada,  por lo que deberá emitirse los certificados de conformidad y cobrarse la tarifa correspondiente por una sola vez, debiendo manifestar que los mencionados certificados de conformidad emitidos deberán reflejarse o incorporarse en cada uno de los lotes que son parte del proyecto inmobiliario en el sistema de la Entidad Colaboradora, de acuerdo a lo dispuesto en la Resolución No. PEE-A083-001-2012 de 26 de junio de 2012, previa la obtención de las Licencias Metropolitanas Urbanísticas que otorgan las instancias municipales pertinentes». </w:t>
      </w:r>
    </w:p>
    <w:p w14:paraId="66A54E2A" w14:textId="745E3AAC" w:rsidR="00D4047D" w:rsidRDefault="00D4047D" w:rsidP="00D4047D">
      <w:r>
        <w:t xml:space="preserve">Mediante oficio No. STHV-DMGT-3115 de junio 2017, (Ref. GDOC-2017-082597), la Secretaría de Territorio, Hábitat y Vivienda informó a la Administración Zonal de </w:t>
      </w:r>
      <w:proofErr w:type="spellStart"/>
      <w:r>
        <w:t>Quitumbe</w:t>
      </w:r>
      <w:proofErr w:type="spellEnd"/>
      <w:r>
        <w:t>, que: «Tomando en consideración de que la Entidad Colaboradora emitió los respectivos certificados de conformidad arquitectónicos, estructurales e ingenierías le corresponde a la Administración a su cargo, proceder con la emisión de la Licencia Metropolitana Urbanística LMU 20, de manera individual y consecuentemente la declaratoria bajo el régimen de propiedad horizontal de las unidades constructivas implantadas en cada uno de los lotes involucrados».</w:t>
      </w:r>
    </w:p>
    <w:p w14:paraId="3E91617C" w14:textId="6DE08466" w:rsidR="00D4047D" w:rsidRDefault="00D4047D" w:rsidP="00D4047D">
      <w:r>
        <w:t xml:space="preserve">En otro orden de cuestiones, dado que el desarrollo de las obras de la Urbanización (pura habilitación del suelo), en razón de la Resolución de 2012, ahora debía realizarse conforme al avance del Proyecto de vivienda de interés social, </w:t>
      </w:r>
      <w:r>
        <w:t xml:space="preserve">en </w:t>
      </w:r>
      <w:r>
        <w:t>el año 2013</w:t>
      </w:r>
      <w:r>
        <w:t xml:space="preserve"> el Promotor solicitó</w:t>
      </w:r>
      <w:r>
        <w:t xml:space="preserve"> a la Municipalidad el análisis técnico para incorporar en las ordenanzas de la Urbanización las variaciones que las circunstancias</w:t>
      </w:r>
      <w:r>
        <w:t xml:space="preserve"> de desarrollo conjunto de la Urbanización y el Proyecto</w:t>
      </w:r>
      <w:r>
        <w:t xml:space="preserve"> exigían</w:t>
      </w:r>
      <w:r>
        <w:t xml:space="preserve">, considerando las autorizaciones administrativas </w:t>
      </w:r>
      <w:r w:rsidR="00246812">
        <w:t xml:space="preserve">ya </w:t>
      </w:r>
      <w:r>
        <w:t>otorgadas</w:t>
      </w:r>
      <w:r w:rsidR="00246812">
        <w:t xml:space="preserve"> y los ajustes en el diseño vertical de la Urbanización que no había sido considerado en la </w:t>
      </w:r>
      <w:r w:rsidR="00246812">
        <w:t>Ordenanza 3446, sancionada el 27 de marzo del 2003</w:t>
      </w:r>
      <w:r w:rsidR="00246812">
        <w:t xml:space="preserve"> y sus posteriores reformas</w:t>
      </w:r>
      <w:r>
        <w:t xml:space="preserve">. </w:t>
      </w:r>
      <w:r>
        <w:t>En concreto</w:t>
      </w:r>
      <w:r w:rsidR="003A7B0D">
        <w:t>, se solicitó la modificación del responsable a cargo de la Urbanización de modo que conste la persona jurídica que efectivamente ha desarrollado las obras de urbanización y las construcciones de las viviendas de interés social; la modificación del diseño vertical de modo que se haga constar la realidad topográfica del predio en el que se desarrollan las obras; la ampliación del plazo en razón del desarrollo conjunto de la Urbanización y el Proyecto; y las correcciones de errores de hecho en la identificación de linderos de los predios planificados en la Urbanización.</w:t>
      </w:r>
    </w:p>
    <w:p w14:paraId="5944286D" w14:textId="25636AD5" w:rsidR="002C218B" w:rsidRDefault="002C218B" w:rsidP="00D4047D">
      <w:r>
        <w:t xml:space="preserve">Del mismo modo, con el propósito de continuar con el avance del Proyecto, el Fideicomiso solicitó la sustitución de las garantías reales previstas en la </w:t>
      </w:r>
      <w:r>
        <w:t>Ordenanza 3446, sancionada el 27 de marzo del 2003</w:t>
      </w:r>
      <w:r>
        <w:t xml:space="preserve"> y la</w:t>
      </w:r>
      <w:r>
        <w:t xml:space="preserve"> Ordenanza 3690, de 23 de julio del 2007</w:t>
      </w:r>
      <w:r>
        <w:t xml:space="preserve">, por una póliza de seguros que cubra las obras faltantes en la Urbanización. </w:t>
      </w:r>
    </w:p>
    <w:p w14:paraId="7206220D" w14:textId="54841572" w:rsidR="002C218B" w:rsidRDefault="002C218B" w:rsidP="00D4047D">
      <w:r>
        <w:t xml:space="preserve">De acuerdo con el Memorando No. AZQ-DGT-UOP-2018-0515, de 19 de julio de 2018, del Jefe de la Unidad de Obras Públicas, consta que las obras desarrolladas en la Urbanización de Interés Social Progresivo Bellavista del Sur, a cargo del Fideicomiso Mercantil de Tenencia Bellavista del Sur, fue </w:t>
      </w:r>
      <w:r>
        <w:t xml:space="preserve">en aquel entonces, </w:t>
      </w:r>
      <w:r>
        <w:t>del 88,04 %.</w:t>
      </w:r>
    </w:p>
    <w:p w14:paraId="6FF6EF08" w14:textId="68C9776E" w:rsidR="002C218B" w:rsidRDefault="002C218B" w:rsidP="00D4047D">
      <w:r>
        <w:t xml:space="preserve">Mediante </w:t>
      </w:r>
      <w:r>
        <w:t>Ordenanza 0274, de 13 de diciembre del 2018</w:t>
      </w:r>
      <w:r>
        <w:t>, se atendió parcialmente la solicitud y, en tal instrumento se dispuso sustituir el artículo 5 de la Ordenanza 3446, de 27 de marzo de 2003 para la sustitución del tipo de garantía otorgada; modificar el plazo de conclusión de las obras de Urbanización; y, atribuir la responsabilidad en el desarrollo de las obras de urbanización de modo conjunto a la compañía BMV Inmobiliaria S.A. y al Fideicomiso Bellavista del Sur.</w:t>
      </w:r>
    </w:p>
    <w:p w14:paraId="0C5C0CDE" w14:textId="6F3BAF94" w:rsidR="00D4047D" w:rsidRDefault="002C218B" w:rsidP="002C218B">
      <w:r>
        <w:t xml:space="preserve">En este contexto, resulta relevante, con el propósito de que puedan ser concluidas las obras de urbanización especialmente en materia de los espacios públicos, atender los aspectos técnicos del diseño vertical y sus efectos en la Urbanización, de acuerdo con la realidad topográfica del lugar. En este mismo sentido, se requiere ajustar los documentos técnicos agregados a la </w:t>
      </w:r>
      <w:r>
        <w:t>Ordenanza 3446, de 27 de marzo de 2003</w:t>
      </w:r>
      <w:r>
        <w:t xml:space="preserve">, de modo que se reflejen las autorizaciones administrativas ya otorgadas en relación con el Proyecto y los ajustes técnicos requeridos para la conclusión de obras. Como consecuencia de ello, es necesario establecer el plazo residual para la conclusión de obras inconclusas en razón de los impedimentos técnicos derivados de la topografía del terreno. </w:t>
      </w:r>
    </w:p>
    <w:p w14:paraId="6DE67C91" w14:textId="5FCBAEAF" w:rsidR="002C218B" w:rsidRDefault="002C218B">
      <w:pPr>
        <w:spacing w:after="0"/>
      </w:pPr>
      <w:r>
        <w:br w:type="page"/>
      </w:r>
    </w:p>
    <w:p w14:paraId="23F95B66" w14:textId="77777777" w:rsidR="00D4047D" w:rsidRDefault="00D4047D" w:rsidP="00EA484A"/>
    <w:p w14:paraId="2DDD7DB8" w14:textId="77777777" w:rsidR="00C73B12" w:rsidRDefault="00FA1E6F" w:rsidP="00B22DEA">
      <w:pPr>
        <w:pStyle w:val="Ttulo1"/>
      </w:pPr>
      <w:r>
        <w:t>Ordenanza No. […]</w:t>
      </w:r>
    </w:p>
    <w:p w14:paraId="252CC234" w14:textId="77777777" w:rsidR="00FA1E6F" w:rsidRPr="00B22DEA" w:rsidRDefault="00FA1E6F" w:rsidP="00B22DEA">
      <w:pPr>
        <w:pStyle w:val="Ttulo3"/>
      </w:pPr>
      <w:r w:rsidRPr="00B22DEA">
        <w:t>El Concejo Metropolitano de Quito</w:t>
      </w:r>
    </w:p>
    <w:p w14:paraId="41230DDF" w14:textId="77777777" w:rsidR="00B22DEA" w:rsidRPr="00B22DEA" w:rsidRDefault="00B22DEA" w:rsidP="00B22DEA"/>
    <w:p w14:paraId="78D7FAB3" w14:textId="77777777" w:rsidR="00FA1E6F" w:rsidRDefault="00FA1E6F" w:rsidP="00C73B12">
      <w:r>
        <w:t>Vistos, los informes […] de la Comisión de Uso de Suelo.</w:t>
      </w:r>
    </w:p>
    <w:p w14:paraId="10B9AB4D" w14:textId="77777777" w:rsidR="00FA1E6F" w:rsidRPr="00B22DEA" w:rsidRDefault="00FA1E6F" w:rsidP="00B22DEA">
      <w:pPr>
        <w:jc w:val="center"/>
        <w:rPr>
          <w:smallCaps/>
          <w:szCs w:val="25"/>
        </w:rPr>
      </w:pPr>
      <w:r w:rsidRPr="00B22DEA">
        <w:rPr>
          <w:smallCaps/>
          <w:szCs w:val="25"/>
        </w:rPr>
        <w:t>Considerando</w:t>
      </w:r>
    </w:p>
    <w:p w14:paraId="5A181DCC" w14:textId="4F25B210" w:rsidR="002C218B" w:rsidRDefault="001E2F0F" w:rsidP="002C218B">
      <w:pPr>
        <w:ind w:left="700" w:hanging="700"/>
      </w:pPr>
      <w:r>
        <w:t>Que,</w:t>
      </w:r>
      <w:r>
        <w:tab/>
      </w:r>
      <w:r w:rsidR="002C218B">
        <w:t xml:space="preserve">el </w:t>
      </w:r>
      <w:proofErr w:type="spellStart"/>
      <w:r w:rsidR="002C218B">
        <w:t>artículo</w:t>
      </w:r>
      <w:proofErr w:type="spellEnd"/>
      <w:r w:rsidR="002C218B">
        <w:t xml:space="preserve"> 240 de la </w:t>
      </w:r>
      <w:proofErr w:type="spellStart"/>
      <w:r w:rsidR="002C218B">
        <w:t>Constitución</w:t>
      </w:r>
      <w:proofErr w:type="spellEnd"/>
      <w:r w:rsidR="002C218B">
        <w:t xml:space="preserve"> de la </w:t>
      </w:r>
      <w:proofErr w:type="spellStart"/>
      <w:r w:rsidR="002C218B">
        <w:t>República</w:t>
      </w:r>
      <w:proofErr w:type="spellEnd"/>
      <w:r w:rsidR="002C218B">
        <w:t xml:space="preserve"> del Ecuador establece que: </w:t>
      </w:r>
      <w:r w:rsidR="002C218B">
        <w:t>«</w:t>
      </w:r>
      <w:r w:rsidR="002C218B">
        <w:t>Los</w:t>
      </w:r>
      <w:r w:rsidR="002C218B">
        <w:t xml:space="preserve"> </w:t>
      </w:r>
      <w:r w:rsidR="002C218B">
        <w:t xml:space="preserve">gobiernos </w:t>
      </w:r>
      <w:proofErr w:type="spellStart"/>
      <w:r w:rsidR="002C218B">
        <w:t>autónomos</w:t>
      </w:r>
      <w:proofErr w:type="spellEnd"/>
      <w:r w:rsidR="002C218B">
        <w:t xml:space="preserve"> descentralizados de las regiones, distritos metropolitanos, provincias y cantones </w:t>
      </w:r>
      <w:proofErr w:type="spellStart"/>
      <w:r w:rsidR="002C218B">
        <w:t>tendrán</w:t>
      </w:r>
      <w:proofErr w:type="spellEnd"/>
      <w:r w:rsidR="002C218B">
        <w:t xml:space="preserve"> facultades legislativas en el </w:t>
      </w:r>
      <w:proofErr w:type="spellStart"/>
      <w:r w:rsidR="002C218B">
        <w:t>ámbito</w:t>
      </w:r>
      <w:proofErr w:type="spellEnd"/>
      <w:r w:rsidR="002C218B">
        <w:t xml:space="preserve"> de sus competencias y jurisdicciones territoriales</w:t>
      </w:r>
      <w:r w:rsidR="002C218B">
        <w:t xml:space="preserve"> […]».</w:t>
      </w:r>
    </w:p>
    <w:p w14:paraId="6A3BEE5A" w14:textId="7F09794F" w:rsidR="002C218B" w:rsidRDefault="002C218B" w:rsidP="002C218B">
      <w:pPr>
        <w:ind w:left="700" w:hanging="700"/>
      </w:pPr>
      <w:r>
        <w:t xml:space="preserve">Que, </w:t>
      </w:r>
      <w:r>
        <w:tab/>
      </w:r>
      <w:r>
        <w:t xml:space="preserve">el numeral 1 del </w:t>
      </w:r>
      <w:proofErr w:type="spellStart"/>
      <w:r>
        <w:t>artículo</w:t>
      </w:r>
      <w:proofErr w:type="spellEnd"/>
      <w:r>
        <w:t xml:space="preserve"> 264 </w:t>
      </w:r>
      <w:r w:rsidRPr="002C218B">
        <w:rPr>
          <w:i/>
          <w:iCs/>
        </w:rPr>
        <w:t>ibidem</w:t>
      </w:r>
      <w:r>
        <w:rPr>
          <w:i/>
          <w:iCs/>
        </w:rPr>
        <w:t>,</w:t>
      </w:r>
      <w:r>
        <w:t xml:space="preserve"> dentro de las competencias exclusivas de los gobiernos municipales, establece la de planificar el desarrollo cantonal y formular los correspondientes planes de ordenamiento territorial, de manera articulada con la </w:t>
      </w:r>
      <w:proofErr w:type="spellStart"/>
      <w:r>
        <w:t>planificación</w:t>
      </w:r>
      <w:proofErr w:type="spellEnd"/>
      <w:r>
        <w:t xml:space="preserve"> nacional, regional, provincial y parroquial, con el fin de regular el uso y la </w:t>
      </w:r>
      <w:proofErr w:type="spellStart"/>
      <w:r>
        <w:t>ocupación</w:t>
      </w:r>
      <w:proofErr w:type="spellEnd"/>
      <w:r>
        <w:t xml:space="preserve"> del suelo urbano y rural</w:t>
      </w:r>
      <w:r>
        <w:t>.</w:t>
      </w:r>
    </w:p>
    <w:p w14:paraId="1AD7E04B" w14:textId="3BDD355D" w:rsidR="002C218B" w:rsidRDefault="002C218B" w:rsidP="002C218B">
      <w:pPr>
        <w:ind w:left="700" w:hanging="700"/>
      </w:pPr>
      <w:r>
        <w:t xml:space="preserve">Que, </w:t>
      </w:r>
      <w:r>
        <w:tab/>
      </w:r>
      <w:r>
        <w:t xml:space="preserve">el literal c) del </w:t>
      </w:r>
      <w:proofErr w:type="spellStart"/>
      <w:r>
        <w:t>artículo</w:t>
      </w:r>
      <w:proofErr w:type="spellEnd"/>
      <w:r>
        <w:t xml:space="preserve"> 54, en concordancia con el literal c) del </w:t>
      </w:r>
      <w:proofErr w:type="spellStart"/>
      <w:r>
        <w:t>artículo</w:t>
      </w:r>
      <w:proofErr w:type="spellEnd"/>
      <w:r>
        <w:t xml:space="preserve"> 84 del </w:t>
      </w:r>
      <w:proofErr w:type="spellStart"/>
      <w:r>
        <w:t>Código</w:t>
      </w:r>
      <w:proofErr w:type="spellEnd"/>
      <w:r>
        <w:t xml:space="preserve"> </w:t>
      </w:r>
      <w:proofErr w:type="spellStart"/>
      <w:r>
        <w:t>Orgánico</w:t>
      </w:r>
      <w:proofErr w:type="spellEnd"/>
      <w:r>
        <w:t xml:space="preserve"> de </w:t>
      </w:r>
      <w:proofErr w:type="spellStart"/>
      <w:r>
        <w:t>Organización</w:t>
      </w:r>
      <w:proofErr w:type="spellEnd"/>
      <w:r>
        <w:t xml:space="preserve"> Territorial, </w:t>
      </w:r>
      <w:proofErr w:type="spellStart"/>
      <w:r>
        <w:t>Autonomía</w:t>
      </w:r>
      <w:proofErr w:type="spellEnd"/>
      <w:r>
        <w:t xml:space="preserve"> y </w:t>
      </w:r>
      <w:proofErr w:type="spellStart"/>
      <w:r>
        <w:t>Descentralización</w:t>
      </w:r>
      <w:proofErr w:type="spellEnd"/>
      <w:r>
        <w:t xml:space="preserve">, </w:t>
      </w:r>
      <w:proofErr w:type="spellStart"/>
      <w:r>
        <w:t>señala</w:t>
      </w:r>
      <w:proofErr w:type="spellEnd"/>
      <w:r>
        <w:t xml:space="preserve"> como una </w:t>
      </w:r>
      <w:proofErr w:type="spellStart"/>
      <w:r>
        <w:t>función</w:t>
      </w:r>
      <w:proofErr w:type="spellEnd"/>
      <w:r>
        <w:t xml:space="preserve"> del gobierno </w:t>
      </w:r>
      <w:proofErr w:type="spellStart"/>
      <w:r>
        <w:t>autónomo</w:t>
      </w:r>
      <w:proofErr w:type="spellEnd"/>
      <w:r>
        <w:t xml:space="preserve"> descentralizado municipal la de establecer el </w:t>
      </w:r>
      <w:proofErr w:type="spellStart"/>
      <w:r>
        <w:t>régimen</w:t>
      </w:r>
      <w:proofErr w:type="spellEnd"/>
      <w:r>
        <w:t xml:space="preserve"> de uso del suelo y </w:t>
      </w:r>
      <w:proofErr w:type="spellStart"/>
      <w:r>
        <w:t>urbanístico</w:t>
      </w:r>
      <w:proofErr w:type="spellEnd"/>
      <w:r>
        <w:t xml:space="preserve">, para lo cual se debe determinar las condiciones de </w:t>
      </w:r>
      <w:proofErr w:type="spellStart"/>
      <w:r>
        <w:t>urbanización</w:t>
      </w:r>
      <w:proofErr w:type="spellEnd"/>
      <w:r>
        <w:t xml:space="preserve">, </w:t>
      </w:r>
      <w:proofErr w:type="spellStart"/>
      <w:r>
        <w:t>parcelación</w:t>
      </w:r>
      <w:proofErr w:type="spellEnd"/>
      <w:r>
        <w:t xml:space="preserve">, </w:t>
      </w:r>
      <w:proofErr w:type="spellStart"/>
      <w:r>
        <w:t>lotización</w:t>
      </w:r>
      <w:proofErr w:type="spellEnd"/>
      <w:r>
        <w:t xml:space="preserve">, </w:t>
      </w:r>
      <w:proofErr w:type="spellStart"/>
      <w:r>
        <w:t>división</w:t>
      </w:r>
      <w:proofErr w:type="spellEnd"/>
      <w:r>
        <w:t xml:space="preserve"> o cualquier otra</w:t>
      </w:r>
      <w:r>
        <w:t xml:space="preserve"> </w:t>
      </w:r>
      <w:r>
        <w:t xml:space="preserve">forma de fraccionamiento de conformidad con la </w:t>
      </w:r>
      <w:proofErr w:type="spellStart"/>
      <w:r>
        <w:t>planificación</w:t>
      </w:r>
      <w:proofErr w:type="spellEnd"/>
      <w:r>
        <w:t xml:space="preserve"> cantonal, asegurando porcentajes para zonas verdes y </w:t>
      </w:r>
      <w:proofErr w:type="spellStart"/>
      <w:r>
        <w:t>áreas</w:t>
      </w:r>
      <w:proofErr w:type="spellEnd"/>
      <w:r>
        <w:t xml:space="preserve"> comunales;</w:t>
      </w:r>
    </w:p>
    <w:p w14:paraId="66C44A80" w14:textId="79E9D7C5" w:rsidR="002C218B" w:rsidRDefault="002C218B" w:rsidP="002C218B">
      <w:pPr>
        <w:ind w:left="700" w:hanging="700"/>
      </w:pPr>
      <w:r>
        <w:t xml:space="preserve">Que, </w:t>
      </w:r>
      <w:r>
        <w:tab/>
      </w:r>
      <w:r>
        <w:t xml:space="preserve">los literales a) y x) del </w:t>
      </w:r>
      <w:proofErr w:type="spellStart"/>
      <w:r>
        <w:t>artículo</w:t>
      </w:r>
      <w:proofErr w:type="spellEnd"/>
      <w:r>
        <w:t xml:space="preserve"> 57 del mismo </w:t>
      </w:r>
      <w:proofErr w:type="spellStart"/>
      <w:r>
        <w:t>Código</w:t>
      </w:r>
      <w:proofErr w:type="spellEnd"/>
      <w:r>
        <w:t xml:space="preserve">, respecto de las atribuciones del concejo municipal, establece: </w:t>
      </w:r>
      <w:r>
        <w:t>«</w:t>
      </w:r>
      <w:r>
        <w:t xml:space="preserve">a) El ejercicio de la facultad normativa en las materias de competencia del gobierno </w:t>
      </w:r>
      <w:proofErr w:type="spellStart"/>
      <w:r>
        <w:t>autónomo</w:t>
      </w:r>
      <w:proofErr w:type="spellEnd"/>
      <w:r>
        <w:t xml:space="preserve"> descentralizado municipal, mediante la </w:t>
      </w:r>
      <w:proofErr w:type="spellStart"/>
      <w:r>
        <w:t>expedición</w:t>
      </w:r>
      <w:proofErr w:type="spellEnd"/>
      <w:r>
        <w:t xml:space="preserve"> de ordenanzas cantonales, acuerdos y resoluciones; y, </w:t>
      </w:r>
      <w:r>
        <w:t>[…]</w:t>
      </w:r>
      <w:r>
        <w:t xml:space="preserve"> x) Regular y controlar, mediante la normativa cantonal correspondiente, el uso del suelo en el territorio del </w:t>
      </w:r>
      <w:proofErr w:type="spellStart"/>
      <w:r>
        <w:t>cantón</w:t>
      </w:r>
      <w:proofErr w:type="spellEnd"/>
      <w:r>
        <w:t xml:space="preserve">, de conformidad con las leyes sobre la materia, y establecer el </w:t>
      </w:r>
      <w:proofErr w:type="spellStart"/>
      <w:r>
        <w:t>régimen</w:t>
      </w:r>
      <w:proofErr w:type="spellEnd"/>
      <w:r>
        <w:t xml:space="preserve"> </w:t>
      </w:r>
      <w:proofErr w:type="spellStart"/>
      <w:r>
        <w:t>urbanístico</w:t>
      </w:r>
      <w:proofErr w:type="spellEnd"/>
      <w:r>
        <w:t xml:space="preserve"> de la tierra</w:t>
      </w:r>
      <w:r>
        <w:t>»</w:t>
      </w:r>
      <w:r>
        <w:t>;</w:t>
      </w:r>
    </w:p>
    <w:p w14:paraId="136B059E" w14:textId="7A5BFA24" w:rsidR="002C218B" w:rsidRDefault="002C218B" w:rsidP="002C218B">
      <w:pPr>
        <w:ind w:left="700" w:hanging="700"/>
      </w:pPr>
      <w:r>
        <w:t xml:space="preserve">Que, </w:t>
      </w:r>
      <w:r>
        <w:tab/>
      </w:r>
      <w:r>
        <w:t xml:space="preserve">el </w:t>
      </w:r>
      <w:proofErr w:type="spellStart"/>
      <w:r>
        <w:t>artículo</w:t>
      </w:r>
      <w:proofErr w:type="spellEnd"/>
      <w:r>
        <w:t xml:space="preserve"> 322 del mismo </w:t>
      </w:r>
      <w:proofErr w:type="spellStart"/>
      <w:r>
        <w:t>Código</w:t>
      </w:r>
      <w:proofErr w:type="spellEnd"/>
      <w:r>
        <w:t xml:space="preserve"> establece el procedimiento para la </w:t>
      </w:r>
      <w:proofErr w:type="spellStart"/>
      <w:r>
        <w:t>aprobación</w:t>
      </w:r>
      <w:proofErr w:type="spellEnd"/>
      <w:r>
        <w:t xml:space="preserve"> de las ordenanzas municipales</w:t>
      </w:r>
      <w:r>
        <w:t>.</w:t>
      </w:r>
    </w:p>
    <w:p w14:paraId="0BC32E35" w14:textId="6492BFD4" w:rsidR="002C218B" w:rsidRDefault="002C218B" w:rsidP="002C218B">
      <w:pPr>
        <w:ind w:left="700" w:hanging="700"/>
      </w:pPr>
      <w:r>
        <w:t xml:space="preserve">Que, </w:t>
      </w:r>
      <w:r>
        <w:tab/>
      </w:r>
      <w:r>
        <w:t xml:space="preserve">el numeral 1 del </w:t>
      </w:r>
      <w:proofErr w:type="spellStart"/>
      <w:r>
        <w:t>artículo</w:t>
      </w:r>
      <w:proofErr w:type="spellEnd"/>
      <w:r>
        <w:t xml:space="preserve"> 2 de la Ley de </w:t>
      </w:r>
      <w:proofErr w:type="spellStart"/>
      <w:r>
        <w:t>Régimen</w:t>
      </w:r>
      <w:proofErr w:type="spellEnd"/>
      <w:r>
        <w:t xml:space="preserve"> para el Distrito Metropolitano de Quito, establece que el Municipio del Distrito Metropolitano de Quito tiene la competencia exclusiva y privativa de regular el uso y la adecuada </w:t>
      </w:r>
      <w:proofErr w:type="spellStart"/>
      <w:r>
        <w:t>ocupación</w:t>
      </w:r>
      <w:proofErr w:type="spellEnd"/>
      <w:r>
        <w:t xml:space="preserve"> del suelo, ejerciendo el control sobre el mismo</w:t>
      </w:r>
      <w:r>
        <w:t>.</w:t>
      </w:r>
    </w:p>
    <w:p w14:paraId="510FC093" w14:textId="77777777" w:rsidR="002C218B" w:rsidRDefault="002C218B" w:rsidP="002C218B">
      <w:pPr>
        <w:ind w:left="700" w:hanging="700"/>
      </w:pPr>
      <w:r>
        <w:t xml:space="preserve">Que, </w:t>
      </w:r>
      <w:r>
        <w:tab/>
      </w:r>
      <w:r>
        <w:t xml:space="preserve">el </w:t>
      </w:r>
      <w:proofErr w:type="spellStart"/>
      <w:r>
        <w:t>artículo</w:t>
      </w:r>
      <w:proofErr w:type="spellEnd"/>
      <w:r>
        <w:t xml:space="preserve"> 8, numeral 1 del mismo cuerpo normativo, establece que le corresponde al Concejo Metropolitano, decidir mediante ordenanza, sobre los asuntos de </w:t>
      </w:r>
      <w:proofErr w:type="spellStart"/>
      <w:r>
        <w:t>interés</w:t>
      </w:r>
      <w:proofErr w:type="spellEnd"/>
      <w:r>
        <w:t xml:space="preserve"> general, relativos al desarrollo integral y a la </w:t>
      </w:r>
      <w:proofErr w:type="spellStart"/>
      <w:r>
        <w:t>ordenación</w:t>
      </w:r>
      <w:proofErr w:type="spellEnd"/>
      <w:r>
        <w:t xml:space="preserve"> </w:t>
      </w:r>
      <w:proofErr w:type="spellStart"/>
      <w:r>
        <w:t>urbanística</w:t>
      </w:r>
      <w:proofErr w:type="spellEnd"/>
      <w:r>
        <w:t xml:space="preserve"> del Distrito</w:t>
      </w:r>
      <w:r>
        <w:t>.</w:t>
      </w:r>
    </w:p>
    <w:p w14:paraId="3DED6FA1" w14:textId="39D41FF2" w:rsidR="00FA1E6F" w:rsidRDefault="002C218B" w:rsidP="002C218B">
      <w:pPr>
        <w:ind w:left="700" w:hanging="700"/>
      </w:pPr>
      <w:r>
        <w:t xml:space="preserve">Que, </w:t>
      </w:r>
      <w:r>
        <w:tab/>
      </w:r>
      <w:r w:rsidR="00FA1E6F">
        <w:t xml:space="preserve">mediante Ordenanza No. </w:t>
      </w:r>
      <w:r w:rsidR="004957FC">
        <w:t>3446</w:t>
      </w:r>
      <w:r w:rsidR="00FA1E6F">
        <w:t xml:space="preserve">, </w:t>
      </w:r>
      <w:r w:rsidR="004957FC">
        <w:t>sancionada el 27</w:t>
      </w:r>
      <w:r w:rsidR="00FA1E6F">
        <w:t xml:space="preserve"> de</w:t>
      </w:r>
      <w:r w:rsidR="004957FC">
        <w:t xml:space="preserve"> marzo de 2003</w:t>
      </w:r>
      <w:r w:rsidR="00D54E73">
        <w:t xml:space="preserve"> (la «Ordenanza de Bellavista del Sur»)</w:t>
      </w:r>
      <w:r w:rsidR="00FA1E6F">
        <w:t xml:space="preserve">, </w:t>
      </w:r>
      <w:r w:rsidR="00D54E73">
        <w:t>el Concejo Metropolitan</w:t>
      </w:r>
      <w:r w:rsidR="004957FC">
        <w:t>o de Quito aprobó la «Urbanización de Interés Social Progresiva Bellavista del Sur»</w:t>
      </w:r>
      <w:r w:rsidR="00D54E73">
        <w:t xml:space="preserve"> (la «Urbanización»)</w:t>
      </w:r>
      <w:r w:rsidR="004957FC">
        <w:t xml:space="preserve">, ubicada en la avenida Simón Bolívar y Camino del Inca, barrio </w:t>
      </w:r>
      <w:proofErr w:type="spellStart"/>
      <w:r w:rsidR="004957FC">
        <w:t>Turubamba</w:t>
      </w:r>
      <w:proofErr w:type="spellEnd"/>
      <w:r w:rsidR="004957FC">
        <w:t xml:space="preserve"> Bajo, parroquia de </w:t>
      </w:r>
      <w:proofErr w:type="spellStart"/>
      <w:r w:rsidR="004957FC">
        <w:t>Chillogallo</w:t>
      </w:r>
      <w:proofErr w:type="spellEnd"/>
      <w:r w:rsidR="001E2F0F">
        <w:t>,</w:t>
      </w:r>
      <w:r w:rsidR="004957FC">
        <w:t xml:space="preserve"> del</w:t>
      </w:r>
      <w:r w:rsidR="001E2F0F">
        <w:t xml:space="preserve"> Distrito Metropolitano de Quito.</w:t>
      </w:r>
    </w:p>
    <w:p w14:paraId="31A9EE2E" w14:textId="5A888F4F" w:rsidR="00280200" w:rsidRDefault="007B46DA" w:rsidP="002C218B">
      <w:pPr>
        <w:ind w:left="700" w:hanging="700"/>
      </w:pPr>
      <w:r>
        <w:t xml:space="preserve">Que, </w:t>
      </w:r>
      <w:r>
        <w:tab/>
      </w:r>
      <w:r w:rsidR="002C218B">
        <w:t xml:space="preserve">la Ordenanza Bellavista del Sur fue reformada </w:t>
      </w:r>
      <w:r w:rsidR="00C02356">
        <w:t>medi</w:t>
      </w:r>
      <w:r w:rsidR="00D54E73">
        <w:t>an</w:t>
      </w:r>
      <w:r w:rsidR="00C02356">
        <w:t>te Ordenanza No. 3690, sancionada</w:t>
      </w:r>
      <w:r w:rsidR="008F2F9C">
        <w:t xml:space="preserve"> el </w:t>
      </w:r>
      <w:r w:rsidR="002C218B">
        <w:t>23 de julio del 2007</w:t>
      </w:r>
      <w:r w:rsidR="002C218B">
        <w:t>, Ordenanza</w:t>
      </w:r>
      <w:r w:rsidR="008F2F9C">
        <w:t xml:space="preserve"> </w:t>
      </w:r>
      <w:r w:rsidR="002C218B">
        <w:t>199, de 23 de marzo de 2012</w:t>
      </w:r>
      <w:r w:rsidR="002C218B">
        <w:t xml:space="preserve"> y </w:t>
      </w:r>
      <w:r w:rsidR="002C218B">
        <w:t>Ordenanza 011, de 4 de septiembre de 2014</w:t>
      </w:r>
      <w:r w:rsidR="002C218B">
        <w:t>.</w:t>
      </w:r>
    </w:p>
    <w:p w14:paraId="60066C0C" w14:textId="6C9E69E1" w:rsidR="00BD6789" w:rsidRDefault="00B358DC" w:rsidP="00B80244">
      <w:pPr>
        <w:ind w:left="700" w:hanging="700"/>
      </w:pPr>
      <w:r>
        <w:t xml:space="preserve">Que, </w:t>
      </w:r>
      <w:r>
        <w:tab/>
        <w:t>el</w:t>
      </w:r>
      <w:r w:rsidR="00D54E73">
        <w:t xml:space="preserve"> actual titular de los lotes que integran la segunda etapa de la Urbanización, el Fideicomiso de Tenencia Bellavista del Sur y BMV Inmobiliaria S.A. han solicitado</w:t>
      </w:r>
      <w:r>
        <w:t xml:space="preserve"> reformar la Ordenanza de </w:t>
      </w:r>
      <w:r w:rsidR="00B80244">
        <w:t>Bellavista del Sur</w:t>
      </w:r>
      <w:r>
        <w:t xml:space="preserve"> con el propósito de </w:t>
      </w:r>
      <w:r w:rsidR="002C218B">
        <w:t xml:space="preserve">que </w:t>
      </w:r>
      <w:r w:rsidR="002C218B">
        <w:t>conste</w:t>
      </w:r>
      <w:r w:rsidR="002C218B">
        <w:t xml:space="preserve"> como </w:t>
      </w:r>
      <w:r w:rsidR="002C218B">
        <w:t>promotor de la segunda etapa la persona jurídica que efectivamente ha desarrollado las obras de urbanización</w:t>
      </w:r>
      <w:r w:rsidR="002C218B">
        <w:t xml:space="preserve"> </w:t>
      </w:r>
      <w:r w:rsidR="002C218B">
        <w:t>y las construcciones de las viviendas de interés social; la modificación del diseño vertical de modo que se haga constar la realidad topográfica del predio en el que se desarrollan las obras; la ampliación del plazo en razón del desarrollo conjunto de la Urbanización y el Proyecto; las correcciones de errores de hecho en la identificación de linderos de los predios planificados en la Urbanización</w:t>
      </w:r>
      <w:r w:rsidR="002C218B">
        <w:t>; y la sustitución de garantías por las obras faltantes.</w:t>
      </w:r>
    </w:p>
    <w:p w14:paraId="6B9ED9D9" w14:textId="7FEF9855" w:rsidR="002C218B" w:rsidRDefault="002C218B" w:rsidP="002C218B">
      <w:pPr>
        <w:ind w:left="700" w:hanging="700"/>
      </w:pPr>
      <w:r>
        <w:t xml:space="preserve">Que, </w:t>
      </w:r>
      <w:r>
        <w:tab/>
      </w:r>
      <w:r>
        <w:t xml:space="preserve">mediante Ordenanza 0274, de 13 de diciembre del 2018, </w:t>
      </w:r>
      <w:r>
        <w:t xml:space="preserve">se atendió parcialmente la solicitud de lo interesados y, en tal sentido, se dispuso la sustitución de garantías; se asignó la </w:t>
      </w:r>
      <w:proofErr w:type="spellStart"/>
      <w:r>
        <w:t>responsabilida</w:t>
      </w:r>
      <w:proofErr w:type="spellEnd"/>
      <w:r>
        <w:t xml:space="preserve"> de ejecutar las obras de urbanización en la segunda etapa a</w:t>
      </w:r>
      <w:r>
        <w:t>l Fideicomiso de Tenencia Bellavista del Sur y BMV Inmobiliaria S.A.</w:t>
      </w:r>
      <w:r>
        <w:t>; y se modifico el plazo de conclusión de obras.</w:t>
      </w:r>
    </w:p>
    <w:p w14:paraId="4FC88773" w14:textId="19DA476E" w:rsidR="002C218B" w:rsidRDefault="002C218B" w:rsidP="002C218B">
      <w:pPr>
        <w:ind w:left="700" w:hanging="700"/>
      </w:pPr>
      <w:r>
        <w:t xml:space="preserve">Que, </w:t>
      </w:r>
      <w:r>
        <w:tab/>
        <w:t xml:space="preserve">la terminación de las obras planificadas depende de que el diseño vertical se ajuste a la realidad topográfica del lugar que originalmente no fue considerado, por lo que es necesario ajustar los instrumentos técnicos agregados a la </w:t>
      </w:r>
      <w:r>
        <w:t>Ordenanza No. 3446, sancionada el 27 de marzo de 2003</w:t>
      </w:r>
      <w:r>
        <w:t>, para que el promotor pueda culminar sus actividades.</w:t>
      </w:r>
    </w:p>
    <w:p w14:paraId="716BE784" w14:textId="77777777" w:rsidR="00727986" w:rsidRDefault="00727986" w:rsidP="001E2F0F">
      <w:pPr>
        <w:ind w:left="700" w:hanging="700"/>
      </w:pPr>
      <w:r>
        <w:t xml:space="preserve">Que, </w:t>
      </w:r>
      <w:r>
        <w:tab/>
        <w:t>la Secretaría de Territorio, Hábitat y Vivienda ha emitido informe técnico favorable, mediante oficio […]</w:t>
      </w:r>
    </w:p>
    <w:p w14:paraId="539DA704" w14:textId="77777777" w:rsidR="00727986" w:rsidRDefault="00727986" w:rsidP="001E2F0F">
      <w:pPr>
        <w:ind w:left="700" w:hanging="700"/>
      </w:pPr>
      <w:r>
        <w:t xml:space="preserve">Que, </w:t>
      </w:r>
      <w:r>
        <w:tab/>
        <w:t>la Procuraduría Metropolitana ha emitido informe jurídico favorable mediante oficio […]</w:t>
      </w:r>
    </w:p>
    <w:p w14:paraId="621D2C3A" w14:textId="635902D5" w:rsidR="001D5B99" w:rsidRDefault="00727986" w:rsidP="00727986">
      <w:r>
        <w:t xml:space="preserve">En ejercicio de sus atribuciones previstas en el numeral 1 de los artículos 240 y 264 d </w:t>
      </w:r>
      <w:proofErr w:type="spellStart"/>
      <w:r>
        <w:t>ela</w:t>
      </w:r>
      <w:proofErr w:type="spellEnd"/>
      <w:r>
        <w:t xml:space="preserve"> Constitución de la República del Ecuador; 54 y 57, literales a y x del Código Orgánico de Organización Territorial, Autonomía y Descentralización</w:t>
      </w:r>
      <w:r w:rsidR="002C218B">
        <w:t>,</w:t>
      </w:r>
      <w:r w:rsidR="00F071E4">
        <w:t xml:space="preserve"> </w:t>
      </w:r>
      <w:r w:rsidR="00F071E4" w:rsidRPr="00F071E4">
        <w:rPr>
          <w:smallCaps/>
          <w:szCs w:val="25"/>
        </w:rPr>
        <w:t>e</w:t>
      </w:r>
      <w:r w:rsidR="001D5B99" w:rsidRPr="00F071E4">
        <w:rPr>
          <w:smallCaps/>
          <w:szCs w:val="25"/>
        </w:rPr>
        <w:t>xpide</w:t>
      </w:r>
      <w:r w:rsidR="001D5B99">
        <w:t xml:space="preserve"> la siguiente</w:t>
      </w:r>
      <w:r w:rsidR="00F071E4">
        <w:t>:</w:t>
      </w:r>
    </w:p>
    <w:p w14:paraId="14369CDE" w14:textId="5AD53502" w:rsidR="001D5B99" w:rsidRDefault="001D5B99" w:rsidP="00F071E4">
      <w:pPr>
        <w:pStyle w:val="Ttulo1"/>
      </w:pPr>
      <w:r>
        <w:t>Ordenan</w:t>
      </w:r>
      <w:r w:rsidR="00B80244">
        <w:t xml:space="preserve">za reformatoria a la Ordenanza 3446, sancionada el 27 de marzo de 2003, con la que se aprobó la «Urbanización de Interés Social Progresiva Bellavista del Sur» y </w:t>
      </w:r>
      <w:r w:rsidR="002C218B">
        <w:t>SUS</w:t>
      </w:r>
      <w:r w:rsidR="00B80244">
        <w:t xml:space="preserve"> ordenanzas reformatorias</w:t>
      </w:r>
    </w:p>
    <w:p w14:paraId="0E2CA46D" w14:textId="20C97ADF" w:rsidR="001D5B99" w:rsidRDefault="008F2F9C" w:rsidP="001D5B99">
      <w:pPr>
        <w:pStyle w:val="Etiqueta"/>
      </w:pPr>
      <w:r>
        <w:t>Especificaciones técnicas</w:t>
      </w:r>
    </w:p>
    <w:p w14:paraId="7A7980F6" w14:textId="1161C631" w:rsidR="00435B12" w:rsidRDefault="00435B12" w:rsidP="001D5B99">
      <w:pPr>
        <w:pStyle w:val="Etiqueta"/>
        <w:numPr>
          <w:ilvl w:val="1"/>
          <w:numId w:val="25"/>
        </w:numPr>
        <w:rPr>
          <w:b w:val="0"/>
        </w:rPr>
      </w:pPr>
      <w:r w:rsidRPr="001D5B99">
        <w:rPr>
          <w:b w:val="0"/>
        </w:rPr>
        <w:t xml:space="preserve">En el artículo </w:t>
      </w:r>
      <w:r>
        <w:rPr>
          <w:b w:val="0"/>
        </w:rPr>
        <w:t xml:space="preserve">1 de la </w:t>
      </w:r>
      <w:r w:rsidRPr="008F2F9C">
        <w:rPr>
          <w:b w:val="0"/>
        </w:rPr>
        <w:t>Ordenanza de Bellavista del Sur</w:t>
      </w:r>
      <w:r>
        <w:rPr>
          <w:b w:val="0"/>
        </w:rPr>
        <w:t>, reformado por el artículo 1 de la Ordenanza 3690, se suprime la frase «cuyo urbanizador es el Fideicomiso Bellavista del Sur», que consta luego de «LA SEGUNDA ETAPA está conformada por 1.171 lotes».</w:t>
      </w:r>
    </w:p>
    <w:p w14:paraId="6DC06058" w14:textId="77777777" w:rsidR="00435B12" w:rsidRDefault="001D5B99" w:rsidP="001D5B99">
      <w:pPr>
        <w:pStyle w:val="Etiqueta"/>
        <w:numPr>
          <w:ilvl w:val="1"/>
          <w:numId w:val="25"/>
        </w:numPr>
        <w:rPr>
          <w:b w:val="0"/>
        </w:rPr>
      </w:pPr>
      <w:r w:rsidRPr="001D5B99">
        <w:rPr>
          <w:b w:val="0"/>
        </w:rPr>
        <w:t xml:space="preserve">En el artículo </w:t>
      </w:r>
      <w:r>
        <w:rPr>
          <w:b w:val="0"/>
        </w:rPr>
        <w:t xml:space="preserve">1 de la </w:t>
      </w:r>
      <w:r w:rsidR="008F2F9C" w:rsidRPr="008F2F9C">
        <w:rPr>
          <w:b w:val="0"/>
        </w:rPr>
        <w:t>Ordenanza de Bellavista del Sur</w:t>
      </w:r>
      <w:r w:rsidR="008F2F9C">
        <w:rPr>
          <w:b w:val="0"/>
        </w:rPr>
        <w:t>, reformado por el artículo 1 de la Ordenanza 3690, luego del segundo inciso en el que se describe la conformación de la segunda etapa del proyecto</w:t>
      </w:r>
      <w:r w:rsidR="00435B12">
        <w:rPr>
          <w:b w:val="0"/>
        </w:rPr>
        <w:t>, agrégase los siguientes incisos:</w:t>
      </w:r>
    </w:p>
    <w:p w14:paraId="253B6C6E" w14:textId="3131BC99" w:rsidR="00435B12" w:rsidRDefault="00BA79AF" w:rsidP="00BA79AF">
      <w:pPr>
        <w:ind w:left="1134" w:right="1183"/>
      </w:pPr>
      <w:r>
        <w:t>«Sin perjuicio de las previsiones técnicas contenidas en este</w:t>
      </w:r>
      <w:r w:rsidR="000C17DD">
        <w:t xml:space="preserve"> artículo, e</w:t>
      </w:r>
      <w:r>
        <w:t>l proyecto de urbanización</w:t>
      </w:r>
      <w:r w:rsidR="000C17DD">
        <w:t xml:space="preserve"> en su segunda etapa</w:t>
      </w:r>
      <w:r>
        <w:t xml:space="preserve"> se ejecutará de conformidad con los planos y el informe técnico que se agreg</w:t>
      </w:r>
      <w:r w:rsidR="000C17DD">
        <w:t>a a esta Ordenanza como Anexo 1</w:t>
      </w:r>
      <w:r w:rsidR="002C218B">
        <w:t>»</w:t>
      </w:r>
      <w:r>
        <w:t>.</w:t>
      </w:r>
    </w:p>
    <w:p w14:paraId="047C0FFE" w14:textId="736F3332" w:rsidR="00941394" w:rsidRDefault="007A6070" w:rsidP="001D5B99">
      <w:pPr>
        <w:pStyle w:val="Etiqueta"/>
      </w:pPr>
      <w:r>
        <w:t>Obras a ejecutarse, ejecutor</w:t>
      </w:r>
      <w:r w:rsidR="00A709CE">
        <w:t xml:space="preserve"> y garantía</w:t>
      </w:r>
    </w:p>
    <w:p w14:paraId="34D6BC3D" w14:textId="2AD5E5EF" w:rsidR="007A6070" w:rsidRPr="007A6070" w:rsidRDefault="007A6070" w:rsidP="007A6070">
      <w:pPr>
        <w:pStyle w:val="Etiqueta"/>
        <w:numPr>
          <w:ilvl w:val="1"/>
          <w:numId w:val="25"/>
        </w:numPr>
      </w:pPr>
      <w:r>
        <w:rPr>
          <w:b w:val="0"/>
        </w:rPr>
        <w:t>E</w:t>
      </w:r>
      <w:r w:rsidRPr="001D5B99">
        <w:rPr>
          <w:b w:val="0"/>
        </w:rPr>
        <w:t xml:space="preserve">l artículo </w:t>
      </w:r>
      <w:r>
        <w:rPr>
          <w:b w:val="0"/>
        </w:rPr>
        <w:t xml:space="preserve">3 de la </w:t>
      </w:r>
      <w:r w:rsidRPr="008F2F9C">
        <w:rPr>
          <w:b w:val="0"/>
        </w:rPr>
        <w:t>Ordenanza de Bellavista del Sur</w:t>
      </w:r>
      <w:r>
        <w:rPr>
          <w:b w:val="0"/>
        </w:rPr>
        <w:t>, reformado por los artículos 3 y 4 de la Ordenanza 3690, sustitúyese ínteg</w:t>
      </w:r>
      <w:r w:rsidR="00E70D1D">
        <w:rPr>
          <w:b w:val="0"/>
        </w:rPr>
        <w:t xml:space="preserve">ramente con </w:t>
      </w:r>
      <w:r>
        <w:rPr>
          <w:b w:val="0"/>
        </w:rPr>
        <w:t>el siguiente texto:</w:t>
      </w:r>
    </w:p>
    <w:p w14:paraId="066943A3" w14:textId="5A7FA660" w:rsidR="00E70D1D" w:rsidRPr="00E70D1D" w:rsidRDefault="00A709CE" w:rsidP="005A4E3B">
      <w:pPr>
        <w:ind w:left="1134" w:right="1183"/>
      </w:pPr>
      <w:r>
        <w:t>«</w:t>
      </w:r>
      <w:r w:rsidR="007A6070" w:rsidRPr="000C2738">
        <w:rPr>
          <w:b/>
        </w:rPr>
        <w:t>Art. 3.- OBRAS A EJECUTARSE.-</w:t>
      </w:r>
      <w:r w:rsidR="007A6070">
        <w:t xml:space="preserve"> </w:t>
      </w:r>
    </w:p>
    <w:p w14:paraId="7B77586F" w14:textId="60029919" w:rsidR="007A6070" w:rsidRPr="00722A88" w:rsidRDefault="00E70D1D" w:rsidP="005A4E3B">
      <w:pPr>
        <w:ind w:left="1134" w:right="1183"/>
      </w:pPr>
      <w:r>
        <w:t xml:space="preserve">Las obras básicas de infraestructura de la Urbanización serán ejecutadas en cada etapa por el constructor responsable de la </w:t>
      </w:r>
      <w:r w:rsidR="00E11888">
        <w:t>respectiva etapa.</w:t>
      </w:r>
      <w:r w:rsidR="00722A88">
        <w:t xml:space="preserve"> Estas obras incluyen las necesarias para la provisión de los servicios de agua, luz y teléfono, el alcantarillado, bordillos, aceras y las vías</w:t>
      </w:r>
      <w:r w:rsidR="00A709CE">
        <w:t xml:space="preserve"> </w:t>
      </w:r>
      <w:proofErr w:type="spellStart"/>
      <w:r w:rsidR="00A709CE">
        <w:t>carrozables</w:t>
      </w:r>
      <w:proofErr w:type="spellEnd"/>
      <w:r w:rsidR="00722A88">
        <w:t xml:space="preserve"> y pasajes peatonales. En el caso de la segunda etapa, todo ello</w:t>
      </w:r>
      <w:r w:rsidR="00A709CE">
        <w:t xml:space="preserve"> se ejecutará</w:t>
      </w:r>
      <w:r w:rsidR="00722A88">
        <w:t xml:space="preserve"> de conformidad con los diseños y trazados que constan en el Anexo 1 de esta Ordenanza y las autorizaciones</w:t>
      </w:r>
      <w:r w:rsidR="00A709CE">
        <w:t xml:space="preserve"> y/o aprobaciones</w:t>
      </w:r>
      <w:r w:rsidR="00722A88">
        <w:t xml:space="preserve"> administrativas </w:t>
      </w:r>
      <w:r w:rsidR="00A709CE">
        <w:t>que se hayan obtenido de parte de las</w:t>
      </w:r>
      <w:r w:rsidR="00722A88">
        <w:t xml:space="preserve"> entidades responsables.</w:t>
      </w:r>
    </w:p>
    <w:p w14:paraId="2A1A4FFF" w14:textId="4809D5B1" w:rsidR="00722A88" w:rsidRPr="00722A88" w:rsidRDefault="00722A88" w:rsidP="005A4E3B">
      <w:pPr>
        <w:ind w:left="1134" w:right="1183"/>
      </w:pPr>
      <w:r>
        <w:t>Le corresponde la ejecución de las obras de urbanización de la primera etapa</w:t>
      </w:r>
      <w:r w:rsidR="00A709CE">
        <w:t xml:space="preserve"> (753 lotes)</w:t>
      </w:r>
      <w:r>
        <w:t xml:space="preserve"> al promotor original</w:t>
      </w:r>
      <w:r w:rsidR="00A709CE">
        <w:t xml:space="preserve"> del proyecto —URBELSUR CIA. LTDA.—</w:t>
      </w:r>
      <w:r>
        <w:t xml:space="preserve"> o quien le hubiera sucedido</w:t>
      </w:r>
      <w:r w:rsidR="00A709CE">
        <w:t xml:space="preserve"> con las autorizaciones legales necesarias</w:t>
      </w:r>
      <w:r>
        <w:t>.</w:t>
      </w:r>
    </w:p>
    <w:p w14:paraId="57C8BEDD" w14:textId="2F2324E2" w:rsidR="005A4E3B" w:rsidRDefault="00722A88" w:rsidP="005A4E3B">
      <w:pPr>
        <w:ind w:left="1134" w:right="1183"/>
      </w:pPr>
      <w:r>
        <w:t>Le corresponde la ejecución de las obras de urbanización de la segunda etapa a la compañía BMV</w:t>
      </w:r>
      <w:r w:rsidR="005A4E3B">
        <w:t xml:space="preserve"> Inmobiliaria S.A.</w:t>
      </w:r>
      <w:r w:rsidR="00A709CE">
        <w:t xml:space="preserve"> o a quien le suceda.</w:t>
      </w:r>
      <w:r w:rsidR="005A4E3B">
        <w:t xml:space="preserve"> El actual titular de los lotes que integran la segunda etapa de la Urbanización —el Fideicomiso de Tenencia Bellavista del Sur— y BMV Inmobiliaria S.A. han consentido expresamente </w:t>
      </w:r>
      <w:r w:rsidR="00A709CE">
        <w:t>en que esta última empresa asuma</w:t>
      </w:r>
      <w:r w:rsidR="005A4E3B">
        <w:t xml:space="preserve"> directamente las obligaciones derivadas de la ejecución de las obras de urbanización en la segunda etapa en</w:t>
      </w:r>
      <w:r w:rsidR="00A709CE">
        <w:t xml:space="preserve"> razón del proyecto inmobiliario</w:t>
      </w:r>
      <w:r w:rsidR="005A4E3B">
        <w:t xml:space="preserve"> que se encuentra ejecutando</w:t>
      </w:r>
      <w:r w:rsidR="00A709CE">
        <w:t xml:space="preserve"> sobre dichos predios»</w:t>
      </w:r>
      <w:r w:rsidR="002C218B">
        <w:t>.</w:t>
      </w:r>
    </w:p>
    <w:p w14:paraId="4FB62610" w14:textId="27CC80A8" w:rsidR="00722A88" w:rsidRPr="000B4222" w:rsidRDefault="005A4E3B" w:rsidP="005A4E3B">
      <w:pPr>
        <w:pStyle w:val="Etiqueta"/>
        <w:numPr>
          <w:ilvl w:val="1"/>
          <w:numId w:val="25"/>
        </w:numPr>
      </w:pPr>
      <w:r>
        <w:t xml:space="preserve"> </w:t>
      </w:r>
      <w:r w:rsidR="002C218B">
        <w:rPr>
          <w:b w:val="0"/>
        </w:rPr>
        <w:t>Agréguese a la</w:t>
      </w:r>
      <w:r w:rsidR="000B4222">
        <w:rPr>
          <w:b w:val="0"/>
        </w:rPr>
        <w:t xml:space="preserve"> Ordenanza de Bellavista del Sur, </w:t>
      </w:r>
      <w:r w:rsidR="002C218B">
        <w:rPr>
          <w:b w:val="0"/>
        </w:rPr>
        <w:t>la siguiente disposición transitoria</w:t>
      </w:r>
      <w:r w:rsidR="000B4222">
        <w:rPr>
          <w:b w:val="0"/>
        </w:rPr>
        <w:t>:</w:t>
      </w:r>
    </w:p>
    <w:p w14:paraId="3C366CCB" w14:textId="6B0D41EC" w:rsidR="000B4222" w:rsidRDefault="000C2738" w:rsidP="000C2738">
      <w:pPr>
        <w:ind w:left="1134" w:right="1183"/>
      </w:pPr>
      <w:r>
        <w:t>«</w:t>
      </w:r>
      <w:r w:rsidR="000B4222">
        <w:t xml:space="preserve">BMV Inmobiliaria S.A. podrá requerir a la Administración </w:t>
      </w:r>
      <w:proofErr w:type="spellStart"/>
      <w:r w:rsidR="000B4222">
        <w:t>Quitumbre</w:t>
      </w:r>
      <w:proofErr w:type="spellEnd"/>
      <w:r w:rsidR="000B4222">
        <w:t xml:space="preserve"> </w:t>
      </w:r>
      <w:r w:rsidR="002C218B">
        <w:t xml:space="preserve">y a las empresas públicas metropolitanas </w:t>
      </w:r>
      <w:r w:rsidR="000B4222">
        <w:t xml:space="preserve">la </w:t>
      </w:r>
      <w:r w:rsidR="002C218B">
        <w:t>recepción de las obras ejecutadas. Una vez recibidas las obras de la Urbanización, la garantía otorgada será renovada por el valor proporcional faltante hasta la fecha de conclusión de las obras que vendrá determinado por la fecha del correspondiente certificado de conformidad de finalización de obras</w:t>
      </w:r>
      <w:r w:rsidR="00390948">
        <w:t xml:space="preserve"> emitido en aplicación de los documentos técnicos que se agregan a esta Ordenanza como Anexo 1</w:t>
      </w:r>
      <w:r w:rsidR="002C218B">
        <w:t>».</w:t>
      </w:r>
    </w:p>
    <w:p w14:paraId="7B56CDCC" w14:textId="599FEE0E" w:rsidR="000C2738" w:rsidRDefault="000C2738" w:rsidP="000C2738">
      <w:pPr>
        <w:pStyle w:val="Etiqueta"/>
      </w:pPr>
      <w:r>
        <w:t>Plazo para la entrega de obras de urbanización</w:t>
      </w:r>
    </w:p>
    <w:p w14:paraId="128112F4" w14:textId="7798E5A4" w:rsidR="000C2738" w:rsidRDefault="002C218B" w:rsidP="002C218B">
      <w:pPr>
        <w:pStyle w:val="Etiqueta"/>
        <w:numPr>
          <w:ilvl w:val="0"/>
          <w:numId w:val="0"/>
        </w:numPr>
        <w:rPr>
          <w:b w:val="0"/>
          <w:bCs/>
        </w:rPr>
      </w:pPr>
      <w:r w:rsidRPr="002C218B">
        <w:rPr>
          <w:b w:val="0"/>
          <w:bCs/>
        </w:rPr>
        <w:t xml:space="preserve">Las obras </w:t>
      </w:r>
      <w:r>
        <w:rPr>
          <w:b w:val="0"/>
          <w:bCs/>
        </w:rPr>
        <w:t xml:space="preserve">de la Urbanización </w:t>
      </w:r>
      <w:r w:rsidRPr="002C218B">
        <w:rPr>
          <w:b w:val="0"/>
          <w:bCs/>
        </w:rPr>
        <w:t>se ejecutarán en un plazo de dos años, contados a partir de la fecha de sanción de la presente ordenanza, siendo responsabilidad de la compañía BMV Inmobiliaria S.A. y del Fideicomiso Bellavista del Sur, la ejecución de las mismas.</w:t>
      </w:r>
    </w:p>
    <w:p w14:paraId="3FAEC66E" w14:textId="7B1D3C55" w:rsidR="002C218B" w:rsidRPr="002C218B" w:rsidRDefault="002C218B" w:rsidP="002C218B">
      <w:pPr>
        <w:pStyle w:val="Etiqueta"/>
        <w:numPr>
          <w:ilvl w:val="0"/>
          <w:numId w:val="0"/>
        </w:numPr>
        <w:rPr>
          <w:b w:val="0"/>
        </w:rPr>
      </w:pPr>
      <w:r w:rsidRPr="002C218B">
        <w:rPr>
          <w:bCs/>
        </w:rPr>
        <w:t xml:space="preserve">Disposición final.- </w:t>
      </w:r>
      <w:r w:rsidRPr="002C218B">
        <w:rPr>
          <w:b w:val="0"/>
        </w:rPr>
        <w:t xml:space="preserve">Esta ordenanza entrará en vigencia a partir de la fecha de su sanción, sin perjuicio de su publicación en la página web institucional de la Municipalidad. </w:t>
      </w:r>
    </w:p>
    <w:p w14:paraId="1AB96CC4" w14:textId="77777777" w:rsidR="00B22DEA" w:rsidRDefault="00B22DEA" w:rsidP="00B22DEA">
      <w:r>
        <w:t>Dado en la sala de sesiones del Concejo Metropolitano de Quito, el […]</w:t>
      </w:r>
    </w:p>
    <w:p w14:paraId="568E6D40" w14:textId="77777777" w:rsidR="00B22DEA" w:rsidRDefault="00B22DEA" w:rsidP="00B22DEA"/>
    <w:p w14:paraId="3102061E" w14:textId="77777777" w:rsidR="00B22DEA" w:rsidRDefault="00B22DEA" w:rsidP="00B22DEA"/>
    <w:p w14:paraId="35B18CE2" w14:textId="77777777" w:rsidR="001E2F0F" w:rsidRPr="008F1BEC" w:rsidRDefault="001E2F0F" w:rsidP="00C73B12"/>
    <w:sectPr w:rsidR="001E2F0F" w:rsidRPr="008F1BEC" w:rsidSect="00EF123E">
      <w:headerReference w:type="default" r:id="rId9"/>
      <w:footerReference w:type="defaul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4FD6" w14:textId="77777777" w:rsidR="0033541D" w:rsidRDefault="0033541D" w:rsidP="00B06DD8">
      <w:r>
        <w:separator/>
      </w:r>
    </w:p>
  </w:endnote>
  <w:endnote w:type="continuationSeparator" w:id="0">
    <w:p w14:paraId="0B633F04" w14:textId="77777777" w:rsidR="0033541D" w:rsidRDefault="0033541D" w:rsidP="00B0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dobe Garamond Pro">
    <w:panose1 w:val="02020502060506020403"/>
    <w:charset w:val="4D"/>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idot">
    <w:panose1 w:val="02000503000000020003"/>
    <w:charset w:val="00"/>
    <w:family w:val="auto"/>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89989"/>
      <w:docPartObj>
        <w:docPartGallery w:val="Page Numbers (Bottom of Page)"/>
        <w:docPartUnique/>
      </w:docPartObj>
    </w:sdtPr>
    <w:sdtEndPr/>
    <w:sdtContent>
      <w:p w14:paraId="2E3E624E" w14:textId="77777777" w:rsidR="0004100F" w:rsidRDefault="0004100F">
        <w:pPr>
          <w:jc w:val="right"/>
        </w:pPr>
      </w:p>
      <w:tbl>
        <w:tblPr>
          <w:tblW w:w="5000" w:type="pct"/>
          <w:tblBorders>
            <w:bottom w:val="single" w:sz="8" w:space="0" w:color="808080" w:themeColor="background1" w:themeShade="80"/>
            <w:insideH w:val="single" w:sz="18" w:space="0" w:color="808080" w:themeColor="background1" w:themeShade="80"/>
            <w:insideV w:val="single" w:sz="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8"/>
          <w:gridCol w:w="1130"/>
        </w:tblGrid>
        <w:tr w:rsidR="0004100F" w14:paraId="0566423B" w14:textId="77777777" w:rsidTr="00920075">
          <w:trPr>
            <w:trHeight w:val="288"/>
          </w:trPr>
          <w:tc>
            <w:tcPr>
              <w:tcW w:w="7765" w:type="dxa"/>
            </w:tcPr>
            <w:p w14:paraId="2A4E0D8C" w14:textId="549C8C9E" w:rsidR="0004100F" w:rsidRPr="00C80F47" w:rsidRDefault="0004100F" w:rsidP="00C80F47">
              <w:pPr>
                <w:spacing w:after="0"/>
                <w:jc w:val="left"/>
                <w:rPr>
                  <w:rFonts w:ascii="Didot" w:eastAsiaTheme="majorEastAsia" w:hAnsi="Didot" w:cs="Didot"/>
                  <w:sz w:val="22"/>
                  <w:szCs w:val="22"/>
                </w:rPr>
              </w:pPr>
              <w:r>
                <w:rPr>
                  <w:rFonts w:ascii="Didot" w:eastAsiaTheme="majorEastAsia" w:hAnsi="Didot" w:cs="Didot"/>
                  <w:sz w:val="22"/>
                  <w:szCs w:val="22"/>
                </w:rPr>
                <w:t xml:space="preserve">Versión: </w:t>
              </w:r>
              <w:r w:rsidR="00261F43">
                <w:rPr>
                  <w:rFonts w:ascii="Didot" w:eastAsiaTheme="majorEastAsia" w:hAnsi="Didot" w:cs="Didot"/>
                  <w:sz w:val="22"/>
                  <w:szCs w:val="22"/>
                </w:rPr>
                <w:t>26</w:t>
              </w:r>
              <w:r>
                <w:rPr>
                  <w:rFonts w:ascii="Didot" w:eastAsiaTheme="majorEastAsia" w:hAnsi="Didot" w:cs="Didot"/>
                  <w:sz w:val="22"/>
                  <w:szCs w:val="22"/>
                </w:rPr>
                <w:t>/0</w:t>
              </w:r>
              <w:r w:rsidR="00261F43">
                <w:rPr>
                  <w:rFonts w:ascii="Didot" w:eastAsiaTheme="majorEastAsia" w:hAnsi="Didot" w:cs="Didot"/>
                  <w:sz w:val="22"/>
                  <w:szCs w:val="22"/>
                </w:rPr>
                <w:t>2</w:t>
              </w:r>
              <w:r>
                <w:rPr>
                  <w:rFonts w:ascii="Didot" w:eastAsiaTheme="majorEastAsia" w:hAnsi="Didot" w:cs="Didot"/>
                  <w:sz w:val="22"/>
                  <w:szCs w:val="22"/>
                </w:rPr>
                <w:t>/20</w:t>
              </w:r>
              <w:r w:rsidR="00261F43">
                <w:rPr>
                  <w:rFonts w:ascii="Didot" w:eastAsiaTheme="majorEastAsia" w:hAnsi="Didot" w:cs="Didot"/>
                  <w:sz w:val="22"/>
                  <w:szCs w:val="22"/>
                </w:rPr>
                <w:t>21</w:t>
              </w:r>
            </w:p>
          </w:tc>
          <w:tc>
            <w:tcPr>
              <w:tcW w:w="1105" w:type="dxa"/>
            </w:tcPr>
            <w:p w14:paraId="0F6A8B14" w14:textId="77777777" w:rsidR="0004100F" w:rsidRPr="00920075" w:rsidRDefault="0004100F" w:rsidP="00920075">
              <w:pPr>
                <w:spacing w:after="0"/>
                <w:jc w:val="right"/>
              </w:pPr>
              <w:r w:rsidRPr="00920075">
                <w:rPr>
                  <w:rFonts w:ascii="Didot" w:hAnsi="Didot" w:cs="Didot"/>
                  <w:sz w:val="22"/>
                  <w:szCs w:val="22"/>
                </w:rPr>
                <w:fldChar w:fldCharType="begin"/>
              </w:r>
              <w:r w:rsidRPr="00920075">
                <w:rPr>
                  <w:rFonts w:ascii="Didot" w:hAnsi="Didot" w:cs="Didot"/>
                  <w:sz w:val="22"/>
                  <w:szCs w:val="22"/>
                </w:rPr>
                <w:instrText xml:space="preserve"> PAGE   \* MERGEFORMAT </w:instrText>
              </w:r>
              <w:r w:rsidRPr="00920075">
                <w:rPr>
                  <w:rFonts w:ascii="Didot" w:hAnsi="Didot" w:cs="Didot"/>
                  <w:sz w:val="22"/>
                  <w:szCs w:val="22"/>
                </w:rPr>
                <w:fldChar w:fldCharType="separate"/>
              </w:r>
              <w:r>
                <w:rPr>
                  <w:rFonts w:ascii="Didot" w:hAnsi="Didot" w:cs="Didot"/>
                  <w:noProof/>
                  <w:sz w:val="22"/>
                  <w:szCs w:val="22"/>
                </w:rPr>
                <w:t>5</w:t>
              </w:r>
              <w:r w:rsidRPr="00920075">
                <w:rPr>
                  <w:rFonts w:ascii="Didot" w:hAnsi="Didot" w:cs="Didot"/>
                  <w:noProof/>
                  <w:sz w:val="22"/>
                  <w:szCs w:val="22"/>
                </w:rPr>
                <w:fldChar w:fldCharType="end"/>
              </w:r>
            </w:p>
          </w:tc>
        </w:tr>
      </w:tbl>
    </w:sdtContent>
  </w:sdt>
  <w:p w14:paraId="3F077B3E" w14:textId="77777777" w:rsidR="0004100F" w:rsidRPr="00C24528" w:rsidRDefault="0004100F" w:rsidP="005E16C9">
    <w:pPr>
      <w:jc w:val="left"/>
      <w:rPr>
        <w:rFont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C535" w14:textId="77777777" w:rsidR="0033541D" w:rsidRDefault="0033541D" w:rsidP="00B06DD8">
      <w:r>
        <w:separator/>
      </w:r>
    </w:p>
  </w:footnote>
  <w:footnote w:type="continuationSeparator" w:id="0">
    <w:p w14:paraId="313BC1F7" w14:textId="77777777" w:rsidR="0033541D" w:rsidRDefault="0033541D" w:rsidP="00B06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8" w:space="0" w:color="808080" w:themeColor="background1" w:themeShade="80"/>
        <w:insideH w:val="single" w:sz="18" w:space="0" w:color="808080" w:themeColor="background1" w:themeShade="80"/>
        <w:insideV w:val="single" w:sz="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8"/>
      <w:gridCol w:w="1130"/>
    </w:tblGrid>
    <w:tr w:rsidR="0004100F" w14:paraId="73DD3862" w14:textId="77777777" w:rsidTr="007B6C6C">
      <w:trPr>
        <w:trHeight w:val="212"/>
      </w:trPr>
      <w:sdt>
        <w:sdtPr>
          <w:rPr>
            <w:rFonts w:ascii="Didot" w:eastAsiaTheme="majorEastAsia" w:hAnsi="Didot" w:cs="Didot"/>
            <w:sz w:val="16"/>
            <w:szCs w:val="16"/>
          </w:rPr>
          <w:alias w:val="Título"/>
          <w:id w:val="77761602"/>
          <w:placeholder>
            <w:docPart w:val="547F3756E2273444BA1203ADC74A5675"/>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3574E64E" w14:textId="0F9A4649" w:rsidR="0004100F" w:rsidRDefault="0004100F" w:rsidP="00920075">
              <w:pPr>
                <w:spacing w:after="0"/>
                <w:jc w:val="right"/>
                <w:rPr>
                  <w:rFonts w:asciiTheme="majorHAnsi" w:eastAsiaTheme="majorEastAsia" w:hAnsiTheme="majorHAnsi" w:cstheme="majorBidi"/>
                  <w:sz w:val="36"/>
                  <w:szCs w:val="36"/>
                </w:rPr>
              </w:pPr>
              <w:r w:rsidRPr="007B6C6C">
                <w:rPr>
                  <w:rFonts w:ascii="Didot" w:eastAsiaTheme="majorEastAsia" w:hAnsi="Didot" w:cs="Didot"/>
                  <w:sz w:val="16"/>
                  <w:szCs w:val="16"/>
                  <w:lang w:val="es-EC"/>
                </w:rPr>
                <w:t xml:space="preserve">Proyecto de </w:t>
              </w:r>
              <w:r w:rsidRPr="007B6C6C">
                <w:rPr>
                  <w:rFonts w:ascii="Didot" w:hAnsi="Didot" w:cs="Didot"/>
                  <w:color w:val="auto"/>
                  <w:sz w:val="16"/>
                  <w:szCs w:val="16"/>
                  <w:lang w:val="es-EC" w:eastAsia="ja-JP" w:bidi="ar-SA"/>
                </w:rPr>
                <w:t xml:space="preserve">Ordenanza reformatoria a la Ordenanza número </w:t>
              </w:r>
              <w:r w:rsidR="00390948">
                <w:rPr>
                  <w:rFonts w:ascii="Didot" w:hAnsi="Didot" w:cs="Didot"/>
                  <w:color w:val="auto"/>
                  <w:sz w:val="16"/>
                  <w:szCs w:val="16"/>
                  <w:lang w:val="es-EC" w:eastAsia="ja-JP" w:bidi="ar-SA"/>
                </w:rPr>
                <w:t>3446</w:t>
              </w:r>
              <w:r w:rsidRPr="007B6C6C">
                <w:rPr>
                  <w:rFonts w:ascii="Didot" w:hAnsi="Didot" w:cs="Didot"/>
                  <w:color w:val="auto"/>
                  <w:sz w:val="16"/>
                  <w:szCs w:val="16"/>
                  <w:lang w:val="es-EC" w:eastAsia="ja-JP" w:bidi="ar-SA"/>
                </w:rPr>
                <w:t>, de 2</w:t>
              </w:r>
              <w:r w:rsidR="00390948">
                <w:rPr>
                  <w:rFonts w:ascii="Didot" w:hAnsi="Didot" w:cs="Didot"/>
                  <w:color w:val="auto"/>
                  <w:sz w:val="16"/>
                  <w:szCs w:val="16"/>
                  <w:lang w:val="es-EC" w:eastAsia="ja-JP" w:bidi="ar-SA"/>
                </w:rPr>
                <w:t xml:space="preserve">7 </w:t>
              </w:r>
              <w:r w:rsidRPr="007B6C6C">
                <w:rPr>
                  <w:rFonts w:ascii="Didot" w:hAnsi="Didot" w:cs="Didot"/>
                  <w:color w:val="auto"/>
                  <w:sz w:val="16"/>
                  <w:szCs w:val="16"/>
                  <w:lang w:val="es-EC" w:eastAsia="ja-JP" w:bidi="ar-SA"/>
                </w:rPr>
                <w:t xml:space="preserve">de </w:t>
              </w:r>
              <w:r w:rsidR="00390948">
                <w:rPr>
                  <w:rFonts w:ascii="Didot" w:hAnsi="Didot" w:cs="Didot"/>
                  <w:color w:val="auto"/>
                  <w:sz w:val="16"/>
                  <w:szCs w:val="16"/>
                  <w:lang w:val="es-EC" w:eastAsia="ja-JP" w:bidi="ar-SA"/>
                </w:rPr>
                <w:t>marzo</w:t>
              </w:r>
              <w:r w:rsidRPr="007B6C6C">
                <w:rPr>
                  <w:rFonts w:ascii="Didot" w:hAnsi="Didot" w:cs="Didot"/>
                  <w:color w:val="auto"/>
                  <w:sz w:val="16"/>
                  <w:szCs w:val="16"/>
                  <w:lang w:val="es-EC" w:eastAsia="ja-JP" w:bidi="ar-SA"/>
                </w:rPr>
                <w:t xml:space="preserve"> de 20</w:t>
              </w:r>
              <w:r w:rsidR="00390948">
                <w:rPr>
                  <w:rFonts w:ascii="Didot" w:hAnsi="Didot" w:cs="Didot"/>
                  <w:color w:val="auto"/>
                  <w:sz w:val="16"/>
                  <w:szCs w:val="16"/>
                  <w:lang w:val="es-EC" w:eastAsia="ja-JP" w:bidi="ar-SA"/>
                </w:rPr>
                <w:t>03</w:t>
              </w:r>
            </w:p>
          </w:tc>
        </w:sdtContent>
      </w:sdt>
      <w:sdt>
        <w:sdtPr>
          <w:rPr>
            <w:rFonts w:asciiTheme="majorHAnsi" w:eastAsiaTheme="majorEastAsia" w:hAnsiTheme="majorHAnsi" w:cstheme="majorBidi"/>
            <w:b/>
            <w:bCs/>
            <w:color w:val="990000" w:themeColor="accent1"/>
            <w:sz w:val="16"/>
            <w:szCs w:val="16"/>
          </w:rPr>
          <w:alias w:val="Año"/>
          <w:id w:val="77761609"/>
          <w:placeholder>
            <w:docPart w:val="00EDBAB947C55842B7F6FF277C5B344B"/>
          </w:placeholder>
          <w:dataBinding w:prefixMappings="xmlns:ns0='http://schemas.microsoft.com/office/2006/coverPageProps'" w:xpath="/ns0:CoverPageProperties[1]/ns0:PublishDate[1]" w:storeItemID="{55AF091B-3C7A-41E3-B477-F2FDAA23CFDA}"/>
          <w:date w:fullDate="2021-01-01T00:00:00Z">
            <w:dateFormat w:val="yyyy"/>
            <w:lid w:val="es-ES"/>
            <w:storeMappedDataAs w:val="dateTime"/>
            <w:calendar w:val="gregorian"/>
          </w:date>
        </w:sdtPr>
        <w:sdtEndPr/>
        <w:sdtContent>
          <w:tc>
            <w:tcPr>
              <w:tcW w:w="1105" w:type="dxa"/>
            </w:tcPr>
            <w:p w14:paraId="60B3FC26" w14:textId="021FF755" w:rsidR="0004100F" w:rsidRDefault="0004100F" w:rsidP="00920075">
              <w:pPr>
                <w:spacing w:after="0"/>
                <w:rPr>
                  <w:rFonts w:asciiTheme="majorHAnsi" w:eastAsiaTheme="majorEastAsia" w:hAnsiTheme="majorHAnsi" w:cstheme="majorBidi"/>
                  <w:b/>
                  <w:bCs/>
                  <w:color w:val="990000" w:themeColor="accent1"/>
                  <w:sz w:val="36"/>
                  <w:szCs w:val="36"/>
                </w:rPr>
              </w:pPr>
              <w:r>
                <w:rPr>
                  <w:rFonts w:asciiTheme="majorHAnsi" w:eastAsiaTheme="majorEastAsia" w:hAnsiTheme="majorHAnsi" w:cstheme="majorBidi"/>
                  <w:b/>
                  <w:bCs/>
                  <w:color w:val="990000" w:themeColor="accent1"/>
                  <w:sz w:val="16"/>
                  <w:szCs w:val="16"/>
                  <w:lang w:val="es-ES"/>
                </w:rPr>
                <w:t>20</w:t>
              </w:r>
              <w:r w:rsidR="00390948">
                <w:rPr>
                  <w:rFonts w:asciiTheme="majorHAnsi" w:eastAsiaTheme="majorEastAsia" w:hAnsiTheme="majorHAnsi" w:cstheme="majorBidi"/>
                  <w:b/>
                  <w:bCs/>
                  <w:color w:val="990000" w:themeColor="accent1"/>
                  <w:sz w:val="16"/>
                  <w:szCs w:val="16"/>
                  <w:lang w:val="es-ES"/>
                </w:rPr>
                <w:t>21</w:t>
              </w:r>
            </w:p>
          </w:tc>
        </w:sdtContent>
      </w:sdt>
    </w:tr>
  </w:tbl>
  <w:p w14:paraId="08C90E1A" w14:textId="77777777" w:rsidR="0004100F" w:rsidRPr="00B06DD8" w:rsidRDefault="0033541D">
    <w:pPr>
      <w:rPr>
        <w:rFonts w:ascii="Bookman Old Style" w:hAnsi="Bookman Old Style"/>
      </w:rPr>
    </w:pPr>
    <w:sdt>
      <w:sdtPr>
        <w:id w:val="60889983"/>
        <w:docPartObj>
          <w:docPartGallery w:val="Watermarks"/>
          <w:docPartUnique/>
        </w:docPartObj>
      </w:sdtPr>
      <w:sdtEndPr/>
      <w:sdtContent>
        <w:r>
          <w:rPr>
            <w:noProof/>
            <w:lang w:val="es-ES" w:eastAsia="zh-TW"/>
          </w:rPr>
          <w:pict w14:anchorId="3FBF7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4CA73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44AE8F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888849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C24065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472258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CA8B42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D1AB9E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CE680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6CFE1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70A0CC6"/>
    <w:lvl w:ilvl="0">
      <w:start w:val="1"/>
      <w:numFmt w:val="decimal"/>
      <w:lvlText w:val="%1."/>
      <w:lvlJc w:val="left"/>
      <w:pPr>
        <w:tabs>
          <w:tab w:val="num" w:pos="360"/>
        </w:tabs>
        <w:ind w:left="360" w:hanging="360"/>
      </w:pPr>
    </w:lvl>
  </w:abstractNum>
  <w:abstractNum w:abstractNumId="10" w15:restartNumberingAfterBreak="0">
    <w:nsid w:val="00000003"/>
    <w:multiLevelType w:val="multilevel"/>
    <w:tmpl w:val="00000003"/>
    <w:name w:val="WW8Num3"/>
    <w:lvl w:ilvl="0">
      <w:start w:val="1"/>
      <w:numFmt w:val="decimal"/>
      <w:lvlText w:val="%1."/>
      <w:lvlJc w:val="left"/>
      <w:pPr>
        <w:tabs>
          <w:tab w:val="num" w:pos="765"/>
        </w:tabs>
        <w:ind w:left="76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53855DA"/>
    <w:multiLevelType w:val="multilevel"/>
    <w:tmpl w:val="2A021DC8"/>
    <w:name w:val="Título 1224"/>
    <w:lvl w:ilvl="0">
      <w:start w:val="1"/>
      <w:numFmt w:val="decimal"/>
      <w:suff w:val="space"/>
      <w:lvlText w:val="Artículo %1.-"/>
      <w:lvlJc w:val="left"/>
      <w:pPr>
        <w:ind w:left="0" w:firstLine="0"/>
      </w:pPr>
      <w:rPr>
        <w:rFonts w:ascii="Goudy Old Style" w:hAnsi="Goudy Old Style" w:hint="default"/>
        <w:b/>
        <w:i w:val="0"/>
        <w:sz w:val="22"/>
      </w:rPr>
    </w:lvl>
    <w:lvl w:ilvl="1">
      <w:start w:val="1"/>
      <w:numFmt w:val="decimal"/>
      <w:suff w:val="space"/>
      <w:lvlText w:val="§%2. "/>
      <w:lvlJc w:val="left"/>
      <w:pPr>
        <w:ind w:left="0" w:firstLine="0"/>
      </w:pPr>
      <w:rPr>
        <w:rFonts w:ascii="Goudy Old Style" w:hAnsi="Goudy Old Style" w:hint="default"/>
        <w:b w:val="0"/>
        <w:i w:val="0"/>
        <w:sz w:val="18"/>
      </w:rPr>
    </w:lvl>
    <w:lvl w:ilvl="2">
      <w:start w:val="1"/>
      <w:numFmt w:val="lowerLetter"/>
      <w:suff w:val="space"/>
      <w:lvlText w:val="(%3)"/>
      <w:lvlJc w:val="left"/>
      <w:pPr>
        <w:ind w:left="567" w:firstLine="0"/>
      </w:pPr>
      <w:rPr>
        <w:rFonts w:ascii="Goudy Old Style" w:hAnsi="Goudy Old Style" w:hint="default"/>
        <w:b w:val="0"/>
        <w:i w:val="0"/>
        <w:sz w:val="22"/>
      </w:rPr>
    </w:lvl>
    <w:lvl w:ilvl="3">
      <w:start w:val="1"/>
      <w:numFmt w:val="lowerRoman"/>
      <w:lvlText w:val="(%4)"/>
      <w:lvlJc w:val="left"/>
      <w:pPr>
        <w:ind w:left="1134" w:hanging="567"/>
      </w:pPr>
      <w:rPr>
        <w:rFonts w:ascii="Goudy Old Style" w:hAnsi="Goudy Old Style"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BFB5999"/>
    <w:multiLevelType w:val="multilevel"/>
    <w:tmpl w:val="EF9CE5DA"/>
    <w:name w:val="Título 12"/>
    <w:lvl w:ilvl="0">
      <w:start w:val="1"/>
      <w:numFmt w:val="decimal"/>
      <w:lvlText w:val="Artículo %1.-"/>
      <w:lvlJc w:val="left"/>
      <w:pPr>
        <w:tabs>
          <w:tab w:val="num" w:pos="170"/>
        </w:tabs>
        <w:ind w:left="0" w:firstLine="0"/>
      </w:pPr>
      <w:rPr>
        <w:rFonts w:hint="default"/>
      </w:rPr>
    </w:lvl>
    <w:lvl w:ilvl="1">
      <w:start w:val="1"/>
      <w:numFmt w:val="none"/>
      <w:lvlText w:val="§ 1."/>
      <w:lvlJc w:val="left"/>
      <w:pPr>
        <w:tabs>
          <w:tab w:val="num" w:pos="170"/>
        </w:tabs>
        <w:ind w:left="0" w:firstLine="0"/>
      </w:pPr>
      <w:rPr>
        <w:rFonts w:hint="default"/>
        <w:b/>
      </w:rPr>
    </w:lvl>
    <w:lvl w:ilvl="2">
      <w:start w:val="1"/>
      <w:numFmt w:val="lowerLetter"/>
      <w:lvlText w:val="(%3)"/>
      <w:lvlJc w:val="left"/>
      <w:pPr>
        <w:tabs>
          <w:tab w:val="num" w:pos="340"/>
        </w:tabs>
        <w:ind w:left="567" w:hanging="567"/>
      </w:pPr>
      <w:rPr>
        <w:rFonts w:hint="default"/>
        <w:b/>
      </w:rPr>
    </w:lvl>
    <w:lvl w:ilvl="3">
      <w:start w:val="1"/>
      <w:numFmt w:val="lowerRoman"/>
      <w:lvlText w:val="(%4)"/>
      <w:lvlJc w:val="left"/>
      <w:pPr>
        <w:ind w:left="1134"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DB62C6"/>
    <w:multiLevelType w:val="multilevel"/>
    <w:tmpl w:val="697EA8C4"/>
    <w:numStyleLink w:val="Textonormativo"/>
  </w:abstractNum>
  <w:abstractNum w:abstractNumId="14" w15:restartNumberingAfterBreak="0">
    <w:nsid w:val="16D10337"/>
    <w:multiLevelType w:val="multilevel"/>
    <w:tmpl w:val="2A021DC8"/>
    <w:name w:val="Título 1226"/>
    <w:lvl w:ilvl="0">
      <w:start w:val="1"/>
      <w:numFmt w:val="decimal"/>
      <w:suff w:val="space"/>
      <w:lvlText w:val="Artículo %1.-"/>
      <w:lvlJc w:val="left"/>
      <w:pPr>
        <w:ind w:left="0" w:firstLine="0"/>
      </w:pPr>
      <w:rPr>
        <w:rFonts w:ascii="Goudy Old Style" w:hAnsi="Goudy Old Style" w:hint="default"/>
        <w:b/>
        <w:i w:val="0"/>
        <w:sz w:val="22"/>
      </w:rPr>
    </w:lvl>
    <w:lvl w:ilvl="1">
      <w:start w:val="1"/>
      <w:numFmt w:val="decimal"/>
      <w:suff w:val="space"/>
      <w:lvlText w:val="§%2. "/>
      <w:lvlJc w:val="left"/>
      <w:pPr>
        <w:ind w:left="0" w:firstLine="0"/>
      </w:pPr>
      <w:rPr>
        <w:rFonts w:ascii="Goudy Old Style" w:hAnsi="Goudy Old Style" w:hint="default"/>
        <w:b w:val="0"/>
        <w:i w:val="0"/>
        <w:sz w:val="18"/>
      </w:rPr>
    </w:lvl>
    <w:lvl w:ilvl="2">
      <w:start w:val="1"/>
      <w:numFmt w:val="lowerLetter"/>
      <w:suff w:val="space"/>
      <w:lvlText w:val="(%3)"/>
      <w:lvlJc w:val="left"/>
      <w:pPr>
        <w:ind w:left="567" w:firstLine="0"/>
      </w:pPr>
      <w:rPr>
        <w:rFonts w:ascii="Goudy Old Style" w:hAnsi="Goudy Old Style" w:hint="default"/>
        <w:b w:val="0"/>
        <w:i w:val="0"/>
        <w:sz w:val="22"/>
      </w:rPr>
    </w:lvl>
    <w:lvl w:ilvl="3">
      <w:start w:val="1"/>
      <w:numFmt w:val="lowerRoman"/>
      <w:lvlText w:val="(%4)"/>
      <w:lvlJc w:val="left"/>
      <w:pPr>
        <w:ind w:left="1134" w:hanging="567"/>
      </w:pPr>
      <w:rPr>
        <w:rFonts w:ascii="Goudy Old Style" w:hAnsi="Goudy Old Style"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120205"/>
    <w:multiLevelType w:val="hybridMultilevel"/>
    <w:tmpl w:val="C8588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A019DA"/>
    <w:multiLevelType w:val="multilevel"/>
    <w:tmpl w:val="252E9B08"/>
    <w:lvl w:ilvl="0">
      <w:start w:val="1"/>
      <w:numFmt w:val="decimal"/>
      <w:pStyle w:val="Prrafodelista"/>
      <w:lvlText w:val="%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418"/>
        </w:tabs>
        <w:ind w:left="1418" w:hanging="284"/>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21724AB1"/>
    <w:multiLevelType w:val="hybridMultilevel"/>
    <w:tmpl w:val="80EC5810"/>
    <w:name w:val="Título 1"/>
    <w:lvl w:ilvl="0" w:tplc="0409000F">
      <w:start w:val="1"/>
      <w:numFmt w:val="decimal"/>
      <w:lvlText w:val="%1."/>
      <w:lvlJc w:val="left"/>
      <w:pPr>
        <w:ind w:left="720" w:hanging="360"/>
      </w:pPr>
    </w:lvl>
    <w:lvl w:ilvl="1" w:tplc="EA160E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C38F7"/>
    <w:multiLevelType w:val="multilevel"/>
    <w:tmpl w:val="2A021DC8"/>
    <w:name w:val="Título 1226222"/>
    <w:lvl w:ilvl="0">
      <w:start w:val="1"/>
      <w:numFmt w:val="decimal"/>
      <w:suff w:val="space"/>
      <w:lvlText w:val="Artículo %1.-"/>
      <w:lvlJc w:val="left"/>
      <w:pPr>
        <w:ind w:left="0" w:firstLine="0"/>
      </w:pPr>
      <w:rPr>
        <w:rFonts w:ascii="Goudy Old Style" w:hAnsi="Goudy Old Style" w:hint="default"/>
        <w:b/>
        <w:i w:val="0"/>
        <w:sz w:val="22"/>
      </w:rPr>
    </w:lvl>
    <w:lvl w:ilvl="1">
      <w:start w:val="1"/>
      <w:numFmt w:val="decimal"/>
      <w:suff w:val="space"/>
      <w:lvlText w:val="§%2. "/>
      <w:lvlJc w:val="left"/>
      <w:pPr>
        <w:ind w:left="0" w:firstLine="0"/>
      </w:pPr>
      <w:rPr>
        <w:rFonts w:ascii="Goudy Old Style" w:hAnsi="Goudy Old Style" w:hint="default"/>
        <w:b w:val="0"/>
        <w:i w:val="0"/>
        <w:sz w:val="18"/>
      </w:rPr>
    </w:lvl>
    <w:lvl w:ilvl="2">
      <w:start w:val="1"/>
      <w:numFmt w:val="lowerLetter"/>
      <w:suff w:val="space"/>
      <w:lvlText w:val="(%3)"/>
      <w:lvlJc w:val="left"/>
      <w:pPr>
        <w:ind w:left="567" w:firstLine="0"/>
      </w:pPr>
      <w:rPr>
        <w:rFonts w:ascii="Goudy Old Style" w:hAnsi="Goudy Old Style" w:hint="default"/>
        <w:b w:val="0"/>
        <w:i w:val="0"/>
        <w:sz w:val="22"/>
      </w:rPr>
    </w:lvl>
    <w:lvl w:ilvl="3">
      <w:start w:val="1"/>
      <w:numFmt w:val="lowerRoman"/>
      <w:lvlText w:val="(%4)"/>
      <w:lvlJc w:val="left"/>
      <w:pPr>
        <w:ind w:left="1134" w:hanging="567"/>
      </w:pPr>
      <w:rPr>
        <w:rFonts w:ascii="Goudy Old Style" w:hAnsi="Goudy Old Style"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515A8B"/>
    <w:multiLevelType w:val="multilevel"/>
    <w:tmpl w:val="2A021DC8"/>
    <w:name w:val="Título 1226222"/>
    <w:lvl w:ilvl="0">
      <w:start w:val="49"/>
      <w:numFmt w:val="decimal"/>
      <w:suff w:val="space"/>
      <w:lvlText w:val="Artículo %1.-"/>
      <w:lvlJc w:val="left"/>
      <w:pPr>
        <w:ind w:left="0" w:firstLine="0"/>
      </w:pPr>
      <w:rPr>
        <w:rFonts w:ascii="Goudy Old Style" w:hAnsi="Goudy Old Style" w:hint="default"/>
        <w:b/>
        <w:i w:val="0"/>
        <w:sz w:val="22"/>
      </w:rPr>
    </w:lvl>
    <w:lvl w:ilvl="1">
      <w:start w:val="1"/>
      <w:numFmt w:val="decimal"/>
      <w:suff w:val="space"/>
      <w:lvlText w:val="§%2. "/>
      <w:lvlJc w:val="left"/>
      <w:pPr>
        <w:ind w:left="0" w:firstLine="0"/>
      </w:pPr>
      <w:rPr>
        <w:rFonts w:ascii="Goudy Old Style" w:hAnsi="Goudy Old Style" w:hint="default"/>
        <w:b w:val="0"/>
        <w:i w:val="0"/>
        <w:sz w:val="18"/>
      </w:rPr>
    </w:lvl>
    <w:lvl w:ilvl="2">
      <w:start w:val="1"/>
      <w:numFmt w:val="lowerLetter"/>
      <w:suff w:val="space"/>
      <w:lvlText w:val="(%3)"/>
      <w:lvlJc w:val="left"/>
      <w:pPr>
        <w:ind w:left="567" w:firstLine="0"/>
      </w:pPr>
      <w:rPr>
        <w:rFonts w:ascii="Goudy Old Style" w:hAnsi="Goudy Old Style" w:hint="default"/>
        <w:b w:val="0"/>
        <w:i w:val="0"/>
        <w:sz w:val="22"/>
      </w:rPr>
    </w:lvl>
    <w:lvl w:ilvl="3">
      <w:start w:val="1"/>
      <w:numFmt w:val="lowerRoman"/>
      <w:lvlText w:val="(%4)"/>
      <w:lvlJc w:val="left"/>
      <w:pPr>
        <w:ind w:left="1134" w:hanging="567"/>
      </w:pPr>
      <w:rPr>
        <w:rFonts w:ascii="Goudy Old Style" w:hAnsi="Goudy Old Style"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5A4006C"/>
    <w:multiLevelType w:val="multilevel"/>
    <w:tmpl w:val="2C32C34C"/>
    <w:lvl w:ilvl="0">
      <w:start w:val="1"/>
      <w:numFmt w:val="decimal"/>
      <w:suff w:val="space"/>
      <w:lvlText w:val="Artículo %1.-"/>
      <w:lvlJc w:val="left"/>
      <w:pPr>
        <w:ind w:left="0" w:firstLine="0"/>
      </w:pPr>
      <w:rPr>
        <w:rFonts w:ascii="Adobe Garamond Pro" w:hAnsi="Adobe Garamond Pro" w:hint="default"/>
        <w:b/>
        <w:i w:val="0"/>
        <w:sz w:val="25"/>
        <w:szCs w:val="25"/>
      </w:rPr>
    </w:lvl>
    <w:lvl w:ilvl="1">
      <w:start w:val="1"/>
      <w:numFmt w:val="decimal"/>
      <w:suff w:val="space"/>
      <w:lvlText w:val="%2. "/>
      <w:lvlJc w:val="left"/>
      <w:pPr>
        <w:ind w:left="0" w:firstLine="0"/>
      </w:pPr>
      <w:rPr>
        <w:rFonts w:ascii="Garamond" w:hAnsi="Garamond" w:hint="default"/>
        <w:b w:val="0"/>
        <w:bCs w:val="0"/>
        <w:i w:val="0"/>
        <w:iCs w:val="0"/>
        <w:color w:val="auto"/>
        <w:sz w:val="24"/>
        <w:szCs w:val="24"/>
      </w:rPr>
    </w:lvl>
    <w:lvl w:ilvl="2">
      <w:start w:val="1"/>
      <w:numFmt w:val="lowerLetter"/>
      <w:suff w:val="space"/>
      <w:lvlText w:val="(%3)"/>
      <w:lvlJc w:val="left"/>
      <w:pPr>
        <w:ind w:left="567" w:firstLine="0"/>
      </w:pPr>
      <w:rPr>
        <w:rFonts w:ascii="Goudy Old Style" w:hAnsi="Goudy Old Style" w:hint="default"/>
        <w:b w:val="0"/>
        <w:i w:val="0"/>
        <w:sz w:val="22"/>
      </w:rPr>
    </w:lvl>
    <w:lvl w:ilvl="3">
      <w:start w:val="1"/>
      <w:numFmt w:val="lowerRoman"/>
      <w:lvlText w:val="(%4)"/>
      <w:lvlJc w:val="left"/>
      <w:pPr>
        <w:ind w:left="1134" w:hanging="283"/>
      </w:pPr>
      <w:rPr>
        <w:rFonts w:ascii="Goudy Old Style" w:hAnsi="Goudy Old Style"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AB270B"/>
    <w:multiLevelType w:val="hybridMultilevel"/>
    <w:tmpl w:val="FD22A9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0B78DD"/>
    <w:multiLevelType w:val="multilevel"/>
    <w:tmpl w:val="697EA8C4"/>
    <w:styleLink w:val="Textonormativo"/>
    <w:lvl w:ilvl="0">
      <w:start w:val="1"/>
      <w:numFmt w:val="decimal"/>
      <w:pStyle w:val="Etiqueta"/>
      <w:lvlText w:val="Artículo %1.-"/>
      <w:lvlJc w:val="left"/>
      <w:pPr>
        <w:tabs>
          <w:tab w:val="num" w:pos="1559"/>
        </w:tabs>
        <w:ind w:left="0" w:firstLine="0"/>
      </w:pPr>
      <w:rPr>
        <w:rFonts w:hint="default"/>
        <w:b/>
        <w:sz w:val="25"/>
      </w:rPr>
    </w:lvl>
    <w:lvl w:ilvl="1">
      <w:start w:val="1"/>
      <w:numFmt w:val="decimal"/>
      <w:lvlText w:val="%2. "/>
      <w:lvlJc w:val="left"/>
      <w:pPr>
        <w:tabs>
          <w:tab w:val="num" w:pos="284"/>
        </w:tabs>
        <w:ind w:left="0" w:firstLine="0"/>
      </w:pPr>
      <w:rPr>
        <w:rFonts w:hint="default"/>
        <w:b w:val="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559"/>
        </w:tabs>
        <w:ind w:left="1559" w:hanging="425"/>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23" w15:restartNumberingAfterBreak="0">
    <w:nsid w:val="428766A6"/>
    <w:multiLevelType w:val="multilevel"/>
    <w:tmpl w:val="2A021DC8"/>
    <w:name w:val="Título 122622"/>
    <w:lvl w:ilvl="0">
      <w:start w:val="1"/>
      <w:numFmt w:val="decimal"/>
      <w:suff w:val="space"/>
      <w:lvlText w:val="Artículo %1.-"/>
      <w:lvlJc w:val="left"/>
      <w:pPr>
        <w:ind w:left="0" w:firstLine="0"/>
      </w:pPr>
      <w:rPr>
        <w:rFonts w:ascii="Goudy Old Style" w:hAnsi="Goudy Old Style" w:hint="default"/>
        <w:b/>
        <w:i w:val="0"/>
        <w:sz w:val="22"/>
      </w:rPr>
    </w:lvl>
    <w:lvl w:ilvl="1">
      <w:start w:val="1"/>
      <w:numFmt w:val="decimal"/>
      <w:suff w:val="space"/>
      <w:lvlText w:val="§%2. "/>
      <w:lvlJc w:val="left"/>
      <w:pPr>
        <w:ind w:left="0" w:firstLine="0"/>
      </w:pPr>
      <w:rPr>
        <w:rFonts w:ascii="Goudy Old Style" w:hAnsi="Goudy Old Style" w:hint="default"/>
        <w:b w:val="0"/>
        <w:i w:val="0"/>
        <w:sz w:val="18"/>
      </w:rPr>
    </w:lvl>
    <w:lvl w:ilvl="2">
      <w:start w:val="1"/>
      <w:numFmt w:val="lowerLetter"/>
      <w:suff w:val="space"/>
      <w:lvlText w:val="(%3)"/>
      <w:lvlJc w:val="left"/>
      <w:pPr>
        <w:ind w:left="567" w:firstLine="0"/>
      </w:pPr>
      <w:rPr>
        <w:rFonts w:ascii="Goudy Old Style" w:hAnsi="Goudy Old Style" w:hint="default"/>
        <w:b w:val="0"/>
        <w:i w:val="0"/>
        <w:sz w:val="22"/>
      </w:rPr>
    </w:lvl>
    <w:lvl w:ilvl="3">
      <w:start w:val="1"/>
      <w:numFmt w:val="lowerRoman"/>
      <w:lvlText w:val="(%4)"/>
      <w:lvlJc w:val="left"/>
      <w:pPr>
        <w:ind w:left="1134" w:hanging="567"/>
      </w:pPr>
      <w:rPr>
        <w:rFonts w:ascii="Goudy Old Style" w:hAnsi="Goudy Old Style"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7250B6"/>
    <w:multiLevelType w:val="hybridMultilevel"/>
    <w:tmpl w:val="F606D5C0"/>
    <w:lvl w:ilvl="0" w:tplc="393C20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F74C7"/>
    <w:multiLevelType w:val="hybridMultilevel"/>
    <w:tmpl w:val="F7503D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E06047A"/>
    <w:multiLevelType w:val="multilevel"/>
    <w:tmpl w:val="2A021DC8"/>
    <w:name w:val="Título 122222"/>
    <w:lvl w:ilvl="0">
      <w:start w:val="1"/>
      <w:numFmt w:val="decimal"/>
      <w:suff w:val="space"/>
      <w:lvlText w:val="Artículo %1.-"/>
      <w:lvlJc w:val="left"/>
      <w:pPr>
        <w:ind w:left="0" w:firstLine="0"/>
      </w:pPr>
      <w:rPr>
        <w:rFonts w:ascii="Goudy Old Style" w:hAnsi="Goudy Old Style" w:hint="default"/>
        <w:b/>
        <w:i w:val="0"/>
        <w:sz w:val="22"/>
      </w:rPr>
    </w:lvl>
    <w:lvl w:ilvl="1">
      <w:start w:val="1"/>
      <w:numFmt w:val="decimal"/>
      <w:suff w:val="space"/>
      <w:lvlText w:val="§%2. "/>
      <w:lvlJc w:val="left"/>
      <w:pPr>
        <w:ind w:left="0" w:firstLine="0"/>
      </w:pPr>
      <w:rPr>
        <w:rFonts w:ascii="Goudy Old Style" w:hAnsi="Goudy Old Style" w:hint="default"/>
        <w:b w:val="0"/>
        <w:i w:val="0"/>
        <w:sz w:val="18"/>
      </w:rPr>
    </w:lvl>
    <w:lvl w:ilvl="2">
      <w:start w:val="1"/>
      <w:numFmt w:val="lowerLetter"/>
      <w:suff w:val="space"/>
      <w:lvlText w:val="(%3)"/>
      <w:lvlJc w:val="left"/>
      <w:pPr>
        <w:ind w:left="567" w:firstLine="0"/>
      </w:pPr>
      <w:rPr>
        <w:rFonts w:ascii="Goudy Old Style" w:hAnsi="Goudy Old Style" w:hint="default"/>
        <w:b w:val="0"/>
        <w:i w:val="0"/>
        <w:sz w:val="22"/>
      </w:rPr>
    </w:lvl>
    <w:lvl w:ilvl="3">
      <w:start w:val="1"/>
      <w:numFmt w:val="lowerRoman"/>
      <w:lvlText w:val="(%4)"/>
      <w:lvlJc w:val="left"/>
      <w:pPr>
        <w:ind w:left="1134" w:hanging="567"/>
      </w:pPr>
      <w:rPr>
        <w:rFonts w:ascii="Goudy Old Style" w:hAnsi="Goudy Old Style"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1412E7"/>
    <w:multiLevelType w:val="multilevel"/>
    <w:tmpl w:val="2A021DC8"/>
    <w:name w:val="Título 1225"/>
    <w:lvl w:ilvl="0">
      <w:start w:val="1"/>
      <w:numFmt w:val="decimal"/>
      <w:suff w:val="space"/>
      <w:lvlText w:val="Artículo %1.-"/>
      <w:lvlJc w:val="left"/>
      <w:pPr>
        <w:ind w:left="0" w:firstLine="0"/>
      </w:pPr>
      <w:rPr>
        <w:rFonts w:ascii="Goudy Old Style" w:hAnsi="Goudy Old Style" w:hint="default"/>
        <w:b/>
        <w:i w:val="0"/>
        <w:sz w:val="22"/>
      </w:rPr>
    </w:lvl>
    <w:lvl w:ilvl="1">
      <w:start w:val="1"/>
      <w:numFmt w:val="decimal"/>
      <w:suff w:val="space"/>
      <w:lvlText w:val="§%2. "/>
      <w:lvlJc w:val="left"/>
      <w:pPr>
        <w:ind w:left="0" w:firstLine="0"/>
      </w:pPr>
      <w:rPr>
        <w:rFonts w:ascii="Goudy Old Style" w:hAnsi="Goudy Old Style" w:hint="default"/>
        <w:b w:val="0"/>
        <w:i w:val="0"/>
        <w:sz w:val="18"/>
      </w:rPr>
    </w:lvl>
    <w:lvl w:ilvl="2">
      <w:start w:val="1"/>
      <w:numFmt w:val="lowerLetter"/>
      <w:suff w:val="space"/>
      <w:lvlText w:val="(%3)"/>
      <w:lvlJc w:val="left"/>
      <w:pPr>
        <w:ind w:left="567" w:firstLine="0"/>
      </w:pPr>
      <w:rPr>
        <w:rFonts w:ascii="Goudy Old Style" w:hAnsi="Goudy Old Style" w:hint="default"/>
        <w:b w:val="0"/>
        <w:i w:val="0"/>
        <w:sz w:val="22"/>
      </w:rPr>
    </w:lvl>
    <w:lvl w:ilvl="3">
      <w:start w:val="1"/>
      <w:numFmt w:val="lowerRoman"/>
      <w:lvlText w:val="(%4)"/>
      <w:lvlJc w:val="left"/>
      <w:pPr>
        <w:ind w:left="1134" w:hanging="567"/>
      </w:pPr>
      <w:rPr>
        <w:rFonts w:ascii="Goudy Old Style" w:hAnsi="Goudy Old Style"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93577F"/>
    <w:multiLevelType w:val="hybridMultilevel"/>
    <w:tmpl w:val="31724B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8EB06E4"/>
    <w:multiLevelType w:val="multilevel"/>
    <w:tmpl w:val="24B0E436"/>
    <w:lvl w:ilvl="0">
      <w:start w:val="1"/>
      <w:numFmt w:val="decimal"/>
      <w:lvlText w:val="Artículo %1.-"/>
      <w:lvlJc w:val="left"/>
      <w:pPr>
        <w:ind w:left="360" w:hanging="360"/>
      </w:pPr>
      <w:rPr>
        <w:rFonts w:hint="default"/>
        <w:b w:val="0"/>
      </w:rPr>
    </w:lvl>
    <w:lvl w:ilvl="1">
      <w:start w:val="1"/>
      <w:numFmt w:val="decimal"/>
      <w:lvlText w:val="%2. "/>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30" w15:restartNumberingAfterBreak="0">
    <w:nsid w:val="65734682"/>
    <w:multiLevelType w:val="multilevel"/>
    <w:tmpl w:val="2A021DC8"/>
    <w:name w:val="Título 1222"/>
    <w:lvl w:ilvl="0">
      <w:start w:val="1"/>
      <w:numFmt w:val="decimal"/>
      <w:suff w:val="space"/>
      <w:lvlText w:val="Artículo %1.-"/>
      <w:lvlJc w:val="left"/>
      <w:pPr>
        <w:ind w:left="0" w:firstLine="0"/>
      </w:pPr>
      <w:rPr>
        <w:rFonts w:ascii="Goudy Old Style" w:hAnsi="Goudy Old Style" w:hint="default"/>
        <w:b/>
        <w:i w:val="0"/>
        <w:sz w:val="22"/>
      </w:rPr>
    </w:lvl>
    <w:lvl w:ilvl="1">
      <w:start w:val="1"/>
      <w:numFmt w:val="decimal"/>
      <w:suff w:val="space"/>
      <w:lvlText w:val="§%2. "/>
      <w:lvlJc w:val="left"/>
      <w:pPr>
        <w:ind w:left="0" w:firstLine="0"/>
      </w:pPr>
      <w:rPr>
        <w:rFonts w:ascii="Goudy Old Style" w:hAnsi="Goudy Old Style" w:hint="default"/>
        <w:b w:val="0"/>
        <w:i w:val="0"/>
        <w:sz w:val="18"/>
      </w:rPr>
    </w:lvl>
    <w:lvl w:ilvl="2">
      <w:start w:val="1"/>
      <w:numFmt w:val="lowerLetter"/>
      <w:suff w:val="space"/>
      <w:lvlText w:val="(%3)"/>
      <w:lvlJc w:val="left"/>
      <w:pPr>
        <w:ind w:left="567" w:firstLine="0"/>
      </w:pPr>
      <w:rPr>
        <w:rFonts w:ascii="Goudy Old Style" w:hAnsi="Goudy Old Style" w:hint="default"/>
        <w:b w:val="0"/>
        <w:i w:val="0"/>
        <w:sz w:val="22"/>
      </w:rPr>
    </w:lvl>
    <w:lvl w:ilvl="3">
      <w:start w:val="1"/>
      <w:numFmt w:val="lowerRoman"/>
      <w:lvlText w:val="(%4)"/>
      <w:lvlJc w:val="left"/>
      <w:pPr>
        <w:ind w:left="1134" w:hanging="567"/>
      </w:pPr>
      <w:rPr>
        <w:rFonts w:ascii="Goudy Old Style" w:hAnsi="Goudy Old Style"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A42150"/>
    <w:multiLevelType w:val="hybridMultilevel"/>
    <w:tmpl w:val="97B20454"/>
    <w:lvl w:ilvl="0" w:tplc="D43A2FAA">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A564DA"/>
    <w:multiLevelType w:val="multilevel"/>
    <w:tmpl w:val="2A021DC8"/>
    <w:name w:val="Título 12222"/>
    <w:lvl w:ilvl="0">
      <w:start w:val="1"/>
      <w:numFmt w:val="decimal"/>
      <w:suff w:val="space"/>
      <w:lvlText w:val="Artículo %1.-"/>
      <w:lvlJc w:val="left"/>
      <w:pPr>
        <w:ind w:left="0" w:firstLine="0"/>
      </w:pPr>
      <w:rPr>
        <w:rFonts w:ascii="Goudy Old Style" w:hAnsi="Goudy Old Style" w:hint="default"/>
        <w:b/>
        <w:i w:val="0"/>
        <w:sz w:val="22"/>
      </w:rPr>
    </w:lvl>
    <w:lvl w:ilvl="1">
      <w:start w:val="1"/>
      <w:numFmt w:val="decimal"/>
      <w:suff w:val="space"/>
      <w:lvlText w:val="§%2. "/>
      <w:lvlJc w:val="left"/>
      <w:pPr>
        <w:ind w:left="0" w:firstLine="0"/>
      </w:pPr>
      <w:rPr>
        <w:rFonts w:ascii="Goudy Old Style" w:hAnsi="Goudy Old Style" w:hint="default"/>
        <w:b w:val="0"/>
        <w:i w:val="0"/>
        <w:sz w:val="18"/>
      </w:rPr>
    </w:lvl>
    <w:lvl w:ilvl="2">
      <w:start w:val="1"/>
      <w:numFmt w:val="lowerLetter"/>
      <w:suff w:val="space"/>
      <w:lvlText w:val="(%3)"/>
      <w:lvlJc w:val="left"/>
      <w:pPr>
        <w:ind w:left="567" w:firstLine="0"/>
      </w:pPr>
      <w:rPr>
        <w:rFonts w:ascii="Goudy Old Style" w:hAnsi="Goudy Old Style" w:hint="default"/>
        <w:b w:val="0"/>
        <w:i w:val="0"/>
        <w:sz w:val="22"/>
      </w:rPr>
    </w:lvl>
    <w:lvl w:ilvl="3">
      <w:start w:val="1"/>
      <w:numFmt w:val="lowerRoman"/>
      <w:lvlText w:val="(%4)"/>
      <w:lvlJc w:val="left"/>
      <w:pPr>
        <w:ind w:left="1134" w:hanging="567"/>
      </w:pPr>
      <w:rPr>
        <w:rFonts w:ascii="Goudy Old Style" w:hAnsi="Goudy Old Style"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9590F8D"/>
    <w:multiLevelType w:val="multilevel"/>
    <w:tmpl w:val="B6D480A0"/>
    <w:lvl w:ilvl="0">
      <w:start w:val="1"/>
      <w:numFmt w:val="decimal"/>
      <w:suff w:val="space"/>
      <w:lvlText w:val="Artículo %1.-"/>
      <w:lvlJc w:val="left"/>
      <w:pPr>
        <w:ind w:left="0" w:firstLine="0"/>
      </w:pPr>
      <w:rPr>
        <w:rFonts w:ascii="Goudy Old Style" w:hAnsi="Goudy Old Style" w:hint="default"/>
        <w:b/>
        <w:i w:val="0"/>
        <w:sz w:val="24"/>
        <w:szCs w:val="24"/>
      </w:rPr>
    </w:lvl>
    <w:lvl w:ilvl="1">
      <w:start w:val="1"/>
      <w:numFmt w:val="decimal"/>
      <w:suff w:val="space"/>
      <w:lvlText w:val="%2. "/>
      <w:lvlJc w:val="left"/>
      <w:pPr>
        <w:ind w:left="0" w:firstLine="0"/>
      </w:pPr>
      <w:rPr>
        <w:rFonts w:ascii="Goudy Old Style" w:hAnsi="Goudy Old Style" w:hint="default"/>
        <w:b w:val="0"/>
        <w:i w:val="0"/>
        <w:color w:val="auto"/>
        <w:sz w:val="18"/>
      </w:rPr>
    </w:lvl>
    <w:lvl w:ilvl="2">
      <w:start w:val="1"/>
      <w:numFmt w:val="lowerLetter"/>
      <w:suff w:val="space"/>
      <w:lvlText w:val="(%3)"/>
      <w:lvlJc w:val="left"/>
      <w:pPr>
        <w:ind w:left="567" w:firstLine="0"/>
      </w:pPr>
      <w:rPr>
        <w:rFonts w:ascii="Goudy Old Style" w:hAnsi="Goudy Old Style" w:hint="default"/>
        <w:b w:val="0"/>
        <w:i w:val="0"/>
        <w:sz w:val="22"/>
      </w:rPr>
    </w:lvl>
    <w:lvl w:ilvl="3">
      <w:start w:val="1"/>
      <w:numFmt w:val="lowerRoman"/>
      <w:lvlText w:val="(%4)"/>
      <w:lvlJc w:val="left"/>
      <w:pPr>
        <w:ind w:left="1134" w:hanging="283"/>
      </w:pPr>
      <w:rPr>
        <w:rFonts w:ascii="Goudy Old Style" w:hAnsi="Goudy Old Style"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D3F2E9C"/>
    <w:multiLevelType w:val="multilevel"/>
    <w:tmpl w:val="2A021DC8"/>
    <w:name w:val="Título 1223"/>
    <w:lvl w:ilvl="0">
      <w:start w:val="1"/>
      <w:numFmt w:val="decimal"/>
      <w:suff w:val="space"/>
      <w:lvlText w:val="Artículo %1.-"/>
      <w:lvlJc w:val="left"/>
      <w:pPr>
        <w:ind w:left="0" w:firstLine="0"/>
      </w:pPr>
      <w:rPr>
        <w:rFonts w:ascii="Goudy Old Style" w:hAnsi="Goudy Old Style" w:hint="default"/>
        <w:b/>
        <w:i w:val="0"/>
        <w:sz w:val="22"/>
      </w:rPr>
    </w:lvl>
    <w:lvl w:ilvl="1">
      <w:start w:val="1"/>
      <w:numFmt w:val="decimal"/>
      <w:suff w:val="space"/>
      <w:lvlText w:val="§%2. "/>
      <w:lvlJc w:val="left"/>
      <w:pPr>
        <w:ind w:left="0" w:firstLine="0"/>
      </w:pPr>
      <w:rPr>
        <w:rFonts w:ascii="Goudy Old Style" w:hAnsi="Goudy Old Style" w:hint="default"/>
        <w:b w:val="0"/>
        <w:i w:val="0"/>
        <w:sz w:val="18"/>
      </w:rPr>
    </w:lvl>
    <w:lvl w:ilvl="2">
      <w:start w:val="1"/>
      <w:numFmt w:val="lowerLetter"/>
      <w:suff w:val="space"/>
      <w:lvlText w:val="(%3)"/>
      <w:lvlJc w:val="left"/>
      <w:pPr>
        <w:ind w:left="567" w:firstLine="0"/>
      </w:pPr>
      <w:rPr>
        <w:rFonts w:ascii="Goudy Old Style" w:hAnsi="Goudy Old Style" w:hint="default"/>
        <w:b w:val="0"/>
        <w:i w:val="0"/>
        <w:sz w:val="22"/>
      </w:rPr>
    </w:lvl>
    <w:lvl w:ilvl="3">
      <w:start w:val="1"/>
      <w:numFmt w:val="lowerRoman"/>
      <w:lvlText w:val="(%4)"/>
      <w:lvlJc w:val="left"/>
      <w:pPr>
        <w:ind w:left="1134" w:hanging="567"/>
      </w:pPr>
      <w:rPr>
        <w:rFonts w:ascii="Goudy Old Style" w:hAnsi="Goudy Old Style"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9"/>
  </w:num>
  <w:num w:numId="3">
    <w:abstractNumId w:val="4"/>
  </w:num>
  <w:num w:numId="4">
    <w:abstractNumId w:val="3"/>
  </w:num>
  <w:num w:numId="5">
    <w:abstractNumId w:val="2"/>
  </w:num>
  <w:num w:numId="6">
    <w:abstractNumId w:val="1"/>
  </w:num>
  <w:num w:numId="7">
    <w:abstractNumId w:val="8"/>
  </w:num>
  <w:num w:numId="8">
    <w:abstractNumId w:val="7"/>
  </w:num>
  <w:num w:numId="9">
    <w:abstractNumId w:val="6"/>
  </w:num>
  <w:num w:numId="10">
    <w:abstractNumId w:val="5"/>
  </w:num>
  <w:num w:numId="11">
    <w:abstractNumId w:val="0"/>
  </w:num>
  <w:num w:numId="12">
    <w:abstractNumId w:val="20"/>
  </w:num>
  <w:num w:numId="13">
    <w:abstractNumId w:val="25"/>
  </w:num>
  <w:num w:numId="14">
    <w:abstractNumId w:val="28"/>
  </w:num>
  <w:num w:numId="15">
    <w:abstractNumId w:val="29"/>
  </w:num>
  <w:num w:numId="16">
    <w:abstractNumId w:val="33"/>
  </w:num>
  <w:num w:numId="17">
    <w:abstractNumId w:val="20"/>
  </w:num>
  <w:num w:numId="18">
    <w:abstractNumId w:val="22"/>
  </w:num>
  <w:num w:numId="19">
    <w:abstractNumId w:val="13"/>
    <w:lvlOverride w:ilvl="0">
      <w:lvl w:ilvl="0">
        <w:start w:val="1"/>
        <w:numFmt w:val="decimal"/>
        <w:pStyle w:val="Etiqueta"/>
        <w:lvlText w:val="Artículo %1.-"/>
        <w:lvlJc w:val="left"/>
        <w:pPr>
          <w:tabs>
            <w:tab w:val="num" w:pos="1559"/>
          </w:tabs>
          <w:ind w:left="0" w:firstLine="0"/>
        </w:pPr>
        <w:rPr>
          <w:rFonts w:hint="default"/>
          <w:b/>
          <w:sz w:val="25"/>
        </w:rPr>
      </w:lvl>
    </w:lvlOverride>
  </w:num>
  <w:num w:numId="20">
    <w:abstractNumId w:val="13"/>
    <w:lvlOverride w:ilvl="0">
      <w:lvl w:ilvl="0">
        <w:start w:val="1"/>
        <w:numFmt w:val="decimal"/>
        <w:pStyle w:val="Etiqueta"/>
        <w:lvlText w:val="Artículo %1.-"/>
        <w:lvlJc w:val="left"/>
        <w:pPr>
          <w:tabs>
            <w:tab w:val="num" w:pos="1559"/>
          </w:tabs>
          <w:ind w:left="0" w:firstLine="0"/>
        </w:pPr>
        <w:rPr>
          <w:rFonts w:hint="default"/>
          <w:b/>
          <w:sz w:val="25"/>
        </w:rPr>
      </w:lvl>
    </w:lvlOverride>
  </w:num>
  <w:num w:numId="21">
    <w:abstractNumId w:val="13"/>
    <w:lvlOverride w:ilvl="0">
      <w:lvl w:ilvl="0">
        <w:start w:val="1"/>
        <w:numFmt w:val="decimal"/>
        <w:pStyle w:val="Etiqueta"/>
        <w:lvlText w:val="Artículo %1.-"/>
        <w:lvlJc w:val="left"/>
        <w:pPr>
          <w:tabs>
            <w:tab w:val="num" w:pos="1559"/>
          </w:tabs>
          <w:ind w:left="0" w:firstLine="0"/>
        </w:pPr>
        <w:rPr>
          <w:rFonts w:hint="default"/>
          <w:b/>
          <w:sz w:val="25"/>
        </w:rPr>
      </w:lvl>
    </w:lvlOverride>
  </w:num>
  <w:num w:numId="22">
    <w:abstractNumId w:val="13"/>
    <w:lvlOverride w:ilvl="0">
      <w:lvl w:ilvl="0">
        <w:start w:val="1"/>
        <w:numFmt w:val="decimal"/>
        <w:pStyle w:val="Etiqueta"/>
        <w:lvlText w:val="Artículo %1.-"/>
        <w:lvlJc w:val="left"/>
        <w:pPr>
          <w:tabs>
            <w:tab w:val="num" w:pos="1559"/>
          </w:tabs>
          <w:ind w:left="0" w:firstLine="0"/>
        </w:pPr>
        <w:rPr>
          <w:rFonts w:hint="default"/>
          <w:b/>
          <w:sz w:val="25"/>
        </w:rPr>
      </w:lvl>
    </w:lvlOverride>
  </w:num>
  <w:num w:numId="23">
    <w:abstractNumId w:val="13"/>
    <w:lvlOverride w:ilvl="0">
      <w:lvl w:ilvl="0">
        <w:start w:val="1"/>
        <w:numFmt w:val="decimal"/>
        <w:pStyle w:val="Etiqueta"/>
        <w:lvlText w:val="Artículo %1.-"/>
        <w:lvlJc w:val="left"/>
        <w:pPr>
          <w:tabs>
            <w:tab w:val="num" w:pos="1559"/>
          </w:tabs>
          <w:ind w:left="0" w:firstLine="0"/>
        </w:pPr>
        <w:rPr>
          <w:rFonts w:hint="default"/>
          <w:b/>
          <w:sz w:val="25"/>
        </w:rPr>
      </w:lvl>
    </w:lvlOverride>
  </w:num>
  <w:num w:numId="24">
    <w:abstractNumId w:val="13"/>
    <w:lvlOverride w:ilvl="0">
      <w:lvl w:ilvl="0">
        <w:start w:val="1"/>
        <w:numFmt w:val="decimal"/>
        <w:pStyle w:val="Etiqueta"/>
        <w:lvlText w:val="Artículo %1.-"/>
        <w:lvlJc w:val="left"/>
        <w:pPr>
          <w:tabs>
            <w:tab w:val="num" w:pos="1559"/>
          </w:tabs>
          <w:ind w:left="0" w:firstLine="0"/>
        </w:pPr>
        <w:rPr>
          <w:rFonts w:hint="default"/>
          <w:b/>
          <w:sz w:val="25"/>
        </w:rPr>
      </w:lvl>
    </w:lvlOverride>
  </w:num>
  <w:num w:numId="25">
    <w:abstractNumId w:val="13"/>
    <w:lvlOverride w:ilvl="0">
      <w:lvl w:ilvl="0">
        <w:start w:val="1"/>
        <w:numFmt w:val="decimal"/>
        <w:pStyle w:val="Etiqueta"/>
        <w:lvlText w:val="Artículo %1.-"/>
        <w:lvlJc w:val="left"/>
        <w:pPr>
          <w:tabs>
            <w:tab w:val="num" w:pos="1559"/>
          </w:tabs>
          <w:ind w:left="0" w:firstLine="0"/>
        </w:pPr>
        <w:rPr>
          <w:rFonts w:hint="default"/>
          <w:b/>
          <w:sz w:val="25"/>
        </w:rPr>
      </w:lvl>
    </w:lvlOverride>
  </w:num>
  <w:num w:numId="26">
    <w:abstractNumId w:val="16"/>
  </w:num>
  <w:num w:numId="27">
    <w:abstractNumId w:val="16"/>
  </w:num>
  <w:num w:numId="28">
    <w:abstractNumId w:val="16"/>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 w:ilvl="0">
        <w:start w:val="1"/>
        <w:numFmt w:val="decimal"/>
        <w:pStyle w:val="Etiqueta"/>
        <w:lvlText w:val="Artículo %1.-"/>
        <w:lvlJc w:val="left"/>
        <w:pPr>
          <w:tabs>
            <w:tab w:val="num" w:pos="1559"/>
          </w:tabs>
          <w:ind w:left="0" w:firstLine="0"/>
        </w:pPr>
        <w:rPr>
          <w:rFonts w:hint="default"/>
          <w:b/>
          <w:sz w:val="25"/>
        </w:rPr>
      </w:lvl>
    </w:lvlOverride>
  </w:num>
  <w:num w:numId="32">
    <w:abstractNumId w:val="21"/>
  </w:num>
  <w:num w:numId="33">
    <w:abstractNumId w:val="31"/>
  </w:num>
  <w:num w:numId="34">
    <w:abstractNumId w:val="15"/>
  </w:num>
  <w:num w:numId="35">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proofState w:spelling="clean" w:grammar="clean"/>
  <w:attachedTemplate r:id="rId1"/>
  <w:defaultTabStop w:val="708"/>
  <w:hyphenationZone w:val="425"/>
  <w:drawingGridHorizontalSpacing w:val="110"/>
  <w:displayHorizontalDrawingGridEvery w:val="2"/>
  <w:characterSpacingControl w:val="doNotCompress"/>
  <w:savePreviewPicture/>
  <w:hdrShapeDefaults>
    <o:shapedefaults v:ext="edit" spidmax="2050" style="mso-position-horizontal-relative:page;mso-position-vertical-relative:page" stroke="f">
      <v:stroke on="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E6F"/>
    <w:rsid w:val="00000E13"/>
    <w:rsid w:val="00001222"/>
    <w:rsid w:val="0000141B"/>
    <w:rsid w:val="0000150C"/>
    <w:rsid w:val="000051F6"/>
    <w:rsid w:val="00006C2E"/>
    <w:rsid w:val="000105C6"/>
    <w:rsid w:val="000124B8"/>
    <w:rsid w:val="0001338C"/>
    <w:rsid w:val="0001672F"/>
    <w:rsid w:val="000242C7"/>
    <w:rsid w:val="000253AE"/>
    <w:rsid w:val="00025964"/>
    <w:rsid w:val="00026B88"/>
    <w:rsid w:val="0003037E"/>
    <w:rsid w:val="00030FED"/>
    <w:rsid w:val="000323E5"/>
    <w:rsid w:val="00034B03"/>
    <w:rsid w:val="00035391"/>
    <w:rsid w:val="00036766"/>
    <w:rsid w:val="000377FA"/>
    <w:rsid w:val="00037FD9"/>
    <w:rsid w:val="00040810"/>
    <w:rsid w:val="0004100F"/>
    <w:rsid w:val="0004170E"/>
    <w:rsid w:val="00041E21"/>
    <w:rsid w:val="00044110"/>
    <w:rsid w:val="00044494"/>
    <w:rsid w:val="0004559D"/>
    <w:rsid w:val="0004713C"/>
    <w:rsid w:val="00050B33"/>
    <w:rsid w:val="00050E9A"/>
    <w:rsid w:val="00051B17"/>
    <w:rsid w:val="0005500D"/>
    <w:rsid w:val="000603A4"/>
    <w:rsid w:val="00060457"/>
    <w:rsid w:val="0006066F"/>
    <w:rsid w:val="000652C3"/>
    <w:rsid w:val="0006701A"/>
    <w:rsid w:val="00067F23"/>
    <w:rsid w:val="000701E7"/>
    <w:rsid w:val="000715E2"/>
    <w:rsid w:val="000723CA"/>
    <w:rsid w:val="00073292"/>
    <w:rsid w:val="00075218"/>
    <w:rsid w:val="00075B1C"/>
    <w:rsid w:val="00075C55"/>
    <w:rsid w:val="00076626"/>
    <w:rsid w:val="00076B90"/>
    <w:rsid w:val="00080145"/>
    <w:rsid w:val="00082197"/>
    <w:rsid w:val="000835E6"/>
    <w:rsid w:val="00085732"/>
    <w:rsid w:val="00085C0B"/>
    <w:rsid w:val="000860CF"/>
    <w:rsid w:val="00086663"/>
    <w:rsid w:val="000866DD"/>
    <w:rsid w:val="00093442"/>
    <w:rsid w:val="00094021"/>
    <w:rsid w:val="00096E6F"/>
    <w:rsid w:val="0009725F"/>
    <w:rsid w:val="00097ED1"/>
    <w:rsid w:val="000A118F"/>
    <w:rsid w:val="000A1402"/>
    <w:rsid w:val="000A2323"/>
    <w:rsid w:val="000A2926"/>
    <w:rsid w:val="000A390B"/>
    <w:rsid w:val="000A54AA"/>
    <w:rsid w:val="000A5AF6"/>
    <w:rsid w:val="000A5CEA"/>
    <w:rsid w:val="000B0E1E"/>
    <w:rsid w:val="000B4222"/>
    <w:rsid w:val="000B5DAE"/>
    <w:rsid w:val="000C17DD"/>
    <w:rsid w:val="000C1F52"/>
    <w:rsid w:val="000C2738"/>
    <w:rsid w:val="000C334E"/>
    <w:rsid w:val="000C33FF"/>
    <w:rsid w:val="000C459B"/>
    <w:rsid w:val="000C4B78"/>
    <w:rsid w:val="000C53FD"/>
    <w:rsid w:val="000C5C5B"/>
    <w:rsid w:val="000D0028"/>
    <w:rsid w:val="000D0974"/>
    <w:rsid w:val="000D101B"/>
    <w:rsid w:val="000D164E"/>
    <w:rsid w:val="000D1A06"/>
    <w:rsid w:val="000D1BF7"/>
    <w:rsid w:val="000D1EE4"/>
    <w:rsid w:val="000D4379"/>
    <w:rsid w:val="000D4A3A"/>
    <w:rsid w:val="000D5BD6"/>
    <w:rsid w:val="000E0A48"/>
    <w:rsid w:val="000E10BE"/>
    <w:rsid w:val="000E195F"/>
    <w:rsid w:val="000E23EB"/>
    <w:rsid w:val="000E7DA6"/>
    <w:rsid w:val="000F26C0"/>
    <w:rsid w:val="000F2F0E"/>
    <w:rsid w:val="000F34D3"/>
    <w:rsid w:val="000F483F"/>
    <w:rsid w:val="000F5842"/>
    <w:rsid w:val="000F672E"/>
    <w:rsid w:val="000F76F5"/>
    <w:rsid w:val="0010048B"/>
    <w:rsid w:val="00100519"/>
    <w:rsid w:val="001012DC"/>
    <w:rsid w:val="00101550"/>
    <w:rsid w:val="00102912"/>
    <w:rsid w:val="00103BD1"/>
    <w:rsid w:val="00105024"/>
    <w:rsid w:val="001079AE"/>
    <w:rsid w:val="00112293"/>
    <w:rsid w:val="00112ECE"/>
    <w:rsid w:val="00114D42"/>
    <w:rsid w:val="00116E21"/>
    <w:rsid w:val="00117DB5"/>
    <w:rsid w:val="0012440B"/>
    <w:rsid w:val="001250FF"/>
    <w:rsid w:val="00125A0F"/>
    <w:rsid w:val="001267D7"/>
    <w:rsid w:val="001321F8"/>
    <w:rsid w:val="00132C65"/>
    <w:rsid w:val="00133A07"/>
    <w:rsid w:val="0013439F"/>
    <w:rsid w:val="00134AAF"/>
    <w:rsid w:val="00135184"/>
    <w:rsid w:val="0013607C"/>
    <w:rsid w:val="00137039"/>
    <w:rsid w:val="001371FB"/>
    <w:rsid w:val="001422F9"/>
    <w:rsid w:val="001423F5"/>
    <w:rsid w:val="00142F81"/>
    <w:rsid w:val="001431B1"/>
    <w:rsid w:val="0014336C"/>
    <w:rsid w:val="00144A66"/>
    <w:rsid w:val="001451D0"/>
    <w:rsid w:val="00146BF9"/>
    <w:rsid w:val="00147736"/>
    <w:rsid w:val="0014795A"/>
    <w:rsid w:val="0015022D"/>
    <w:rsid w:val="00150B3A"/>
    <w:rsid w:val="00154025"/>
    <w:rsid w:val="00156C07"/>
    <w:rsid w:val="001570AE"/>
    <w:rsid w:val="0015737F"/>
    <w:rsid w:val="001579C1"/>
    <w:rsid w:val="00160519"/>
    <w:rsid w:val="00162BC8"/>
    <w:rsid w:val="001644B7"/>
    <w:rsid w:val="00165AC6"/>
    <w:rsid w:val="00166BB8"/>
    <w:rsid w:val="00167459"/>
    <w:rsid w:val="00167C2B"/>
    <w:rsid w:val="001717AF"/>
    <w:rsid w:val="00171E2E"/>
    <w:rsid w:val="00172397"/>
    <w:rsid w:val="00172DD5"/>
    <w:rsid w:val="00173E7D"/>
    <w:rsid w:val="00175937"/>
    <w:rsid w:val="00176191"/>
    <w:rsid w:val="00177AB4"/>
    <w:rsid w:val="00177E6B"/>
    <w:rsid w:val="00180526"/>
    <w:rsid w:val="001843B1"/>
    <w:rsid w:val="00186E10"/>
    <w:rsid w:val="00187B7A"/>
    <w:rsid w:val="001921BB"/>
    <w:rsid w:val="00192D19"/>
    <w:rsid w:val="00193F95"/>
    <w:rsid w:val="00195470"/>
    <w:rsid w:val="0019671A"/>
    <w:rsid w:val="00197375"/>
    <w:rsid w:val="00197A06"/>
    <w:rsid w:val="001A100F"/>
    <w:rsid w:val="001A28DB"/>
    <w:rsid w:val="001A2FED"/>
    <w:rsid w:val="001A3C10"/>
    <w:rsid w:val="001A3CDA"/>
    <w:rsid w:val="001A3E3F"/>
    <w:rsid w:val="001A53F9"/>
    <w:rsid w:val="001A7B92"/>
    <w:rsid w:val="001A7C8D"/>
    <w:rsid w:val="001A7DF6"/>
    <w:rsid w:val="001B0D8D"/>
    <w:rsid w:val="001B2BB5"/>
    <w:rsid w:val="001B60FC"/>
    <w:rsid w:val="001B629A"/>
    <w:rsid w:val="001B727E"/>
    <w:rsid w:val="001B7ECB"/>
    <w:rsid w:val="001C2FC3"/>
    <w:rsid w:val="001C4C23"/>
    <w:rsid w:val="001C5CC0"/>
    <w:rsid w:val="001C730F"/>
    <w:rsid w:val="001D475D"/>
    <w:rsid w:val="001D517B"/>
    <w:rsid w:val="001D5B99"/>
    <w:rsid w:val="001D680A"/>
    <w:rsid w:val="001D754C"/>
    <w:rsid w:val="001E0717"/>
    <w:rsid w:val="001E0780"/>
    <w:rsid w:val="001E173C"/>
    <w:rsid w:val="001E1DB7"/>
    <w:rsid w:val="001E2F0B"/>
    <w:rsid w:val="001E2F0F"/>
    <w:rsid w:val="001E55B5"/>
    <w:rsid w:val="001E55FA"/>
    <w:rsid w:val="001E6982"/>
    <w:rsid w:val="001F2C29"/>
    <w:rsid w:val="001F4706"/>
    <w:rsid w:val="001F63C6"/>
    <w:rsid w:val="001F6E57"/>
    <w:rsid w:val="001F7C47"/>
    <w:rsid w:val="00200445"/>
    <w:rsid w:val="002005ED"/>
    <w:rsid w:val="00203161"/>
    <w:rsid w:val="0020323F"/>
    <w:rsid w:val="002067FF"/>
    <w:rsid w:val="0020681D"/>
    <w:rsid w:val="002069DB"/>
    <w:rsid w:val="00207202"/>
    <w:rsid w:val="002077AE"/>
    <w:rsid w:val="00207AE5"/>
    <w:rsid w:val="002105B7"/>
    <w:rsid w:val="00211FA7"/>
    <w:rsid w:val="00216276"/>
    <w:rsid w:val="0022077D"/>
    <w:rsid w:val="00220CD3"/>
    <w:rsid w:val="00220EE2"/>
    <w:rsid w:val="00221C03"/>
    <w:rsid w:val="002220E5"/>
    <w:rsid w:val="002233FD"/>
    <w:rsid w:val="002240CC"/>
    <w:rsid w:val="00224665"/>
    <w:rsid w:val="00224F70"/>
    <w:rsid w:val="00225128"/>
    <w:rsid w:val="00225221"/>
    <w:rsid w:val="00225F13"/>
    <w:rsid w:val="00230419"/>
    <w:rsid w:val="0023125E"/>
    <w:rsid w:val="00232159"/>
    <w:rsid w:val="00232A02"/>
    <w:rsid w:val="00233B94"/>
    <w:rsid w:val="00240723"/>
    <w:rsid w:val="0024129B"/>
    <w:rsid w:val="002418EB"/>
    <w:rsid w:val="00245458"/>
    <w:rsid w:val="00245878"/>
    <w:rsid w:val="00245C45"/>
    <w:rsid w:val="00246812"/>
    <w:rsid w:val="002471E6"/>
    <w:rsid w:val="00247615"/>
    <w:rsid w:val="00250D94"/>
    <w:rsid w:val="00251CEE"/>
    <w:rsid w:val="002526B8"/>
    <w:rsid w:val="00252A3B"/>
    <w:rsid w:val="00253545"/>
    <w:rsid w:val="002536C8"/>
    <w:rsid w:val="002546DA"/>
    <w:rsid w:val="00254F19"/>
    <w:rsid w:val="00255706"/>
    <w:rsid w:val="00256C28"/>
    <w:rsid w:val="00257A61"/>
    <w:rsid w:val="00260AEC"/>
    <w:rsid w:val="00260E6A"/>
    <w:rsid w:val="00261F43"/>
    <w:rsid w:val="00262709"/>
    <w:rsid w:val="00262E0E"/>
    <w:rsid w:val="00264DDB"/>
    <w:rsid w:val="00264FB7"/>
    <w:rsid w:val="0026580F"/>
    <w:rsid w:val="00265AA2"/>
    <w:rsid w:val="002670FF"/>
    <w:rsid w:val="002678E5"/>
    <w:rsid w:val="00267F40"/>
    <w:rsid w:val="002716D2"/>
    <w:rsid w:val="00271DA7"/>
    <w:rsid w:val="00273501"/>
    <w:rsid w:val="0027466F"/>
    <w:rsid w:val="00274A24"/>
    <w:rsid w:val="00276DF2"/>
    <w:rsid w:val="002801E8"/>
    <w:rsid w:val="00280200"/>
    <w:rsid w:val="002807C8"/>
    <w:rsid w:val="00280DE8"/>
    <w:rsid w:val="00281478"/>
    <w:rsid w:val="002835EC"/>
    <w:rsid w:val="0028516E"/>
    <w:rsid w:val="00286592"/>
    <w:rsid w:val="0028688F"/>
    <w:rsid w:val="002879B7"/>
    <w:rsid w:val="0029000D"/>
    <w:rsid w:val="002924F3"/>
    <w:rsid w:val="00294743"/>
    <w:rsid w:val="00295BBA"/>
    <w:rsid w:val="00297CA8"/>
    <w:rsid w:val="002A5042"/>
    <w:rsid w:val="002A5BFB"/>
    <w:rsid w:val="002B0133"/>
    <w:rsid w:val="002B2060"/>
    <w:rsid w:val="002B2ABA"/>
    <w:rsid w:val="002B326A"/>
    <w:rsid w:val="002B53DB"/>
    <w:rsid w:val="002B5A23"/>
    <w:rsid w:val="002B784E"/>
    <w:rsid w:val="002C218B"/>
    <w:rsid w:val="002C32EA"/>
    <w:rsid w:val="002C37AC"/>
    <w:rsid w:val="002C4252"/>
    <w:rsid w:val="002C4D4E"/>
    <w:rsid w:val="002C78F4"/>
    <w:rsid w:val="002D004F"/>
    <w:rsid w:val="002D1207"/>
    <w:rsid w:val="002D1DE4"/>
    <w:rsid w:val="002D2F67"/>
    <w:rsid w:val="002D35D3"/>
    <w:rsid w:val="002D4EC2"/>
    <w:rsid w:val="002D546D"/>
    <w:rsid w:val="002D54C3"/>
    <w:rsid w:val="002D58DD"/>
    <w:rsid w:val="002D6400"/>
    <w:rsid w:val="002D741B"/>
    <w:rsid w:val="002D791B"/>
    <w:rsid w:val="002D7F20"/>
    <w:rsid w:val="002E021C"/>
    <w:rsid w:val="002E04AE"/>
    <w:rsid w:val="002E16B5"/>
    <w:rsid w:val="002E2504"/>
    <w:rsid w:val="002E2C89"/>
    <w:rsid w:val="002E434E"/>
    <w:rsid w:val="002E5A08"/>
    <w:rsid w:val="002E5DBF"/>
    <w:rsid w:val="002E7BE9"/>
    <w:rsid w:val="002F1740"/>
    <w:rsid w:val="002F23F9"/>
    <w:rsid w:val="002F44A8"/>
    <w:rsid w:val="002F524B"/>
    <w:rsid w:val="002F5AF2"/>
    <w:rsid w:val="002F766A"/>
    <w:rsid w:val="00301F17"/>
    <w:rsid w:val="003026CF"/>
    <w:rsid w:val="003034AB"/>
    <w:rsid w:val="00304BA6"/>
    <w:rsid w:val="003052B0"/>
    <w:rsid w:val="003053B1"/>
    <w:rsid w:val="003064E0"/>
    <w:rsid w:val="003120E0"/>
    <w:rsid w:val="00312FF5"/>
    <w:rsid w:val="0031500F"/>
    <w:rsid w:val="0031641B"/>
    <w:rsid w:val="00317C7E"/>
    <w:rsid w:val="003203FC"/>
    <w:rsid w:val="00321038"/>
    <w:rsid w:val="003213DF"/>
    <w:rsid w:val="00323382"/>
    <w:rsid w:val="00323A19"/>
    <w:rsid w:val="00327AE1"/>
    <w:rsid w:val="003302C2"/>
    <w:rsid w:val="003305C4"/>
    <w:rsid w:val="00332510"/>
    <w:rsid w:val="0033255F"/>
    <w:rsid w:val="003326F1"/>
    <w:rsid w:val="00332BC5"/>
    <w:rsid w:val="003340E1"/>
    <w:rsid w:val="00334855"/>
    <w:rsid w:val="0033541D"/>
    <w:rsid w:val="003361DB"/>
    <w:rsid w:val="0033620F"/>
    <w:rsid w:val="00336637"/>
    <w:rsid w:val="003366EF"/>
    <w:rsid w:val="003402DB"/>
    <w:rsid w:val="00342A60"/>
    <w:rsid w:val="00342D99"/>
    <w:rsid w:val="00344FE1"/>
    <w:rsid w:val="00346390"/>
    <w:rsid w:val="00347902"/>
    <w:rsid w:val="003501F8"/>
    <w:rsid w:val="003508DC"/>
    <w:rsid w:val="00350DBA"/>
    <w:rsid w:val="00351896"/>
    <w:rsid w:val="00351F1E"/>
    <w:rsid w:val="003525B7"/>
    <w:rsid w:val="00353181"/>
    <w:rsid w:val="0035430D"/>
    <w:rsid w:val="0035466C"/>
    <w:rsid w:val="00354F2F"/>
    <w:rsid w:val="00356075"/>
    <w:rsid w:val="003563A0"/>
    <w:rsid w:val="003573DF"/>
    <w:rsid w:val="00357C7B"/>
    <w:rsid w:val="003606A1"/>
    <w:rsid w:val="0036345B"/>
    <w:rsid w:val="00364EE0"/>
    <w:rsid w:val="0036571D"/>
    <w:rsid w:val="00366747"/>
    <w:rsid w:val="00367576"/>
    <w:rsid w:val="00371990"/>
    <w:rsid w:val="003723A1"/>
    <w:rsid w:val="00373371"/>
    <w:rsid w:val="00373C6B"/>
    <w:rsid w:val="00375652"/>
    <w:rsid w:val="00375FF2"/>
    <w:rsid w:val="003769F7"/>
    <w:rsid w:val="00377786"/>
    <w:rsid w:val="00377CF7"/>
    <w:rsid w:val="00380A54"/>
    <w:rsid w:val="003816DB"/>
    <w:rsid w:val="00382140"/>
    <w:rsid w:val="0038220D"/>
    <w:rsid w:val="003822DE"/>
    <w:rsid w:val="00383243"/>
    <w:rsid w:val="0038426C"/>
    <w:rsid w:val="00384491"/>
    <w:rsid w:val="00384724"/>
    <w:rsid w:val="0038588B"/>
    <w:rsid w:val="0038677A"/>
    <w:rsid w:val="00386B72"/>
    <w:rsid w:val="00390948"/>
    <w:rsid w:val="003914AB"/>
    <w:rsid w:val="00393229"/>
    <w:rsid w:val="00394056"/>
    <w:rsid w:val="003976CD"/>
    <w:rsid w:val="00397774"/>
    <w:rsid w:val="003A274A"/>
    <w:rsid w:val="003A2D10"/>
    <w:rsid w:val="003A3C72"/>
    <w:rsid w:val="003A3D9D"/>
    <w:rsid w:val="003A421F"/>
    <w:rsid w:val="003A4F98"/>
    <w:rsid w:val="003A5081"/>
    <w:rsid w:val="003A57F0"/>
    <w:rsid w:val="003A69D7"/>
    <w:rsid w:val="003A70BD"/>
    <w:rsid w:val="003A729F"/>
    <w:rsid w:val="003A7B0D"/>
    <w:rsid w:val="003B114A"/>
    <w:rsid w:val="003B1881"/>
    <w:rsid w:val="003B2972"/>
    <w:rsid w:val="003B297B"/>
    <w:rsid w:val="003B40B0"/>
    <w:rsid w:val="003B4344"/>
    <w:rsid w:val="003B5A57"/>
    <w:rsid w:val="003B7F4A"/>
    <w:rsid w:val="003C060D"/>
    <w:rsid w:val="003C0A46"/>
    <w:rsid w:val="003C148E"/>
    <w:rsid w:val="003C1774"/>
    <w:rsid w:val="003C33F9"/>
    <w:rsid w:val="003C38E4"/>
    <w:rsid w:val="003C49A1"/>
    <w:rsid w:val="003C5E19"/>
    <w:rsid w:val="003C7213"/>
    <w:rsid w:val="003C7B9E"/>
    <w:rsid w:val="003C7D0C"/>
    <w:rsid w:val="003D0E1E"/>
    <w:rsid w:val="003D11AC"/>
    <w:rsid w:val="003D1765"/>
    <w:rsid w:val="003D4513"/>
    <w:rsid w:val="003D4EE2"/>
    <w:rsid w:val="003D6E05"/>
    <w:rsid w:val="003E08A1"/>
    <w:rsid w:val="003E22D2"/>
    <w:rsid w:val="003E2A6F"/>
    <w:rsid w:val="003E2F88"/>
    <w:rsid w:val="003E33CA"/>
    <w:rsid w:val="003E3E07"/>
    <w:rsid w:val="003E4589"/>
    <w:rsid w:val="003E71CE"/>
    <w:rsid w:val="003F1D7D"/>
    <w:rsid w:val="003F3AF6"/>
    <w:rsid w:val="003F53C1"/>
    <w:rsid w:val="0040253D"/>
    <w:rsid w:val="00402D01"/>
    <w:rsid w:val="004034DB"/>
    <w:rsid w:val="00404646"/>
    <w:rsid w:val="004058EE"/>
    <w:rsid w:val="00406B64"/>
    <w:rsid w:val="004102D8"/>
    <w:rsid w:val="00410354"/>
    <w:rsid w:val="00410DBB"/>
    <w:rsid w:val="00411742"/>
    <w:rsid w:val="00413754"/>
    <w:rsid w:val="0041417E"/>
    <w:rsid w:val="0041694C"/>
    <w:rsid w:val="00416BB6"/>
    <w:rsid w:val="00417BA3"/>
    <w:rsid w:val="00417CDA"/>
    <w:rsid w:val="00421DED"/>
    <w:rsid w:val="00422B5F"/>
    <w:rsid w:val="004243EB"/>
    <w:rsid w:val="00425CB6"/>
    <w:rsid w:val="004276FD"/>
    <w:rsid w:val="00430870"/>
    <w:rsid w:val="00431F74"/>
    <w:rsid w:val="00432100"/>
    <w:rsid w:val="00432E6F"/>
    <w:rsid w:val="00433EEC"/>
    <w:rsid w:val="00435B12"/>
    <w:rsid w:val="004420E5"/>
    <w:rsid w:val="0044307B"/>
    <w:rsid w:val="00443AE8"/>
    <w:rsid w:val="00443E0B"/>
    <w:rsid w:val="00443EE1"/>
    <w:rsid w:val="00450117"/>
    <w:rsid w:val="0045054A"/>
    <w:rsid w:val="00450757"/>
    <w:rsid w:val="004520B9"/>
    <w:rsid w:val="004520CD"/>
    <w:rsid w:val="00455FDD"/>
    <w:rsid w:val="00456A19"/>
    <w:rsid w:val="0045765F"/>
    <w:rsid w:val="00460F41"/>
    <w:rsid w:val="004615B8"/>
    <w:rsid w:val="004617FD"/>
    <w:rsid w:val="00466E76"/>
    <w:rsid w:val="00467B5B"/>
    <w:rsid w:val="00467FFE"/>
    <w:rsid w:val="00471CE0"/>
    <w:rsid w:val="00472950"/>
    <w:rsid w:val="00472FA3"/>
    <w:rsid w:val="00473B02"/>
    <w:rsid w:val="00474DD1"/>
    <w:rsid w:val="00475193"/>
    <w:rsid w:val="00476019"/>
    <w:rsid w:val="004843A6"/>
    <w:rsid w:val="00485473"/>
    <w:rsid w:val="004856A1"/>
    <w:rsid w:val="004861EC"/>
    <w:rsid w:val="004879F8"/>
    <w:rsid w:val="00487A3D"/>
    <w:rsid w:val="004907EB"/>
    <w:rsid w:val="00494881"/>
    <w:rsid w:val="00495757"/>
    <w:rsid w:val="004957FC"/>
    <w:rsid w:val="0049674C"/>
    <w:rsid w:val="004967D9"/>
    <w:rsid w:val="00496823"/>
    <w:rsid w:val="00496A5C"/>
    <w:rsid w:val="00496E5B"/>
    <w:rsid w:val="004977C6"/>
    <w:rsid w:val="00497B99"/>
    <w:rsid w:val="004A093C"/>
    <w:rsid w:val="004A4B9E"/>
    <w:rsid w:val="004A6F40"/>
    <w:rsid w:val="004A77E8"/>
    <w:rsid w:val="004B1195"/>
    <w:rsid w:val="004B15E0"/>
    <w:rsid w:val="004B4F26"/>
    <w:rsid w:val="004B6326"/>
    <w:rsid w:val="004B70EC"/>
    <w:rsid w:val="004B71C8"/>
    <w:rsid w:val="004B76C1"/>
    <w:rsid w:val="004C0E8D"/>
    <w:rsid w:val="004C19D8"/>
    <w:rsid w:val="004C3D25"/>
    <w:rsid w:val="004C6CF4"/>
    <w:rsid w:val="004C7A35"/>
    <w:rsid w:val="004D10AF"/>
    <w:rsid w:val="004D1AAF"/>
    <w:rsid w:val="004D3FD1"/>
    <w:rsid w:val="004D4C8A"/>
    <w:rsid w:val="004D50A5"/>
    <w:rsid w:val="004D58DB"/>
    <w:rsid w:val="004D59AC"/>
    <w:rsid w:val="004D6009"/>
    <w:rsid w:val="004E1A96"/>
    <w:rsid w:val="004E2395"/>
    <w:rsid w:val="004E244A"/>
    <w:rsid w:val="004E25EB"/>
    <w:rsid w:val="004E3F0C"/>
    <w:rsid w:val="004E46D8"/>
    <w:rsid w:val="004E52EA"/>
    <w:rsid w:val="004E5ECA"/>
    <w:rsid w:val="004E7953"/>
    <w:rsid w:val="004E79F9"/>
    <w:rsid w:val="004F080D"/>
    <w:rsid w:val="004F4F85"/>
    <w:rsid w:val="004F5960"/>
    <w:rsid w:val="004F5BA7"/>
    <w:rsid w:val="004F7661"/>
    <w:rsid w:val="00500309"/>
    <w:rsid w:val="00500816"/>
    <w:rsid w:val="00502D82"/>
    <w:rsid w:val="0050376A"/>
    <w:rsid w:val="00504CFF"/>
    <w:rsid w:val="00505B8C"/>
    <w:rsid w:val="00505F9C"/>
    <w:rsid w:val="00506CEE"/>
    <w:rsid w:val="00507728"/>
    <w:rsid w:val="00510A39"/>
    <w:rsid w:val="005113C5"/>
    <w:rsid w:val="00512CCE"/>
    <w:rsid w:val="00513E40"/>
    <w:rsid w:val="00514CD3"/>
    <w:rsid w:val="00515A63"/>
    <w:rsid w:val="005172E3"/>
    <w:rsid w:val="0051794D"/>
    <w:rsid w:val="005247DB"/>
    <w:rsid w:val="00524E49"/>
    <w:rsid w:val="00526EAA"/>
    <w:rsid w:val="00527A73"/>
    <w:rsid w:val="00527AB1"/>
    <w:rsid w:val="0053019F"/>
    <w:rsid w:val="0053065B"/>
    <w:rsid w:val="00530E76"/>
    <w:rsid w:val="00531C26"/>
    <w:rsid w:val="00532753"/>
    <w:rsid w:val="00532FBE"/>
    <w:rsid w:val="00533C9A"/>
    <w:rsid w:val="00533EC8"/>
    <w:rsid w:val="00540358"/>
    <w:rsid w:val="00540D2A"/>
    <w:rsid w:val="00541811"/>
    <w:rsid w:val="005424E5"/>
    <w:rsid w:val="00544471"/>
    <w:rsid w:val="005450EF"/>
    <w:rsid w:val="00545168"/>
    <w:rsid w:val="00545554"/>
    <w:rsid w:val="005456DA"/>
    <w:rsid w:val="00546D51"/>
    <w:rsid w:val="0056022F"/>
    <w:rsid w:val="005617B9"/>
    <w:rsid w:val="00561E7F"/>
    <w:rsid w:val="00563064"/>
    <w:rsid w:val="00563AE5"/>
    <w:rsid w:val="005647BD"/>
    <w:rsid w:val="0057195B"/>
    <w:rsid w:val="00573445"/>
    <w:rsid w:val="00573962"/>
    <w:rsid w:val="00577CEC"/>
    <w:rsid w:val="005813AC"/>
    <w:rsid w:val="00581CAA"/>
    <w:rsid w:val="00582854"/>
    <w:rsid w:val="00583179"/>
    <w:rsid w:val="0058451A"/>
    <w:rsid w:val="00585693"/>
    <w:rsid w:val="00586A0F"/>
    <w:rsid w:val="00587BDC"/>
    <w:rsid w:val="005920BC"/>
    <w:rsid w:val="00596B04"/>
    <w:rsid w:val="00597747"/>
    <w:rsid w:val="00597948"/>
    <w:rsid w:val="005A024D"/>
    <w:rsid w:val="005A07FF"/>
    <w:rsid w:val="005A0A7B"/>
    <w:rsid w:val="005A0C4A"/>
    <w:rsid w:val="005A1ACA"/>
    <w:rsid w:val="005A2CD4"/>
    <w:rsid w:val="005A31F2"/>
    <w:rsid w:val="005A4E3B"/>
    <w:rsid w:val="005A5432"/>
    <w:rsid w:val="005A6645"/>
    <w:rsid w:val="005A71A0"/>
    <w:rsid w:val="005B0253"/>
    <w:rsid w:val="005B0677"/>
    <w:rsid w:val="005B1023"/>
    <w:rsid w:val="005B2AB6"/>
    <w:rsid w:val="005B2E74"/>
    <w:rsid w:val="005B5346"/>
    <w:rsid w:val="005B6087"/>
    <w:rsid w:val="005C01E5"/>
    <w:rsid w:val="005C30FF"/>
    <w:rsid w:val="005C3776"/>
    <w:rsid w:val="005C3BB1"/>
    <w:rsid w:val="005C6C46"/>
    <w:rsid w:val="005D0ADD"/>
    <w:rsid w:val="005D0BD3"/>
    <w:rsid w:val="005D1D4F"/>
    <w:rsid w:val="005D32D3"/>
    <w:rsid w:val="005D4AB4"/>
    <w:rsid w:val="005D6400"/>
    <w:rsid w:val="005E0C0E"/>
    <w:rsid w:val="005E16C9"/>
    <w:rsid w:val="005E1F8D"/>
    <w:rsid w:val="005E35BB"/>
    <w:rsid w:val="005E524E"/>
    <w:rsid w:val="005E7D6E"/>
    <w:rsid w:val="005E7E51"/>
    <w:rsid w:val="005F110D"/>
    <w:rsid w:val="005F2372"/>
    <w:rsid w:val="005F276F"/>
    <w:rsid w:val="005F3515"/>
    <w:rsid w:val="005F370B"/>
    <w:rsid w:val="005F3F63"/>
    <w:rsid w:val="005F5ABA"/>
    <w:rsid w:val="005F6199"/>
    <w:rsid w:val="005F7261"/>
    <w:rsid w:val="005F7D4E"/>
    <w:rsid w:val="00600D2F"/>
    <w:rsid w:val="0060151B"/>
    <w:rsid w:val="0060238C"/>
    <w:rsid w:val="00606203"/>
    <w:rsid w:val="00606228"/>
    <w:rsid w:val="0060641D"/>
    <w:rsid w:val="00607525"/>
    <w:rsid w:val="00607916"/>
    <w:rsid w:val="00607AF7"/>
    <w:rsid w:val="0061043C"/>
    <w:rsid w:val="0061092C"/>
    <w:rsid w:val="00611707"/>
    <w:rsid w:val="00611D51"/>
    <w:rsid w:val="00611E41"/>
    <w:rsid w:val="006125D3"/>
    <w:rsid w:val="00617453"/>
    <w:rsid w:val="00617868"/>
    <w:rsid w:val="00621063"/>
    <w:rsid w:val="00622FBC"/>
    <w:rsid w:val="00623BCD"/>
    <w:rsid w:val="00624043"/>
    <w:rsid w:val="00624684"/>
    <w:rsid w:val="00625371"/>
    <w:rsid w:val="00633373"/>
    <w:rsid w:val="00635DE1"/>
    <w:rsid w:val="00636132"/>
    <w:rsid w:val="006376B8"/>
    <w:rsid w:val="0064197F"/>
    <w:rsid w:val="0064232A"/>
    <w:rsid w:val="00642486"/>
    <w:rsid w:val="00642B2C"/>
    <w:rsid w:val="00643FF2"/>
    <w:rsid w:val="006555EA"/>
    <w:rsid w:val="00660B91"/>
    <w:rsid w:val="00661E0F"/>
    <w:rsid w:val="006643FA"/>
    <w:rsid w:val="00671A51"/>
    <w:rsid w:val="00672016"/>
    <w:rsid w:val="0067226D"/>
    <w:rsid w:val="0067258B"/>
    <w:rsid w:val="006734CF"/>
    <w:rsid w:val="00673B7A"/>
    <w:rsid w:val="00674E74"/>
    <w:rsid w:val="00676499"/>
    <w:rsid w:val="00676638"/>
    <w:rsid w:val="00676E79"/>
    <w:rsid w:val="006820DB"/>
    <w:rsid w:val="0068304E"/>
    <w:rsid w:val="0068782F"/>
    <w:rsid w:val="00687863"/>
    <w:rsid w:val="0069008D"/>
    <w:rsid w:val="006900C3"/>
    <w:rsid w:val="006903A6"/>
    <w:rsid w:val="006918E9"/>
    <w:rsid w:val="00694111"/>
    <w:rsid w:val="00694553"/>
    <w:rsid w:val="006963B0"/>
    <w:rsid w:val="006973C0"/>
    <w:rsid w:val="00697925"/>
    <w:rsid w:val="00697C99"/>
    <w:rsid w:val="00697FA9"/>
    <w:rsid w:val="006A0218"/>
    <w:rsid w:val="006A07C0"/>
    <w:rsid w:val="006A1595"/>
    <w:rsid w:val="006A3E1E"/>
    <w:rsid w:val="006A3F21"/>
    <w:rsid w:val="006A42D8"/>
    <w:rsid w:val="006A682C"/>
    <w:rsid w:val="006B09AE"/>
    <w:rsid w:val="006B0A69"/>
    <w:rsid w:val="006B19DB"/>
    <w:rsid w:val="006B3AFB"/>
    <w:rsid w:val="006B492B"/>
    <w:rsid w:val="006B49DB"/>
    <w:rsid w:val="006B62DD"/>
    <w:rsid w:val="006B6610"/>
    <w:rsid w:val="006B6A05"/>
    <w:rsid w:val="006C129A"/>
    <w:rsid w:val="006C15FA"/>
    <w:rsid w:val="006C4A1C"/>
    <w:rsid w:val="006C543A"/>
    <w:rsid w:val="006C7988"/>
    <w:rsid w:val="006C7E07"/>
    <w:rsid w:val="006D038C"/>
    <w:rsid w:val="006D25F6"/>
    <w:rsid w:val="006E2646"/>
    <w:rsid w:val="006E33B0"/>
    <w:rsid w:val="006E3614"/>
    <w:rsid w:val="006E462F"/>
    <w:rsid w:val="006E4DCD"/>
    <w:rsid w:val="006E6170"/>
    <w:rsid w:val="006F03F0"/>
    <w:rsid w:val="006F0E37"/>
    <w:rsid w:val="006F1B7F"/>
    <w:rsid w:val="006F25B7"/>
    <w:rsid w:val="006F3707"/>
    <w:rsid w:val="006F380C"/>
    <w:rsid w:val="006F4069"/>
    <w:rsid w:val="006F43D3"/>
    <w:rsid w:val="006F519A"/>
    <w:rsid w:val="00700760"/>
    <w:rsid w:val="007008BA"/>
    <w:rsid w:val="007046C1"/>
    <w:rsid w:val="007050DB"/>
    <w:rsid w:val="0070657F"/>
    <w:rsid w:val="00706F9B"/>
    <w:rsid w:val="00712908"/>
    <w:rsid w:val="007131BB"/>
    <w:rsid w:val="00713A0F"/>
    <w:rsid w:val="00715DC1"/>
    <w:rsid w:val="00716F61"/>
    <w:rsid w:val="007176CC"/>
    <w:rsid w:val="00720DDE"/>
    <w:rsid w:val="007222A7"/>
    <w:rsid w:val="0072238E"/>
    <w:rsid w:val="00722A88"/>
    <w:rsid w:val="00722B84"/>
    <w:rsid w:val="007238C9"/>
    <w:rsid w:val="00723923"/>
    <w:rsid w:val="00723C9F"/>
    <w:rsid w:val="0072602F"/>
    <w:rsid w:val="007262FE"/>
    <w:rsid w:val="00727986"/>
    <w:rsid w:val="00730E43"/>
    <w:rsid w:val="00731264"/>
    <w:rsid w:val="00732094"/>
    <w:rsid w:val="00735F7D"/>
    <w:rsid w:val="00740D43"/>
    <w:rsid w:val="0074119F"/>
    <w:rsid w:val="007430DF"/>
    <w:rsid w:val="007432CC"/>
    <w:rsid w:val="00743395"/>
    <w:rsid w:val="007434B8"/>
    <w:rsid w:val="00743819"/>
    <w:rsid w:val="0074603A"/>
    <w:rsid w:val="00746CBF"/>
    <w:rsid w:val="007474E7"/>
    <w:rsid w:val="00747B03"/>
    <w:rsid w:val="0075127A"/>
    <w:rsid w:val="00751668"/>
    <w:rsid w:val="007519B9"/>
    <w:rsid w:val="00751A5F"/>
    <w:rsid w:val="00753409"/>
    <w:rsid w:val="00755A06"/>
    <w:rsid w:val="00757D75"/>
    <w:rsid w:val="00760649"/>
    <w:rsid w:val="00760F4B"/>
    <w:rsid w:val="00761B4D"/>
    <w:rsid w:val="007625DB"/>
    <w:rsid w:val="0076354D"/>
    <w:rsid w:val="007646CD"/>
    <w:rsid w:val="007652A6"/>
    <w:rsid w:val="007663E3"/>
    <w:rsid w:val="00767575"/>
    <w:rsid w:val="00772038"/>
    <w:rsid w:val="007748D6"/>
    <w:rsid w:val="00775E71"/>
    <w:rsid w:val="00775EB0"/>
    <w:rsid w:val="0078293B"/>
    <w:rsid w:val="00785075"/>
    <w:rsid w:val="00785A42"/>
    <w:rsid w:val="00787E7E"/>
    <w:rsid w:val="0079075E"/>
    <w:rsid w:val="00791EB6"/>
    <w:rsid w:val="00793418"/>
    <w:rsid w:val="00793D0D"/>
    <w:rsid w:val="00795267"/>
    <w:rsid w:val="00795953"/>
    <w:rsid w:val="00796F89"/>
    <w:rsid w:val="007A3A1D"/>
    <w:rsid w:val="007A4ECC"/>
    <w:rsid w:val="007A50AE"/>
    <w:rsid w:val="007A5CDE"/>
    <w:rsid w:val="007A6070"/>
    <w:rsid w:val="007A63B0"/>
    <w:rsid w:val="007B1604"/>
    <w:rsid w:val="007B2FEE"/>
    <w:rsid w:val="007B3A90"/>
    <w:rsid w:val="007B4682"/>
    <w:rsid w:val="007B46DA"/>
    <w:rsid w:val="007B5399"/>
    <w:rsid w:val="007B6C6C"/>
    <w:rsid w:val="007B709D"/>
    <w:rsid w:val="007C07FE"/>
    <w:rsid w:val="007C24D4"/>
    <w:rsid w:val="007C2C7C"/>
    <w:rsid w:val="007C52CD"/>
    <w:rsid w:val="007C7192"/>
    <w:rsid w:val="007C7585"/>
    <w:rsid w:val="007C7612"/>
    <w:rsid w:val="007D1058"/>
    <w:rsid w:val="007D4895"/>
    <w:rsid w:val="007D5083"/>
    <w:rsid w:val="007D72A8"/>
    <w:rsid w:val="007D730B"/>
    <w:rsid w:val="007E0986"/>
    <w:rsid w:val="007E0AFD"/>
    <w:rsid w:val="007E21A5"/>
    <w:rsid w:val="007E46F1"/>
    <w:rsid w:val="007E553C"/>
    <w:rsid w:val="007E5A3C"/>
    <w:rsid w:val="007E5DF3"/>
    <w:rsid w:val="007E7ED6"/>
    <w:rsid w:val="007F0213"/>
    <w:rsid w:val="007F089A"/>
    <w:rsid w:val="007F0D02"/>
    <w:rsid w:val="007F1149"/>
    <w:rsid w:val="007F2543"/>
    <w:rsid w:val="007F2C32"/>
    <w:rsid w:val="007F3183"/>
    <w:rsid w:val="007F4E3B"/>
    <w:rsid w:val="007F5662"/>
    <w:rsid w:val="007F7C8A"/>
    <w:rsid w:val="00802282"/>
    <w:rsid w:val="00805016"/>
    <w:rsid w:val="0080736D"/>
    <w:rsid w:val="00807AFA"/>
    <w:rsid w:val="00813B05"/>
    <w:rsid w:val="008157EB"/>
    <w:rsid w:val="008163DB"/>
    <w:rsid w:val="00816427"/>
    <w:rsid w:val="008222E5"/>
    <w:rsid w:val="00823937"/>
    <w:rsid w:val="00826F2D"/>
    <w:rsid w:val="00832215"/>
    <w:rsid w:val="008330ED"/>
    <w:rsid w:val="008332A1"/>
    <w:rsid w:val="0083479E"/>
    <w:rsid w:val="00835D75"/>
    <w:rsid w:val="0083723D"/>
    <w:rsid w:val="008406F3"/>
    <w:rsid w:val="00840973"/>
    <w:rsid w:val="00841F4B"/>
    <w:rsid w:val="00842850"/>
    <w:rsid w:val="00846059"/>
    <w:rsid w:val="0084659D"/>
    <w:rsid w:val="0085051A"/>
    <w:rsid w:val="0085378C"/>
    <w:rsid w:val="00855863"/>
    <w:rsid w:val="00857CBC"/>
    <w:rsid w:val="008630BE"/>
    <w:rsid w:val="008654B5"/>
    <w:rsid w:val="00865B18"/>
    <w:rsid w:val="008717FF"/>
    <w:rsid w:val="00871EBB"/>
    <w:rsid w:val="00881347"/>
    <w:rsid w:val="00884DBE"/>
    <w:rsid w:val="0088538E"/>
    <w:rsid w:val="00885517"/>
    <w:rsid w:val="0088770D"/>
    <w:rsid w:val="00890107"/>
    <w:rsid w:val="0089063D"/>
    <w:rsid w:val="00892298"/>
    <w:rsid w:val="00892359"/>
    <w:rsid w:val="00893446"/>
    <w:rsid w:val="00893F81"/>
    <w:rsid w:val="00896284"/>
    <w:rsid w:val="0089645D"/>
    <w:rsid w:val="00896CAC"/>
    <w:rsid w:val="0089728C"/>
    <w:rsid w:val="008972C6"/>
    <w:rsid w:val="00897720"/>
    <w:rsid w:val="008A1CEE"/>
    <w:rsid w:val="008A269B"/>
    <w:rsid w:val="008A2976"/>
    <w:rsid w:val="008A32D4"/>
    <w:rsid w:val="008A3713"/>
    <w:rsid w:val="008A6F1A"/>
    <w:rsid w:val="008A74E6"/>
    <w:rsid w:val="008A7594"/>
    <w:rsid w:val="008A78E4"/>
    <w:rsid w:val="008A7F6B"/>
    <w:rsid w:val="008B03BE"/>
    <w:rsid w:val="008B15A2"/>
    <w:rsid w:val="008B1E78"/>
    <w:rsid w:val="008B2334"/>
    <w:rsid w:val="008B353D"/>
    <w:rsid w:val="008B363F"/>
    <w:rsid w:val="008B3799"/>
    <w:rsid w:val="008B4215"/>
    <w:rsid w:val="008B4C1D"/>
    <w:rsid w:val="008B4DC1"/>
    <w:rsid w:val="008B5003"/>
    <w:rsid w:val="008B57F1"/>
    <w:rsid w:val="008B5CCD"/>
    <w:rsid w:val="008C0EF9"/>
    <w:rsid w:val="008C2F98"/>
    <w:rsid w:val="008C31E6"/>
    <w:rsid w:val="008C3A1F"/>
    <w:rsid w:val="008C3CFE"/>
    <w:rsid w:val="008C53C2"/>
    <w:rsid w:val="008C74A9"/>
    <w:rsid w:val="008D17A0"/>
    <w:rsid w:val="008D2580"/>
    <w:rsid w:val="008D472D"/>
    <w:rsid w:val="008D696D"/>
    <w:rsid w:val="008D69D1"/>
    <w:rsid w:val="008D6BE8"/>
    <w:rsid w:val="008E195E"/>
    <w:rsid w:val="008E276B"/>
    <w:rsid w:val="008E2C86"/>
    <w:rsid w:val="008E2CF2"/>
    <w:rsid w:val="008E2F22"/>
    <w:rsid w:val="008E41ED"/>
    <w:rsid w:val="008E54A6"/>
    <w:rsid w:val="008E5861"/>
    <w:rsid w:val="008E6429"/>
    <w:rsid w:val="008E734C"/>
    <w:rsid w:val="008F1204"/>
    <w:rsid w:val="008F1BEC"/>
    <w:rsid w:val="008F2F9C"/>
    <w:rsid w:val="008F3FE3"/>
    <w:rsid w:val="008F451C"/>
    <w:rsid w:val="008F68D0"/>
    <w:rsid w:val="008F6B00"/>
    <w:rsid w:val="008F7BD2"/>
    <w:rsid w:val="008F7CA0"/>
    <w:rsid w:val="008F7E16"/>
    <w:rsid w:val="00901C65"/>
    <w:rsid w:val="00902220"/>
    <w:rsid w:val="00902FBD"/>
    <w:rsid w:val="0090328E"/>
    <w:rsid w:val="009036FA"/>
    <w:rsid w:val="009052FA"/>
    <w:rsid w:val="009110BC"/>
    <w:rsid w:val="00912954"/>
    <w:rsid w:val="00913BF0"/>
    <w:rsid w:val="00916362"/>
    <w:rsid w:val="009164AE"/>
    <w:rsid w:val="00917FA0"/>
    <w:rsid w:val="00920075"/>
    <w:rsid w:val="009207C0"/>
    <w:rsid w:val="00921CFF"/>
    <w:rsid w:val="00922498"/>
    <w:rsid w:val="009227DE"/>
    <w:rsid w:val="00922884"/>
    <w:rsid w:val="0092531D"/>
    <w:rsid w:val="00926184"/>
    <w:rsid w:val="00933006"/>
    <w:rsid w:val="00933F88"/>
    <w:rsid w:val="00934A95"/>
    <w:rsid w:val="00936232"/>
    <w:rsid w:val="009366DE"/>
    <w:rsid w:val="00937112"/>
    <w:rsid w:val="00940DD7"/>
    <w:rsid w:val="00941233"/>
    <w:rsid w:val="00941394"/>
    <w:rsid w:val="0094164A"/>
    <w:rsid w:val="00944EAF"/>
    <w:rsid w:val="009453F2"/>
    <w:rsid w:val="00945AA2"/>
    <w:rsid w:val="00947A3F"/>
    <w:rsid w:val="00950360"/>
    <w:rsid w:val="00950DB1"/>
    <w:rsid w:val="00952414"/>
    <w:rsid w:val="0095308B"/>
    <w:rsid w:val="0095425E"/>
    <w:rsid w:val="009618B0"/>
    <w:rsid w:val="00963141"/>
    <w:rsid w:val="00964953"/>
    <w:rsid w:val="00971045"/>
    <w:rsid w:val="00971588"/>
    <w:rsid w:val="009716C9"/>
    <w:rsid w:val="00971F30"/>
    <w:rsid w:val="00973165"/>
    <w:rsid w:val="0097382A"/>
    <w:rsid w:val="009753A0"/>
    <w:rsid w:val="00976B71"/>
    <w:rsid w:val="00976CF9"/>
    <w:rsid w:val="00977528"/>
    <w:rsid w:val="00983167"/>
    <w:rsid w:val="00984E54"/>
    <w:rsid w:val="00985EFC"/>
    <w:rsid w:val="00986E67"/>
    <w:rsid w:val="009877C5"/>
    <w:rsid w:val="00987997"/>
    <w:rsid w:val="009907D4"/>
    <w:rsid w:val="0099147F"/>
    <w:rsid w:val="0099233A"/>
    <w:rsid w:val="00992D1E"/>
    <w:rsid w:val="0099425D"/>
    <w:rsid w:val="0099607D"/>
    <w:rsid w:val="009975BA"/>
    <w:rsid w:val="009A3E45"/>
    <w:rsid w:val="009A6917"/>
    <w:rsid w:val="009B09F1"/>
    <w:rsid w:val="009B1E08"/>
    <w:rsid w:val="009B214D"/>
    <w:rsid w:val="009B3ADE"/>
    <w:rsid w:val="009B3B96"/>
    <w:rsid w:val="009B6F3E"/>
    <w:rsid w:val="009C01D3"/>
    <w:rsid w:val="009C0353"/>
    <w:rsid w:val="009C0D0B"/>
    <w:rsid w:val="009C1AF5"/>
    <w:rsid w:val="009C33EA"/>
    <w:rsid w:val="009C7346"/>
    <w:rsid w:val="009D1254"/>
    <w:rsid w:val="009D3784"/>
    <w:rsid w:val="009D4CBB"/>
    <w:rsid w:val="009D50C9"/>
    <w:rsid w:val="009D5C93"/>
    <w:rsid w:val="009E2A40"/>
    <w:rsid w:val="009E2F06"/>
    <w:rsid w:val="009E51FF"/>
    <w:rsid w:val="009E7294"/>
    <w:rsid w:val="009F1FDC"/>
    <w:rsid w:val="009F3B18"/>
    <w:rsid w:val="009F3C83"/>
    <w:rsid w:val="009F3F33"/>
    <w:rsid w:val="009F672F"/>
    <w:rsid w:val="009F699D"/>
    <w:rsid w:val="009F6B5D"/>
    <w:rsid w:val="009F7B99"/>
    <w:rsid w:val="00A0627C"/>
    <w:rsid w:val="00A065E3"/>
    <w:rsid w:val="00A06A6D"/>
    <w:rsid w:val="00A06A74"/>
    <w:rsid w:val="00A11428"/>
    <w:rsid w:val="00A12191"/>
    <w:rsid w:val="00A12FCC"/>
    <w:rsid w:val="00A137A2"/>
    <w:rsid w:val="00A14F50"/>
    <w:rsid w:val="00A20B46"/>
    <w:rsid w:val="00A20F23"/>
    <w:rsid w:val="00A2305C"/>
    <w:rsid w:val="00A23192"/>
    <w:rsid w:val="00A25C43"/>
    <w:rsid w:val="00A25FEE"/>
    <w:rsid w:val="00A260A9"/>
    <w:rsid w:val="00A2783D"/>
    <w:rsid w:val="00A27B67"/>
    <w:rsid w:val="00A35135"/>
    <w:rsid w:val="00A35460"/>
    <w:rsid w:val="00A35B9B"/>
    <w:rsid w:val="00A43074"/>
    <w:rsid w:val="00A46E1C"/>
    <w:rsid w:val="00A51677"/>
    <w:rsid w:val="00A5189C"/>
    <w:rsid w:val="00A52113"/>
    <w:rsid w:val="00A52423"/>
    <w:rsid w:val="00A5278B"/>
    <w:rsid w:val="00A5305F"/>
    <w:rsid w:val="00A54819"/>
    <w:rsid w:val="00A551C0"/>
    <w:rsid w:val="00A56A44"/>
    <w:rsid w:val="00A57F7D"/>
    <w:rsid w:val="00A60C67"/>
    <w:rsid w:val="00A60C81"/>
    <w:rsid w:val="00A620F8"/>
    <w:rsid w:val="00A62D35"/>
    <w:rsid w:val="00A64F00"/>
    <w:rsid w:val="00A656F6"/>
    <w:rsid w:val="00A674E1"/>
    <w:rsid w:val="00A675CD"/>
    <w:rsid w:val="00A709CE"/>
    <w:rsid w:val="00A71256"/>
    <w:rsid w:val="00A71790"/>
    <w:rsid w:val="00A71F1D"/>
    <w:rsid w:val="00A72C19"/>
    <w:rsid w:val="00A7615C"/>
    <w:rsid w:val="00A76DC6"/>
    <w:rsid w:val="00A77507"/>
    <w:rsid w:val="00A77A31"/>
    <w:rsid w:val="00A80020"/>
    <w:rsid w:val="00A807DE"/>
    <w:rsid w:val="00A81403"/>
    <w:rsid w:val="00A81DBB"/>
    <w:rsid w:val="00A8224C"/>
    <w:rsid w:val="00A834A3"/>
    <w:rsid w:val="00A900D0"/>
    <w:rsid w:val="00A925F9"/>
    <w:rsid w:val="00A93429"/>
    <w:rsid w:val="00A95343"/>
    <w:rsid w:val="00A9546B"/>
    <w:rsid w:val="00A95A40"/>
    <w:rsid w:val="00A96EEE"/>
    <w:rsid w:val="00A9789B"/>
    <w:rsid w:val="00AA1CFA"/>
    <w:rsid w:val="00AA3DE3"/>
    <w:rsid w:val="00AB002A"/>
    <w:rsid w:val="00AB407F"/>
    <w:rsid w:val="00AB5D53"/>
    <w:rsid w:val="00AB663E"/>
    <w:rsid w:val="00AC0448"/>
    <w:rsid w:val="00AC1602"/>
    <w:rsid w:val="00AC1BB8"/>
    <w:rsid w:val="00AC2753"/>
    <w:rsid w:val="00AC3E84"/>
    <w:rsid w:val="00AC42DB"/>
    <w:rsid w:val="00AC696A"/>
    <w:rsid w:val="00AD0525"/>
    <w:rsid w:val="00AD2BF2"/>
    <w:rsid w:val="00AD45E2"/>
    <w:rsid w:val="00AD5111"/>
    <w:rsid w:val="00AD59F0"/>
    <w:rsid w:val="00AD710D"/>
    <w:rsid w:val="00AE0B2E"/>
    <w:rsid w:val="00AE0BEF"/>
    <w:rsid w:val="00AE3A9E"/>
    <w:rsid w:val="00AE44E8"/>
    <w:rsid w:val="00AE4F63"/>
    <w:rsid w:val="00AE5267"/>
    <w:rsid w:val="00AE5990"/>
    <w:rsid w:val="00AE709A"/>
    <w:rsid w:val="00AE7D07"/>
    <w:rsid w:val="00AF386E"/>
    <w:rsid w:val="00AF7D5C"/>
    <w:rsid w:val="00AF7F57"/>
    <w:rsid w:val="00B0010D"/>
    <w:rsid w:val="00B022E0"/>
    <w:rsid w:val="00B04850"/>
    <w:rsid w:val="00B0521B"/>
    <w:rsid w:val="00B05475"/>
    <w:rsid w:val="00B05CEF"/>
    <w:rsid w:val="00B06C1E"/>
    <w:rsid w:val="00B06DD8"/>
    <w:rsid w:val="00B11D66"/>
    <w:rsid w:val="00B149DF"/>
    <w:rsid w:val="00B218BD"/>
    <w:rsid w:val="00B229B6"/>
    <w:rsid w:val="00B22DEA"/>
    <w:rsid w:val="00B2577D"/>
    <w:rsid w:val="00B27262"/>
    <w:rsid w:val="00B30A58"/>
    <w:rsid w:val="00B32A58"/>
    <w:rsid w:val="00B34F55"/>
    <w:rsid w:val="00B358DC"/>
    <w:rsid w:val="00B35D0C"/>
    <w:rsid w:val="00B363E2"/>
    <w:rsid w:val="00B40A5F"/>
    <w:rsid w:val="00B414E7"/>
    <w:rsid w:val="00B42615"/>
    <w:rsid w:val="00B45894"/>
    <w:rsid w:val="00B4705D"/>
    <w:rsid w:val="00B506CE"/>
    <w:rsid w:val="00B50D7E"/>
    <w:rsid w:val="00B50FE5"/>
    <w:rsid w:val="00B51C53"/>
    <w:rsid w:val="00B5218A"/>
    <w:rsid w:val="00B622C2"/>
    <w:rsid w:val="00B62DE1"/>
    <w:rsid w:val="00B62E67"/>
    <w:rsid w:val="00B63E0E"/>
    <w:rsid w:val="00B64B9F"/>
    <w:rsid w:val="00B6503E"/>
    <w:rsid w:val="00B65314"/>
    <w:rsid w:val="00B65D7E"/>
    <w:rsid w:val="00B709FF"/>
    <w:rsid w:val="00B71111"/>
    <w:rsid w:val="00B716D0"/>
    <w:rsid w:val="00B73244"/>
    <w:rsid w:val="00B74AF2"/>
    <w:rsid w:val="00B755E0"/>
    <w:rsid w:val="00B75EAB"/>
    <w:rsid w:val="00B80244"/>
    <w:rsid w:val="00B814D5"/>
    <w:rsid w:val="00B84779"/>
    <w:rsid w:val="00B8575E"/>
    <w:rsid w:val="00B87D1C"/>
    <w:rsid w:val="00B9357F"/>
    <w:rsid w:val="00B94183"/>
    <w:rsid w:val="00B95437"/>
    <w:rsid w:val="00B95D42"/>
    <w:rsid w:val="00B968B3"/>
    <w:rsid w:val="00B97117"/>
    <w:rsid w:val="00BA25DD"/>
    <w:rsid w:val="00BA3526"/>
    <w:rsid w:val="00BA35B9"/>
    <w:rsid w:val="00BA3AA9"/>
    <w:rsid w:val="00BA57EB"/>
    <w:rsid w:val="00BA79AF"/>
    <w:rsid w:val="00BB0418"/>
    <w:rsid w:val="00BB09B0"/>
    <w:rsid w:val="00BB0E1B"/>
    <w:rsid w:val="00BB143A"/>
    <w:rsid w:val="00BB1551"/>
    <w:rsid w:val="00BB1711"/>
    <w:rsid w:val="00BB2C96"/>
    <w:rsid w:val="00BB32CD"/>
    <w:rsid w:val="00BB6425"/>
    <w:rsid w:val="00BC0026"/>
    <w:rsid w:val="00BC1C04"/>
    <w:rsid w:val="00BC1C64"/>
    <w:rsid w:val="00BC1E94"/>
    <w:rsid w:val="00BC2CDD"/>
    <w:rsid w:val="00BC32D5"/>
    <w:rsid w:val="00BC3F1F"/>
    <w:rsid w:val="00BC42CD"/>
    <w:rsid w:val="00BC5F3A"/>
    <w:rsid w:val="00BC73F9"/>
    <w:rsid w:val="00BC7ED3"/>
    <w:rsid w:val="00BD0CCE"/>
    <w:rsid w:val="00BD1204"/>
    <w:rsid w:val="00BD3E21"/>
    <w:rsid w:val="00BD5F84"/>
    <w:rsid w:val="00BD6789"/>
    <w:rsid w:val="00BD7E52"/>
    <w:rsid w:val="00BE105E"/>
    <w:rsid w:val="00BE1C37"/>
    <w:rsid w:val="00BE1DC8"/>
    <w:rsid w:val="00BE280B"/>
    <w:rsid w:val="00BE2851"/>
    <w:rsid w:val="00BE2F73"/>
    <w:rsid w:val="00BE3454"/>
    <w:rsid w:val="00BE4C60"/>
    <w:rsid w:val="00BE585B"/>
    <w:rsid w:val="00BE6B91"/>
    <w:rsid w:val="00BE7ABD"/>
    <w:rsid w:val="00BF0658"/>
    <w:rsid w:val="00BF134C"/>
    <w:rsid w:val="00BF1D97"/>
    <w:rsid w:val="00BF31D6"/>
    <w:rsid w:val="00BF576A"/>
    <w:rsid w:val="00BF5FC0"/>
    <w:rsid w:val="00BF65E6"/>
    <w:rsid w:val="00BF70C4"/>
    <w:rsid w:val="00C0003D"/>
    <w:rsid w:val="00C00275"/>
    <w:rsid w:val="00C01C96"/>
    <w:rsid w:val="00C02356"/>
    <w:rsid w:val="00C027EC"/>
    <w:rsid w:val="00C02E4B"/>
    <w:rsid w:val="00C042E9"/>
    <w:rsid w:val="00C04DC1"/>
    <w:rsid w:val="00C0630A"/>
    <w:rsid w:val="00C0685B"/>
    <w:rsid w:val="00C06BC3"/>
    <w:rsid w:val="00C11720"/>
    <w:rsid w:val="00C13CA9"/>
    <w:rsid w:val="00C163DB"/>
    <w:rsid w:val="00C173D8"/>
    <w:rsid w:val="00C202C5"/>
    <w:rsid w:val="00C20E4C"/>
    <w:rsid w:val="00C24528"/>
    <w:rsid w:val="00C252A5"/>
    <w:rsid w:val="00C25BCC"/>
    <w:rsid w:val="00C26AD4"/>
    <w:rsid w:val="00C3007B"/>
    <w:rsid w:val="00C30A05"/>
    <w:rsid w:val="00C3181A"/>
    <w:rsid w:val="00C32050"/>
    <w:rsid w:val="00C33DB1"/>
    <w:rsid w:val="00C36DF6"/>
    <w:rsid w:val="00C401DB"/>
    <w:rsid w:val="00C401F7"/>
    <w:rsid w:val="00C42485"/>
    <w:rsid w:val="00C43B49"/>
    <w:rsid w:val="00C43BA3"/>
    <w:rsid w:val="00C43E0E"/>
    <w:rsid w:val="00C4484A"/>
    <w:rsid w:val="00C4489B"/>
    <w:rsid w:val="00C4582C"/>
    <w:rsid w:val="00C46413"/>
    <w:rsid w:val="00C4786D"/>
    <w:rsid w:val="00C47DA7"/>
    <w:rsid w:val="00C50277"/>
    <w:rsid w:val="00C50EC5"/>
    <w:rsid w:val="00C52010"/>
    <w:rsid w:val="00C52568"/>
    <w:rsid w:val="00C529F7"/>
    <w:rsid w:val="00C534DF"/>
    <w:rsid w:val="00C53F6E"/>
    <w:rsid w:val="00C55545"/>
    <w:rsid w:val="00C558BF"/>
    <w:rsid w:val="00C55A20"/>
    <w:rsid w:val="00C55A2E"/>
    <w:rsid w:val="00C55E1D"/>
    <w:rsid w:val="00C57636"/>
    <w:rsid w:val="00C602C1"/>
    <w:rsid w:val="00C607C7"/>
    <w:rsid w:val="00C60814"/>
    <w:rsid w:val="00C60DDA"/>
    <w:rsid w:val="00C62278"/>
    <w:rsid w:val="00C6558D"/>
    <w:rsid w:val="00C65A94"/>
    <w:rsid w:val="00C65B14"/>
    <w:rsid w:val="00C660DD"/>
    <w:rsid w:val="00C677BE"/>
    <w:rsid w:val="00C702CB"/>
    <w:rsid w:val="00C713C1"/>
    <w:rsid w:val="00C7284A"/>
    <w:rsid w:val="00C72995"/>
    <w:rsid w:val="00C73B12"/>
    <w:rsid w:val="00C7460C"/>
    <w:rsid w:val="00C76C99"/>
    <w:rsid w:val="00C80F47"/>
    <w:rsid w:val="00C82E9E"/>
    <w:rsid w:val="00C84EC6"/>
    <w:rsid w:val="00C85A6D"/>
    <w:rsid w:val="00C8652F"/>
    <w:rsid w:val="00C870BF"/>
    <w:rsid w:val="00C90349"/>
    <w:rsid w:val="00C91CF6"/>
    <w:rsid w:val="00C91D89"/>
    <w:rsid w:val="00C92F05"/>
    <w:rsid w:val="00C94E26"/>
    <w:rsid w:val="00C969A9"/>
    <w:rsid w:val="00CA134A"/>
    <w:rsid w:val="00CA13B8"/>
    <w:rsid w:val="00CA22BE"/>
    <w:rsid w:val="00CA2478"/>
    <w:rsid w:val="00CA2A7A"/>
    <w:rsid w:val="00CA6882"/>
    <w:rsid w:val="00CA7B8C"/>
    <w:rsid w:val="00CB01E5"/>
    <w:rsid w:val="00CB247B"/>
    <w:rsid w:val="00CB336E"/>
    <w:rsid w:val="00CB514D"/>
    <w:rsid w:val="00CB674D"/>
    <w:rsid w:val="00CB69D6"/>
    <w:rsid w:val="00CB6C98"/>
    <w:rsid w:val="00CB7B8A"/>
    <w:rsid w:val="00CC0275"/>
    <w:rsid w:val="00CC231F"/>
    <w:rsid w:val="00CC4606"/>
    <w:rsid w:val="00CC4B41"/>
    <w:rsid w:val="00CC6360"/>
    <w:rsid w:val="00CC6BE0"/>
    <w:rsid w:val="00CC6D7E"/>
    <w:rsid w:val="00CC79ED"/>
    <w:rsid w:val="00CD02B5"/>
    <w:rsid w:val="00CD098D"/>
    <w:rsid w:val="00CD2194"/>
    <w:rsid w:val="00CD4617"/>
    <w:rsid w:val="00CD5A3E"/>
    <w:rsid w:val="00CD7AD8"/>
    <w:rsid w:val="00CE0F2B"/>
    <w:rsid w:val="00CE4A4C"/>
    <w:rsid w:val="00CE5E6C"/>
    <w:rsid w:val="00CE77E1"/>
    <w:rsid w:val="00CF2137"/>
    <w:rsid w:val="00CF4DA0"/>
    <w:rsid w:val="00D00B4B"/>
    <w:rsid w:val="00D00D92"/>
    <w:rsid w:val="00D01586"/>
    <w:rsid w:val="00D0208E"/>
    <w:rsid w:val="00D02278"/>
    <w:rsid w:val="00D037BC"/>
    <w:rsid w:val="00D05141"/>
    <w:rsid w:val="00D055A1"/>
    <w:rsid w:val="00D07D16"/>
    <w:rsid w:val="00D11815"/>
    <w:rsid w:val="00D118D7"/>
    <w:rsid w:val="00D120D3"/>
    <w:rsid w:val="00D12B4E"/>
    <w:rsid w:val="00D15051"/>
    <w:rsid w:val="00D15A0D"/>
    <w:rsid w:val="00D15E6B"/>
    <w:rsid w:val="00D16409"/>
    <w:rsid w:val="00D16EB4"/>
    <w:rsid w:val="00D175EA"/>
    <w:rsid w:val="00D22ED6"/>
    <w:rsid w:val="00D24AAA"/>
    <w:rsid w:val="00D25524"/>
    <w:rsid w:val="00D256FC"/>
    <w:rsid w:val="00D26749"/>
    <w:rsid w:val="00D275F3"/>
    <w:rsid w:val="00D276FC"/>
    <w:rsid w:val="00D32199"/>
    <w:rsid w:val="00D345A7"/>
    <w:rsid w:val="00D34E0D"/>
    <w:rsid w:val="00D34FF2"/>
    <w:rsid w:val="00D35865"/>
    <w:rsid w:val="00D4047D"/>
    <w:rsid w:val="00D4069E"/>
    <w:rsid w:val="00D424F7"/>
    <w:rsid w:val="00D4420B"/>
    <w:rsid w:val="00D44C6D"/>
    <w:rsid w:val="00D4612D"/>
    <w:rsid w:val="00D51803"/>
    <w:rsid w:val="00D5194A"/>
    <w:rsid w:val="00D52C1E"/>
    <w:rsid w:val="00D5313E"/>
    <w:rsid w:val="00D5357E"/>
    <w:rsid w:val="00D53ABE"/>
    <w:rsid w:val="00D54E73"/>
    <w:rsid w:val="00D55004"/>
    <w:rsid w:val="00D56ED5"/>
    <w:rsid w:val="00D57C8E"/>
    <w:rsid w:val="00D62866"/>
    <w:rsid w:val="00D63394"/>
    <w:rsid w:val="00D63A62"/>
    <w:rsid w:val="00D63D14"/>
    <w:rsid w:val="00D63F58"/>
    <w:rsid w:val="00D67B66"/>
    <w:rsid w:val="00D702CA"/>
    <w:rsid w:val="00D70BF4"/>
    <w:rsid w:val="00D73720"/>
    <w:rsid w:val="00D74B86"/>
    <w:rsid w:val="00D75C05"/>
    <w:rsid w:val="00D76208"/>
    <w:rsid w:val="00D7752F"/>
    <w:rsid w:val="00D81723"/>
    <w:rsid w:val="00D82A1F"/>
    <w:rsid w:val="00D8439B"/>
    <w:rsid w:val="00D85C95"/>
    <w:rsid w:val="00D876F7"/>
    <w:rsid w:val="00D91CC5"/>
    <w:rsid w:val="00D93CC4"/>
    <w:rsid w:val="00D94335"/>
    <w:rsid w:val="00D946FA"/>
    <w:rsid w:val="00D966A8"/>
    <w:rsid w:val="00D96C07"/>
    <w:rsid w:val="00D96CD2"/>
    <w:rsid w:val="00DA459A"/>
    <w:rsid w:val="00DA4768"/>
    <w:rsid w:val="00DA4A1F"/>
    <w:rsid w:val="00DA6709"/>
    <w:rsid w:val="00DA754F"/>
    <w:rsid w:val="00DA7A81"/>
    <w:rsid w:val="00DB0652"/>
    <w:rsid w:val="00DB50E3"/>
    <w:rsid w:val="00DB589B"/>
    <w:rsid w:val="00DB5A83"/>
    <w:rsid w:val="00DC446F"/>
    <w:rsid w:val="00DC57F0"/>
    <w:rsid w:val="00DC6EAA"/>
    <w:rsid w:val="00DE0C43"/>
    <w:rsid w:val="00DE0D43"/>
    <w:rsid w:val="00DE1951"/>
    <w:rsid w:val="00DE35B0"/>
    <w:rsid w:val="00DE728A"/>
    <w:rsid w:val="00DF0BE1"/>
    <w:rsid w:val="00DF1A56"/>
    <w:rsid w:val="00DF3073"/>
    <w:rsid w:val="00DF3B9B"/>
    <w:rsid w:val="00DF428B"/>
    <w:rsid w:val="00DF5C89"/>
    <w:rsid w:val="00E0392D"/>
    <w:rsid w:val="00E0406C"/>
    <w:rsid w:val="00E0441F"/>
    <w:rsid w:val="00E0598D"/>
    <w:rsid w:val="00E073CD"/>
    <w:rsid w:val="00E07FBF"/>
    <w:rsid w:val="00E11053"/>
    <w:rsid w:val="00E11888"/>
    <w:rsid w:val="00E119F1"/>
    <w:rsid w:val="00E11E0F"/>
    <w:rsid w:val="00E1362A"/>
    <w:rsid w:val="00E156CA"/>
    <w:rsid w:val="00E15ADF"/>
    <w:rsid w:val="00E15BD4"/>
    <w:rsid w:val="00E17095"/>
    <w:rsid w:val="00E17608"/>
    <w:rsid w:val="00E201E3"/>
    <w:rsid w:val="00E21AF9"/>
    <w:rsid w:val="00E22A41"/>
    <w:rsid w:val="00E24C1E"/>
    <w:rsid w:val="00E25FD6"/>
    <w:rsid w:val="00E26798"/>
    <w:rsid w:val="00E3061B"/>
    <w:rsid w:val="00E31C95"/>
    <w:rsid w:val="00E34D7F"/>
    <w:rsid w:val="00E350B6"/>
    <w:rsid w:val="00E35D8E"/>
    <w:rsid w:val="00E35F04"/>
    <w:rsid w:val="00E371F8"/>
    <w:rsid w:val="00E37CB9"/>
    <w:rsid w:val="00E40A80"/>
    <w:rsid w:val="00E43036"/>
    <w:rsid w:val="00E43131"/>
    <w:rsid w:val="00E453DE"/>
    <w:rsid w:val="00E4653A"/>
    <w:rsid w:val="00E50712"/>
    <w:rsid w:val="00E52894"/>
    <w:rsid w:val="00E52DEB"/>
    <w:rsid w:val="00E562BC"/>
    <w:rsid w:val="00E57CBB"/>
    <w:rsid w:val="00E60F17"/>
    <w:rsid w:val="00E62635"/>
    <w:rsid w:val="00E62BA8"/>
    <w:rsid w:val="00E62E29"/>
    <w:rsid w:val="00E66076"/>
    <w:rsid w:val="00E6684B"/>
    <w:rsid w:val="00E66C3A"/>
    <w:rsid w:val="00E66CE8"/>
    <w:rsid w:val="00E66DAF"/>
    <w:rsid w:val="00E67CE5"/>
    <w:rsid w:val="00E67CE6"/>
    <w:rsid w:val="00E70C8A"/>
    <w:rsid w:val="00E70D1D"/>
    <w:rsid w:val="00E7179A"/>
    <w:rsid w:val="00E72A23"/>
    <w:rsid w:val="00E73C21"/>
    <w:rsid w:val="00E75830"/>
    <w:rsid w:val="00E809BA"/>
    <w:rsid w:val="00E81065"/>
    <w:rsid w:val="00E82376"/>
    <w:rsid w:val="00E8346E"/>
    <w:rsid w:val="00E83613"/>
    <w:rsid w:val="00E8580B"/>
    <w:rsid w:val="00E871D9"/>
    <w:rsid w:val="00E8789D"/>
    <w:rsid w:val="00E901F9"/>
    <w:rsid w:val="00E90427"/>
    <w:rsid w:val="00E91A22"/>
    <w:rsid w:val="00E974F6"/>
    <w:rsid w:val="00EA0F03"/>
    <w:rsid w:val="00EA1115"/>
    <w:rsid w:val="00EA16FE"/>
    <w:rsid w:val="00EA3118"/>
    <w:rsid w:val="00EA3960"/>
    <w:rsid w:val="00EA408B"/>
    <w:rsid w:val="00EA46C1"/>
    <w:rsid w:val="00EA484A"/>
    <w:rsid w:val="00EA4F75"/>
    <w:rsid w:val="00EA64F2"/>
    <w:rsid w:val="00EA71F4"/>
    <w:rsid w:val="00EB4531"/>
    <w:rsid w:val="00EB53E9"/>
    <w:rsid w:val="00EB5C9A"/>
    <w:rsid w:val="00EB7908"/>
    <w:rsid w:val="00EC096B"/>
    <w:rsid w:val="00EC18BF"/>
    <w:rsid w:val="00EC251B"/>
    <w:rsid w:val="00EC36EA"/>
    <w:rsid w:val="00EC44AF"/>
    <w:rsid w:val="00EC474C"/>
    <w:rsid w:val="00EC5B14"/>
    <w:rsid w:val="00EC5C98"/>
    <w:rsid w:val="00EC5F33"/>
    <w:rsid w:val="00EC7AC2"/>
    <w:rsid w:val="00ED1067"/>
    <w:rsid w:val="00ED13C0"/>
    <w:rsid w:val="00ED1D90"/>
    <w:rsid w:val="00ED42CB"/>
    <w:rsid w:val="00ED4B56"/>
    <w:rsid w:val="00ED520B"/>
    <w:rsid w:val="00ED54F4"/>
    <w:rsid w:val="00ED6DF1"/>
    <w:rsid w:val="00ED7DC1"/>
    <w:rsid w:val="00EE068F"/>
    <w:rsid w:val="00EE0698"/>
    <w:rsid w:val="00EE1AF9"/>
    <w:rsid w:val="00EE5723"/>
    <w:rsid w:val="00EE5D81"/>
    <w:rsid w:val="00EE689E"/>
    <w:rsid w:val="00EE79ED"/>
    <w:rsid w:val="00EF0793"/>
    <w:rsid w:val="00EF0810"/>
    <w:rsid w:val="00EF123E"/>
    <w:rsid w:val="00EF193F"/>
    <w:rsid w:val="00EF1FB9"/>
    <w:rsid w:val="00EF3DA9"/>
    <w:rsid w:val="00EF5EE7"/>
    <w:rsid w:val="00F00065"/>
    <w:rsid w:val="00F003E4"/>
    <w:rsid w:val="00F0054C"/>
    <w:rsid w:val="00F01E67"/>
    <w:rsid w:val="00F01EFF"/>
    <w:rsid w:val="00F03200"/>
    <w:rsid w:val="00F03411"/>
    <w:rsid w:val="00F034DA"/>
    <w:rsid w:val="00F04E0C"/>
    <w:rsid w:val="00F05FDD"/>
    <w:rsid w:val="00F06213"/>
    <w:rsid w:val="00F071E4"/>
    <w:rsid w:val="00F0793E"/>
    <w:rsid w:val="00F10781"/>
    <w:rsid w:val="00F12C7C"/>
    <w:rsid w:val="00F12F9A"/>
    <w:rsid w:val="00F1483D"/>
    <w:rsid w:val="00F1548A"/>
    <w:rsid w:val="00F1611B"/>
    <w:rsid w:val="00F16EAD"/>
    <w:rsid w:val="00F17087"/>
    <w:rsid w:val="00F22664"/>
    <w:rsid w:val="00F24007"/>
    <w:rsid w:val="00F24488"/>
    <w:rsid w:val="00F254A4"/>
    <w:rsid w:val="00F26769"/>
    <w:rsid w:val="00F26EE1"/>
    <w:rsid w:val="00F30330"/>
    <w:rsid w:val="00F31F10"/>
    <w:rsid w:val="00F31F5A"/>
    <w:rsid w:val="00F34787"/>
    <w:rsid w:val="00F417D0"/>
    <w:rsid w:val="00F42099"/>
    <w:rsid w:val="00F4251D"/>
    <w:rsid w:val="00F426D6"/>
    <w:rsid w:val="00F42C36"/>
    <w:rsid w:val="00F42DCC"/>
    <w:rsid w:val="00F44207"/>
    <w:rsid w:val="00F45570"/>
    <w:rsid w:val="00F46BED"/>
    <w:rsid w:val="00F4711F"/>
    <w:rsid w:val="00F50540"/>
    <w:rsid w:val="00F50FC2"/>
    <w:rsid w:val="00F53920"/>
    <w:rsid w:val="00F5550B"/>
    <w:rsid w:val="00F5562B"/>
    <w:rsid w:val="00F57564"/>
    <w:rsid w:val="00F61AF8"/>
    <w:rsid w:val="00F64C79"/>
    <w:rsid w:val="00F656AF"/>
    <w:rsid w:val="00F658BB"/>
    <w:rsid w:val="00F66AA8"/>
    <w:rsid w:val="00F673D1"/>
    <w:rsid w:val="00F675B7"/>
    <w:rsid w:val="00F675E6"/>
    <w:rsid w:val="00F67733"/>
    <w:rsid w:val="00F718A8"/>
    <w:rsid w:val="00F72511"/>
    <w:rsid w:val="00F73AD4"/>
    <w:rsid w:val="00F74570"/>
    <w:rsid w:val="00F76623"/>
    <w:rsid w:val="00F76712"/>
    <w:rsid w:val="00F769B8"/>
    <w:rsid w:val="00F801C0"/>
    <w:rsid w:val="00F82055"/>
    <w:rsid w:val="00F820AD"/>
    <w:rsid w:val="00F84E4E"/>
    <w:rsid w:val="00F861B7"/>
    <w:rsid w:val="00F86E6A"/>
    <w:rsid w:val="00F906D6"/>
    <w:rsid w:val="00F9251C"/>
    <w:rsid w:val="00F93BB0"/>
    <w:rsid w:val="00F93E06"/>
    <w:rsid w:val="00F94491"/>
    <w:rsid w:val="00F94ACB"/>
    <w:rsid w:val="00F95459"/>
    <w:rsid w:val="00F967EE"/>
    <w:rsid w:val="00FA03B2"/>
    <w:rsid w:val="00FA1E6F"/>
    <w:rsid w:val="00FA3099"/>
    <w:rsid w:val="00FA43D0"/>
    <w:rsid w:val="00FA575C"/>
    <w:rsid w:val="00FA710D"/>
    <w:rsid w:val="00FA73A9"/>
    <w:rsid w:val="00FB5649"/>
    <w:rsid w:val="00FB57AC"/>
    <w:rsid w:val="00FB69B8"/>
    <w:rsid w:val="00FC3271"/>
    <w:rsid w:val="00FC4229"/>
    <w:rsid w:val="00FC7A3B"/>
    <w:rsid w:val="00FD0575"/>
    <w:rsid w:val="00FD0DEF"/>
    <w:rsid w:val="00FD1431"/>
    <w:rsid w:val="00FD1F49"/>
    <w:rsid w:val="00FD27E8"/>
    <w:rsid w:val="00FD3214"/>
    <w:rsid w:val="00FD3D5B"/>
    <w:rsid w:val="00FD437B"/>
    <w:rsid w:val="00FD6DB8"/>
    <w:rsid w:val="00FD6FC5"/>
    <w:rsid w:val="00FE471C"/>
    <w:rsid w:val="00FE4C26"/>
    <w:rsid w:val="00FE4C65"/>
    <w:rsid w:val="00FE5895"/>
    <w:rsid w:val="00FE5911"/>
    <w:rsid w:val="00FE716D"/>
    <w:rsid w:val="00FF0BAC"/>
    <w:rsid w:val="00FF5FD9"/>
    <w:rsid w:val="00FF606A"/>
    <w:rsid w:val="00FF7055"/>
    <w:rsid w:val="00FF70DB"/>
    <w:rsid w:val="00FF7D4E"/>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40C365C8"/>
  <w15:docId w15:val="{76DAEB21-0255-184F-B1CE-840A3F59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udy Old Style" w:eastAsiaTheme="minorEastAsia" w:hAnsi="Goudy Old Style" w:cstheme="minorBidi"/>
        <w:sz w:val="18"/>
        <w:szCs w:val="18"/>
        <w:lang w:val="en-US" w:eastAsia="en-US" w:bidi="en-US"/>
      </w:rPr>
    </w:rPrDefault>
    <w:pPrDefault>
      <w:pPr>
        <w:jc w:val="both"/>
      </w:pPr>
    </w:pPrDefault>
  </w:docDefaults>
  <w:latentStyles w:defLockedState="0" w:defUIPriority="0" w:defSemiHidden="0" w:defUnhideWhenUsed="0" w:defQFormat="0" w:count="376">
    <w:lsdException w:name="heading 1" w:uiPriority="99" w:qFormat="1"/>
    <w:lsdException w:name="heading 2" w:qFormat="1"/>
    <w:lsdException w:name="heading 4"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A40"/>
    <w:pPr>
      <w:spacing w:after="160"/>
    </w:pPr>
    <w:rPr>
      <w:rFonts w:ascii="Adobe Garamond Pro" w:hAnsi="Adobe Garamond Pro"/>
      <w:color w:val="000000" w:themeColor="text1"/>
      <w:sz w:val="25"/>
      <w:lang w:val="es-ES_tradnl"/>
    </w:rPr>
  </w:style>
  <w:style w:type="paragraph" w:styleId="Ttulo1">
    <w:name w:val="heading 1"/>
    <w:basedOn w:val="Normal"/>
    <w:next w:val="Normal"/>
    <w:link w:val="Ttulo1Car"/>
    <w:autoRedefine/>
    <w:uiPriority w:val="99"/>
    <w:qFormat/>
    <w:rsid w:val="00793D0D"/>
    <w:pPr>
      <w:keepNext/>
      <w:spacing w:before="480"/>
      <w:contextualSpacing/>
      <w:jc w:val="center"/>
      <w:outlineLvl w:val="0"/>
    </w:pPr>
    <w:rPr>
      <w:rFonts w:eastAsiaTheme="majorEastAsia" w:cstheme="majorBidi"/>
      <w:b/>
      <w:bCs/>
      <w:caps/>
      <w:sz w:val="26"/>
      <w:szCs w:val="28"/>
    </w:rPr>
  </w:style>
  <w:style w:type="paragraph" w:styleId="Ttulo2">
    <w:name w:val="heading 2"/>
    <w:basedOn w:val="Normal"/>
    <w:next w:val="Normal"/>
    <w:link w:val="Ttulo2Car"/>
    <w:unhideWhenUsed/>
    <w:qFormat/>
    <w:rsid w:val="00E8580B"/>
    <w:pPr>
      <w:keepNext/>
      <w:widowControl w:val="0"/>
      <w:spacing w:before="200" w:after="200"/>
      <w:contextualSpacing/>
      <w:jc w:val="center"/>
      <w:outlineLvl w:val="1"/>
    </w:pPr>
    <w:rPr>
      <w:rFonts w:ascii="Didot" w:eastAsiaTheme="majorEastAsia" w:hAnsi="Didot" w:cstheme="majorBidi"/>
      <w:b/>
      <w:bCs/>
      <w:smallCaps/>
      <w:sz w:val="24"/>
      <w:szCs w:val="24"/>
    </w:rPr>
  </w:style>
  <w:style w:type="paragraph" w:styleId="Ttulo3">
    <w:name w:val="heading 3"/>
    <w:basedOn w:val="Normal"/>
    <w:next w:val="Normal"/>
    <w:link w:val="Ttulo3Car"/>
    <w:autoRedefine/>
    <w:unhideWhenUsed/>
    <w:qFormat/>
    <w:rsid w:val="00B22DEA"/>
    <w:pPr>
      <w:spacing w:after="0"/>
      <w:jc w:val="center"/>
      <w:outlineLvl w:val="2"/>
    </w:pPr>
    <w:rPr>
      <w:rFonts w:ascii="Didot" w:eastAsiaTheme="majorEastAsia" w:hAnsi="Didot" w:cs="Didot"/>
      <w:b/>
      <w:bCs/>
      <w:sz w:val="28"/>
      <w:szCs w:val="28"/>
    </w:rPr>
  </w:style>
  <w:style w:type="paragraph" w:styleId="Ttulo4">
    <w:name w:val="heading 4"/>
    <w:basedOn w:val="Normal"/>
    <w:next w:val="Normal"/>
    <w:link w:val="Ttulo4Car"/>
    <w:unhideWhenUsed/>
    <w:qFormat/>
    <w:rsid w:val="00A12191"/>
    <w:pPr>
      <w:jc w:val="center"/>
      <w:outlineLvl w:val="3"/>
    </w:pPr>
    <w:rPr>
      <w:rFonts w:ascii="Didot" w:eastAsiaTheme="majorEastAsia" w:hAnsi="Didot" w:cstheme="majorBidi"/>
      <w:bCs/>
      <w:iCs/>
      <w:color w:val="auto"/>
      <w:sz w:val="24"/>
    </w:rPr>
  </w:style>
  <w:style w:type="paragraph" w:styleId="Ttulo5">
    <w:name w:val="heading 5"/>
    <w:basedOn w:val="Normal"/>
    <w:next w:val="Normal"/>
    <w:link w:val="Ttulo5Car"/>
    <w:uiPriority w:val="9"/>
    <w:semiHidden/>
    <w:unhideWhenUsed/>
    <w:qFormat/>
    <w:rsid w:val="005E16C9"/>
    <w:pPr>
      <w:spacing w:before="20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nhideWhenUsed/>
    <w:qFormat/>
    <w:rsid w:val="005E16C9"/>
    <w:pPr>
      <w:spacing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semiHidden/>
    <w:unhideWhenUsed/>
    <w:qFormat/>
    <w:rsid w:val="005E16C9"/>
    <w:pPr>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5E16C9"/>
    <w:pPr>
      <w:outlineLvl w:val="7"/>
    </w:pPr>
    <w:rPr>
      <w:rFonts w:asciiTheme="majorHAnsi" w:eastAsiaTheme="majorEastAsia" w:hAnsiTheme="majorHAnsi" w:cstheme="majorBidi"/>
      <w:sz w:val="20"/>
      <w:szCs w:val="20"/>
    </w:rPr>
  </w:style>
  <w:style w:type="paragraph" w:styleId="Ttulo9">
    <w:name w:val="heading 9"/>
    <w:basedOn w:val="Normal"/>
    <w:next w:val="Normal"/>
    <w:link w:val="Ttulo9Car"/>
    <w:uiPriority w:val="9"/>
    <w:semiHidden/>
    <w:unhideWhenUsed/>
    <w:qFormat/>
    <w:rsid w:val="005E16C9"/>
    <w:pPr>
      <w:outlineLvl w:val="8"/>
    </w:pPr>
    <w:rPr>
      <w:rFonts w:asciiTheme="majorHAnsi" w:eastAsiaTheme="majorEastAsia" w:hAnsiTheme="majorHAnsi" w:cstheme="majorBidi"/>
      <w:i/>
      <w:iCs/>
      <w:spacing w:val="5"/>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93D0D"/>
    <w:rPr>
      <w:rFonts w:ascii="Adobe Garamond Pro" w:eastAsiaTheme="majorEastAsia" w:hAnsi="Adobe Garamond Pro" w:cstheme="majorBidi"/>
      <w:b/>
      <w:bCs/>
      <w:caps/>
      <w:color w:val="000000" w:themeColor="text1"/>
      <w:sz w:val="26"/>
      <w:szCs w:val="28"/>
      <w:lang w:val="es-ES_tradnl"/>
    </w:rPr>
  </w:style>
  <w:style w:type="character" w:customStyle="1" w:styleId="Ttulo2Car">
    <w:name w:val="Título 2 Car"/>
    <w:basedOn w:val="Fuentedeprrafopredeter"/>
    <w:link w:val="Ttulo2"/>
    <w:rsid w:val="00E8580B"/>
    <w:rPr>
      <w:rFonts w:ascii="Didot" w:eastAsiaTheme="majorEastAsia" w:hAnsi="Didot" w:cstheme="majorBidi"/>
      <w:b/>
      <w:bCs/>
      <w:smallCaps/>
      <w:color w:val="000000" w:themeColor="text1"/>
      <w:sz w:val="24"/>
      <w:szCs w:val="24"/>
      <w:lang w:val="es-ES_tradnl"/>
    </w:rPr>
  </w:style>
  <w:style w:type="character" w:customStyle="1" w:styleId="Ttulo3Car">
    <w:name w:val="Título 3 Car"/>
    <w:basedOn w:val="Fuentedeprrafopredeter"/>
    <w:link w:val="Ttulo3"/>
    <w:rsid w:val="00B22DEA"/>
    <w:rPr>
      <w:rFonts w:ascii="Didot" w:eastAsiaTheme="majorEastAsia" w:hAnsi="Didot" w:cs="Didot"/>
      <w:b/>
      <w:bCs/>
      <w:color w:val="000000" w:themeColor="text1"/>
      <w:sz w:val="28"/>
      <w:szCs w:val="28"/>
      <w:lang w:val="es-ES_tradnl"/>
    </w:rPr>
  </w:style>
  <w:style w:type="character" w:customStyle="1" w:styleId="Ttulo4Car">
    <w:name w:val="Título 4 Car"/>
    <w:basedOn w:val="Fuentedeprrafopredeter"/>
    <w:link w:val="Ttulo4"/>
    <w:rsid w:val="00A12191"/>
    <w:rPr>
      <w:rFonts w:ascii="Didot" w:eastAsiaTheme="majorEastAsia" w:hAnsi="Didot" w:cstheme="majorBidi"/>
      <w:bCs/>
      <w:iCs/>
      <w:sz w:val="24"/>
      <w:lang w:val="es-ES_tradnl"/>
    </w:rPr>
  </w:style>
  <w:style w:type="character" w:customStyle="1" w:styleId="Ttulo5Car">
    <w:name w:val="Título 5 Car"/>
    <w:basedOn w:val="Fuentedeprrafopredeter"/>
    <w:link w:val="Ttulo5"/>
    <w:uiPriority w:val="9"/>
    <w:semiHidden/>
    <w:rsid w:val="005E16C9"/>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
    <w:semiHidden/>
    <w:rsid w:val="005E16C9"/>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
    <w:semiHidden/>
    <w:rsid w:val="005E16C9"/>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5E16C9"/>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semiHidden/>
    <w:rsid w:val="005E16C9"/>
    <w:rPr>
      <w:rFonts w:asciiTheme="majorHAnsi" w:eastAsiaTheme="majorEastAsia" w:hAnsiTheme="majorHAnsi" w:cstheme="majorBidi"/>
      <w:i/>
      <w:iCs/>
      <w:spacing w:val="5"/>
      <w:sz w:val="20"/>
      <w:szCs w:val="20"/>
    </w:rPr>
  </w:style>
  <w:style w:type="character" w:styleId="Ttulodellibro">
    <w:name w:val="Book Title"/>
    <w:uiPriority w:val="33"/>
    <w:qFormat/>
    <w:rsid w:val="005E16C9"/>
    <w:rPr>
      <w:i/>
      <w:iCs/>
      <w:smallCaps/>
      <w:spacing w:val="5"/>
    </w:rPr>
  </w:style>
  <w:style w:type="paragraph" w:styleId="TDC1">
    <w:name w:val="toc 1"/>
    <w:basedOn w:val="Normal"/>
    <w:next w:val="Normal"/>
    <w:autoRedefine/>
    <w:uiPriority w:val="39"/>
    <w:unhideWhenUsed/>
    <w:rsid w:val="000A5CEA"/>
    <w:pPr>
      <w:tabs>
        <w:tab w:val="right" w:pos="8828"/>
      </w:tabs>
      <w:spacing w:before="200" w:after="200"/>
      <w:contextualSpacing/>
      <w:jc w:val="center"/>
    </w:pPr>
    <w:rPr>
      <w:b/>
      <w:bCs/>
      <w:caps/>
      <w:noProof/>
      <w:sz w:val="24"/>
      <w:szCs w:val="24"/>
    </w:rPr>
  </w:style>
  <w:style w:type="paragraph" w:styleId="TDC2">
    <w:name w:val="toc 2"/>
    <w:basedOn w:val="Normal"/>
    <w:next w:val="Normal"/>
    <w:autoRedefine/>
    <w:uiPriority w:val="39"/>
    <w:unhideWhenUsed/>
    <w:rsid w:val="000A5CEA"/>
    <w:pPr>
      <w:spacing w:before="120" w:after="120"/>
      <w:contextualSpacing/>
      <w:jc w:val="left"/>
    </w:pPr>
    <w:rPr>
      <w:b/>
      <w:sz w:val="24"/>
      <w:szCs w:val="20"/>
    </w:rPr>
  </w:style>
  <w:style w:type="paragraph" w:styleId="TDC3">
    <w:name w:val="toc 3"/>
    <w:basedOn w:val="Normal"/>
    <w:next w:val="Normal"/>
    <w:autoRedefine/>
    <w:uiPriority w:val="39"/>
    <w:unhideWhenUsed/>
    <w:rsid w:val="000A5CEA"/>
    <w:pPr>
      <w:spacing w:before="120" w:after="0"/>
      <w:ind w:left="249"/>
      <w:contextualSpacing/>
      <w:jc w:val="left"/>
    </w:pPr>
    <w:rPr>
      <w:sz w:val="24"/>
      <w:szCs w:val="20"/>
    </w:rPr>
  </w:style>
  <w:style w:type="paragraph" w:styleId="TDC4">
    <w:name w:val="toc 4"/>
    <w:basedOn w:val="Normal"/>
    <w:next w:val="Normal"/>
    <w:autoRedefine/>
    <w:uiPriority w:val="39"/>
    <w:unhideWhenUsed/>
    <w:rsid w:val="000A5CEA"/>
    <w:pPr>
      <w:spacing w:before="120" w:after="0"/>
      <w:ind w:left="658"/>
      <w:contextualSpacing/>
      <w:jc w:val="left"/>
    </w:pPr>
    <w:rPr>
      <w:sz w:val="20"/>
      <w:szCs w:val="20"/>
    </w:rPr>
  </w:style>
  <w:style w:type="paragraph" w:styleId="TDC5">
    <w:name w:val="toc 5"/>
    <w:basedOn w:val="Normal"/>
    <w:next w:val="Normal"/>
    <w:autoRedefine/>
    <w:uiPriority w:val="39"/>
    <w:unhideWhenUsed/>
    <w:rsid w:val="00432100"/>
    <w:pPr>
      <w:ind w:left="880"/>
      <w:jc w:val="left"/>
    </w:pPr>
    <w:rPr>
      <w:sz w:val="20"/>
      <w:szCs w:val="20"/>
    </w:rPr>
  </w:style>
  <w:style w:type="paragraph" w:styleId="TDC6">
    <w:name w:val="toc 6"/>
    <w:basedOn w:val="Normal"/>
    <w:next w:val="Normal"/>
    <w:autoRedefine/>
    <w:uiPriority w:val="39"/>
    <w:unhideWhenUsed/>
    <w:rsid w:val="00432100"/>
    <w:pPr>
      <w:ind w:left="1100"/>
      <w:jc w:val="left"/>
    </w:pPr>
    <w:rPr>
      <w:sz w:val="20"/>
      <w:szCs w:val="20"/>
    </w:rPr>
  </w:style>
  <w:style w:type="paragraph" w:styleId="TDC7">
    <w:name w:val="toc 7"/>
    <w:basedOn w:val="Normal"/>
    <w:next w:val="Normal"/>
    <w:autoRedefine/>
    <w:uiPriority w:val="39"/>
    <w:unhideWhenUsed/>
    <w:rsid w:val="00432100"/>
    <w:pPr>
      <w:ind w:left="1320"/>
      <w:jc w:val="left"/>
    </w:pPr>
    <w:rPr>
      <w:sz w:val="20"/>
      <w:szCs w:val="20"/>
    </w:rPr>
  </w:style>
  <w:style w:type="paragraph" w:styleId="TDC8">
    <w:name w:val="toc 8"/>
    <w:basedOn w:val="Normal"/>
    <w:next w:val="Normal"/>
    <w:autoRedefine/>
    <w:uiPriority w:val="39"/>
    <w:unhideWhenUsed/>
    <w:rsid w:val="00432100"/>
    <w:pPr>
      <w:ind w:left="1540"/>
      <w:jc w:val="left"/>
    </w:pPr>
    <w:rPr>
      <w:sz w:val="20"/>
      <w:szCs w:val="20"/>
    </w:rPr>
  </w:style>
  <w:style w:type="paragraph" w:styleId="TDC9">
    <w:name w:val="toc 9"/>
    <w:basedOn w:val="Normal"/>
    <w:next w:val="Normal"/>
    <w:autoRedefine/>
    <w:uiPriority w:val="39"/>
    <w:unhideWhenUsed/>
    <w:rsid w:val="00432100"/>
    <w:pPr>
      <w:ind w:left="1760"/>
      <w:jc w:val="left"/>
    </w:pPr>
    <w:rPr>
      <w:sz w:val="20"/>
      <w:szCs w:val="20"/>
    </w:rPr>
  </w:style>
  <w:style w:type="paragraph" w:customStyle="1" w:styleId="Etiqueta">
    <w:name w:val="Etiqueta"/>
    <w:basedOn w:val="Normal"/>
    <w:qFormat/>
    <w:rsid w:val="00793D0D"/>
    <w:pPr>
      <w:keepNext/>
      <w:widowControl w:val="0"/>
      <w:numPr>
        <w:numId w:val="25"/>
      </w:numPr>
      <w:suppressLineNumbers/>
      <w:suppressAutoHyphens/>
      <w:spacing w:before="200" w:after="120"/>
    </w:pPr>
    <w:rPr>
      <w:rFonts w:eastAsia="Times New Roman" w:cs="Tahoma"/>
      <w:b/>
      <w:iCs/>
      <w:color w:val="auto"/>
      <w:szCs w:val="24"/>
      <w:lang w:val="es-EC" w:eastAsia="ar-SA" w:bidi="ar-SA"/>
    </w:rPr>
  </w:style>
  <w:style w:type="paragraph" w:styleId="Revisin">
    <w:name w:val="Revision"/>
    <w:hidden/>
    <w:uiPriority w:val="99"/>
    <w:rsid w:val="008C74A9"/>
    <w:pPr>
      <w:jc w:val="left"/>
    </w:pPr>
    <w:rPr>
      <w:rFonts w:ascii="Calibri" w:eastAsia="Calibri" w:hAnsi="Calibri" w:cs="Times New Roman"/>
      <w:sz w:val="22"/>
      <w:szCs w:val="22"/>
      <w:lang w:val="es-ES" w:bidi="ar-SA"/>
    </w:rPr>
  </w:style>
  <w:style w:type="paragraph" w:customStyle="1" w:styleId="LibrosparaCdigo">
    <w:name w:val="Libros para Código"/>
    <w:basedOn w:val="Normal"/>
    <w:next w:val="Normal"/>
    <w:qFormat/>
    <w:rsid w:val="00E70C8A"/>
    <w:pPr>
      <w:keepNext/>
      <w:suppressLineNumbers/>
      <w:pBdr>
        <w:bottom w:val="single" w:sz="4" w:space="1" w:color="auto"/>
      </w:pBdr>
      <w:suppressAutoHyphens/>
      <w:spacing w:after="240"/>
      <w:contextualSpacing/>
      <w:jc w:val="center"/>
    </w:pPr>
    <w:rPr>
      <w:rFonts w:ascii="Didot" w:eastAsiaTheme="majorEastAsia" w:hAnsi="Didot" w:cs="Didot"/>
      <w:color w:val="auto"/>
      <w:spacing w:val="5"/>
      <w:sz w:val="36"/>
      <w:szCs w:val="36"/>
    </w:rPr>
  </w:style>
  <w:style w:type="numbering" w:customStyle="1" w:styleId="Textonormativo">
    <w:name w:val="Texto normativo"/>
    <w:uiPriority w:val="99"/>
    <w:rsid w:val="007F089A"/>
    <w:pPr>
      <w:numPr>
        <w:numId w:val="18"/>
      </w:numPr>
    </w:pPr>
  </w:style>
  <w:style w:type="paragraph" w:styleId="Prrafodelista">
    <w:name w:val="List Paragraph"/>
    <w:basedOn w:val="Normal"/>
    <w:uiPriority w:val="34"/>
    <w:qFormat/>
    <w:rsid w:val="00F72511"/>
    <w:pPr>
      <w:numPr>
        <w:numId w:val="29"/>
      </w:numPr>
      <w:spacing w:after="120"/>
    </w:pPr>
  </w:style>
  <w:style w:type="paragraph" w:styleId="Encabezado">
    <w:name w:val="header"/>
    <w:basedOn w:val="Normal"/>
    <w:link w:val="EncabezadoCar"/>
    <w:uiPriority w:val="99"/>
    <w:rsid w:val="00FA1E6F"/>
    <w:pPr>
      <w:tabs>
        <w:tab w:val="center" w:pos="4252"/>
        <w:tab w:val="right" w:pos="8504"/>
      </w:tabs>
      <w:spacing w:after="0"/>
    </w:pPr>
  </w:style>
  <w:style w:type="character" w:customStyle="1" w:styleId="EncabezadoCar">
    <w:name w:val="Encabezado Car"/>
    <w:basedOn w:val="Fuentedeprrafopredeter"/>
    <w:link w:val="Encabezado"/>
    <w:uiPriority w:val="99"/>
    <w:rsid w:val="00FA1E6F"/>
    <w:rPr>
      <w:rFonts w:ascii="Adobe Garamond Pro" w:hAnsi="Adobe Garamond Pro"/>
      <w:color w:val="000000" w:themeColor="text1"/>
      <w:sz w:val="25"/>
      <w:lang w:val="es-ES_tradnl"/>
    </w:rPr>
  </w:style>
  <w:style w:type="paragraph" w:styleId="Piedepgina">
    <w:name w:val="footer"/>
    <w:basedOn w:val="Normal"/>
    <w:link w:val="PiedepginaCar"/>
    <w:uiPriority w:val="99"/>
    <w:rsid w:val="00FA1E6F"/>
    <w:pPr>
      <w:tabs>
        <w:tab w:val="center" w:pos="4252"/>
        <w:tab w:val="right" w:pos="8504"/>
      </w:tabs>
      <w:spacing w:after="0"/>
    </w:pPr>
  </w:style>
  <w:style w:type="character" w:customStyle="1" w:styleId="PiedepginaCar">
    <w:name w:val="Pie de página Car"/>
    <w:basedOn w:val="Fuentedeprrafopredeter"/>
    <w:link w:val="Piedepgina"/>
    <w:uiPriority w:val="99"/>
    <w:rsid w:val="00FA1E6F"/>
    <w:rPr>
      <w:rFonts w:ascii="Adobe Garamond Pro" w:hAnsi="Adobe Garamond Pro"/>
      <w:color w:val="000000" w:themeColor="text1"/>
      <w:sz w:val="25"/>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313">
      <w:bodyDiv w:val="1"/>
      <w:marLeft w:val="0"/>
      <w:marRight w:val="0"/>
      <w:marTop w:val="0"/>
      <w:marBottom w:val="0"/>
      <w:divBdr>
        <w:top w:val="none" w:sz="0" w:space="0" w:color="auto"/>
        <w:left w:val="none" w:sz="0" w:space="0" w:color="auto"/>
        <w:bottom w:val="none" w:sz="0" w:space="0" w:color="auto"/>
        <w:right w:val="none" w:sz="0" w:space="0" w:color="auto"/>
      </w:divBdr>
    </w:div>
    <w:div w:id="51930697">
      <w:bodyDiv w:val="1"/>
      <w:marLeft w:val="0"/>
      <w:marRight w:val="0"/>
      <w:marTop w:val="0"/>
      <w:marBottom w:val="0"/>
      <w:divBdr>
        <w:top w:val="none" w:sz="0" w:space="0" w:color="auto"/>
        <w:left w:val="none" w:sz="0" w:space="0" w:color="auto"/>
        <w:bottom w:val="none" w:sz="0" w:space="0" w:color="auto"/>
        <w:right w:val="none" w:sz="0" w:space="0" w:color="auto"/>
      </w:divBdr>
    </w:div>
    <w:div w:id="61678583">
      <w:bodyDiv w:val="1"/>
      <w:marLeft w:val="0"/>
      <w:marRight w:val="0"/>
      <w:marTop w:val="0"/>
      <w:marBottom w:val="0"/>
      <w:divBdr>
        <w:top w:val="none" w:sz="0" w:space="0" w:color="auto"/>
        <w:left w:val="none" w:sz="0" w:space="0" w:color="auto"/>
        <w:bottom w:val="none" w:sz="0" w:space="0" w:color="auto"/>
        <w:right w:val="none" w:sz="0" w:space="0" w:color="auto"/>
      </w:divBdr>
    </w:div>
    <w:div w:id="329137135">
      <w:bodyDiv w:val="1"/>
      <w:marLeft w:val="0"/>
      <w:marRight w:val="0"/>
      <w:marTop w:val="0"/>
      <w:marBottom w:val="0"/>
      <w:divBdr>
        <w:top w:val="none" w:sz="0" w:space="0" w:color="auto"/>
        <w:left w:val="none" w:sz="0" w:space="0" w:color="auto"/>
        <w:bottom w:val="none" w:sz="0" w:space="0" w:color="auto"/>
        <w:right w:val="none" w:sz="0" w:space="0" w:color="auto"/>
      </w:divBdr>
    </w:div>
    <w:div w:id="392657144">
      <w:bodyDiv w:val="1"/>
      <w:marLeft w:val="0"/>
      <w:marRight w:val="0"/>
      <w:marTop w:val="0"/>
      <w:marBottom w:val="0"/>
      <w:divBdr>
        <w:top w:val="none" w:sz="0" w:space="0" w:color="auto"/>
        <w:left w:val="none" w:sz="0" w:space="0" w:color="auto"/>
        <w:bottom w:val="none" w:sz="0" w:space="0" w:color="auto"/>
        <w:right w:val="none" w:sz="0" w:space="0" w:color="auto"/>
      </w:divBdr>
    </w:div>
    <w:div w:id="545719531">
      <w:bodyDiv w:val="1"/>
      <w:marLeft w:val="0"/>
      <w:marRight w:val="0"/>
      <w:marTop w:val="0"/>
      <w:marBottom w:val="0"/>
      <w:divBdr>
        <w:top w:val="none" w:sz="0" w:space="0" w:color="auto"/>
        <w:left w:val="none" w:sz="0" w:space="0" w:color="auto"/>
        <w:bottom w:val="none" w:sz="0" w:space="0" w:color="auto"/>
        <w:right w:val="none" w:sz="0" w:space="0" w:color="auto"/>
      </w:divBdr>
    </w:div>
    <w:div w:id="560136957">
      <w:bodyDiv w:val="1"/>
      <w:marLeft w:val="0"/>
      <w:marRight w:val="0"/>
      <w:marTop w:val="0"/>
      <w:marBottom w:val="0"/>
      <w:divBdr>
        <w:top w:val="none" w:sz="0" w:space="0" w:color="auto"/>
        <w:left w:val="none" w:sz="0" w:space="0" w:color="auto"/>
        <w:bottom w:val="none" w:sz="0" w:space="0" w:color="auto"/>
        <w:right w:val="none" w:sz="0" w:space="0" w:color="auto"/>
      </w:divBdr>
    </w:div>
    <w:div w:id="705834584">
      <w:bodyDiv w:val="1"/>
      <w:marLeft w:val="0"/>
      <w:marRight w:val="0"/>
      <w:marTop w:val="0"/>
      <w:marBottom w:val="0"/>
      <w:divBdr>
        <w:top w:val="none" w:sz="0" w:space="0" w:color="auto"/>
        <w:left w:val="none" w:sz="0" w:space="0" w:color="auto"/>
        <w:bottom w:val="none" w:sz="0" w:space="0" w:color="auto"/>
        <w:right w:val="none" w:sz="0" w:space="0" w:color="auto"/>
      </w:divBdr>
    </w:div>
    <w:div w:id="768232204">
      <w:bodyDiv w:val="1"/>
      <w:marLeft w:val="0"/>
      <w:marRight w:val="0"/>
      <w:marTop w:val="0"/>
      <w:marBottom w:val="0"/>
      <w:divBdr>
        <w:top w:val="none" w:sz="0" w:space="0" w:color="auto"/>
        <w:left w:val="none" w:sz="0" w:space="0" w:color="auto"/>
        <w:bottom w:val="none" w:sz="0" w:space="0" w:color="auto"/>
        <w:right w:val="none" w:sz="0" w:space="0" w:color="auto"/>
      </w:divBdr>
    </w:div>
    <w:div w:id="833569769">
      <w:bodyDiv w:val="1"/>
      <w:marLeft w:val="0"/>
      <w:marRight w:val="0"/>
      <w:marTop w:val="0"/>
      <w:marBottom w:val="0"/>
      <w:divBdr>
        <w:top w:val="none" w:sz="0" w:space="0" w:color="auto"/>
        <w:left w:val="none" w:sz="0" w:space="0" w:color="auto"/>
        <w:bottom w:val="none" w:sz="0" w:space="0" w:color="auto"/>
        <w:right w:val="none" w:sz="0" w:space="0" w:color="auto"/>
      </w:divBdr>
    </w:div>
    <w:div w:id="907226081">
      <w:bodyDiv w:val="1"/>
      <w:marLeft w:val="0"/>
      <w:marRight w:val="0"/>
      <w:marTop w:val="0"/>
      <w:marBottom w:val="0"/>
      <w:divBdr>
        <w:top w:val="none" w:sz="0" w:space="0" w:color="auto"/>
        <w:left w:val="none" w:sz="0" w:space="0" w:color="auto"/>
        <w:bottom w:val="none" w:sz="0" w:space="0" w:color="auto"/>
        <w:right w:val="none" w:sz="0" w:space="0" w:color="auto"/>
      </w:divBdr>
    </w:div>
    <w:div w:id="1085347138">
      <w:bodyDiv w:val="1"/>
      <w:marLeft w:val="0"/>
      <w:marRight w:val="0"/>
      <w:marTop w:val="0"/>
      <w:marBottom w:val="0"/>
      <w:divBdr>
        <w:top w:val="none" w:sz="0" w:space="0" w:color="auto"/>
        <w:left w:val="none" w:sz="0" w:space="0" w:color="auto"/>
        <w:bottom w:val="none" w:sz="0" w:space="0" w:color="auto"/>
        <w:right w:val="none" w:sz="0" w:space="0" w:color="auto"/>
      </w:divBdr>
    </w:div>
    <w:div w:id="1234319368">
      <w:bodyDiv w:val="1"/>
      <w:marLeft w:val="0"/>
      <w:marRight w:val="0"/>
      <w:marTop w:val="0"/>
      <w:marBottom w:val="0"/>
      <w:divBdr>
        <w:top w:val="none" w:sz="0" w:space="0" w:color="auto"/>
        <w:left w:val="none" w:sz="0" w:space="0" w:color="auto"/>
        <w:bottom w:val="none" w:sz="0" w:space="0" w:color="auto"/>
        <w:right w:val="none" w:sz="0" w:space="0" w:color="auto"/>
      </w:divBdr>
      <w:divsChild>
        <w:div w:id="1511674184">
          <w:marLeft w:val="0"/>
          <w:marRight w:val="0"/>
          <w:marTop w:val="0"/>
          <w:marBottom w:val="0"/>
          <w:divBdr>
            <w:top w:val="none" w:sz="0" w:space="0" w:color="auto"/>
            <w:left w:val="none" w:sz="0" w:space="0" w:color="auto"/>
            <w:bottom w:val="none" w:sz="0" w:space="0" w:color="auto"/>
            <w:right w:val="none" w:sz="0" w:space="0" w:color="auto"/>
          </w:divBdr>
          <w:divsChild>
            <w:div w:id="1373308637">
              <w:marLeft w:val="0"/>
              <w:marRight w:val="0"/>
              <w:marTop w:val="0"/>
              <w:marBottom w:val="0"/>
              <w:divBdr>
                <w:top w:val="none" w:sz="0" w:space="0" w:color="auto"/>
                <w:left w:val="none" w:sz="0" w:space="0" w:color="auto"/>
                <w:bottom w:val="none" w:sz="0" w:space="0" w:color="auto"/>
                <w:right w:val="none" w:sz="0" w:space="0" w:color="auto"/>
              </w:divBdr>
              <w:divsChild>
                <w:div w:id="826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97537">
      <w:bodyDiv w:val="1"/>
      <w:marLeft w:val="0"/>
      <w:marRight w:val="0"/>
      <w:marTop w:val="0"/>
      <w:marBottom w:val="0"/>
      <w:divBdr>
        <w:top w:val="none" w:sz="0" w:space="0" w:color="auto"/>
        <w:left w:val="none" w:sz="0" w:space="0" w:color="auto"/>
        <w:bottom w:val="none" w:sz="0" w:space="0" w:color="auto"/>
        <w:right w:val="none" w:sz="0" w:space="0" w:color="auto"/>
      </w:divBdr>
      <w:divsChild>
        <w:div w:id="1550611856">
          <w:marLeft w:val="0"/>
          <w:marRight w:val="0"/>
          <w:marTop w:val="0"/>
          <w:marBottom w:val="0"/>
          <w:divBdr>
            <w:top w:val="none" w:sz="0" w:space="0" w:color="auto"/>
            <w:left w:val="none" w:sz="0" w:space="0" w:color="auto"/>
            <w:bottom w:val="none" w:sz="0" w:space="0" w:color="auto"/>
            <w:right w:val="none" w:sz="0" w:space="0" w:color="auto"/>
          </w:divBdr>
          <w:divsChild>
            <w:div w:id="1912888285">
              <w:marLeft w:val="0"/>
              <w:marRight w:val="0"/>
              <w:marTop w:val="0"/>
              <w:marBottom w:val="0"/>
              <w:divBdr>
                <w:top w:val="none" w:sz="0" w:space="0" w:color="auto"/>
                <w:left w:val="none" w:sz="0" w:space="0" w:color="auto"/>
                <w:bottom w:val="none" w:sz="0" w:space="0" w:color="auto"/>
                <w:right w:val="none" w:sz="0" w:space="0" w:color="auto"/>
              </w:divBdr>
              <w:divsChild>
                <w:div w:id="17112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49714">
      <w:bodyDiv w:val="1"/>
      <w:marLeft w:val="0"/>
      <w:marRight w:val="0"/>
      <w:marTop w:val="0"/>
      <w:marBottom w:val="0"/>
      <w:divBdr>
        <w:top w:val="none" w:sz="0" w:space="0" w:color="auto"/>
        <w:left w:val="none" w:sz="0" w:space="0" w:color="auto"/>
        <w:bottom w:val="none" w:sz="0" w:space="0" w:color="auto"/>
        <w:right w:val="none" w:sz="0" w:space="0" w:color="auto"/>
      </w:divBdr>
    </w:div>
    <w:div w:id="1314262947">
      <w:bodyDiv w:val="1"/>
      <w:marLeft w:val="0"/>
      <w:marRight w:val="0"/>
      <w:marTop w:val="0"/>
      <w:marBottom w:val="0"/>
      <w:divBdr>
        <w:top w:val="none" w:sz="0" w:space="0" w:color="auto"/>
        <w:left w:val="none" w:sz="0" w:space="0" w:color="auto"/>
        <w:bottom w:val="none" w:sz="0" w:space="0" w:color="auto"/>
        <w:right w:val="none" w:sz="0" w:space="0" w:color="auto"/>
      </w:divBdr>
    </w:div>
    <w:div w:id="1417050170">
      <w:bodyDiv w:val="1"/>
      <w:marLeft w:val="0"/>
      <w:marRight w:val="0"/>
      <w:marTop w:val="0"/>
      <w:marBottom w:val="0"/>
      <w:divBdr>
        <w:top w:val="none" w:sz="0" w:space="0" w:color="auto"/>
        <w:left w:val="none" w:sz="0" w:space="0" w:color="auto"/>
        <w:bottom w:val="none" w:sz="0" w:space="0" w:color="auto"/>
        <w:right w:val="none" w:sz="0" w:space="0" w:color="auto"/>
      </w:divBdr>
    </w:div>
    <w:div w:id="1550264328">
      <w:bodyDiv w:val="1"/>
      <w:marLeft w:val="0"/>
      <w:marRight w:val="0"/>
      <w:marTop w:val="0"/>
      <w:marBottom w:val="0"/>
      <w:divBdr>
        <w:top w:val="none" w:sz="0" w:space="0" w:color="auto"/>
        <w:left w:val="none" w:sz="0" w:space="0" w:color="auto"/>
        <w:bottom w:val="none" w:sz="0" w:space="0" w:color="auto"/>
        <w:right w:val="none" w:sz="0" w:space="0" w:color="auto"/>
      </w:divBdr>
    </w:div>
    <w:div w:id="1597787861">
      <w:bodyDiv w:val="1"/>
      <w:marLeft w:val="0"/>
      <w:marRight w:val="0"/>
      <w:marTop w:val="0"/>
      <w:marBottom w:val="0"/>
      <w:divBdr>
        <w:top w:val="none" w:sz="0" w:space="0" w:color="auto"/>
        <w:left w:val="none" w:sz="0" w:space="0" w:color="auto"/>
        <w:bottom w:val="none" w:sz="0" w:space="0" w:color="auto"/>
        <w:right w:val="none" w:sz="0" w:space="0" w:color="auto"/>
      </w:divBdr>
    </w:div>
    <w:div w:id="1685203499">
      <w:bodyDiv w:val="1"/>
      <w:marLeft w:val="0"/>
      <w:marRight w:val="0"/>
      <w:marTop w:val="0"/>
      <w:marBottom w:val="0"/>
      <w:divBdr>
        <w:top w:val="none" w:sz="0" w:space="0" w:color="auto"/>
        <w:left w:val="none" w:sz="0" w:space="0" w:color="auto"/>
        <w:bottom w:val="none" w:sz="0" w:space="0" w:color="auto"/>
        <w:right w:val="none" w:sz="0" w:space="0" w:color="auto"/>
      </w:divBdr>
    </w:div>
    <w:div w:id="1836334809">
      <w:bodyDiv w:val="1"/>
      <w:marLeft w:val="0"/>
      <w:marRight w:val="0"/>
      <w:marTop w:val="0"/>
      <w:marBottom w:val="0"/>
      <w:divBdr>
        <w:top w:val="none" w:sz="0" w:space="0" w:color="auto"/>
        <w:left w:val="none" w:sz="0" w:space="0" w:color="auto"/>
        <w:bottom w:val="none" w:sz="0" w:space="0" w:color="auto"/>
        <w:right w:val="none" w:sz="0" w:space="0" w:color="auto"/>
      </w:divBdr>
    </w:div>
    <w:div w:id="191157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andrade:Library:Application%20Support:Microsoft:Office:Plantillas%20personales:Mis%20plantillas:Texto%20normativ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7F3756E2273444BA1203ADC74A5675"/>
        <w:category>
          <w:name w:val="General"/>
          <w:gallery w:val="placeholder"/>
        </w:category>
        <w:types>
          <w:type w:val="bbPlcHdr"/>
        </w:types>
        <w:behaviors>
          <w:behavior w:val="content"/>
        </w:behaviors>
        <w:guid w:val="{FF56BAB9-F6C5-6A4A-8063-F3C67264AD4E}"/>
      </w:docPartPr>
      <w:docPartBody>
        <w:p w:rsidR="00220912" w:rsidRDefault="00220912">
          <w:pPr>
            <w:pStyle w:val="547F3756E2273444BA1203ADC74A5675"/>
          </w:pPr>
          <w:r>
            <w:rPr>
              <w:rFonts w:asciiTheme="majorHAnsi" w:eastAsiaTheme="majorEastAsia" w:hAnsiTheme="majorHAnsi" w:cstheme="majorBidi"/>
              <w:sz w:val="36"/>
              <w:szCs w:val="36"/>
              <w:lang w:val="es-ES"/>
            </w:rPr>
            <w:t>[Escribir el título del documento]</w:t>
          </w:r>
        </w:p>
      </w:docPartBody>
    </w:docPart>
    <w:docPart>
      <w:docPartPr>
        <w:name w:val="00EDBAB947C55842B7F6FF277C5B344B"/>
        <w:category>
          <w:name w:val="General"/>
          <w:gallery w:val="placeholder"/>
        </w:category>
        <w:types>
          <w:type w:val="bbPlcHdr"/>
        </w:types>
        <w:behaviors>
          <w:behavior w:val="content"/>
        </w:behaviors>
        <w:guid w:val="{4E4418DB-9F0B-D94E-B1DB-F8498472EFA7}"/>
      </w:docPartPr>
      <w:docPartBody>
        <w:p w:rsidR="00220912" w:rsidRDefault="00220912">
          <w:pPr>
            <w:pStyle w:val="00EDBAB947C55842B7F6FF277C5B344B"/>
          </w:pPr>
          <w:r>
            <w:rPr>
              <w:rFonts w:asciiTheme="majorHAnsi" w:eastAsiaTheme="majorEastAsia" w:hAnsiTheme="majorHAnsi" w:cstheme="majorBidi"/>
              <w:b/>
              <w:bCs/>
              <w:color w:val="4472C4" w:themeColor="accent1"/>
              <w:sz w:val="36"/>
              <w:szCs w:val="36"/>
              <w:lang w:val="es-ES"/>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dobe Garamond Pro">
    <w:panose1 w:val="02020502060506020403"/>
    <w:charset w:val="4D"/>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idot">
    <w:panose1 w:val="02000503000000020003"/>
    <w:charset w:val="00"/>
    <w:family w:val="auto"/>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912"/>
    <w:rsid w:val="00220912"/>
    <w:rsid w:val="002F277B"/>
    <w:rsid w:val="003310C9"/>
    <w:rsid w:val="00775561"/>
    <w:rsid w:val="007C2C26"/>
    <w:rsid w:val="00C46E0E"/>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C"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47F3756E2273444BA1203ADC74A5675">
    <w:name w:val="547F3756E2273444BA1203ADC74A5675"/>
  </w:style>
  <w:style w:type="paragraph" w:customStyle="1" w:styleId="00EDBAB947C55842B7F6FF277C5B344B">
    <w:name w:val="00EDBAB947C55842B7F6FF277C5B3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Codex">
      <a:dk1>
        <a:sysClr val="windowText" lastClr="000000"/>
      </a:dk1>
      <a:lt1>
        <a:sysClr val="window" lastClr="FFFFFF"/>
      </a:lt1>
      <a:dk2>
        <a:srgbClr val="59564B"/>
      </a:dk2>
      <a:lt2>
        <a:srgbClr val="DFDAC7"/>
      </a:lt2>
      <a:accent1>
        <a:srgbClr val="990000"/>
      </a:accent1>
      <a:accent2>
        <a:srgbClr val="EFAB16"/>
      </a:accent2>
      <a:accent3>
        <a:srgbClr val="78AC35"/>
      </a:accent3>
      <a:accent4>
        <a:srgbClr val="35ACA2"/>
      </a:accent4>
      <a:accent5>
        <a:srgbClr val="4083CF"/>
      </a:accent5>
      <a:accent6>
        <a:srgbClr val="0D335E"/>
      </a:accent6>
      <a:hlink>
        <a:srgbClr val="EF8E1C"/>
      </a:hlink>
      <a:folHlink>
        <a:srgbClr val="FEC60B"/>
      </a:folHlink>
    </a:clrScheme>
    <a:fontScheme name="Inkwell">
      <a:majorFont>
        <a:latin typeface="Goudy Old Style"/>
        <a:ea typeface=""/>
        <a:cs typeface=""/>
        <a:font script="Jpan" typeface="ＭＳ 明朝"/>
      </a:majorFont>
      <a:minorFont>
        <a:latin typeface="Goudy Old Style"/>
        <a:ea typeface=""/>
        <a:cs typeface=""/>
        <a:font script="Jpan" typeface="ＭＳ 明朝"/>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E8DE1C-9216-9041-92D0-6F5A910C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Macintosh%20HD:Users:fandrade:Library:Application%20Support:Microsoft:Office:Plantillas%20personales:Mis%20plantillas:Texto%20normativo.dotx</Template>
  <TotalTime>59</TotalTime>
  <Pages>9</Pages>
  <Words>3149</Words>
  <Characters>16976</Characters>
  <Application>Microsoft Office Word</Application>
  <DocSecurity>0</DocSecurity>
  <Lines>1543</Lines>
  <Paragraphs>559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Proyecto de Ordenanza reformatoria a la Ordenanza número 0098, de 21 de enero de 2016</vt:lpstr>
      <vt:lpstr>Proyecto de Código Metropolitano</vt:lpstr>
    </vt:vector>
  </TitlesOfParts>
  <Manager/>
  <Company/>
  <LinksUpToDate>false</LinksUpToDate>
  <CharactersWithSpaces>19566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 reformatoria a la Ordenanza número 3446, de 27 de marzo de 2003</dc:title>
  <dc:subject/>
  <dc:creator>Fabián Andrade Narváez</dc:creator>
  <cp:keywords/>
  <dc:description/>
  <cp:lastModifiedBy>Fabián Andrade Narváez</cp:lastModifiedBy>
  <cp:revision>6</cp:revision>
  <cp:lastPrinted>2016-12-07T15:50:00Z</cp:lastPrinted>
  <dcterms:created xsi:type="dcterms:W3CDTF">2022-03-16T16:22:00Z</dcterms:created>
  <dcterms:modified xsi:type="dcterms:W3CDTF">2022-03-17T16:49:00Z</dcterms:modified>
  <cp:category/>
</cp:coreProperties>
</file>