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D" w:rsidRPr="004B5626" w:rsidRDefault="00600D8D" w:rsidP="00600D8D">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854F7C" w:rsidRPr="00921E14" w:rsidRDefault="00854F7C" w:rsidP="00854F7C">
      <w:pPr>
        <w:jc w:val="center"/>
        <w:rPr>
          <w:b/>
        </w:rPr>
      </w:pPr>
      <w:r w:rsidRPr="00921E14">
        <w:rPr>
          <w:b/>
        </w:rPr>
        <w:t>Dr. Santiago Guarderas Izquier</w:t>
      </w:r>
      <w:r w:rsidR="00D27AB2" w:rsidRPr="00921E14">
        <w:rPr>
          <w:b/>
        </w:rPr>
        <w:t>d</w:t>
      </w:r>
      <w:r w:rsidRPr="00921E14">
        <w:rPr>
          <w:b/>
        </w:rPr>
        <w:t>o</w:t>
      </w:r>
    </w:p>
    <w:p w:rsidR="00DF5041" w:rsidRPr="00921E14" w:rsidRDefault="00DF5041" w:rsidP="00854F7C">
      <w:pPr>
        <w:jc w:val="center"/>
        <w:rPr>
          <w:b/>
        </w:rPr>
      </w:pPr>
    </w:p>
    <w:p w:rsidR="00854F7C" w:rsidRPr="00921E14" w:rsidRDefault="00854F7C" w:rsidP="00854F7C">
      <w:pPr>
        <w:jc w:val="center"/>
      </w:pPr>
      <w:r w:rsidRPr="00921E14">
        <w:rPr>
          <w:b/>
        </w:rPr>
        <w:t>ALCALDE DEL DISTRITO METROPOLITANO DE QUITO</w:t>
      </w:r>
    </w:p>
    <w:p w:rsidR="00854F7C" w:rsidRPr="00921E14" w:rsidRDefault="00854F7C" w:rsidP="00854F7C">
      <w:pPr>
        <w:jc w:val="center"/>
        <w:rPr>
          <w:b/>
        </w:rPr>
      </w:pPr>
    </w:p>
    <w:p w:rsidR="00854F7C" w:rsidRPr="00921E14" w:rsidRDefault="00854F7C" w:rsidP="00854F7C">
      <w:pPr>
        <w:jc w:val="center"/>
        <w:rPr>
          <w:b/>
        </w:rPr>
      </w:pPr>
      <w:r w:rsidRPr="00921E14">
        <w:rPr>
          <w:b/>
        </w:rPr>
        <w:t>RESOLUCIÓN   No. ……………………</w:t>
      </w:r>
    </w:p>
    <w:p w:rsidR="00854F7C" w:rsidRPr="00921E14" w:rsidRDefault="00854F7C" w:rsidP="00854F7C">
      <w:pPr>
        <w:tabs>
          <w:tab w:val="left" w:pos="5375"/>
        </w:tabs>
        <w:jc w:val="both"/>
      </w:pPr>
      <w:r w:rsidRPr="00921E14">
        <w:tab/>
      </w:r>
    </w:p>
    <w:p w:rsidR="00854F7C" w:rsidRPr="00921E14" w:rsidRDefault="00854F7C" w:rsidP="00854F7C">
      <w:pPr>
        <w:jc w:val="center"/>
        <w:rPr>
          <w:b/>
        </w:rPr>
      </w:pPr>
      <w:r w:rsidRPr="00921E14">
        <w:rPr>
          <w:b/>
        </w:rPr>
        <w:t>CONSIDERACIONES:</w:t>
      </w:r>
    </w:p>
    <w:p w:rsidR="00600D8D" w:rsidRPr="00921E14" w:rsidRDefault="00600D8D" w:rsidP="00600D8D">
      <w:pPr>
        <w:autoSpaceDE w:val="0"/>
        <w:autoSpaceDN w:val="0"/>
        <w:adjustRightInd w:val="0"/>
        <w:jc w:val="center"/>
        <w:rPr>
          <w:rFonts w:eastAsiaTheme="minorHAnsi"/>
          <w:b/>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5" w:hanging="705"/>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2 del artículo 264 de la Constitución, disponen: </w:t>
      </w:r>
      <w:r w:rsidRPr="00921E14">
        <w:rPr>
          <w:rFonts w:eastAsiaTheme="minorHAnsi"/>
          <w:i/>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266 de la Constitución, determina: </w:t>
      </w:r>
      <w:r w:rsidRPr="00921E1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r>
      <w:bookmarkStart w:id="0" w:name="_Hlk51943612"/>
      <w:r w:rsidRPr="00921E14">
        <w:rPr>
          <w:rFonts w:eastAsiaTheme="minorHAnsi"/>
          <w:lang w:val="es-EC" w:eastAsia="en-US"/>
        </w:rPr>
        <w:t xml:space="preserve">los literales a), d) y v) del artículo 87 del </w:t>
      </w:r>
      <w:r w:rsidR="00131EC9" w:rsidRPr="00921E14">
        <w:rPr>
          <w:rFonts w:eastAsiaTheme="minorHAnsi"/>
          <w:lang w:val="es-EC" w:eastAsia="en-US"/>
        </w:rPr>
        <w:t xml:space="preserve">Código Orgánico de Ordenamiento Territorial, Autonomía y Descentralización </w:t>
      </w:r>
      <w:r w:rsidRPr="00921E14">
        <w:rPr>
          <w:rFonts w:eastAsiaTheme="minorHAnsi"/>
          <w:lang w:val="es-EC" w:eastAsia="en-US"/>
        </w:rPr>
        <w:t>COOTAD, señala:</w:t>
      </w:r>
      <w:r w:rsidRPr="00921E1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921E14">
        <w:rPr>
          <w:rFonts w:eastAsiaTheme="minorHAnsi"/>
          <w:lang w:val="es-EC" w:eastAsia="en-US"/>
        </w:rPr>
        <w:t xml:space="preserve"> </w:t>
      </w:r>
      <w:r w:rsidRPr="00921E14">
        <w:rPr>
          <w:rFonts w:eastAsiaTheme="minorHAnsi"/>
          <w:i/>
          <w:lang w:val="es-EC" w:eastAsia="en-US"/>
        </w:rPr>
        <w:t>v) Regular y controlar el uso del suelo en el territorio del distrito metropolitano, de conformidad con las leyes sobre la materia, y establecer el régimen urbanístico de la tierra</w:t>
      </w:r>
      <w:bookmarkEnd w:id="0"/>
      <w:r w:rsidRPr="00921E14">
        <w:rPr>
          <w:rFonts w:eastAsiaTheme="minorHAnsi"/>
          <w:i/>
          <w:lang w:val="es-EC" w:eastAsia="en-US"/>
        </w:rPr>
        <w:t>”;</w:t>
      </w:r>
      <w:r w:rsidRPr="00921E14">
        <w:rPr>
          <w:rFonts w:eastAsiaTheme="minorHAnsi"/>
          <w:lang w:val="es-EC" w:eastAsia="en-US"/>
        </w:rPr>
        <w:t xml:space="preserve">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i/>
          <w:iCs/>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323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w:t>
      </w:r>
      <w:r w:rsidRPr="00921E14">
        <w:rPr>
          <w:rFonts w:eastAsiaTheme="minorHAnsi"/>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pStyle w:val="Default"/>
        <w:ind w:left="705" w:hanging="705"/>
        <w:jc w:val="both"/>
        <w:rPr>
          <w:rFonts w:ascii="Times New Roman" w:hAnsi="Times New Roman" w:cs="Times New Roman"/>
        </w:rPr>
      </w:pPr>
      <w:r w:rsidRPr="00921E14">
        <w:rPr>
          <w:rFonts w:ascii="Times New Roman" w:hAnsi="Times New Roman" w:cs="Times New Roman"/>
          <w:b/>
        </w:rPr>
        <w:t>Que</w:t>
      </w:r>
      <w:r w:rsidRPr="00921E14">
        <w:rPr>
          <w:rFonts w:ascii="Times New Roman" w:hAnsi="Times New Roman" w:cs="Times New Roman"/>
        </w:rPr>
        <w:t>,</w:t>
      </w:r>
      <w:r w:rsidRPr="00921E14">
        <w:rPr>
          <w:rFonts w:ascii="Times New Roman" w:hAnsi="Times New Roman" w:cs="Times New Roman"/>
        </w:rPr>
        <w:tab/>
        <w:t xml:space="preserve">el artículo 472 </w:t>
      </w:r>
      <w:r w:rsidR="00131EC9" w:rsidRPr="00921E14">
        <w:rPr>
          <w:rFonts w:ascii="Times New Roman" w:hAnsi="Times New Roman" w:cs="Times New Roman"/>
        </w:rPr>
        <w:t>del Código Orgánico de Ordenamiento Territorial, Autonomía y Descentralización COOTAD</w:t>
      </w:r>
      <w:r w:rsidRPr="00921E14">
        <w:rPr>
          <w:rFonts w:ascii="Times New Roman" w:hAnsi="Times New Roman" w:cs="Times New Roman"/>
        </w:rPr>
        <w:t xml:space="preserve"> señala que: “</w:t>
      </w:r>
      <w:r w:rsidRPr="00921E14">
        <w:rPr>
          <w:rFonts w:ascii="Times New Roman" w:hAnsi="Times New Roman" w:cs="Times New Roman"/>
          <w:i/>
          <w:iCs/>
        </w:rPr>
        <w:t>Para la fijación de las superficies mínimas en los fraccionamientos urbanos se atenderá a las normas que al efecto contenga el plan de ordenamiento territorial...”;</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 xml:space="preserve">el artículo 473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que: </w:t>
      </w:r>
      <w:r w:rsidRPr="00921E14">
        <w:rPr>
          <w:rFonts w:eastAsiaTheme="minorHAnsi"/>
          <w:i/>
          <w:lang w:val="es-EC" w:eastAsia="en-US"/>
        </w:rPr>
        <w:t>“</w:t>
      </w:r>
      <w:r w:rsidRPr="00921E14">
        <w:rPr>
          <w:rFonts w:eastAsiaTheme="minorHAnsi"/>
          <w:i/>
          <w:lang w:eastAsia="en-US"/>
        </w:rPr>
        <w:t xml:space="preserve">En el caso de partición judicial de </w:t>
      </w:r>
      <w:r w:rsidRPr="00921E14">
        <w:rPr>
          <w:rFonts w:eastAsiaTheme="minorHAnsi"/>
          <w:i/>
          <w:lang w:eastAsia="en-US"/>
        </w:rPr>
        <w:lastRenderedPageBreak/>
        <w:t>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921E14">
        <w:rPr>
          <w:rFonts w:eastAsiaTheme="minorHAnsi"/>
          <w:i/>
          <w:lang w:val="es-EC" w:eastAsia="en-US"/>
        </w:rPr>
        <w:t>”</w:t>
      </w:r>
      <w:r w:rsidRPr="00921E14">
        <w:rPr>
          <w:rFonts w:eastAsiaTheme="minorHAnsi"/>
          <w:lang w:val="es-EC" w:eastAsia="en-US"/>
        </w:rPr>
        <w:t>;</w:t>
      </w:r>
    </w:p>
    <w:p w:rsidR="00600D8D" w:rsidRPr="00921E14" w:rsidRDefault="00600D8D" w:rsidP="00600D8D">
      <w:pPr>
        <w:autoSpaceDE w:val="0"/>
        <w:autoSpaceDN w:val="0"/>
        <w:adjustRightInd w:val="0"/>
        <w:jc w:val="both"/>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el numeral 1, del artículo 2 de la Ley de Régimen para el Distrito Metropolitano de Quito, determina, como finalidad, que el Municipio del Distrito Metropolitano de Quito: “</w:t>
      </w:r>
      <w:r w:rsidRPr="00921E1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Pr="00921E14">
        <w:t xml:space="preserve">el artículo 2156 del Código Municipal para el Distrito Metropolitano de Quito, en adelante, “Código Municipal”, señala que las asignaciones de zonificación para habilitación del suelo y edificación son: </w:t>
      </w:r>
      <w:r w:rsidRPr="00921E14">
        <w:rPr>
          <w:i/>
          <w:iCs/>
        </w:rPr>
        <w:t>“a. Para habilitación del suelo: el tamaño mínimo de lote, expresado en metros cuadrados; el frente mínimo del lote, expresado en metros lineales”</w:t>
      </w:r>
      <w:r w:rsidRPr="00921E14">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literal a</w:t>
      </w:r>
      <w:r w:rsidR="008E61FC" w:rsidRPr="00921E14">
        <w:rPr>
          <w:rFonts w:eastAsiaTheme="minorHAnsi"/>
          <w:lang w:val="es-EC" w:eastAsia="en-US"/>
        </w:rPr>
        <w:t>)</w:t>
      </w:r>
      <w:r w:rsidRPr="00921E14">
        <w:rPr>
          <w:rFonts w:eastAsiaTheme="minorHAnsi"/>
          <w:lang w:val="es-EC" w:eastAsia="en-US"/>
        </w:rPr>
        <w:t xml:space="preserve"> del numeral 1, del artículo 2157 del Código Municipal establece: </w:t>
      </w:r>
      <w:r w:rsidRPr="00921E14">
        <w:rPr>
          <w:rFonts w:eastAsiaTheme="minorHAnsi"/>
          <w:i/>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5 del artículo 2162, del Código Municipal determina, que: </w:t>
      </w:r>
      <w:r w:rsidRPr="00921E14">
        <w:rPr>
          <w:rFonts w:eastAsiaTheme="minorHAnsi"/>
          <w:i/>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921E14">
        <w:rPr>
          <w:i/>
        </w:rPr>
        <w:t>Se considera, además, como subdivisión a las habilitaciones originadas por partición judicial que pueden generarse en suelo urbano y rural. Éstas deberán sujetarse a la zonificación y normativa vigentes”</w:t>
      </w:r>
      <w:r w:rsidRPr="00921E14">
        <w:t xml:space="preserve">; </w:t>
      </w:r>
    </w:p>
    <w:p w:rsidR="00600D8D" w:rsidRPr="00921E14" w:rsidRDefault="00600D8D" w:rsidP="00600D8D">
      <w:pPr>
        <w:autoSpaceDE w:val="0"/>
        <w:autoSpaceDN w:val="0"/>
        <w:adjustRightInd w:val="0"/>
        <w:ind w:left="709" w:hanging="709"/>
        <w:jc w:val="both"/>
      </w:pPr>
    </w:p>
    <w:p w:rsidR="00600D8D" w:rsidRPr="00921E14" w:rsidRDefault="00600D8D" w:rsidP="00600D8D">
      <w:pPr>
        <w:autoSpaceDE w:val="0"/>
        <w:autoSpaceDN w:val="0"/>
        <w:adjustRightInd w:val="0"/>
        <w:ind w:left="709" w:hanging="709"/>
        <w:jc w:val="both"/>
        <w:rPr>
          <w:rFonts w:eastAsiaTheme="minorHAnsi"/>
          <w: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artículo 2164 del Código Municipal, respecto a las dimensiones y áreas mínimas de lotes, establece:</w:t>
      </w:r>
      <w:r w:rsidRPr="00921E14">
        <w:rPr>
          <w:i/>
          <w:iCs/>
        </w:rPr>
        <w:t xml:space="preserve"> </w:t>
      </w:r>
      <w:r w:rsidRPr="00921E14">
        <w:rPr>
          <w:rFonts w:eastAsiaTheme="minorHAnsi"/>
          <w:i/>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854F7C" w:rsidRPr="00921E14" w:rsidRDefault="00854F7C" w:rsidP="00854F7C">
      <w:pPr>
        <w:jc w:val="both"/>
        <w:rPr>
          <w:i/>
          <w:lang w:eastAsia="es-EC"/>
        </w:rPr>
      </w:pPr>
    </w:p>
    <w:p w:rsidR="00854F7C" w:rsidRPr="00921E14" w:rsidRDefault="00854F7C" w:rsidP="00854F7C">
      <w:pPr>
        <w:ind w:left="709" w:hanging="709"/>
        <w:jc w:val="both"/>
        <w:rPr>
          <w:i/>
          <w:color w:val="000000"/>
        </w:rPr>
      </w:pPr>
      <w:r w:rsidRPr="00921E14">
        <w:rPr>
          <w:b/>
          <w:lang w:eastAsia="es-EC"/>
        </w:rPr>
        <w:t>Que,</w:t>
      </w:r>
      <w:r w:rsidRPr="00921E14">
        <w:rPr>
          <w:lang w:eastAsia="es-EC"/>
        </w:rPr>
        <w:t xml:space="preserve"> </w:t>
      </w:r>
      <w:r w:rsidRPr="00921E14">
        <w:rPr>
          <w:lang w:eastAsia="es-EC"/>
        </w:rPr>
        <w:tab/>
        <w:t>e</w:t>
      </w:r>
      <w:r w:rsidRPr="00921E14">
        <w:rPr>
          <w:rStyle w:val="fontstyle01"/>
          <w:rFonts w:ascii="Times New Roman" w:hAnsi="Times New Roman"/>
          <w:sz w:val="24"/>
          <w:szCs w:val="24"/>
        </w:rPr>
        <w:t>l artículo</w:t>
      </w:r>
      <w:r w:rsidRPr="00921E14">
        <w:rPr>
          <w:b/>
          <w:bCs/>
          <w:color w:val="000000"/>
        </w:rPr>
        <w:t xml:space="preserve"> </w:t>
      </w:r>
      <w:r w:rsidRPr="00921E14">
        <w:rPr>
          <w:bCs/>
          <w:color w:val="000000"/>
        </w:rPr>
        <w:t xml:space="preserve">2171 de la Ordenanza 001, establece Supuestos en el que la contribución de áreas verdes públicas, para subdivisiones puede ser compensada.- </w:t>
      </w:r>
      <w:r w:rsidRPr="00921E14">
        <w:rPr>
          <w:color w:val="000000"/>
        </w:rPr>
        <w:t>En subdivisiones de lotes en suelo rural y urbano con una superficie inferior a tres mil metros cuadrados, en cuanto a la contribución de áreas verdes se observará los siguientes casos:</w:t>
      </w:r>
      <w:r w:rsidR="00DF5041" w:rsidRPr="00921E14">
        <w:rPr>
          <w:color w:val="000000"/>
        </w:rPr>
        <w:t xml:space="preserve"> </w:t>
      </w:r>
      <w:r w:rsidR="00DF5041" w:rsidRPr="00921E14">
        <w:rPr>
          <w:i/>
          <w:color w:val="000000"/>
        </w:rPr>
        <w:t>“</w:t>
      </w:r>
      <w:r w:rsidR="004E0D99" w:rsidRPr="00921E14">
        <w:rPr>
          <w:i/>
          <w:color w:val="000000"/>
        </w:rPr>
        <w:t xml:space="preserve">4. </w:t>
      </w:r>
      <w:r w:rsidR="00DF5041" w:rsidRPr="00921E14">
        <w:rPr>
          <w:i/>
          <w:color w:val="000000"/>
        </w:rPr>
        <w:t>E</w:t>
      </w:r>
      <w:r w:rsidRPr="00921E14">
        <w:rPr>
          <w:i/>
          <w:color w:val="000000"/>
        </w:rPr>
        <w:t xml:space="preserv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w:t>
      </w:r>
      <w:r w:rsidRPr="00921E14">
        <w:rPr>
          <w:i/>
          <w:color w:val="000000"/>
        </w:rPr>
        <w:lastRenderedPageBreak/>
        <w:t>Descentralización, se deberá calcular el aporte del 15% del área útil adquirida mediante sentencia</w:t>
      </w:r>
      <w:r w:rsidR="00DF5041" w:rsidRPr="00921E14">
        <w:rPr>
          <w:i/>
          <w:color w:val="000000"/>
        </w:rPr>
        <w:t>”</w:t>
      </w:r>
      <w:r w:rsidRPr="00921E14">
        <w:rPr>
          <w:i/>
          <w:color w:val="000000"/>
        </w:rPr>
        <w:t>.</w:t>
      </w:r>
    </w:p>
    <w:p w:rsidR="00600D8D" w:rsidRPr="00921E14" w:rsidRDefault="00600D8D" w:rsidP="00CC083B">
      <w:pPr>
        <w:jc w:val="both"/>
      </w:pPr>
    </w:p>
    <w:p w:rsidR="004E0D99" w:rsidRPr="00921E14" w:rsidRDefault="004E0D99" w:rsidP="004E0D99">
      <w:pPr>
        <w:ind w:left="705" w:hanging="705"/>
        <w:jc w:val="both"/>
        <w:rPr>
          <w:i/>
          <w:lang w:eastAsia="es-EC"/>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Pr="00921E1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921E14">
        <w:rPr>
          <w:lang w:eastAsia="es-EC"/>
        </w:rPr>
        <w:t xml:space="preserve">B.2.1, el cual, textualmente señala: </w:t>
      </w:r>
      <w:r w:rsidRPr="00921E1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921E14" w:rsidRPr="00921E14" w:rsidRDefault="00921E14" w:rsidP="00D27AB2">
      <w:pPr>
        <w:jc w:val="both"/>
        <w:rPr>
          <w:rFonts w:eastAsiaTheme="minorHAnsi"/>
          <w:b/>
          <w:lang w:val="es-EC" w:eastAsia="en-US"/>
        </w:rPr>
      </w:pPr>
    </w:p>
    <w:p w:rsidR="00921E14" w:rsidRPr="00921E14" w:rsidRDefault="00921E14" w:rsidP="00921E14">
      <w:pPr>
        <w:ind w:left="705" w:hanging="705"/>
        <w:jc w:val="both"/>
        <w:rPr>
          <w:rFonts w:eastAsiaTheme="minorHAnsi"/>
          <w:b/>
          <w:i/>
          <w:lang w:val="es-EC" w:eastAsia="en-US"/>
        </w:rPr>
      </w:pPr>
      <w:r w:rsidRPr="00921E14">
        <w:rPr>
          <w:b/>
        </w:rPr>
        <w:t>Que,</w:t>
      </w:r>
      <w:r w:rsidRPr="00921E14">
        <w:t xml:space="preserve"> </w:t>
      </w:r>
      <w:r w:rsidRPr="00921E14">
        <w:tab/>
      </w:r>
      <w:r w:rsidRPr="00921E14">
        <w:rPr>
          <w:rFonts w:eastAsiaTheme="minorHAnsi"/>
          <w:lang w:val="es-EC" w:eastAsia="en-US"/>
        </w:rPr>
        <w:t xml:space="preserve">con la sentencia emitida dentro del </w:t>
      </w:r>
      <w:r w:rsidRPr="00921E14">
        <w:rPr>
          <w:lang w:val="es-EC" w:eastAsia="es-EC"/>
        </w:rPr>
        <w:t>proceso judicial No. 17230-2019-19805, mediante el cual el Juez de la Unidad Judicial Civil con sede en la parroquia de Iñaquito del Distrito Metropolitano de Quito,  resolvió “(…)</w:t>
      </w:r>
      <w:r w:rsidR="006A5554">
        <w:t xml:space="preserve"> </w:t>
      </w:r>
      <w:r w:rsidR="006A5554" w:rsidRPr="006A5554">
        <w:rPr>
          <w:i/>
        </w:rPr>
        <w:t>E</w:t>
      </w:r>
      <w:r w:rsidR="006A5554" w:rsidRPr="006A5554">
        <w:rPr>
          <w:i/>
        </w:rPr>
        <w:t xml:space="preserve">n virtud de los testimonios, documentos municipales y de servicios básicos, la inspección judicial e informe del Perito constantes del proceso y que fueron analizados en el desarrollo de esta sentencia; de conformidad con los artículos 603, 715, 2398, 2410, 2411 y 2413 del Código Civil, en irrestricta aplicación de los principios de independencia, imparcialidad, tutela judicial efectiva de los derechos, seguridad jurídica, verdad procesal, establecidos en los artículos 8, 9, 23, 25 y 27 del Código Orgánico de la Función Judicial, la suscrita Jueza ADMINISTRANDO JUSTICIA, EN NOMBRE DEL PUEBLO SOBERANO DEL ECUADOR, Y POR AUTORIDAD DE LA CONSTITUCIÓN Y LAS LEYES DE LA REPÚBLICA, ACEPTA la demanda y se declara la Prescripción Adquisitiva Extraordinaria de Dominio a favor de CARMEN ELOISA GUATO VELÁSQUEZ a través de su procurador judicial abogado Jaime Patricio Aragón Lozada, del bien inmueble consistente en un lote de terreno ubicado en el pasaje E3A casa No14-153 y Vía a </w:t>
      </w:r>
      <w:proofErr w:type="spellStart"/>
      <w:r w:rsidR="006A5554" w:rsidRPr="006A5554">
        <w:rPr>
          <w:i/>
        </w:rPr>
        <w:t>Pomasqui</w:t>
      </w:r>
      <w:proofErr w:type="spellEnd"/>
      <w:r w:rsidR="006A5554" w:rsidRPr="006A5554">
        <w:rPr>
          <w:i/>
        </w:rPr>
        <w:t xml:space="preserve">, sector Jardines del Norte de San José de Morán, parroquia </w:t>
      </w:r>
      <w:proofErr w:type="spellStart"/>
      <w:r w:rsidR="006A5554" w:rsidRPr="006A5554">
        <w:rPr>
          <w:i/>
        </w:rPr>
        <w:t>Pomasquí</w:t>
      </w:r>
      <w:proofErr w:type="spellEnd"/>
      <w:r w:rsidR="006A5554" w:rsidRPr="006A5554">
        <w:rPr>
          <w:i/>
        </w:rPr>
        <w:t xml:space="preserve">, cantón Quito, provincia de Pichincha, cuyos linderos son: Al Norte, con 14,80m, pasaje E3A; Al Sur, con 14.80 m, propiedad del señor Teófilo </w:t>
      </w:r>
      <w:proofErr w:type="spellStart"/>
      <w:r w:rsidR="006A5554" w:rsidRPr="006A5554">
        <w:rPr>
          <w:i/>
        </w:rPr>
        <w:t>Simbaña</w:t>
      </w:r>
      <w:proofErr w:type="spellEnd"/>
      <w:r w:rsidR="006A5554" w:rsidRPr="006A5554">
        <w:rPr>
          <w:i/>
        </w:rPr>
        <w:t>, actualmente utilizado como servidumbre (pasaje peatonal); Al Este, con 16,80m, propiedad del señor Patricio Julio Flores; y, Al Oeste, con 16,80m propiedad del señor Iván Avilés, con un área total de 248,64m2. Ejecutoriada la presente sentencia, protocolícese en una de las Notarías de este Cantón Quito, a fin de que les sirva como título de propiedad a la parte actora de este juicio. Ofíciese al Registrador de la Propiedad del Distrito Metropolitano de Quito para que proceda a la inscripción de la sentencia y cancele la inscripción de la demanda de prescripción adquisitiva extraordinaria de dominio, acorde lo dispuesto por el artículo 2413 del Código Civil. Sin costas ni honorarios que regular por cuanto no se cumple el presupuesto legal planteado en al artículo 283 del Código de Procedimiento Civil</w:t>
      </w:r>
      <w:r w:rsidRPr="00921E14">
        <w:rPr>
          <w:i/>
        </w:rPr>
        <w:t xml:space="preserve"> (…)”.</w:t>
      </w:r>
    </w:p>
    <w:p w:rsidR="00921E14" w:rsidRPr="00921E14" w:rsidRDefault="00921E14" w:rsidP="00D27AB2">
      <w:pPr>
        <w:jc w:val="both"/>
        <w:rPr>
          <w:rFonts w:eastAsiaTheme="minorHAnsi"/>
          <w:b/>
          <w:lang w:val="es-EC" w:eastAsia="en-US"/>
        </w:rPr>
      </w:pPr>
    </w:p>
    <w:p w:rsidR="00D27AB2" w:rsidRPr="001B6DB9" w:rsidRDefault="00600D8D" w:rsidP="001B6DB9">
      <w:pPr>
        <w:ind w:left="705" w:hanging="705"/>
        <w:jc w:val="both"/>
        <w:rPr>
          <w:rFonts w:ascii="Arial" w:hAnsi="Arial" w:cs="Arial"/>
          <w:sz w:val="20"/>
          <w:szCs w:val="20"/>
        </w:rPr>
      </w:pPr>
      <w:r w:rsidRPr="00921E14">
        <w:rPr>
          <w:rFonts w:eastAsiaTheme="minorHAnsi"/>
          <w:b/>
          <w:lang w:val="es-EC" w:eastAsia="en-US"/>
        </w:rPr>
        <w:t>Que</w:t>
      </w:r>
      <w:r w:rsidR="00854F7C" w:rsidRPr="00921E14">
        <w:rPr>
          <w:rFonts w:eastAsiaTheme="minorHAnsi"/>
          <w:lang w:val="es-EC" w:eastAsia="en-US"/>
        </w:rPr>
        <w:t xml:space="preserve">, </w:t>
      </w:r>
      <w:r w:rsidR="00D27AB2" w:rsidRPr="00921E14">
        <w:rPr>
          <w:rFonts w:eastAsiaTheme="minorHAnsi"/>
          <w:lang w:val="es-EC" w:eastAsia="en-US"/>
        </w:rPr>
        <w:tab/>
      </w:r>
      <w:r w:rsidR="004E0D99" w:rsidRPr="00921E14">
        <w:rPr>
          <w:bCs/>
          <w:color w:val="000000"/>
        </w:rPr>
        <w:t>m</w:t>
      </w:r>
      <w:r w:rsidR="00D27AB2" w:rsidRPr="00921E14">
        <w:rPr>
          <w:bCs/>
          <w:color w:val="000000"/>
        </w:rPr>
        <w:t xml:space="preserve">ediante </w:t>
      </w:r>
      <w:r w:rsidR="001B6DB9">
        <w:rPr>
          <w:bCs/>
          <w:color w:val="000000"/>
        </w:rPr>
        <w:t>d</w:t>
      </w:r>
      <w:r w:rsidR="006A5554" w:rsidRPr="001B6DB9">
        <w:rPr>
          <w:bCs/>
          <w:color w:val="000000"/>
        </w:rPr>
        <w:t xml:space="preserve">ocumento No. 3022, ingresado a esta Administración Zonal con ticket </w:t>
      </w:r>
      <w:proofErr w:type="spellStart"/>
      <w:r w:rsidR="006A5554" w:rsidRPr="001B6DB9">
        <w:rPr>
          <w:bCs/>
          <w:color w:val="000000"/>
        </w:rPr>
        <w:t>Sitra</w:t>
      </w:r>
      <w:proofErr w:type="spellEnd"/>
      <w:r w:rsidR="006A5554" w:rsidRPr="001B6DB9">
        <w:rPr>
          <w:bCs/>
          <w:color w:val="000000"/>
        </w:rPr>
        <w:t xml:space="preserve"> No. GADDMQ-AZCA-2021-1268-E de 24 de a</w:t>
      </w:r>
      <w:r w:rsidR="006A5554" w:rsidRPr="001B6DB9">
        <w:rPr>
          <w:bCs/>
          <w:color w:val="000000"/>
        </w:rPr>
        <w:t>gosto de 2021, mediante el cual</w:t>
      </w:r>
      <w:r w:rsidR="001B6DB9">
        <w:rPr>
          <w:bCs/>
          <w:color w:val="000000"/>
        </w:rPr>
        <w:t xml:space="preserve"> </w:t>
      </w:r>
      <w:r w:rsidR="006A5554" w:rsidRPr="001B6DB9">
        <w:rPr>
          <w:bCs/>
          <w:color w:val="000000"/>
        </w:rPr>
        <w:t>el Arq. Daniel Álvarez, en representación</w:t>
      </w:r>
      <w:r w:rsidR="006A5554" w:rsidRPr="001B6DB9">
        <w:rPr>
          <w:bCs/>
          <w:color w:val="000000"/>
        </w:rPr>
        <w:t xml:space="preserve"> </w:t>
      </w:r>
      <w:r w:rsidR="006A5554" w:rsidRPr="001B6DB9">
        <w:rPr>
          <w:bCs/>
          <w:color w:val="000000"/>
        </w:rPr>
        <w:t>del demandant</w:t>
      </w:r>
      <w:r w:rsidR="006A5554" w:rsidRPr="001B6DB9">
        <w:rPr>
          <w:bCs/>
          <w:color w:val="000000"/>
        </w:rPr>
        <w:t xml:space="preserve">e, informó sobre las sentencias </w:t>
      </w:r>
      <w:r w:rsidR="006A5554" w:rsidRPr="001B6DB9">
        <w:rPr>
          <w:bCs/>
          <w:color w:val="000000"/>
        </w:rPr>
        <w:t xml:space="preserve">tramitadas y solicitó “(...) finiquitar de la manera más oportuna dichos </w:t>
      </w:r>
      <w:r w:rsidR="006A5554" w:rsidRPr="001B6DB9">
        <w:rPr>
          <w:bCs/>
          <w:color w:val="000000"/>
        </w:rPr>
        <w:t xml:space="preserve"> </w:t>
      </w:r>
      <w:r w:rsidR="006A5554" w:rsidRPr="001B6DB9">
        <w:rPr>
          <w:bCs/>
          <w:color w:val="000000"/>
        </w:rPr>
        <w:t>Trámites</w:t>
      </w:r>
      <w:r w:rsidR="006A5554" w:rsidRPr="001B6DB9">
        <w:rPr>
          <w:bCs/>
          <w:color w:val="000000"/>
        </w:rPr>
        <w:t xml:space="preserve"> </w:t>
      </w:r>
      <w:r w:rsidR="006A5554" w:rsidRPr="001B6DB9">
        <w:rPr>
          <w:bCs/>
          <w:color w:val="000000"/>
        </w:rPr>
        <w:t xml:space="preserve">(...)” referentes a 6 procesos de Prescripción Adquisitiva Extraordinaria de Dominio parciales, en el </w:t>
      </w:r>
      <w:r w:rsidR="001B6DB9" w:rsidRPr="001B6DB9">
        <w:rPr>
          <w:bCs/>
          <w:color w:val="000000"/>
        </w:rPr>
        <w:t xml:space="preserve"> </w:t>
      </w:r>
      <w:r w:rsidR="006A5554" w:rsidRPr="001B6DB9">
        <w:rPr>
          <w:bCs/>
          <w:color w:val="000000"/>
        </w:rPr>
        <w:t xml:space="preserve">predio No. 390030 </w:t>
      </w:r>
      <w:r w:rsidR="00D27AB2" w:rsidRPr="001B6DB9">
        <w:rPr>
          <w:bCs/>
          <w:color w:val="000000"/>
        </w:rPr>
        <w:t>(...)”</w:t>
      </w:r>
      <w:r w:rsidR="00D27AB2" w:rsidRPr="00921E14">
        <w:rPr>
          <w:lang w:val="es-EC" w:eastAsia="es-EC"/>
        </w:rPr>
        <w:t xml:space="preserve"> </w:t>
      </w:r>
    </w:p>
    <w:p w:rsidR="00F22B58" w:rsidRPr="00921E14" w:rsidRDefault="00F22B58" w:rsidP="00D27AB2">
      <w:pPr>
        <w:ind w:left="709" w:hanging="709"/>
        <w:jc w:val="both"/>
      </w:pPr>
    </w:p>
    <w:p w:rsidR="00852D76" w:rsidRPr="00921E14" w:rsidRDefault="00600D8D" w:rsidP="00852D76">
      <w:pPr>
        <w:ind w:left="705" w:hanging="705"/>
        <w:jc w:val="both"/>
        <w:rPr>
          <w:i/>
          <w:color w:val="000000"/>
          <w:lang w:eastAsia="es-EC"/>
        </w:rPr>
      </w:pPr>
      <w:bookmarkStart w:id="1" w:name="_Hlk51947053"/>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00FE75E5" w:rsidRPr="00921E14">
        <w:rPr>
          <w:rFonts w:eastAsiaTheme="minorHAnsi"/>
          <w:lang w:val="es-EC" w:eastAsia="en-US"/>
        </w:rPr>
        <w:t>c</w:t>
      </w:r>
      <w:proofErr w:type="spellStart"/>
      <w:r w:rsidR="00F22B58" w:rsidRPr="00921E14">
        <w:t>on</w:t>
      </w:r>
      <w:proofErr w:type="spellEnd"/>
      <w:r w:rsidR="00F22B58" w:rsidRPr="00921E14">
        <w:t xml:space="preserve"> I</w:t>
      </w:r>
      <w:r w:rsidR="001B6DB9">
        <w:t xml:space="preserve">nforme Técnico AZCA-DGT-2022-029 de 01 </w:t>
      </w:r>
      <w:r w:rsidR="00F22B58" w:rsidRPr="00921E14">
        <w:t xml:space="preserve">de </w:t>
      </w:r>
      <w:r w:rsidR="001B6DB9">
        <w:t xml:space="preserve">junio </w:t>
      </w:r>
      <w:r w:rsidR="00F22B58" w:rsidRPr="00921E14">
        <w:t xml:space="preserve"> de 2022, el Jefe de Gestión</w:t>
      </w:r>
      <w:r w:rsidR="00CC083B" w:rsidRPr="00921E14">
        <w:t xml:space="preserve"> </w:t>
      </w:r>
      <w:r w:rsidR="00F22B58" w:rsidRPr="00921E14">
        <w:t xml:space="preserve">Urbana, </w:t>
      </w:r>
      <w:r w:rsidR="00852D76" w:rsidRPr="00921E14">
        <w:t>de la Prescri</w:t>
      </w:r>
      <w:r w:rsidR="001B6DB9">
        <w:t xml:space="preserve">pción Parcial del predio 390030 </w:t>
      </w:r>
      <w:r w:rsidR="00852D76" w:rsidRPr="00921E14">
        <w:t xml:space="preserve">en el cual concluye: </w:t>
      </w:r>
      <w:r w:rsidR="00852D76" w:rsidRPr="00921E14">
        <w:rPr>
          <w:i/>
        </w:rPr>
        <w:t>“Del análisis técnico se desprende que, la Prescripción Adquisitiva de Dominio de una parte de</w:t>
      </w:r>
      <w:r w:rsidR="001B6DB9">
        <w:rPr>
          <w:i/>
        </w:rPr>
        <w:t>l inmueble del predio No. 390030</w:t>
      </w:r>
      <w:r w:rsidR="00852D76" w:rsidRPr="00921E14">
        <w:rPr>
          <w:i/>
        </w:rPr>
        <w:t xml:space="preserve">1, </w:t>
      </w:r>
      <w:r w:rsidR="001B6DB9">
        <w:rPr>
          <w:i/>
        </w:rPr>
        <w:t>a favor de la Sra. Carmen Eloísa Guato Velásquez, c</w:t>
      </w:r>
      <w:r w:rsidR="00852D76" w:rsidRPr="00921E14">
        <w:rPr>
          <w:i/>
        </w:rPr>
        <w:t>umple con</w:t>
      </w:r>
      <w:r w:rsidR="001B6DB9">
        <w:rPr>
          <w:i/>
        </w:rPr>
        <w:t xml:space="preserve"> el </w:t>
      </w:r>
      <w:r w:rsidR="00852D76" w:rsidRPr="00921E14">
        <w:rPr>
          <w:i/>
        </w:rPr>
        <w:t>“lote mínimo”</w:t>
      </w:r>
      <w:r w:rsidR="001B6DB9">
        <w:rPr>
          <w:i/>
        </w:rPr>
        <w:t xml:space="preserve"> siendo la sentencia de 248,64 m2 mayor a 2</w:t>
      </w:r>
      <w:r w:rsidR="00852D76" w:rsidRPr="00921E14">
        <w:rPr>
          <w:i/>
        </w:rPr>
        <w:t xml:space="preserve">00 m2 </w:t>
      </w:r>
      <w:r w:rsidR="001B6DB9">
        <w:rPr>
          <w:i/>
        </w:rPr>
        <w:t xml:space="preserve"> establecidos en la </w:t>
      </w:r>
      <w:r w:rsidR="00852D76" w:rsidRPr="00921E14">
        <w:rPr>
          <w:i/>
        </w:rPr>
        <w:t xml:space="preserve">zonificación vigente; </w:t>
      </w:r>
      <w:r w:rsidR="001B6DB9">
        <w:rPr>
          <w:i/>
        </w:rPr>
        <w:t xml:space="preserve">NO CUMPLE con el “frente mínimo” ya que colinda a una vía aprobada, razón por la que se </w:t>
      </w:r>
      <w:r w:rsidR="00852D76" w:rsidRPr="00921E14">
        <w:rPr>
          <w:i/>
        </w:rPr>
        <w:t xml:space="preserve"> </w:t>
      </w:r>
      <w:r w:rsidR="00852D76" w:rsidRPr="00921E14">
        <w:rPr>
          <w:b/>
          <w:i/>
        </w:rPr>
        <w:t>emite  Informe Técnico  Desfavorable</w:t>
      </w:r>
      <w:r w:rsidR="00852D76" w:rsidRPr="00921E14">
        <w:rPr>
          <w:i/>
        </w:rPr>
        <w:t>”</w:t>
      </w:r>
      <w:r w:rsidR="00852D76" w:rsidRPr="00921E14">
        <w:t>.</w:t>
      </w:r>
    </w:p>
    <w:p w:rsidR="00F22B58" w:rsidRPr="00921E14" w:rsidRDefault="00F22B58" w:rsidP="00852D76">
      <w:pPr>
        <w:autoSpaceDE w:val="0"/>
        <w:autoSpaceDN w:val="0"/>
        <w:adjustRightInd w:val="0"/>
        <w:jc w:val="both"/>
        <w:rPr>
          <w:rFonts w:eastAsiaTheme="minorHAnsi"/>
          <w:lang w:val="es-EC" w:eastAsia="en-US"/>
        </w:rPr>
      </w:pPr>
    </w:p>
    <w:p w:rsidR="00F22B58" w:rsidRPr="00921E14" w:rsidRDefault="00F22B58" w:rsidP="00D768BF">
      <w:pPr>
        <w:ind w:left="705" w:hanging="705"/>
        <w:jc w:val="both"/>
        <w:rPr>
          <w:i/>
          <w:color w:val="000000"/>
          <w:lang w:eastAsia="es-EC"/>
        </w:rPr>
      </w:pPr>
      <w:r w:rsidRPr="00921E14">
        <w:rPr>
          <w:b/>
        </w:rPr>
        <w:t>Que</w:t>
      </w:r>
      <w:r w:rsidRPr="00921E14">
        <w:t xml:space="preserve">,  </w:t>
      </w:r>
      <w:r w:rsidR="00FE75E5" w:rsidRPr="00921E14">
        <w:tab/>
      </w:r>
      <w:r w:rsidR="00D768BF" w:rsidRPr="00921E14">
        <w:t>Con memorand</w:t>
      </w:r>
      <w:r w:rsidR="001B6DB9">
        <w:t>o Nro. GADDMQ-AZCA-DGT-2022-1401</w:t>
      </w:r>
      <w:r w:rsidR="00D768BF" w:rsidRPr="00921E14">
        <w:t>-M de</w:t>
      </w:r>
      <w:r w:rsidR="00852D76" w:rsidRPr="00921E14">
        <w:t xml:space="preserve"> </w:t>
      </w:r>
      <w:r w:rsidR="00D768BF" w:rsidRPr="00921E14">
        <w:t>17 de agosto de 2022,   mediante el cual la Directora de Gestión del Territorio indica que “(…)</w:t>
      </w:r>
      <w:r w:rsidR="00D768BF" w:rsidRPr="00921E14">
        <w:rPr>
          <w:rStyle w:val="fontstyle01"/>
          <w:rFonts w:ascii="Times New Roman" w:hAnsi="Times New Roman"/>
          <w:i/>
          <w:sz w:val="24"/>
          <w:szCs w:val="24"/>
        </w:rPr>
        <w:t xml:space="preserve"> </w:t>
      </w:r>
      <w:r w:rsidR="00D768BF" w:rsidRPr="00921E14">
        <w:rPr>
          <w:i/>
        </w:rPr>
        <w:t>La Dirección de Gestión del Territorio, a través de la Jefatura de Gestión Urbana, solicita se elabore y remita el correspondiente Proyecto de Resolución de la Prescripción Adquisiti</w:t>
      </w:r>
      <w:r w:rsidR="001B6DB9">
        <w:rPr>
          <w:i/>
        </w:rPr>
        <w:t>va de Dominio a favor de la señora CARMEN Guato de una parte del predio 390030</w:t>
      </w:r>
      <w:r w:rsidR="00D768BF" w:rsidRPr="00921E14">
        <w:rPr>
          <w:i/>
        </w:rPr>
        <w:t xml:space="preserve">, con el fin de </w:t>
      </w:r>
      <w:r w:rsidR="00852D76" w:rsidRPr="00921E14">
        <w:rPr>
          <w:i/>
        </w:rPr>
        <w:t>continuar el trámite pertinente</w:t>
      </w:r>
      <w:r w:rsidR="00D768BF" w:rsidRPr="00921E14">
        <w:rPr>
          <w:i/>
          <w:lang w:eastAsia="es-EC"/>
        </w:rPr>
        <w:t>”</w:t>
      </w:r>
      <w:r w:rsidR="00852D76" w:rsidRPr="00921E14">
        <w:rPr>
          <w:i/>
          <w:lang w:eastAsia="es-EC"/>
        </w:rPr>
        <w:t>.</w:t>
      </w:r>
    </w:p>
    <w:p w:rsidR="00F22B58" w:rsidRPr="00921E14" w:rsidRDefault="00F22B58" w:rsidP="00F22B58"/>
    <w:p w:rsidR="00B34DDB" w:rsidRPr="00921E14" w:rsidRDefault="00DE6C80" w:rsidP="008F0B45">
      <w:pPr>
        <w:ind w:left="709" w:hanging="709"/>
        <w:jc w:val="both"/>
        <w:rPr>
          <w:i/>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00033B69" w:rsidRPr="00921E14">
        <w:rPr>
          <w:rFonts w:eastAsiaTheme="minorHAnsi"/>
          <w:lang w:val="es-EC" w:eastAsia="en-US"/>
        </w:rPr>
        <w:t xml:space="preserve">la </w:t>
      </w:r>
      <w:r w:rsidRPr="00921E14">
        <w:rPr>
          <w:color w:val="000000"/>
          <w:shd w:val="clear" w:color="auto" w:fill="FFFFFF"/>
          <w:lang w:val="es-ES_tradnl" w:bidi="en-US"/>
        </w:rPr>
        <w:t>Director</w:t>
      </w:r>
      <w:r w:rsidR="00033B69" w:rsidRPr="00921E14">
        <w:rPr>
          <w:color w:val="000000"/>
          <w:shd w:val="clear" w:color="auto" w:fill="FFFFFF"/>
          <w:lang w:val="es-ES_tradnl" w:bidi="en-US"/>
        </w:rPr>
        <w:t>a</w:t>
      </w:r>
      <w:r w:rsidRPr="00921E14">
        <w:rPr>
          <w:color w:val="000000"/>
          <w:shd w:val="clear" w:color="auto" w:fill="FFFFFF"/>
          <w:lang w:val="es-ES_tradnl" w:bidi="en-US"/>
        </w:rPr>
        <w:t xml:space="preserve"> de </w:t>
      </w:r>
      <w:r w:rsidR="00033B69" w:rsidRPr="00921E14">
        <w:rPr>
          <w:color w:val="000000"/>
          <w:shd w:val="clear" w:color="auto" w:fill="FFFFFF"/>
          <w:lang w:val="es-ES_tradnl" w:bidi="en-US"/>
        </w:rPr>
        <w:t xml:space="preserve">la Dirección </w:t>
      </w:r>
      <w:r w:rsidRPr="00921E14">
        <w:rPr>
          <w:color w:val="000000"/>
          <w:shd w:val="clear" w:color="auto" w:fill="FFFFFF"/>
          <w:lang w:val="es-ES_tradnl" w:bidi="en-US"/>
        </w:rPr>
        <w:t>Jurídica de la Administración  Zona</w:t>
      </w:r>
      <w:r w:rsidR="00033B69" w:rsidRPr="00921E14">
        <w:rPr>
          <w:color w:val="000000"/>
          <w:shd w:val="clear" w:color="auto" w:fill="FFFFFF"/>
          <w:lang w:val="es-ES_tradnl" w:bidi="en-US"/>
        </w:rPr>
        <w:t>l</w:t>
      </w:r>
      <w:r w:rsidRPr="00921E14">
        <w:rPr>
          <w:color w:val="000000"/>
          <w:shd w:val="clear" w:color="auto" w:fill="FFFFFF"/>
          <w:lang w:val="es-ES_tradnl" w:bidi="en-US"/>
        </w:rPr>
        <w:t xml:space="preserve"> </w:t>
      </w:r>
      <w:r w:rsidR="00033B69" w:rsidRPr="00921E14">
        <w:rPr>
          <w:color w:val="000000"/>
          <w:shd w:val="clear" w:color="auto" w:fill="FFFFFF"/>
          <w:lang w:val="es-ES_tradnl" w:bidi="en-US"/>
        </w:rPr>
        <w:t>Calderón</w:t>
      </w:r>
      <w:r w:rsidRPr="00921E14">
        <w:rPr>
          <w:color w:val="000000"/>
          <w:shd w:val="clear" w:color="auto" w:fill="FFFFFF"/>
          <w:lang w:val="es-ES_tradnl" w:bidi="en-US"/>
        </w:rPr>
        <w:t xml:space="preserve">, emite el Informe Legal </w:t>
      </w:r>
      <w:r w:rsidR="00852D76" w:rsidRPr="00921E14">
        <w:rPr>
          <w:color w:val="000000"/>
          <w:shd w:val="clear" w:color="auto" w:fill="FFFFFF"/>
          <w:lang w:val="es-ES_tradnl" w:bidi="en-US"/>
        </w:rPr>
        <w:t xml:space="preserve">contenido en el memorando Nro. </w:t>
      </w:r>
      <w:r w:rsidR="001B6DB9">
        <w:rPr>
          <w:color w:val="000000"/>
          <w:shd w:val="clear" w:color="auto" w:fill="FFFFFF"/>
          <w:lang w:val="es-ES_tradnl" w:bidi="en-US"/>
        </w:rPr>
        <w:t>GADDMQ-AZCA-DAJ-2022-0247 de 13 de junio</w:t>
      </w:r>
      <w:r w:rsidR="00A83A8D" w:rsidRPr="00921E14">
        <w:rPr>
          <w:color w:val="000000"/>
          <w:shd w:val="clear" w:color="auto" w:fill="FFFFFF"/>
          <w:lang w:val="es-ES_tradnl" w:bidi="en-US"/>
        </w:rPr>
        <w:t xml:space="preserve"> de 2022, </w:t>
      </w:r>
      <w:r w:rsidRPr="00921E14">
        <w:rPr>
          <w:color w:val="000000"/>
          <w:shd w:val="clear" w:color="auto" w:fill="FFFFFF"/>
          <w:lang w:val="es-ES_tradnl" w:bidi="en-US"/>
        </w:rPr>
        <w:t>en</w:t>
      </w:r>
      <w:r w:rsidRPr="00921E14">
        <w:t xml:space="preserve"> </w:t>
      </w:r>
      <w:r w:rsidR="008C1C80" w:rsidRPr="00921E14">
        <w:t xml:space="preserve">el </w:t>
      </w:r>
      <w:r w:rsidRPr="00921E14">
        <w:t xml:space="preserve">que </w:t>
      </w:r>
      <w:r w:rsidR="00A83A8D" w:rsidRPr="00921E14">
        <w:t>concluyó:</w:t>
      </w:r>
      <w:r w:rsidRPr="00921E14">
        <w:t xml:space="preserve"> </w:t>
      </w:r>
      <w:r w:rsidR="00CC083B" w:rsidRPr="00921E14">
        <w:rPr>
          <w:i/>
        </w:rPr>
        <w:t>“</w:t>
      </w:r>
      <w:r w:rsidR="00033B69" w:rsidRPr="00921E14">
        <w:rPr>
          <w:i/>
        </w:rPr>
        <w:t>Por lo expuesto, esta Dirección Jurídica acogiendo el informe técnico</w:t>
      </w:r>
      <w:r w:rsidR="00CC083B" w:rsidRPr="00921E14">
        <w:rPr>
          <w:i/>
        </w:rPr>
        <w:t xml:space="preserve"> </w:t>
      </w:r>
      <w:r w:rsidR="00ED5CF5">
        <w:rPr>
          <w:i/>
        </w:rPr>
        <w:t>AZCA-DGT-2022-029</w:t>
      </w:r>
      <w:r w:rsidR="00882DCB" w:rsidRPr="00921E14">
        <w:rPr>
          <w:i/>
        </w:rPr>
        <w:t xml:space="preserve"> de </w:t>
      </w:r>
      <w:r w:rsidR="00ED5CF5">
        <w:rPr>
          <w:i/>
        </w:rPr>
        <w:t xml:space="preserve">01 </w:t>
      </w:r>
      <w:r w:rsidR="00033B69" w:rsidRPr="00921E14">
        <w:rPr>
          <w:i/>
        </w:rPr>
        <w:t xml:space="preserve">de </w:t>
      </w:r>
      <w:r w:rsidR="00ED5CF5">
        <w:rPr>
          <w:i/>
        </w:rPr>
        <w:t xml:space="preserve">junio </w:t>
      </w:r>
      <w:r w:rsidR="00033B69" w:rsidRPr="00921E14">
        <w:rPr>
          <w:i/>
        </w:rPr>
        <w:t>de 2022 del Jefe de Gestión Urbana y aprobado por</w:t>
      </w:r>
      <w:r w:rsidR="00CC083B" w:rsidRPr="00921E14">
        <w:rPr>
          <w:i/>
        </w:rPr>
        <w:t xml:space="preserve"> </w:t>
      </w:r>
      <w:r w:rsidR="00033B69" w:rsidRPr="00921E14">
        <w:rPr>
          <w:i/>
        </w:rPr>
        <w:t>la Directora de Gestión Territorial de l</w:t>
      </w:r>
      <w:r w:rsidR="00B34DDB" w:rsidRPr="00921E14">
        <w:rPr>
          <w:i/>
        </w:rPr>
        <w:t xml:space="preserve">a Administración Zonal Calderón, </w:t>
      </w:r>
      <w:r w:rsidR="00033B69" w:rsidRPr="00921E14">
        <w:rPr>
          <w:i/>
        </w:rPr>
        <w:t>en el que indica que</w:t>
      </w:r>
      <w:r w:rsidR="00CC083B" w:rsidRPr="00921E14">
        <w:rPr>
          <w:i/>
        </w:rPr>
        <w:t xml:space="preserve"> </w:t>
      </w:r>
      <w:r w:rsidR="008F0B45" w:rsidRPr="00921E14">
        <w:rPr>
          <w:i/>
        </w:rPr>
        <w:t>la Prescripción Adquisitiva de D</w:t>
      </w:r>
      <w:r w:rsidR="00033B69" w:rsidRPr="00921E14">
        <w:rPr>
          <w:i/>
        </w:rPr>
        <w:t>ominio de una parte de</w:t>
      </w:r>
      <w:r w:rsidR="00ED5CF5">
        <w:rPr>
          <w:i/>
        </w:rPr>
        <w:t>l inmueble del predio No.390030 a favor de la Sra. Carmen Eloísa Guato  Velásquez, c</w:t>
      </w:r>
      <w:r w:rsidR="00033B69" w:rsidRPr="00921E14">
        <w:rPr>
          <w:i/>
        </w:rPr>
        <w:t>umple</w:t>
      </w:r>
      <w:r w:rsidR="008F0B45" w:rsidRPr="00921E14">
        <w:rPr>
          <w:i/>
        </w:rPr>
        <w:t xml:space="preserve"> con</w:t>
      </w:r>
      <w:r w:rsidR="00ED5CF5">
        <w:rPr>
          <w:i/>
        </w:rPr>
        <w:t xml:space="preserve"> el “lote mínimo” siendo ña sentencia de 248,64 m2 mayor a 200 m2 </w:t>
      </w:r>
      <w:r w:rsidR="008F0B45" w:rsidRPr="00921E14">
        <w:rPr>
          <w:i/>
        </w:rPr>
        <w:t xml:space="preserve"> establecidos en la zonificación vigente, </w:t>
      </w:r>
      <w:r w:rsidR="00ED5CF5">
        <w:rPr>
          <w:i/>
        </w:rPr>
        <w:t xml:space="preserve">NO CUMPLE con el </w:t>
      </w:r>
      <w:r w:rsidR="008F0B45" w:rsidRPr="00921E14">
        <w:rPr>
          <w:i/>
        </w:rPr>
        <w:t xml:space="preserve">“frente mínimo” </w:t>
      </w:r>
      <w:r w:rsidR="00ED5CF5">
        <w:rPr>
          <w:i/>
        </w:rPr>
        <w:t xml:space="preserve">ya que colinda a una vía aprobada, en este sentido,  se deberá proceder </w:t>
      </w:r>
      <w:r w:rsidR="008F0B45" w:rsidRPr="00921E14">
        <w:rPr>
          <w:i/>
        </w:rPr>
        <w:t xml:space="preserve"> conforme </w:t>
      </w:r>
      <w:r w:rsidR="00033B69" w:rsidRPr="00921E14">
        <w:rPr>
          <w:i/>
        </w:rPr>
        <w:t xml:space="preserve"> lo establece en el COOTAD y la Ordenanza </w:t>
      </w:r>
      <w:r w:rsidR="008F0B45" w:rsidRPr="00921E14">
        <w:rPr>
          <w:i/>
        </w:rPr>
        <w:t>001</w:t>
      </w:r>
      <w:r w:rsidR="008C1C80" w:rsidRPr="00921E14">
        <w:rPr>
          <w:i/>
        </w:rPr>
        <w:t>”.</w:t>
      </w:r>
    </w:p>
    <w:p w:rsidR="008C1C80" w:rsidRPr="00921E14" w:rsidRDefault="008C1C80" w:rsidP="008F0B45">
      <w:pPr>
        <w:ind w:left="709" w:hanging="709"/>
        <w:jc w:val="both"/>
      </w:pPr>
    </w:p>
    <w:bookmarkEnd w:id="1"/>
    <w:p w:rsidR="00C84761" w:rsidRPr="00921E14" w:rsidRDefault="008C1C80" w:rsidP="00C84761">
      <w:pPr>
        <w:autoSpaceDE w:val="0"/>
        <w:autoSpaceDN w:val="0"/>
        <w:adjustRightInd w:val="0"/>
        <w:jc w:val="both"/>
      </w:pPr>
      <w:r w:rsidRPr="00921E14">
        <w:t xml:space="preserve">Que, </w:t>
      </w:r>
      <w:r w:rsidRPr="00921E14">
        <w:tab/>
        <w:t>c</w:t>
      </w:r>
      <w:r w:rsidR="00C84761" w:rsidRPr="00921E14">
        <w:t>on</w:t>
      </w:r>
      <w:r w:rsidR="00A83A8D" w:rsidRPr="00921E14">
        <w:t xml:space="preserve"> informe de la Comisión de Uso de Suelo</w:t>
      </w:r>
      <w:r w:rsidR="00C84761" w:rsidRPr="00921E14">
        <w:t>, emitió c</w:t>
      </w:r>
      <w:r w:rsidRPr="00921E14">
        <w:t>r</w:t>
      </w:r>
      <w:r w:rsidR="00C84761" w:rsidRPr="00921E14">
        <w:t>iterio favorable</w:t>
      </w:r>
    </w:p>
    <w:p w:rsidR="00C84761" w:rsidRPr="00921E14" w:rsidRDefault="00C84761" w:rsidP="00021DED">
      <w:pPr>
        <w:autoSpaceDE w:val="0"/>
        <w:autoSpaceDN w:val="0"/>
        <w:adjustRightInd w:val="0"/>
        <w:jc w:val="center"/>
      </w:pPr>
    </w:p>
    <w:p w:rsidR="00C84761" w:rsidRPr="00921E14" w:rsidRDefault="00C84761" w:rsidP="00021DED">
      <w:pPr>
        <w:autoSpaceDE w:val="0"/>
        <w:autoSpaceDN w:val="0"/>
        <w:adjustRightInd w:val="0"/>
        <w:jc w:val="center"/>
      </w:pPr>
    </w:p>
    <w:p w:rsidR="00600D8D" w:rsidRPr="00921E14" w:rsidRDefault="00842105" w:rsidP="00921E14">
      <w:pPr>
        <w:autoSpaceDE w:val="0"/>
        <w:autoSpaceDN w:val="0"/>
        <w:adjustRightInd w:val="0"/>
        <w:rPr>
          <w:rFonts w:eastAsiaTheme="minorHAnsi"/>
          <w:b/>
          <w:bCs/>
          <w:lang w:val="es-EC" w:eastAsia="en-US"/>
        </w:rPr>
      </w:pPr>
      <w:r w:rsidRPr="00921E14">
        <w:t>En el ejercicio de sus atribuciones legales,</w:t>
      </w:r>
    </w:p>
    <w:p w:rsidR="004D3600" w:rsidRPr="00921E14" w:rsidRDefault="004D3600" w:rsidP="00021DED">
      <w:pPr>
        <w:autoSpaceDE w:val="0"/>
        <w:autoSpaceDN w:val="0"/>
        <w:adjustRightInd w:val="0"/>
        <w:jc w:val="center"/>
        <w:rPr>
          <w:rFonts w:eastAsiaTheme="minorHAnsi"/>
          <w:b/>
          <w:bCs/>
          <w:lang w:val="es-EC" w:eastAsia="en-US"/>
        </w:rPr>
      </w:pPr>
    </w:p>
    <w:p w:rsidR="004D3600" w:rsidRPr="00921E14" w:rsidRDefault="004D3600" w:rsidP="00021DED">
      <w:pPr>
        <w:autoSpaceDE w:val="0"/>
        <w:autoSpaceDN w:val="0"/>
        <w:adjustRightInd w:val="0"/>
        <w:jc w:val="center"/>
        <w:rPr>
          <w:rFonts w:eastAsiaTheme="minorHAnsi"/>
          <w:b/>
          <w:bCs/>
          <w:lang w:val="es-EC" w:eastAsia="en-US"/>
        </w:rPr>
      </w:pPr>
    </w:p>
    <w:p w:rsidR="00600D8D" w:rsidRPr="00921E14" w:rsidRDefault="00AD1A2A" w:rsidP="00600D8D">
      <w:pPr>
        <w:autoSpaceDE w:val="0"/>
        <w:autoSpaceDN w:val="0"/>
        <w:adjustRightInd w:val="0"/>
        <w:jc w:val="center"/>
        <w:rPr>
          <w:rFonts w:eastAsiaTheme="minorHAnsi"/>
          <w:b/>
          <w:bCs/>
          <w:lang w:val="es-EC" w:eastAsia="en-US"/>
        </w:rPr>
      </w:pPr>
      <w:r w:rsidRPr="00921E14">
        <w:rPr>
          <w:rFonts w:eastAsiaTheme="minorHAnsi"/>
          <w:b/>
          <w:bCs/>
          <w:lang w:val="es-EC" w:eastAsia="en-US"/>
        </w:rPr>
        <w:t>RESUELVO</w:t>
      </w:r>
    </w:p>
    <w:p w:rsidR="00600D8D" w:rsidRPr="00921E14" w:rsidRDefault="00600D8D" w:rsidP="00600D8D">
      <w:pPr>
        <w:autoSpaceDE w:val="0"/>
        <w:autoSpaceDN w:val="0"/>
        <w:adjustRightInd w:val="0"/>
        <w:jc w:val="center"/>
      </w:pPr>
    </w:p>
    <w:p w:rsidR="00854F7C" w:rsidRPr="00921E14" w:rsidRDefault="00600D8D" w:rsidP="001E45AE">
      <w:pPr>
        <w:jc w:val="both"/>
        <w:rPr>
          <w:lang w:val="es-EC" w:eastAsia="es-EC"/>
        </w:rPr>
      </w:pPr>
      <w:r w:rsidRPr="00921E14">
        <w:rPr>
          <w:rFonts w:eastAsiaTheme="minorHAnsi"/>
          <w:b/>
          <w:lang w:val="es-EC" w:eastAsia="en-US"/>
        </w:rPr>
        <w:t>Artículo 1.-</w:t>
      </w:r>
      <w:r w:rsidRPr="00921E14">
        <w:rPr>
          <w:rFonts w:eastAsiaTheme="minorHAnsi"/>
          <w:lang w:val="es-EC" w:eastAsia="en-US"/>
        </w:rPr>
        <w:t xml:space="preserve"> </w:t>
      </w:r>
      <w:r w:rsidR="00921E14" w:rsidRPr="00921E14">
        <w:rPr>
          <w:rFonts w:eastAsiaTheme="minorHAnsi"/>
          <w:lang w:val="es-EC" w:eastAsia="en-US"/>
        </w:rPr>
        <w:t xml:space="preserve">De conformidad con la sentencia emitida dentro del </w:t>
      </w:r>
      <w:r w:rsidR="001E45AE" w:rsidRPr="00921E14">
        <w:rPr>
          <w:lang w:val="es-EC" w:eastAsia="es-EC"/>
        </w:rPr>
        <w:t>proceso judicial No.</w:t>
      </w:r>
      <w:r w:rsidR="00ED5CF5">
        <w:rPr>
          <w:lang w:val="es-EC" w:eastAsia="es-EC"/>
        </w:rPr>
        <w:t xml:space="preserve"> 17230-2015-09092</w:t>
      </w:r>
      <w:r w:rsidR="00854F7C" w:rsidRPr="00921E14">
        <w:rPr>
          <w:lang w:val="es-EC" w:eastAsia="es-EC"/>
        </w:rPr>
        <w:t xml:space="preserve">, mediante el cual el Juez de la Unidad Judicial Civil con sede en la parroquia de Iñaquito del Distrito </w:t>
      </w:r>
      <w:r w:rsidR="00921E14" w:rsidRPr="00921E14">
        <w:rPr>
          <w:lang w:val="es-EC" w:eastAsia="es-EC"/>
        </w:rPr>
        <w:t>Metropolitano de Quito,</w:t>
      </w:r>
      <w:r w:rsidR="001E45AE" w:rsidRPr="00921E14">
        <w:rPr>
          <w:lang w:val="es-EC" w:eastAsia="es-EC"/>
        </w:rPr>
        <w:t xml:space="preserve"> acepta la demanda favor de</w:t>
      </w:r>
      <w:r w:rsidR="00ED5CF5">
        <w:rPr>
          <w:lang w:val="es-EC" w:eastAsia="es-EC"/>
        </w:rPr>
        <w:t xml:space="preserve"> </w:t>
      </w:r>
      <w:r w:rsidR="001E45AE" w:rsidRPr="00921E14">
        <w:rPr>
          <w:lang w:val="es-EC" w:eastAsia="es-EC"/>
        </w:rPr>
        <w:t>l</w:t>
      </w:r>
      <w:r w:rsidR="00ED5CF5">
        <w:rPr>
          <w:lang w:val="es-EC" w:eastAsia="es-EC"/>
        </w:rPr>
        <w:t>a</w:t>
      </w:r>
      <w:r w:rsidR="001E45AE" w:rsidRPr="00921E14">
        <w:rPr>
          <w:lang w:val="es-EC" w:eastAsia="es-EC"/>
        </w:rPr>
        <w:t xml:space="preserve"> señor</w:t>
      </w:r>
      <w:r w:rsidR="00ED5CF5">
        <w:rPr>
          <w:lang w:val="es-EC" w:eastAsia="es-EC"/>
        </w:rPr>
        <w:t xml:space="preserve">a Carmen Eloísa Guato Velásquez, </w:t>
      </w:r>
      <w:r w:rsidR="001E45AE" w:rsidRPr="00921E14">
        <w:rPr>
          <w:lang w:val="es-EC" w:eastAsia="es-EC"/>
        </w:rPr>
        <w:t xml:space="preserve"> adquirida por prescripción extraordinaria de dominio,</w:t>
      </w:r>
      <w:r w:rsidR="00ED5CF5">
        <w:rPr>
          <w:lang w:val="es-EC" w:eastAsia="es-EC"/>
        </w:rPr>
        <w:t xml:space="preserve"> a través de su procurador judicial Abg. Jaime Patricio Aragón Lozada, </w:t>
      </w:r>
      <w:r w:rsidR="001E45AE" w:rsidRPr="00921E14">
        <w:rPr>
          <w:lang w:val="es-EC" w:eastAsia="es-EC"/>
        </w:rPr>
        <w:t xml:space="preserve"> del </w:t>
      </w:r>
      <w:r w:rsidR="000F6060">
        <w:rPr>
          <w:lang w:val="es-EC" w:eastAsia="es-EC"/>
        </w:rPr>
        <w:lastRenderedPageBreak/>
        <w:t xml:space="preserve">bien inmueble consistente en un </w:t>
      </w:r>
      <w:r w:rsidR="001E45AE" w:rsidRPr="00921E14">
        <w:rPr>
          <w:lang w:val="es-EC" w:eastAsia="es-EC"/>
        </w:rPr>
        <w:t xml:space="preserve">lote de terreno </w:t>
      </w:r>
      <w:r w:rsidR="000F6060">
        <w:rPr>
          <w:lang w:val="es-EC" w:eastAsia="es-EC"/>
        </w:rPr>
        <w:t xml:space="preserve"> ubicado en el pasaje E3A casa No.14-153 y Vía </w:t>
      </w:r>
      <w:proofErr w:type="spellStart"/>
      <w:r w:rsidR="000F6060">
        <w:rPr>
          <w:lang w:val="es-EC" w:eastAsia="es-EC"/>
        </w:rPr>
        <w:t>Pomasqui</w:t>
      </w:r>
      <w:proofErr w:type="spellEnd"/>
      <w:r w:rsidR="000F6060">
        <w:rPr>
          <w:lang w:val="es-EC" w:eastAsia="es-EC"/>
        </w:rPr>
        <w:t xml:space="preserve"> sector Jardines del Norte de San José de Morán,</w:t>
      </w:r>
      <w:r w:rsidR="001E45AE" w:rsidRPr="00921E14">
        <w:rPr>
          <w:lang w:val="es-EC" w:eastAsia="es-EC"/>
        </w:rPr>
        <w:t xml:space="preserve"> parroquia </w:t>
      </w:r>
      <w:proofErr w:type="spellStart"/>
      <w:r w:rsidR="000F6060">
        <w:rPr>
          <w:lang w:val="es-EC" w:eastAsia="es-EC"/>
        </w:rPr>
        <w:t>Pomasqui</w:t>
      </w:r>
      <w:proofErr w:type="spellEnd"/>
      <w:r w:rsidR="000F6060">
        <w:rPr>
          <w:lang w:val="es-EC" w:eastAsia="es-EC"/>
        </w:rPr>
        <w:t xml:space="preserve">, cantón Quito </w:t>
      </w:r>
      <w:bookmarkStart w:id="2" w:name="_GoBack"/>
      <w:bookmarkEnd w:id="2"/>
      <w:r w:rsidR="001E45AE" w:rsidRPr="00921E14">
        <w:rPr>
          <w:lang w:val="es-EC" w:eastAsia="es-EC"/>
        </w:rPr>
        <w:t xml:space="preserve"> del D</w:t>
      </w:r>
      <w:r w:rsidR="008E61FC" w:rsidRPr="00921E14">
        <w:rPr>
          <w:lang w:val="es-EC" w:eastAsia="es-EC"/>
        </w:rPr>
        <w:t>istrito Metropolitano de Quito</w:t>
      </w:r>
      <w:r w:rsidR="00854F7C" w:rsidRPr="00921E14">
        <w:rPr>
          <w:lang w:val="es-EC" w:eastAsia="es-EC"/>
        </w:rPr>
        <w:t xml:space="preserve">; </w:t>
      </w:r>
      <w:r w:rsidR="00AD1A2A" w:rsidRPr="00921E14">
        <w:rPr>
          <w:lang w:val="es-EC" w:eastAsia="es-EC"/>
        </w:rPr>
        <w:t>Resuelvo……….</w:t>
      </w:r>
      <w:r w:rsidR="00854F7C" w:rsidRPr="00921E14">
        <w:rPr>
          <w:lang w:val="es-EC" w:eastAsia="es-EC"/>
        </w:rPr>
        <w:t xml:space="preserve"> </w:t>
      </w:r>
    </w:p>
    <w:p w:rsidR="00854F7C" w:rsidRPr="00921E14" w:rsidRDefault="00854F7C" w:rsidP="00854F7C">
      <w:pPr>
        <w:jc w:val="both"/>
        <w:rPr>
          <w:lang w:val="es-EC" w:eastAsia="es-EC"/>
        </w:rPr>
      </w:pPr>
    </w:p>
    <w:p w:rsidR="00600D8D" w:rsidRPr="00921E14" w:rsidRDefault="00600D8D" w:rsidP="00C924E2">
      <w:pPr>
        <w:autoSpaceDE w:val="0"/>
        <w:autoSpaceDN w:val="0"/>
        <w:adjustRightInd w:val="0"/>
        <w:jc w:val="both"/>
        <w:rPr>
          <w:rFonts w:eastAsiaTheme="minorHAnsi"/>
          <w:lang w:val="es-EC" w:eastAsia="en-US"/>
        </w:rPr>
      </w:pPr>
      <w:r w:rsidRPr="00921E14">
        <w:rPr>
          <w:rFonts w:eastAsiaTheme="minorHAnsi"/>
          <w:b/>
          <w:lang w:val="es-EC" w:eastAsia="en-US"/>
        </w:rPr>
        <w:t>Artículo 2.-</w:t>
      </w:r>
      <w:r w:rsidRPr="00921E14">
        <w:rPr>
          <w:rFonts w:eastAsiaTheme="minorHAnsi"/>
          <w:lang w:val="es-EC" w:eastAsia="en-US"/>
        </w:rPr>
        <w:t xml:space="preserve"> Comuníquese al interesado, a fin de que se continúe con los trámites de ley. </w:t>
      </w:r>
    </w:p>
    <w:p w:rsidR="00600D8D" w:rsidRPr="00921E14" w:rsidRDefault="00600D8D" w:rsidP="00C924E2">
      <w:pPr>
        <w:autoSpaceDE w:val="0"/>
        <w:autoSpaceDN w:val="0"/>
        <w:adjustRightInd w:val="0"/>
        <w:jc w:val="both"/>
        <w:rPr>
          <w:rFonts w:eastAsiaTheme="minorHAnsi"/>
          <w:lang w:val="es-EC" w:eastAsia="en-US"/>
        </w:rPr>
      </w:pPr>
    </w:p>
    <w:p w:rsidR="00600D8D" w:rsidRPr="00921E14" w:rsidRDefault="00600D8D" w:rsidP="00C924E2">
      <w:pPr>
        <w:autoSpaceDE w:val="0"/>
        <w:autoSpaceDN w:val="0"/>
        <w:adjustRightInd w:val="0"/>
        <w:jc w:val="both"/>
        <w:rPr>
          <w:rFonts w:eastAsiaTheme="minorHAnsi"/>
          <w:bCs/>
          <w:lang w:val="es-EC" w:eastAsia="en-US"/>
        </w:rPr>
      </w:pPr>
      <w:bookmarkStart w:id="3" w:name="_Hlk40866429"/>
      <w:r w:rsidRPr="00921E14">
        <w:rPr>
          <w:rFonts w:eastAsiaTheme="minorHAnsi"/>
          <w:b/>
          <w:lang w:val="es-EC" w:eastAsia="en-US"/>
        </w:rPr>
        <w:t xml:space="preserve">Disposición General Única. - </w:t>
      </w:r>
      <w:r w:rsidRPr="00921E14">
        <w:rPr>
          <w:rFonts w:eastAsiaTheme="minorHAnsi"/>
          <w:bCs/>
          <w:lang w:val="es-EC" w:eastAsia="en-US"/>
        </w:rPr>
        <w:t>La presente resolución se aprueba en base a los informes que son de exclusiva responsabilidad de los funcionarios que lo suscriben y realizan.</w:t>
      </w:r>
    </w:p>
    <w:bookmarkEnd w:id="3"/>
    <w:p w:rsidR="00600D8D" w:rsidRPr="00921E14" w:rsidRDefault="00600D8D" w:rsidP="00600D8D">
      <w:pPr>
        <w:autoSpaceDE w:val="0"/>
        <w:autoSpaceDN w:val="0"/>
        <w:adjustRightInd w:val="0"/>
        <w:jc w:val="both"/>
        <w:rPr>
          <w:rFonts w:eastAsiaTheme="minorHAnsi"/>
          <w:bCs/>
          <w:lang w:val="es-EC" w:eastAsia="en-US"/>
        </w:rPr>
      </w:pPr>
    </w:p>
    <w:p w:rsidR="00600D8D" w:rsidRPr="00921E14" w:rsidRDefault="00600D8D" w:rsidP="00600D8D">
      <w:pPr>
        <w:autoSpaceDE w:val="0"/>
        <w:autoSpaceDN w:val="0"/>
        <w:adjustRightInd w:val="0"/>
        <w:jc w:val="both"/>
        <w:rPr>
          <w:rFonts w:eastAsiaTheme="minorHAnsi"/>
          <w:lang w:val="es-EC" w:eastAsia="en-US"/>
        </w:rPr>
      </w:pPr>
      <w:r w:rsidRPr="00921E14">
        <w:rPr>
          <w:rFonts w:eastAsiaTheme="minorHAnsi"/>
          <w:b/>
          <w:lang w:val="es-EC" w:eastAsia="en-US"/>
        </w:rPr>
        <w:t>Disposición Final. -</w:t>
      </w:r>
      <w:r w:rsidRPr="00921E14">
        <w:rPr>
          <w:rFonts w:eastAsiaTheme="minorHAnsi"/>
          <w:lang w:val="es-EC" w:eastAsia="en-US"/>
        </w:rPr>
        <w:t xml:space="preserve"> La presente resolución entrará en vigencia a partir </w:t>
      </w:r>
      <w:r w:rsidR="00842105" w:rsidRPr="00921E14">
        <w:t>de la fecha de su expedición.</w:t>
      </w:r>
      <w:r w:rsidRPr="00921E14">
        <w:rPr>
          <w:shd w:val="clear" w:color="auto" w:fill="FFFFFF"/>
        </w:rPr>
        <w:t xml:space="preserve"> </w:t>
      </w:r>
    </w:p>
    <w:p w:rsidR="00600D8D" w:rsidRPr="00921E14" w:rsidRDefault="00600D8D" w:rsidP="00600D8D">
      <w:pPr>
        <w:autoSpaceDE w:val="0"/>
        <w:autoSpaceDN w:val="0"/>
        <w:adjustRightInd w:val="0"/>
        <w:jc w:val="both"/>
        <w:rPr>
          <w:rFonts w:eastAsiaTheme="minorHAnsi"/>
          <w:lang w:val="es-EC" w:eastAsia="en-US"/>
        </w:rPr>
      </w:pPr>
    </w:p>
    <w:p w:rsidR="00FE75E5" w:rsidRPr="00921E14" w:rsidRDefault="00FE75E5" w:rsidP="00131EC9">
      <w:pPr>
        <w:jc w:val="center"/>
        <w:rPr>
          <w:b/>
        </w:rPr>
      </w:pPr>
    </w:p>
    <w:p w:rsidR="00FE75E5" w:rsidRPr="00921E14" w:rsidRDefault="00FE75E5" w:rsidP="00131EC9">
      <w:pPr>
        <w:jc w:val="center"/>
        <w:rPr>
          <w:b/>
        </w:rPr>
      </w:pPr>
    </w:p>
    <w:p w:rsidR="00854F7C" w:rsidRPr="00921E14" w:rsidRDefault="00854F7C" w:rsidP="00854F7C">
      <w:pPr>
        <w:jc w:val="center"/>
      </w:pPr>
    </w:p>
    <w:p w:rsidR="00854F7C" w:rsidRPr="00921E14" w:rsidRDefault="00854F7C" w:rsidP="00854F7C">
      <w:pPr>
        <w:jc w:val="center"/>
      </w:pPr>
    </w:p>
    <w:p w:rsidR="00854F7C" w:rsidRPr="00921E14" w:rsidRDefault="00854F7C" w:rsidP="00854F7C">
      <w:pPr>
        <w:jc w:val="center"/>
      </w:pPr>
      <w:r w:rsidRPr="00921E14">
        <w:t>Dr. Santiago Guarderas Izquierdo.</w:t>
      </w:r>
    </w:p>
    <w:p w:rsidR="00854F7C" w:rsidRPr="00921E14" w:rsidRDefault="00854F7C" w:rsidP="00854F7C">
      <w:pPr>
        <w:jc w:val="center"/>
        <w:rPr>
          <w:b/>
        </w:rPr>
      </w:pPr>
      <w:r w:rsidRPr="00921E14">
        <w:rPr>
          <w:b/>
        </w:rPr>
        <w:t>ALCALDE DEL DISTRITO METROPOLITANO DE QUITO</w:t>
      </w:r>
    </w:p>
    <w:p w:rsidR="00854F7C" w:rsidRPr="00921E1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992"/>
        <w:gridCol w:w="1418"/>
        <w:gridCol w:w="571"/>
      </w:tblGrid>
      <w:tr w:rsidR="00DF5041" w:rsidRPr="00921E14" w:rsidTr="001E45AE">
        <w:trPr>
          <w:trHeight w:val="19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rPr>
                <w:b/>
              </w:rPr>
            </w:pPr>
          </w:p>
        </w:tc>
        <w:tc>
          <w:tcPr>
            <w:tcW w:w="1418" w:type="dxa"/>
            <w:shd w:val="clear" w:color="auto" w:fill="auto"/>
            <w:vAlign w:val="center"/>
          </w:tcPr>
          <w:p w:rsidR="00854F7C" w:rsidRPr="00921E14" w:rsidRDefault="00854F7C" w:rsidP="001E45AE">
            <w:pPr>
              <w:jc w:val="center"/>
              <w:rPr>
                <w:b/>
              </w:rPr>
            </w:pPr>
          </w:p>
        </w:tc>
        <w:tc>
          <w:tcPr>
            <w:tcW w:w="571" w:type="dxa"/>
            <w:shd w:val="clear" w:color="auto" w:fill="auto"/>
            <w:vAlign w:val="center"/>
          </w:tcPr>
          <w:p w:rsidR="00854F7C" w:rsidRPr="00921E14" w:rsidRDefault="00854F7C" w:rsidP="001E45AE">
            <w:pPr>
              <w:rPr>
                <w:b/>
              </w:rPr>
            </w:pPr>
          </w:p>
        </w:tc>
      </w:tr>
      <w:tr w:rsidR="00854F7C" w:rsidRPr="00921E14" w:rsidTr="001E45AE">
        <w:trPr>
          <w:trHeight w:val="23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tc>
      </w:tr>
      <w:tr w:rsidR="00854F7C" w:rsidRPr="00921E14" w:rsidTr="001E45AE">
        <w:tblPrEx>
          <w:tblLook w:val="0000" w:firstRow="0" w:lastRow="0" w:firstColumn="0" w:lastColumn="0" w:noHBand="0" w:noVBand="0"/>
        </w:tblPrEx>
        <w:trPr>
          <w:trHeight w:val="208"/>
        </w:trPr>
        <w:tc>
          <w:tcPr>
            <w:tcW w:w="1129" w:type="dxa"/>
            <w:vAlign w:val="center"/>
          </w:tcPr>
          <w:p w:rsidR="00854F7C" w:rsidRPr="00921E14" w:rsidRDefault="00854F7C" w:rsidP="001E45AE"/>
        </w:tc>
        <w:tc>
          <w:tcPr>
            <w:tcW w:w="851" w:type="dxa"/>
            <w:shd w:val="clear" w:color="auto" w:fill="auto"/>
            <w:vAlign w:val="center"/>
          </w:tcPr>
          <w:p w:rsidR="00854F7C" w:rsidRPr="00921E14" w:rsidRDefault="00854F7C" w:rsidP="001E45AE"/>
        </w:tc>
        <w:tc>
          <w:tcPr>
            <w:tcW w:w="992" w:type="dxa"/>
            <w:shd w:val="clear" w:color="auto" w:fill="auto"/>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pPr>
              <w:rPr>
                <w:b/>
              </w:rPr>
            </w:pPr>
          </w:p>
        </w:tc>
      </w:tr>
    </w:tbl>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sectPr w:rsidR="00854F7C" w:rsidRPr="00921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D"/>
    <w:rsid w:val="00021DED"/>
    <w:rsid w:val="00033B69"/>
    <w:rsid w:val="00074E87"/>
    <w:rsid w:val="000849AC"/>
    <w:rsid w:val="000F6060"/>
    <w:rsid w:val="00131EC9"/>
    <w:rsid w:val="001338A8"/>
    <w:rsid w:val="001845EF"/>
    <w:rsid w:val="001B6DB9"/>
    <w:rsid w:val="001E45AE"/>
    <w:rsid w:val="00261ABA"/>
    <w:rsid w:val="00307222"/>
    <w:rsid w:val="003F30BA"/>
    <w:rsid w:val="004647B3"/>
    <w:rsid w:val="004B1A86"/>
    <w:rsid w:val="004B5626"/>
    <w:rsid w:val="004D3600"/>
    <w:rsid w:val="004D4F10"/>
    <w:rsid w:val="004E0D99"/>
    <w:rsid w:val="00600D8D"/>
    <w:rsid w:val="006A5554"/>
    <w:rsid w:val="00842105"/>
    <w:rsid w:val="00852D76"/>
    <w:rsid w:val="00854F7C"/>
    <w:rsid w:val="00882DCB"/>
    <w:rsid w:val="008C1C80"/>
    <w:rsid w:val="008D0FA0"/>
    <w:rsid w:val="008E61FC"/>
    <w:rsid w:val="008F0B45"/>
    <w:rsid w:val="008F5CB3"/>
    <w:rsid w:val="00921E14"/>
    <w:rsid w:val="009C26AA"/>
    <w:rsid w:val="00A83A8D"/>
    <w:rsid w:val="00AD1A2A"/>
    <w:rsid w:val="00B34DDB"/>
    <w:rsid w:val="00B57C28"/>
    <w:rsid w:val="00BD745A"/>
    <w:rsid w:val="00BE7CDD"/>
    <w:rsid w:val="00C84761"/>
    <w:rsid w:val="00C924E2"/>
    <w:rsid w:val="00C96F7C"/>
    <w:rsid w:val="00CC083B"/>
    <w:rsid w:val="00D27AB2"/>
    <w:rsid w:val="00D35171"/>
    <w:rsid w:val="00D513B0"/>
    <w:rsid w:val="00D746D2"/>
    <w:rsid w:val="00D768BF"/>
    <w:rsid w:val="00DE6C80"/>
    <w:rsid w:val="00DF5041"/>
    <w:rsid w:val="00E21653"/>
    <w:rsid w:val="00E954FE"/>
    <w:rsid w:val="00ED5CF5"/>
    <w:rsid w:val="00F22B58"/>
    <w:rsid w:val="00FB134A"/>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696231375">
      <w:bodyDiv w:val="1"/>
      <w:marLeft w:val="0"/>
      <w:marRight w:val="0"/>
      <w:marTop w:val="0"/>
      <w:marBottom w:val="0"/>
      <w:divBdr>
        <w:top w:val="none" w:sz="0" w:space="0" w:color="auto"/>
        <w:left w:val="none" w:sz="0" w:space="0" w:color="auto"/>
        <w:bottom w:val="none" w:sz="0" w:space="0" w:color="auto"/>
        <w:right w:val="none" w:sz="0" w:space="0" w:color="auto"/>
      </w:divBdr>
      <w:divsChild>
        <w:div w:id="1701397763">
          <w:marLeft w:val="0"/>
          <w:marRight w:val="0"/>
          <w:marTop w:val="0"/>
          <w:marBottom w:val="0"/>
          <w:divBdr>
            <w:top w:val="none" w:sz="0" w:space="0" w:color="auto"/>
            <w:left w:val="none" w:sz="0" w:space="0" w:color="auto"/>
            <w:bottom w:val="none" w:sz="0" w:space="0" w:color="auto"/>
            <w:right w:val="none" w:sz="0" w:space="0" w:color="auto"/>
          </w:divBdr>
        </w:div>
        <w:div w:id="649557794">
          <w:marLeft w:val="0"/>
          <w:marRight w:val="0"/>
          <w:marTop w:val="0"/>
          <w:marBottom w:val="0"/>
          <w:divBdr>
            <w:top w:val="none" w:sz="0" w:space="0" w:color="auto"/>
            <w:left w:val="none" w:sz="0" w:space="0" w:color="auto"/>
            <w:bottom w:val="none" w:sz="0" w:space="0" w:color="auto"/>
            <w:right w:val="none" w:sz="0" w:space="0" w:color="auto"/>
          </w:divBdr>
        </w:div>
        <w:div w:id="1946232716">
          <w:marLeft w:val="0"/>
          <w:marRight w:val="0"/>
          <w:marTop w:val="0"/>
          <w:marBottom w:val="0"/>
          <w:divBdr>
            <w:top w:val="none" w:sz="0" w:space="0" w:color="auto"/>
            <w:left w:val="none" w:sz="0" w:space="0" w:color="auto"/>
            <w:bottom w:val="none" w:sz="0" w:space="0" w:color="auto"/>
            <w:right w:val="none" w:sz="0" w:space="0" w:color="auto"/>
          </w:divBdr>
        </w:div>
        <w:div w:id="1127897379">
          <w:marLeft w:val="0"/>
          <w:marRight w:val="0"/>
          <w:marTop w:val="0"/>
          <w:marBottom w:val="0"/>
          <w:divBdr>
            <w:top w:val="none" w:sz="0" w:space="0" w:color="auto"/>
            <w:left w:val="none" w:sz="0" w:space="0" w:color="auto"/>
            <w:bottom w:val="none" w:sz="0" w:space="0" w:color="auto"/>
            <w:right w:val="none" w:sz="0" w:space="0" w:color="auto"/>
          </w:divBdr>
        </w:div>
        <w:div w:id="892279881">
          <w:marLeft w:val="0"/>
          <w:marRight w:val="0"/>
          <w:marTop w:val="0"/>
          <w:marBottom w:val="0"/>
          <w:divBdr>
            <w:top w:val="none" w:sz="0" w:space="0" w:color="auto"/>
            <w:left w:val="none" w:sz="0" w:space="0" w:color="auto"/>
            <w:bottom w:val="none" w:sz="0" w:space="0" w:color="auto"/>
            <w:right w:val="none" w:sz="0" w:space="0" w:color="auto"/>
          </w:divBdr>
        </w:div>
        <w:div w:id="714043769">
          <w:marLeft w:val="0"/>
          <w:marRight w:val="0"/>
          <w:marTop w:val="0"/>
          <w:marBottom w:val="0"/>
          <w:divBdr>
            <w:top w:val="none" w:sz="0" w:space="0" w:color="auto"/>
            <w:left w:val="none" w:sz="0" w:space="0" w:color="auto"/>
            <w:bottom w:val="none" w:sz="0" w:space="0" w:color="auto"/>
            <w:right w:val="none" w:sz="0" w:space="0" w:color="auto"/>
          </w:divBdr>
        </w:div>
        <w:div w:id="1352495091">
          <w:marLeft w:val="0"/>
          <w:marRight w:val="0"/>
          <w:marTop w:val="0"/>
          <w:marBottom w:val="0"/>
          <w:divBdr>
            <w:top w:val="none" w:sz="0" w:space="0" w:color="auto"/>
            <w:left w:val="none" w:sz="0" w:space="0" w:color="auto"/>
            <w:bottom w:val="none" w:sz="0" w:space="0" w:color="auto"/>
            <w:right w:val="none" w:sz="0" w:space="0" w:color="auto"/>
          </w:divBdr>
        </w:div>
        <w:div w:id="1431511628">
          <w:marLeft w:val="0"/>
          <w:marRight w:val="0"/>
          <w:marTop w:val="0"/>
          <w:marBottom w:val="0"/>
          <w:divBdr>
            <w:top w:val="none" w:sz="0" w:space="0" w:color="auto"/>
            <w:left w:val="none" w:sz="0" w:space="0" w:color="auto"/>
            <w:bottom w:val="none" w:sz="0" w:space="0" w:color="auto"/>
            <w:right w:val="none" w:sz="0" w:space="0" w:color="auto"/>
          </w:divBdr>
        </w:div>
        <w:div w:id="1065644681">
          <w:marLeft w:val="0"/>
          <w:marRight w:val="0"/>
          <w:marTop w:val="0"/>
          <w:marBottom w:val="0"/>
          <w:divBdr>
            <w:top w:val="none" w:sz="0" w:space="0" w:color="auto"/>
            <w:left w:val="none" w:sz="0" w:space="0" w:color="auto"/>
            <w:bottom w:val="none" w:sz="0" w:space="0" w:color="auto"/>
            <w:right w:val="none" w:sz="0" w:space="0" w:color="auto"/>
          </w:divBdr>
        </w:div>
        <w:div w:id="515048080">
          <w:marLeft w:val="0"/>
          <w:marRight w:val="0"/>
          <w:marTop w:val="0"/>
          <w:marBottom w:val="0"/>
          <w:divBdr>
            <w:top w:val="none" w:sz="0" w:space="0" w:color="auto"/>
            <w:left w:val="none" w:sz="0" w:space="0" w:color="auto"/>
            <w:bottom w:val="none" w:sz="0" w:space="0" w:color="auto"/>
            <w:right w:val="none" w:sz="0" w:space="0" w:color="auto"/>
          </w:divBdr>
        </w:div>
        <w:div w:id="1777872112">
          <w:marLeft w:val="0"/>
          <w:marRight w:val="0"/>
          <w:marTop w:val="0"/>
          <w:marBottom w:val="0"/>
          <w:divBdr>
            <w:top w:val="none" w:sz="0" w:space="0" w:color="auto"/>
            <w:left w:val="none" w:sz="0" w:space="0" w:color="auto"/>
            <w:bottom w:val="none" w:sz="0" w:space="0" w:color="auto"/>
            <w:right w:val="none" w:sz="0" w:space="0" w:color="auto"/>
          </w:divBdr>
        </w:div>
        <w:div w:id="369843719">
          <w:marLeft w:val="0"/>
          <w:marRight w:val="0"/>
          <w:marTop w:val="0"/>
          <w:marBottom w:val="0"/>
          <w:divBdr>
            <w:top w:val="none" w:sz="0" w:space="0" w:color="auto"/>
            <w:left w:val="none" w:sz="0" w:space="0" w:color="auto"/>
            <w:bottom w:val="none" w:sz="0" w:space="0" w:color="auto"/>
            <w:right w:val="none" w:sz="0" w:space="0" w:color="auto"/>
          </w:divBdr>
        </w:div>
        <w:div w:id="1417827849">
          <w:marLeft w:val="0"/>
          <w:marRight w:val="0"/>
          <w:marTop w:val="0"/>
          <w:marBottom w:val="0"/>
          <w:divBdr>
            <w:top w:val="none" w:sz="0" w:space="0" w:color="auto"/>
            <w:left w:val="none" w:sz="0" w:space="0" w:color="auto"/>
            <w:bottom w:val="none" w:sz="0" w:space="0" w:color="auto"/>
            <w:right w:val="none" w:sz="0" w:space="0" w:color="auto"/>
          </w:divBdr>
        </w:div>
        <w:div w:id="948854361">
          <w:marLeft w:val="0"/>
          <w:marRight w:val="0"/>
          <w:marTop w:val="0"/>
          <w:marBottom w:val="0"/>
          <w:divBdr>
            <w:top w:val="none" w:sz="0" w:space="0" w:color="auto"/>
            <w:left w:val="none" w:sz="0" w:space="0" w:color="auto"/>
            <w:bottom w:val="none" w:sz="0" w:space="0" w:color="auto"/>
            <w:right w:val="none" w:sz="0" w:space="0" w:color="auto"/>
          </w:divBdr>
        </w:div>
        <w:div w:id="596714828">
          <w:marLeft w:val="0"/>
          <w:marRight w:val="0"/>
          <w:marTop w:val="0"/>
          <w:marBottom w:val="0"/>
          <w:divBdr>
            <w:top w:val="none" w:sz="0" w:space="0" w:color="auto"/>
            <w:left w:val="none" w:sz="0" w:space="0" w:color="auto"/>
            <w:bottom w:val="none" w:sz="0" w:space="0" w:color="auto"/>
            <w:right w:val="none" w:sz="0" w:space="0" w:color="auto"/>
          </w:divBdr>
        </w:div>
        <w:div w:id="1794790559">
          <w:marLeft w:val="0"/>
          <w:marRight w:val="0"/>
          <w:marTop w:val="0"/>
          <w:marBottom w:val="0"/>
          <w:divBdr>
            <w:top w:val="none" w:sz="0" w:space="0" w:color="auto"/>
            <w:left w:val="none" w:sz="0" w:space="0" w:color="auto"/>
            <w:bottom w:val="none" w:sz="0" w:space="0" w:color="auto"/>
            <w:right w:val="none" w:sz="0" w:space="0" w:color="auto"/>
          </w:divBdr>
        </w:div>
        <w:div w:id="171260897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DD7E-937F-4A67-9113-134EB0BE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2032</Words>
  <Characters>11179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Monica Elizabeth Mena Paez</cp:lastModifiedBy>
  <cp:revision>3</cp:revision>
  <dcterms:created xsi:type="dcterms:W3CDTF">2022-08-30T16:37:00Z</dcterms:created>
  <dcterms:modified xsi:type="dcterms:W3CDTF">2022-08-30T17:15:00Z</dcterms:modified>
</cp:coreProperties>
</file>