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854F7C" w:rsidRPr="00921E14" w:rsidRDefault="00854F7C" w:rsidP="00854F7C">
      <w:pPr>
        <w:jc w:val="center"/>
        <w:rPr>
          <w:b/>
        </w:rPr>
      </w:pPr>
      <w:r w:rsidRPr="00921E14">
        <w:rPr>
          <w:b/>
        </w:rPr>
        <w:t>Dr. Santiago Guarderas Izquier</w:t>
      </w:r>
      <w:r w:rsidR="00D27AB2" w:rsidRPr="00921E14">
        <w:rPr>
          <w:b/>
        </w:rPr>
        <w:t>d</w:t>
      </w:r>
      <w:r w:rsidRPr="00921E14">
        <w:rPr>
          <w:b/>
        </w:rPr>
        <w:t>o</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5" w:hanging="705"/>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2 del artículo 264 de la Constitución, disponen: </w:t>
      </w:r>
      <w:r w:rsidRPr="00921E1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0"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921E14">
        <w:rPr>
          <w:rFonts w:eastAsiaTheme="minorHAnsi"/>
          <w:i/>
          <w:lang w:val="es-EC" w:eastAsia="en-US"/>
        </w:rPr>
        <w:t>”;</w:t>
      </w:r>
      <w:r w:rsidRPr="00921E14">
        <w:rPr>
          <w:rFonts w:eastAsiaTheme="minorHAnsi"/>
          <w:lang w:val="es-EC" w:eastAsia="en-US"/>
        </w:rPr>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i/>
          <w:iCs/>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323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w:t>
      </w:r>
      <w:r w:rsidRPr="00921E1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pStyle w:val="Default"/>
        <w:ind w:left="705" w:hanging="705"/>
        <w:jc w:val="both"/>
        <w:rPr>
          <w:rFonts w:ascii="Times New Roman" w:hAnsi="Times New Roman" w:cs="Times New Roman"/>
        </w:rPr>
      </w:pPr>
      <w:r w:rsidRPr="00921E14">
        <w:rPr>
          <w:rFonts w:ascii="Times New Roman" w:hAnsi="Times New Roman" w:cs="Times New Roman"/>
          <w:b/>
        </w:rPr>
        <w:t>Que</w:t>
      </w:r>
      <w:r w:rsidRPr="00921E14">
        <w:rPr>
          <w:rFonts w:ascii="Times New Roman" w:hAnsi="Times New Roman" w:cs="Times New Roman"/>
        </w:rPr>
        <w:t>,</w:t>
      </w:r>
      <w:r w:rsidRPr="00921E14">
        <w:rPr>
          <w:rFonts w:ascii="Times New Roman" w:hAnsi="Times New Roman" w:cs="Times New Roman"/>
        </w:rPr>
        <w:tab/>
        <w:t xml:space="preserve">el artículo 472 </w:t>
      </w:r>
      <w:r w:rsidR="00131EC9" w:rsidRPr="00921E14">
        <w:rPr>
          <w:rFonts w:ascii="Times New Roman" w:hAnsi="Times New Roman" w:cs="Times New Roman"/>
        </w:rPr>
        <w:t>del Código Orgánico de Ordenamiento Territorial, Autonomía y Descentralización COOTAD</w:t>
      </w:r>
      <w:r w:rsidRPr="00921E14">
        <w:rPr>
          <w:rFonts w:ascii="Times New Roman" w:hAnsi="Times New Roman" w:cs="Times New Roman"/>
        </w:rPr>
        <w:t xml:space="preserve"> señala que: “</w:t>
      </w:r>
      <w:r w:rsidRPr="00921E1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Pr="00921E14">
        <w:rPr>
          <w:rFonts w:eastAsiaTheme="minorHAnsi"/>
          <w:i/>
          <w:lang w:eastAsia="en-US"/>
        </w:rPr>
        <w:t xml:space="preserve">En el caso de partición judicial de </w:t>
      </w:r>
      <w:r w:rsidRPr="00921E1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921E14">
        <w:rPr>
          <w:rFonts w:eastAsiaTheme="minorHAnsi"/>
          <w:i/>
          <w:lang w:val="es-EC" w:eastAsia="en-US"/>
        </w:rPr>
        <w:t>”</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Pr="00921E14">
        <w:t xml:space="preserve">el artículo 2156 del Código Municipal para el Distrito Metropolitano de Quito, en adelante, “Código Municipal”, señala que las asignaciones de zonificación para habilitación del suelo y edificación son: </w:t>
      </w:r>
      <w:r w:rsidRPr="00921E14">
        <w:rPr>
          <w:i/>
          <w:iCs/>
        </w:rPr>
        <w:t>“a. Para habilitación del suelo: el tamaño mínimo de lote, expresado en metros cuadrados; el frente mínimo del lote, expresado en metros lineales”</w:t>
      </w:r>
      <w:r w:rsidRPr="00921E14">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literal a</w:t>
      </w:r>
      <w:r w:rsidR="008E61FC" w:rsidRPr="00921E14">
        <w:rPr>
          <w:rFonts w:eastAsiaTheme="minorHAnsi"/>
          <w:lang w:val="es-EC" w:eastAsia="en-US"/>
        </w:rPr>
        <w:t>)</w:t>
      </w:r>
      <w:r w:rsidRPr="00921E14">
        <w:rPr>
          <w:rFonts w:eastAsiaTheme="minorHAnsi"/>
          <w:lang w:val="es-EC" w:eastAsia="en-US"/>
        </w:rPr>
        <w:t xml:space="preserve"> del numeral 1, del artículo 2157 del Código Municipal establece: </w:t>
      </w:r>
      <w:r w:rsidRPr="00921E1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5 del artículo 2162, del Código Municipal determina, que: </w:t>
      </w:r>
      <w:r w:rsidRPr="00921E1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921E14">
        <w:rPr>
          <w:i/>
        </w:rPr>
        <w:t>Se considera, además, como subdivisión a las habilitaciones originadas por partición judicial que pueden generarse en suelo urbano y rural. Éstas deberán sujetarse a la zonificación y normativa vigentes”</w:t>
      </w:r>
      <w:r w:rsidRPr="00921E14">
        <w:t xml:space="preserve">; </w:t>
      </w:r>
    </w:p>
    <w:p w:rsidR="00600D8D" w:rsidRPr="00921E14" w:rsidRDefault="00600D8D" w:rsidP="00600D8D">
      <w:pPr>
        <w:autoSpaceDE w:val="0"/>
        <w:autoSpaceDN w:val="0"/>
        <w:adjustRightInd w:val="0"/>
        <w:ind w:left="709" w:hanging="709"/>
        <w:jc w:val="both"/>
      </w:pPr>
    </w:p>
    <w:p w:rsidR="00600D8D" w:rsidRPr="00921E14" w:rsidRDefault="00600D8D" w:rsidP="00600D8D">
      <w:pPr>
        <w:autoSpaceDE w:val="0"/>
        <w:autoSpaceDN w:val="0"/>
        <w:adjustRightInd w:val="0"/>
        <w:ind w:left="709" w:hanging="709"/>
        <w:jc w:val="both"/>
        <w:rPr>
          <w:rFonts w:eastAsiaTheme="minorHAnsi"/>
          <w: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artículo 2164 del Código Municipal, respecto a las dimensiones y áreas mínimas de lotes, establece:</w:t>
      </w:r>
      <w:r w:rsidRPr="00921E14">
        <w:rPr>
          <w:i/>
          <w:iCs/>
        </w:rPr>
        <w:t xml:space="preserve"> </w:t>
      </w:r>
      <w:r w:rsidRPr="00921E1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921E14" w:rsidRDefault="00854F7C" w:rsidP="00854F7C">
      <w:pPr>
        <w:jc w:val="both"/>
        <w:rPr>
          <w:i/>
          <w:lang w:eastAsia="es-EC"/>
        </w:rPr>
      </w:pPr>
    </w:p>
    <w:p w:rsidR="00854F7C" w:rsidRPr="00921E14" w:rsidRDefault="00854F7C" w:rsidP="00854F7C">
      <w:pPr>
        <w:ind w:left="709" w:hanging="709"/>
        <w:jc w:val="both"/>
        <w:rPr>
          <w:i/>
          <w:color w:val="000000"/>
        </w:rPr>
      </w:pPr>
      <w:r w:rsidRPr="00921E14">
        <w:rPr>
          <w:b/>
          <w:lang w:eastAsia="es-EC"/>
        </w:rPr>
        <w:t>Que,</w:t>
      </w:r>
      <w:r w:rsidRPr="00921E14">
        <w:rPr>
          <w:lang w:eastAsia="es-EC"/>
        </w:rPr>
        <w:t xml:space="preserve"> </w:t>
      </w:r>
      <w:r w:rsidRPr="00921E14">
        <w:rPr>
          <w:lang w:eastAsia="es-EC"/>
        </w:rPr>
        <w:tab/>
        <w:t>e</w:t>
      </w:r>
      <w:r w:rsidRPr="00921E14">
        <w:rPr>
          <w:rStyle w:val="fontstyle01"/>
          <w:rFonts w:ascii="Times New Roman" w:hAnsi="Times New Roman"/>
          <w:sz w:val="24"/>
          <w:szCs w:val="24"/>
        </w:rPr>
        <w:t>l artículo</w:t>
      </w:r>
      <w:r w:rsidRPr="00921E14">
        <w:rPr>
          <w:b/>
          <w:bCs/>
          <w:color w:val="000000"/>
        </w:rPr>
        <w:t xml:space="preserve"> </w:t>
      </w:r>
      <w:r w:rsidRPr="00921E14">
        <w:rPr>
          <w:bCs/>
          <w:color w:val="000000"/>
        </w:rPr>
        <w:t xml:space="preserve">2171 de la Ordenanza 001, establece Supuestos en el que la contribución de áreas verdes públicas, para subdivisiones puede ser compensada.- </w:t>
      </w:r>
      <w:r w:rsidRPr="00921E14">
        <w:rPr>
          <w:color w:val="000000"/>
        </w:rPr>
        <w:t>En subdivisiones de lotes en suelo rural y urbano con una superficie inferior a tres mil metros cuadrados, en cuanto a la contribución de áreas verdes se observará los siguientes casos:</w:t>
      </w:r>
      <w:r w:rsidR="00DF5041" w:rsidRPr="00921E14">
        <w:rPr>
          <w:color w:val="000000"/>
        </w:rPr>
        <w:t xml:space="preserve"> </w:t>
      </w:r>
      <w:r w:rsidR="00DF5041" w:rsidRPr="00921E14">
        <w:rPr>
          <w:i/>
          <w:color w:val="000000"/>
        </w:rPr>
        <w:t>“</w:t>
      </w:r>
      <w:r w:rsidR="004E0D99" w:rsidRPr="00921E14">
        <w:rPr>
          <w:i/>
          <w:color w:val="000000"/>
        </w:rPr>
        <w:t xml:space="preserve">4. </w:t>
      </w:r>
      <w:r w:rsidR="00DF5041" w:rsidRPr="00921E14">
        <w:rPr>
          <w:i/>
          <w:color w:val="000000"/>
        </w:rPr>
        <w:t>E</w:t>
      </w:r>
      <w:r w:rsidRPr="00921E14">
        <w:rPr>
          <w:i/>
          <w:color w:val="000000"/>
        </w:rPr>
        <w:t xml:space="preserv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w:t>
      </w:r>
      <w:r w:rsidRPr="00921E14">
        <w:rPr>
          <w:i/>
          <w:color w:val="000000"/>
        </w:rPr>
        <w:lastRenderedPageBreak/>
        <w:t>Descentralización, se deberá calcular el aporte del 15% del área útil adquirida mediante sentencia</w:t>
      </w:r>
      <w:r w:rsidR="00DF5041" w:rsidRPr="00921E14">
        <w:rPr>
          <w:i/>
          <w:color w:val="000000"/>
        </w:rPr>
        <w:t>”</w:t>
      </w:r>
      <w:r w:rsidRPr="00921E14">
        <w:rPr>
          <w:i/>
          <w:color w:val="000000"/>
        </w:rPr>
        <w:t>.</w:t>
      </w:r>
    </w:p>
    <w:p w:rsidR="00600D8D" w:rsidRPr="00921E14" w:rsidRDefault="00600D8D" w:rsidP="00CC083B">
      <w:pPr>
        <w:jc w:val="both"/>
      </w:pP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4610D1">
        <w:rPr>
          <w:b/>
        </w:rPr>
        <w:t>Que,</w:t>
      </w:r>
      <w:r w:rsidRPr="004610D1">
        <w:t xml:space="preserve"> </w:t>
      </w:r>
      <w:r w:rsidRPr="004610D1">
        <w:tab/>
      </w:r>
      <w:r w:rsidRPr="004610D1">
        <w:rPr>
          <w:rFonts w:eastAsiaTheme="minorHAnsi"/>
          <w:lang w:val="es-EC" w:eastAsia="en-US"/>
        </w:rPr>
        <w:t xml:space="preserve">con la sentencia emitida dentro del </w:t>
      </w:r>
      <w:r w:rsidR="004610D1" w:rsidRPr="004610D1">
        <w:rPr>
          <w:lang w:val="es-EC" w:eastAsia="es-EC"/>
        </w:rPr>
        <w:t>proceso judicial No. 17308-2013-1097</w:t>
      </w:r>
      <w:r w:rsidRPr="004610D1">
        <w:rPr>
          <w:lang w:val="es-EC" w:eastAsia="es-EC"/>
        </w:rPr>
        <w:t>, mediante el cual el Juez de la Unidad Judicial Civil con sede en la parroquia de Iñaquito del Distrito Metropolitano de Quito,  resolvió “(…)</w:t>
      </w:r>
      <w:r w:rsidR="004610D1" w:rsidRPr="004610D1">
        <w:rPr>
          <w:rFonts w:ascii="Helvetica" w:hAnsi="Helvetica"/>
          <w:color w:val="666666"/>
          <w:sz w:val="18"/>
          <w:szCs w:val="18"/>
          <w:shd w:val="clear" w:color="auto" w:fill="FFFFFF"/>
        </w:rPr>
        <w:t> </w:t>
      </w:r>
      <w:r w:rsidR="004610D1" w:rsidRPr="004610D1">
        <w:rPr>
          <w:i/>
          <w:lang w:eastAsia="es-EC"/>
        </w:rPr>
        <w:t xml:space="preserve">Por las consideraciones que preceden, de conformidad con los Arts. 603, 715, 2392, 2393, 2398, 2410, 2411 y 2413 del Código Civil, así como en fiel cumplimiento de los artículos 75 y 76 numeral 7 literal L) de la Constitución de la República del Ecuador, ADMINISTRANDO JUSTICIA, EN NOMBRE DEL PUEBLO SOBERANO DEL ECUADOR, Y POR AUTORIDAD DE LA CONSTITUCIÓN Y LAS LEYES DE LA REPÚBLICA, se acepta la demanda y se declara la Prescripción Adquisitiva Extraordinaria de Dominio a favor del señor EDGAR ENRIQUE BELTRÁN ZAPATA, respecto del lote de terreno ubicado en el sitio Carretas, de la parroquia de Calderón, cantón Quito, provincia de Pichincha, circunscrito dentro de los siguientes linderos: NORTE.- Con propiedad de la señora María </w:t>
      </w:r>
      <w:proofErr w:type="spellStart"/>
      <w:r w:rsidR="004610D1" w:rsidRPr="004610D1">
        <w:rPr>
          <w:i/>
          <w:lang w:eastAsia="es-EC"/>
        </w:rPr>
        <w:t>Gualoto</w:t>
      </w:r>
      <w:proofErr w:type="spellEnd"/>
      <w:r w:rsidR="004610D1" w:rsidRPr="004610D1">
        <w:rPr>
          <w:i/>
          <w:lang w:eastAsia="es-EC"/>
        </w:rPr>
        <w:t>, en una extensión de 36,76 metros; SUR.- Con propiedad de la señora Sonia Martínez, en una extensión de 36,76 metros; ESTE.- Con calle A en una extensión de 13,60 metros; y, OESTE.- Con propiedad de la señora Olga Luna, en una extensión de 13,60 metros, dando una superficie total del inmueble de 500 metros cuadrados. Esta resolución tiene el carácter declarativo, estando sujeta su ejecución al cumplimiento de las exigencias legales de los organismos encargados del manejo de tierras y dejando a salvo el derecho de terceros, en relación  con cualquier gravamen de que pueda resultar afectado.</w:t>
      </w:r>
      <w:r w:rsidRPr="004610D1">
        <w:rPr>
          <w:i/>
        </w:rPr>
        <w:t xml:space="preserve"> (…)”.</w:t>
      </w:r>
    </w:p>
    <w:p w:rsidR="00921E14" w:rsidRPr="00921E14" w:rsidRDefault="00921E14" w:rsidP="00D27AB2">
      <w:pPr>
        <w:jc w:val="both"/>
        <w:rPr>
          <w:rFonts w:eastAsiaTheme="minorHAnsi"/>
          <w:b/>
          <w:lang w:val="es-EC" w:eastAsia="en-US"/>
        </w:rPr>
      </w:pPr>
    </w:p>
    <w:p w:rsidR="00D27AB2" w:rsidRPr="00921E14" w:rsidRDefault="00600D8D" w:rsidP="00BB77E2">
      <w:pPr>
        <w:ind w:left="705" w:hanging="705"/>
        <w:jc w:val="both"/>
        <w:rPr>
          <w:bCs/>
          <w:color w:val="000000"/>
        </w:rPr>
      </w:pPr>
      <w:r w:rsidRPr="00BB77E2">
        <w:rPr>
          <w:rFonts w:eastAsiaTheme="minorHAnsi"/>
          <w:b/>
          <w:lang w:val="es-EC" w:eastAsia="en-US"/>
        </w:rPr>
        <w:t>Que</w:t>
      </w:r>
      <w:r w:rsidR="00854F7C" w:rsidRPr="00BB77E2">
        <w:rPr>
          <w:rFonts w:eastAsiaTheme="minorHAnsi"/>
          <w:lang w:val="es-EC" w:eastAsia="en-US"/>
        </w:rPr>
        <w:t xml:space="preserve">, </w:t>
      </w:r>
      <w:r w:rsidR="00D27AB2" w:rsidRPr="00BB77E2">
        <w:rPr>
          <w:rFonts w:eastAsiaTheme="minorHAnsi"/>
          <w:lang w:val="es-EC" w:eastAsia="en-US"/>
        </w:rPr>
        <w:tab/>
      </w:r>
      <w:r w:rsidR="00BB77E2" w:rsidRPr="00BB77E2">
        <w:rPr>
          <w:rStyle w:val="fontstyle01"/>
          <w:rFonts w:ascii="Times New Roman" w:hAnsi="Times New Roman"/>
          <w:sz w:val="24"/>
          <w:szCs w:val="24"/>
        </w:rPr>
        <w:t>Con oficio Nro. GADDMQ-SGCM-2021-3519-O de 31 de agosto de 2021, se remite</w:t>
      </w:r>
      <w:r w:rsidR="00BB77E2">
        <w:rPr>
          <w:rStyle w:val="fontstyle01"/>
          <w:rFonts w:ascii="Times New Roman" w:hAnsi="Times New Roman"/>
          <w:sz w:val="24"/>
          <w:szCs w:val="24"/>
        </w:rPr>
        <w:t xml:space="preserve"> </w:t>
      </w:r>
      <w:r w:rsidR="00BB77E2" w:rsidRPr="00BB77E2">
        <w:rPr>
          <w:rStyle w:val="fontstyle01"/>
          <w:rFonts w:ascii="Times New Roman" w:hAnsi="Times New Roman"/>
          <w:sz w:val="24"/>
          <w:szCs w:val="24"/>
        </w:rPr>
        <w:t>expediente del señor Edgar Beltrán del Juicio de Prescripción Adquisitiva de Dominio</w:t>
      </w:r>
      <w:r w:rsidR="00BB77E2">
        <w:rPr>
          <w:rStyle w:val="fontstyle01"/>
          <w:rFonts w:ascii="Times New Roman" w:hAnsi="Times New Roman"/>
          <w:sz w:val="24"/>
          <w:szCs w:val="24"/>
        </w:rPr>
        <w:t xml:space="preserve"> </w:t>
      </w:r>
      <w:r w:rsidR="00BB77E2" w:rsidRPr="00BB77E2">
        <w:rPr>
          <w:rStyle w:val="fontstyle01"/>
          <w:rFonts w:ascii="Times New Roman" w:hAnsi="Times New Roman"/>
          <w:sz w:val="24"/>
          <w:szCs w:val="24"/>
        </w:rPr>
        <w:t>Nro. 17308-2013-1097, en el cual con fecha 24 de octubre del 2016 se sentencia a favor</w:t>
      </w:r>
      <w:r w:rsidR="00BB77E2">
        <w:rPr>
          <w:rStyle w:val="fontstyle01"/>
          <w:rFonts w:ascii="Times New Roman" w:hAnsi="Times New Roman"/>
          <w:sz w:val="24"/>
          <w:szCs w:val="24"/>
        </w:rPr>
        <w:t xml:space="preserve"> </w:t>
      </w:r>
      <w:r w:rsidR="00BB77E2" w:rsidRPr="00BB77E2">
        <w:rPr>
          <w:rStyle w:val="fontstyle01"/>
          <w:rFonts w:ascii="Times New Roman" w:hAnsi="Times New Roman"/>
          <w:sz w:val="24"/>
          <w:szCs w:val="24"/>
        </w:rPr>
        <w:t>de una parte del predio Nro. 804210 correspondiente a 500 m2, conforme solicitud de</w:t>
      </w:r>
      <w:r w:rsidR="00BB77E2">
        <w:rPr>
          <w:rStyle w:val="fontstyle01"/>
          <w:rFonts w:ascii="Times New Roman" w:hAnsi="Times New Roman"/>
          <w:sz w:val="24"/>
          <w:szCs w:val="24"/>
        </w:rPr>
        <w:t xml:space="preserve"> </w:t>
      </w:r>
      <w:r w:rsidR="00BB77E2" w:rsidRPr="00BB77E2">
        <w:rPr>
          <w:rStyle w:val="fontstyle01"/>
          <w:rFonts w:ascii="Times New Roman" w:hAnsi="Times New Roman"/>
          <w:sz w:val="24"/>
          <w:szCs w:val="24"/>
        </w:rPr>
        <w:t>oficio GADDMQ-AZCA-2021-0665-M realizada por esta administración</w:t>
      </w:r>
      <w:r w:rsidR="00BB77E2" w:rsidRPr="00BB77E2">
        <w:t xml:space="preserve"> </w:t>
      </w:r>
      <w:r w:rsidR="00D27AB2" w:rsidRPr="00BB77E2">
        <w:rPr>
          <w:lang w:val="es-EC" w:eastAsia="es-EC"/>
        </w:rPr>
        <w:t>(...)”</w:t>
      </w:r>
      <w:r w:rsidR="00D27AB2" w:rsidRPr="00921E14">
        <w:rPr>
          <w:lang w:val="es-EC" w:eastAsia="es-EC"/>
        </w:rPr>
        <w:t xml:space="preserve"> </w:t>
      </w:r>
    </w:p>
    <w:p w:rsidR="00EB6AB5" w:rsidRPr="00EB6AB5" w:rsidRDefault="00EB6AB5" w:rsidP="00EB6AB5">
      <w:pPr>
        <w:autoSpaceDE w:val="0"/>
        <w:autoSpaceDN w:val="0"/>
        <w:adjustRightInd w:val="0"/>
        <w:ind w:left="705" w:right="355" w:hanging="705"/>
        <w:jc w:val="both"/>
        <w:rPr>
          <w:rStyle w:val="fontstyle01"/>
          <w:rFonts w:ascii="Times New Roman" w:hAnsi="Times New Roman"/>
          <w:b/>
          <w:i/>
          <w:sz w:val="24"/>
          <w:szCs w:val="24"/>
        </w:rPr>
      </w:pPr>
      <w:bookmarkStart w:id="1" w:name="_Hlk51947053"/>
      <w:r w:rsidRPr="00EB6AB5">
        <w:rPr>
          <w:b/>
        </w:rPr>
        <w:lastRenderedPageBreak/>
        <w:t>Que</w:t>
      </w:r>
      <w:r>
        <w:t>,</w:t>
      </w:r>
      <w:r>
        <w:tab/>
      </w:r>
      <w:r>
        <w:tab/>
      </w:r>
      <w:r w:rsidR="00FE75E5" w:rsidRPr="00EB6AB5">
        <w:rPr>
          <w:rStyle w:val="fontstyle01"/>
          <w:rFonts w:ascii="Times New Roman" w:hAnsi="Times New Roman"/>
          <w:sz w:val="24"/>
          <w:szCs w:val="24"/>
        </w:rPr>
        <w:t>c</w:t>
      </w:r>
      <w:r w:rsidR="00F22B58" w:rsidRPr="00EB6AB5">
        <w:rPr>
          <w:rStyle w:val="fontstyle01"/>
          <w:rFonts w:ascii="Times New Roman" w:hAnsi="Times New Roman"/>
          <w:sz w:val="24"/>
          <w:szCs w:val="24"/>
        </w:rPr>
        <w:t>on I</w:t>
      </w:r>
      <w:r w:rsidRPr="00EB6AB5">
        <w:rPr>
          <w:rStyle w:val="fontstyle01"/>
          <w:rFonts w:ascii="Times New Roman" w:hAnsi="Times New Roman"/>
          <w:sz w:val="24"/>
          <w:szCs w:val="24"/>
        </w:rPr>
        <w:t>nforme Técnico AZCA-DGT-2022-031 de 16</w:t>
      </w:r>
      <w:r w:rsidR="00F22B58" w:rsidRPr="00EB6AB5">
        <w:rPr>
          <w:rStyle w:val="fontstyle01"/>
          <w:rFonts w:ascii="Times New Roman" w:hAnsi="Times New Roman"/>
          <w:sz w:val="24"/>
          <w:szCs w:val="24"/>
        </w:rPr>
        <w:t xml:space="preserve"> de </w:t>
      </w:r>
      <w:r w:rsidRPr="00EB6AB5">
        <w:rPr>
          <w:rStyle w:val="fontstyle01"/>
          <w:rFonts w:ascii="Times New Roman" w:hAnsi="Times New Roman"/>
          <w:sz w:val="24"/>
          <w:szCs w:val="24"/>
        </w:rPr>
        <w:t>agosto</w:t>
      </w:r>
      <w:r w:rsidR="00F22B58" w:rsidRPr="00EB6AB5">
        <w:rPr>
          <w:rStyle w:val="fontstyle01"/>
          <w:rFonts w:ascii="Times New Roman" w:hAnsi="Times New Roman"/>
          <w:sz w:val="24"/>
          <w:szCs w:val="24"/>
        </w:rPr>
        <w:t xml:space="preserve"> de 2022, el Jefe de Gestión</w:t>
      </w:r>
      <w:r w:rsidR="00CC083B" w:rsidRPr="00EB6AB5">
        <w:rPr>
          <w:rStyle w:val="fontstyle01"/>
          <w:rFonts w:ascii="Times New Roman" w:hAnsi="Times New Roman"/>
          <w:sz w:val="24"/>
          <w:szCs w:val="24"/>
        </w:rPr>
        <w:t xml:space="preserve"> </w:t>
      </w:r>
      <w:r w:rsidR="00F22B58" w:rsidRPr="00EB6AB5">
        <w:rPr>
          <w:rStyle w:val="fontstyle01"/>
          <w:rFonts w:ascii="Times New Roman" w:hAnsi="Times New Roman"/>
          <w:sz w:val="24"/>
          <w:szCs w:val="24"/>
        </w:rPr>
        <w:t xml:space="preserve">Urbana, </w:t>
      </w:r>
      <w:r w:rsidR="00852D76" w:rsidRPr="00EB6AB5">
        <w:rPr>
          <w:rStyle w:val="fontstyle01"/>
          <w:rFonts w:ascii="Times New Roman" w:hAnsi="Times New Roman"/>
          <w:sz w:val="24"/>
          <w:szCs w:val="24"/>
        </w:rPr>
        <w:t>de la Prescri</w:t>
      </w:r>
      <w:r w:rsidRPr="00EB6AB5">
        <w:rPr>
          <w:rStyle w:val="fontstyle01"/>
          <w:rFonts w:ascii="Times New Roman" w:hAnsi="Times New Roman"/>
          <w:sz w:val="24"/>
          <w:szCs w:val="24"/>
        </w:rPr>
        <w:t xml:space="preserve">pción Parcial del predio 804210 </w:t>
      </w:r>
      <w:r w:rsidR="00852D76" w:rsidRPr="00EB6AB5">
        <w:rPr>
          <w:rStyle w:val="fontstyle01"/>
          <w:rFonts w:ascii="Times New Roman" w:hAnsi="Times New Roman"/>
          <w:sz w:val="24"/>
          <w:szCs w:val="24"/>
        </w:rPr>
        <w:t>en el cual concluye: “</w:t>
      </w:r>
      <w:r w:rsidRPr="00EB6AB5">
        <w:rPr>
          <w:rStyle w:val="fontstyle01"/>
          <w:rFonts w:ascii="Times New Roman" w:hAnsi="Times New Roman"/>
          <w:i/>
          <w:sz w:val="24"/>
          <w:szCs w:val="24"/>
        </w:rPr>
        <w:t xml:space="preserve">Del análisis técnico se desprende que, la prescripción adquisitiva de dominio de una parte del inmueble del predio No. 804210, no cumple con: “lote mínimo” correspondiente a 500 metros menor a los establecido en la ordenanza vigente; así mismo no cumple con el ¨frente mínimo¨, ya que el predio no colinda hacia una vía aprobada, razón por la que se </w:t>
      </w:r>
      <w:r w:rsidRPr="00EB6AB5">
        <w:rPr>
          <w:rStyle w:val="fontstyle01"/>
          <w:rFonts w:ascii="Times New Roman" w:hAnsi="Times New Roman"/>
          <w:b/>
          <w:i/>
          <w:sz w:val="24"/>
          <w:szCs w:val="24"/>
        </w:rPr>
        <w:t>emite</w:t>
      </w:r>
      <w:r w:rsidRPr="00EB6AB5">
        <w:rPr>
          <w:rStyle w:val="fontstyle01"/>
          <w:rFonts w:ascii="Times New Roman" w:hAnsi="Times New Roman"/>
          <w:i/>
          <w:sz w:val="24"/>
          <w:szCs w:val="24"/>
        </w:rPr>
        <w:t xml:space="preserve"> </w:t>
      </w:r>
      <w:r w:rsidRPr="00EB6AB5">
        <w:rPr>
          <w:rStyle w:val="fontstyle01"/>
          <w:rFonts w:ascii="Times New Roman" w:hAnsi="Times New Roman"/>
          <w:b/>
          <w:i/>
          <w:sz w:val="24"/>
          <w:szCs w:val="24"/>
        </w:rPr>
        <w:t xml:space="preserve">Informe Técnico Desfavorable. </w:t>
      </w:r>
    </w:p>
    <w:p w:rsidR="00852D76" w:rsidRPr="00EB6AB5" w:rsidRDefault="00EB6AB5" w:rsidP="00EB6AB5">
      <w:pPr>
        <w:pStyle w:val="Prrafodelista"/>
        <w:autoSpaceDE w:val="0"/>
        <w:autoSpaceDN w:val="0"/>
        <w:adjustRightInd w:val="0"/>
        <w:spacing w:after="0" w:line="240" w:lineRule="auto"/>
        <w:ind w:left="677" w:right="355"/>
        <w:jc w:val="both"/>
        <w:rPr>
          <w:rStyle w:val="fontstyle01"/>
          <w:rFonts w:ascii="Times New Roman" w:eastAsia="Times New Roman" w:hAnsi="Times New Roman"/>
          <w:sz w:val="24"/>
          <w:szCs w:val="24"/>
          <w:lang w:eastAsia="es-ES"/>
        </w:rPr>
      </w:pPr>
      <w:r w:rsidRPr="00EB6AB5">
        <w:rPr>
          <w:rStyle w:val="fontstyle01"/>
          <w:rFonts w:ascii="Times New Roman" w:eastAsia="Times New Roman" w:hAnsi="Times New Roman"/>
          <w:i/>
          <w:sz w:val="24"/>
          <w:szCs w:val="24"/>
          <w:lang w:eastAsia="es-ES"/>
        </w:rPr>
        <w:t>El caso que nos ocupa, el 15% del área útil prescrita corresponde a 75 m2, lo cual es inferior al lote mínimo vigente (600m2), razón por la que el actor de la demanda deberá compensar en valor monetario de acuerdo al avalúo catastral vigente a la fecha de la emisión del título de crédito correspondiente</w:t>
      </w:r>
      <w:r w:rsidR="00852D76" w:rsidRPr="00EB6AB5">
        <w:rPr>
          <w:rStyle w:val="fontstyle01"/>
          <w:rFonts w:ascii="Times New Roman" w:hAnsi="Times New Roman"/>
          <w:sz w:val="24"/>
          <w:szCs w:val="24"/>
        </w:rPr>
        <w:t>”.</w:t>
      </w:r>
    </w:p>
    <w:p w:rsidR="00F22B58" w:rsidRPr="00EB6AB5" w:rsidRDefault="00F22B58" w:rsidP="00852D76">
      <w:pPr>
        <w:autoSpaceDE w:val="0"/>
        <w:autoSpaceDN w:val="0"/>
        <w:adjustRightInd w:val="0"/>
        <w:jc w:val="both"/>
        <w:rPr>
          <w:rStyle w:val="fontstyle01"/>
          <w:rFonts w:ascii="Times New Roman" w:hAnsi="Times New Roman"/>
          <w:sz w:val="24"/>
          <w:szCs w:val="24"/>
        </w:rPr>
      </w:pPr>
    </w:p>
    <w:p w:rsidR="00F22B58" w:rsidRPr="00194074" w:rsidRDefault="00F22B58" w:rsidP="00D768BF">
      <w:pPr>
        <w:ind w:left="705" w:hanging="705"/>
        <w:jc w:val="both"/>
        <w:rPr>
          <w:i/>
          <w:color w:val="000000"/>
          <w:lang w:eastAsia="es-EC"/>
        </w:rPr>
      </w:pPr>
      <w:r w:rsidRPr="00194074">
        <w:rPr>
          <w:b/>
        </w:rPr>
        <w:t>Que</w:t>
      </w:r>
      <w:r w:rsidRPr="00194074">
        <w:t xml:space="preserve">,  </w:t>
      </w:r>
      <w:r w:rsidR="00FE75E5" w:rsidRPr="00194074">
        <w:tab/>
      </w:r>
      <w:r w:rsidR="00D768BF" w:rsidRPr="00194074">
        <w:t>Con memorand</w:t>
      </w:r>
      <w:r w:rsidR="00EB6AB5" w:rsidRPr="00194074">
        <w:t>o Nro. GADDMQ-AZCA-DGT-2022-1400</w:t>
      </w:r>
      <w:r w:rsidR="00D768BF" w:rsidRPr="00194074">
        <w:t>-M de</w:t>
      </w:r>
      <w:r w:rsidR="00852D76" w:rsidRPr="00194074">
        <w:t xml:space="preserve"> </w:t>
      </w:r>
      <w:r w:rsidR="00D768BF" w:rsidRPr="00194074">
        <w:t>17 de agosto de 2022,   mediante el cual la Directora de Gestión del Territorio indica que “(…)</w:t>
      </w:r>
      <w:r w:rsidR="00D768BF" w:rsidRPr="00194074">
        <w:rPr>
          <w:rStyle w:val="fontstyle01"/>
          <w:rFonts w:ascii="Times New Roman" w:hAnsi="Times New Roman"/>
          <w:i/>
          <w:sz w:val="24"/>
          <w:szCs w:val="24"/>
        </w:rPr>
        <w:t xml:space="preserve"> </w:t>
      </w:r>
      <w:r w:rsidR="00D768BF" w:rsidRPr="00194074">
        <w:rPr>
          <w:i/>
        </w:rPr>
        <w:t xml:space="preserve">La Dirección de Gestión del Territorio, a </w:t>
      </w:r>
      <w:r w:rsidR="00EB6AB5" w:rsidRPr="00194074">
        <w:rPr>
          <w:i/>
        </w:rPr>
        <w:t xml:space="preserve">fin de dar cumplimiento a lo solicitado, emite Informe Técnico No. AZCA-DGT-2022-031 en el cual en su literal 5 se concluye con </w:t>
      </w:r>
      <w:r w:rsidR="00EB6AB5" w:rsidRPr="00194074">
        <w:rPr>
          <w:b/>
          <w:i/>
        </w:rPr>
        <w:t>criterio desfavorable a la P</w:t>
      </w:r>
      <w:r w:rsidR="00D768BF" w:rsidRPr="00194074">
        <w:rPr>
          <w:b/>
          <w:i/>
        </w:rPr>
        <w:t>rescripción Adquisitiva</w:t>
      </w:r>
      <w:r w:rsidR="00EB6AB5" w:rsidRPr="00194074">
        <w:rPr>
          <w:i/>
        </w:rPr>
        <w:t xml:space="preserve"> Parcial del predio 804210ª favor del señor Edgar Beltrán debido a que no colinda hacia una vía aprobada</w:t>
      </w:r>
      <w:r w:rsidR="00D768BF" w:rsidRPr="00194074">
        <w:rPr>
          <w:i/>
          <w:lang w:eastAsia="es-EC"/>
        </w:rPr>
        <w:t>”</w:t>
      </w:r>
      <w:r w:rsidR="00852D76" w:rsidRPr="00194074">
        <w:rPr>
          <w:i/>
          <w:lang w:eastAsia="es-EC"/>
        </w:rPr>
        <w:t>.</w:t>
      </w:r>
    </w:p>
    <w:p w:rsidR="00F22B58" w:rsidRPr="00194074" w:rsidRDefault="00F22B58" w:rsidP="00F22B58"/>
    <w:p w:rsidR="00194074" w:rsidRPr="00194074" w:rsidRDefault="00DE6C80" w:rsidP="008F0B45">
      <w:pPr>
        <w:ind w:left="709" w:hanging="709"/>
        <w:jc w:val="both"/>
        <w:rPr>
          <w:rFonts w:ascii="Times-Roman" w:hAnsi="Times-Roman"/>
          <w:i/>
          <w:color w:val="000000"/>
          <w:sz w:val="22"/>
          <w:szCs w:val="22"/>
        </w:rPr>
      </w:pPr>
      <w:r w:rsidRPr="00194074">
        <w:rPr>
          <w:rFonts w:eastAsiaTheme="minorHAnsi"/>
          <w:b/>
          <w:lang w:val="es-EC" w:eastAsia="en-US"/>
        </w:rPr>
        <w:t>Que</w:t>
      </w:r>
      <w:r w:rsidRPr="00194074">
        <w:rPr>
          <w:rFonts w:eastAsiaTheme="minorHAnsi"/>
          <w:lang w:val="es-EC" w:eastAsia="en-US"/>
        </w:rPr>
        <w:t>,</w:t>
      </w:r>
      <w:r w:rsidRPr="00194074">
        <w:rPr>
          <w:rFonts w:eastAsiaTheme="minorHAnsi"/>
          <w:lang w:val="es-EC" w:eastAsia="en-US"/>
        </w:rPr>
        <w:tab/>
      </w:r>
      <w:r w:rsidR="00033B69" w:rsidRPr="00194074">
        <w:rPr>
          <w:rFonts w:eastAsiaTheme="minorHAnsi"/>
          <w:lang w:val="es-EC" w:eastAsia="en-US"/>
        </w:rPr>
        <w:t xml:space="preserve">la </w:t>
      </w:r>
      <w:r w:rsidRPr="00194074">
        <w:rPr>
          <w:color w:val="000000"/>
          <w:shd w:val="clear" w:color="auto" w:fill="FFFFFF"/>
          <w:lang w:val="es-ES_tradnl" w:bidi="en-US"/>
        </w:rPr>
        <w:t>Director</w:t>
      </w:r>
      <w:r w:rsidR="00033B69" w:rsidRPr="00194074">
        <w:rPr>
          <w:color w:val="000000"/>
          <w:shd w:val="clear" w:color="auto" w:fill="FFFFFF"/>
          <w:lang w:val="es-ES_tradnl" w:bidi="en-US"/>
        </w:rPr>
        <w:t>a</w:t>
      </w:r>
      <w:r w:rsidRPr="00194074">
        <w:rPr>
          <w:color w:val="000000"/>
          <w:shd w:val="clear" w:color="auto" w:fill="FFFFFF"/>
          <w:lang w:val="es-ES_tradnl" w:bidi="en-US"/>
        </w:rPr>
        <w:t xml:space="preserve"> de </w:t>
      </w:r>
      <w:r w:rsidR="00033B69" w:rsidRPr="00194074">
        <w:rPr>
          <w:color w:val="000000"/>
          <w:shd w:val="clear" w:color="auto" w:fill="FFFFFF"/>
          <w:lang w:val="es-ES_tradnl" w:bidi="en-US"/>
        </w:rPr>
        <w:t xml:space="preserve">la Dirección </w:t>
      </w:r>
      <w:r w:rsidRPr="00194074">
        <w:rPr>
          <w:color w:val="000000"/>
          <w:shd w:val="clear" w:color="auto" w:fill="FFFFFF"/>
          <w:lang w:val="es-ES_tradnl" w:bidi="en-US"/>
        </w:rPr>
        <w:t>Jurídica de la Administración  Zona</w:t>
      </w:r>
      <w:r w:rsidR="00033B69" w:rsidRPr="00194074">
        <w:rPr>
          <w:color w:val="000000"/>
          <w:shd w:val="clear" w:color="auto" w:fill="FFFFFF"/>
          <w:lang w:val="es-ES_tradnl" w:bidi="en-US"/>
        </w:rPr>
        <w:t>l</w:t>
      </w:r>
      <w:r w:rsidRPr="00194074">
        <w:rPr>
          <w:color w:val="000000"/>
          <w:shd w:val="clear" w:color="auto" w:fill="FFFFFF"/>
          <w:lang w:val="es-ES_tradnl" w:bidi="en-US"/>
        </w:rPr>
        <w:t xml:space="preserve"> </w:t>
      </w:r>
      <w:r w:rsidR="00033B69" w:rsidRPr="00194074">
        <w:rPr>
          <w:color w:val="000000"/>
          <w:shd w:val="clear" w:color="auto" w:fill="FFFFFF"/>
          <w:lang w:val="es-ES_tradnl" w:bidi="en-US"/>
        </w:rPr>
        <w:t>Calderón</w:t>
      </w:r>
      <w:r w:rsidRPr="00194074">
        <w:rPr>
          <w:color w:val="000000"/>
          <w:shd w:val="clear" w:color="auto" w:fill="FFFFFF"/>
          <w:lang w:val="es-ES_tradnl" w:bidi="en-US"/>
        </w:rPr>
        <w:t xml:space="preserve">, emite el Informe Legal </w:t>
      </w:r>
      <w:r w:rsidR="00852D76" w:rsidRPr="00194074">
        <w:rPr>
          <w:color w:val="000000"/>
          <w:shd w:val="clear" w:color="auto" w:fill="FFFFFF"/>
          <w:lang w:val="es-ES_tradnl" w:bidi="en-US"/>
        </w:rPr>
        <w:t xml:space="preserve">contenido en el memorando Nro. </w:t>
      </w:r>
      <w:r w:rsidR="00194074" w:rsidRPr="00194074">
        <w:rPr>
          <w:color w:val="000000"/>
          <w:shd w:val="clear" w:color="auto" w:fill="FFFFFF"/>
          <w:lang w:val="es-ES_tradnl" w:bidi="en-US"/>
        </w:rPr>
        <w:t>GADDMQ-AZCA-DAJ-2022-0385</w:t>
      </w:r>
      <w:r w:rsidR="00A83A8D" w:rsidRPr="00194074">
        <w:rPr>
          <w:color w:val="000000"/>
          <w:shd w:val="clear" w:color="auto" w:fill="FFFFFF"/>
          <w:lang w:val="es-ES_tradnl" w:bidi="en-US"/>
        </w:rPr>
        <w:t xml:space="preserve"> de 25 de agosto de 2022, </w:t>
      </w:r>
      <w:r w:rsidRPr="00194074">
        <w:rPr>
          <w:color w:val="000000"/>
          <w:shd w:val="clear" w:color="auto" w:fill="FFFFFF"/>
          <w:lang w:val="es-ES_tradnl" w:bidi="en-US"/>
        </w:rPr>
        <w:t>en</w:t>
      </w:r>
      <w:r w:rsidRPr="00194074">
        <w:t xml:space="preserve"> </w:t>
      </w:r>
      <w:r w:rsidR="008C1C80" w:rsidRPr="00194074">
        <w:t xml:space="preserve">el </w:t>
      </w:r>
      <w:r w:rsidRPr="00194074">
        <w:t xml:space="preserve">que </w:t>
      </w:r>
      <w:r w:rsidR="00A83A8D" w:rsidRPr="00194074">
        <w:t>concluyó:</w:t>
      </w:r>
      <w:r w:rsidRPr="00194074">
        <w:t xml:space="preserve"> </w:t>
      </w:r>
      <w:r w:rsidR="00194074" w:rsidRPr="00194074">
        <w:rPr>
          <w:i/>
        </w:rPr>
        <w:t>“Por</w:t>
      </w:r>
      <w:r w:rsidR="00194074" w:rsidRPr="00194074">
        <w:rPr>
          <w:rFonts w:ascii="Times-Roman" w:hAnsi="Times-Roman"/>
          <w:i/>
          <w:color w:val="000000"/>
          <w:sz w:val="22"/>
          <w:szCs w:val="22"/>
        </w:rPr>
        <w:t xml:space="preserve"> lo expuesto, esta Dirección Jurídica acogiendo el informe técnico AZCA-DGT-2022-31 de 16 de agosto de 2022, del Jefe de Gestión Urbana y aprobado por la Directora de Gestión Territorial de la Administración Zonal Calderón con memorando Nro. Nro. GADDMQ-AZCA-DGT-2022-1400-M de 17 de agosto de 2022, en el que indica que el predio No. 804210, no cumple con: “lote mínimo” correspondiente a 500 metros menor a los establecido en la ordenanza vigente; así mismo no cumple con el ¨frente mínimo¨, se deberá proceder conforme lo establece en el COOTAD y la Ordenanza 001.</w:t>
      </w:r>
    </w:p>
    <w:p w:rsidR="00B34DDB" w:rsidRPr="00921E14" w:rsidRDefault="00194074" w:rsidP="00194074">
      <w:pPr>
        <w:ind w:left="709" w:hanging="1"/>
        <w:jc w:val="both"/>
        <w:rPr>
          <w:i/>
        </w:rPr>
      </w:pPr>
      <w:r w:rsidRPr="00194074">
        <w:rPr>
          <w:rFonts w:ascii="Times-Roman" w:hAnsi="Times-Roman"/>
          <w:i/>
          <w:color w:val="000000"/>
          <w:sz w:val="22"/>
          <w:szCs w:val="22"/>
        </w:rPr>
        <w:t>Así mismo, en lo referente al área verde, se ceñirá a lo establecido en el artículo 2171 de</w:t>
      </w:r>
      <w:r>
        <w:rPr>
          <w:rFonts w:ascii="Times-Roman" w:hAnsi="Times-Roman"/>
          <w:i/>
          <w:color w:val="000000"/>
          <w:sz w:val="22"/>
          <w:szCs w:val="22"/>
        </w:rPr>
        <w:t xml:space="preserve"> </w:t>
      </w:r>
      <w:r w:rsidRPr="00194074">
        <w:rPr>
          <w:rFonts w:ascii="Times-Roman" w:hAnsi="Times-Roman"/>
          <w:i/>
          <w:color w:val="000000"/>
          <w:sz w:val="22"/>
          <w:szCs w:val="22"/>
        </w:rPr>
        <w:t>la Ordenanza 001</w:t>
      </w:r>
      <w:r w:rsidR="008C1C80" w:rsidRPr="00194074">
        <w:rPr>
          <w:i/>
        </w:rPr>
        <w:t>”.</w:t>
      </w:r>
    </w:p>
    <w:p w:rsidR="008C1C80" w:rsidRPr="00921E14" w:rsidRDefault="008C1C80" w:rsidP="008F0B45">
      <w:pPr>
        <w:ind w:left="709" w:hanging="709"/>
        <w:jc w:val="both"/>
      </w:pPr>
    </w:p>
    <w:bookmarkEnd w:id="1"/>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emitió c</w:t>
      </w:r>
      <w:r w:rsidRPr="00921E14">
        <w:t>r</w:t>
      </w:r>
      <w:r w:rsidR="00C84761" w:rsidRPr="00921E14">
        <w:t>iterio favorable</w:t>
      </w:r>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Pr="00921E14" w:rsidRDefault="00842105" w:rsidP="00921E14">
      <w:pPr>
        <w:autoSpaceDE w:val="0"/>
        <w:autoSpaceDN w:val="0"/>
        <w:adjustRightInd w:val="0"/>
        <w:rPr>
          <w:rFonts w:eastAsiaTheme="minorHAnsi"/>
          <w:b/>
          <w:bCs/>
          <w:lang w:val="es-EC" w:eastAsia="en-US"/>
        </w:rPr>
      </w:pPr>
      <w:r w:rsidRPr="00921E14">
        <w:t>En el ejercicio de sus atribuciones legales,</w:t>
      </w:r>
    </w:p>
    <w:p w:rsidR="004D3600" w:rsidRPr="00921E14" w:rsidRDefault="004D3600"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Pr="00921E14"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t>RESUELVO</w:t>
      </w:r>
    </w:p>
    <w:p w:rsidR="00600D8D" w:rsidRPr="00921E14" w:rsidRDefault="00600D8D" w:rsidP="00600D8D">
      <w:pPr>
        <w:autoSpaceDE w:val="0"/>
        <w:autoSpaceDN w:val="0"/>
        <w:adjustRightInd w:val="0"/>
        <w:jc w:val="center"/>
      </w:pPr>
    </w:p>
    <w:p w:rsidR="00854F7C" w:rsidRPr="00921E14"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921E14" w:rsidRPr="00921E14">
        <w:rPr>
          <w:rFonts w:eastAsiaTheme="minorHAnsi"/>
          <w:lang w:val="es-EC" w:eastAsia="en-US"/>
        </w:rPr>
        <w:t xml:space="preserve">De conformidad con la sentencia emitida dentro del </w:t>
      </w:r>
      <w:r w:rsidR="001E45AE" w:rsidRPr="00921E14">
        <w:rPr>
          <w:lang w:val="es-EC" w:eastAsia="es-EC"/>
        </w:rPr>
        <w:t xml:space="preserve">proceso judicial No. </w:t>
      </w:r>
      <w:r w:rsidR="00194074" w:rsidRPr="00194074">
        <w:rPr>
          <w:rFonts w:ascii="Times-Roman" w:hAnsi="Times-Roman"/>
          <w:color w:val="000000"/>
          <w:sz w:val="22"/>
          <w:szCs w:val="22"/>
        </w:rPr>
        <w:t>17308-2013-1097</w:t>
      </w:r>
      <w:r w:rsidR="00854F7C" w:rsidRPr="00921E14">
        <w:rPr>
          <w:lang w:val="es-EC" w:eastAsia="es-EC"/>
        </w:rPr>
        <w:t xml:space="preserve">, mediante el cual el Juez de la Unidad Judicial Civil con sede en la parroquia de Iñaquito del Distrito </w:t>
      </w:r>
      <w:r w:rsidR="00921E14" w:rsidRPr="00921E14">
        <w:rPr>
          <w:lang w:val="es-EC" w:eastAsia="es-EC"/>
        </w:rPr>
        <w:t xml:space="preserve">Metropolitano de </w:t>
      </w:r>
      <w:r w:rsidR="00921E14" w:rsidRPr="00194074">
        <w:rPr>
          <w:lang w:val="es-EC" w:eastAsia="es-EC"/>
        </w:rPr>
        <w:t>Quito,</w:t>
      </w:r>
      <w:r w:rsidR="001E45AE" w:rsidRPr="00194074">
        <w:rPr>
          <w:lang w:val="es-EC" w:eastAsia="es-EC"/>
        </w:rPr>
        <w:t xml:space="preserve"> </w:t>
      </w:r>
      <w:r w:rsidR="00194074" w:rsidRPr="00194074">
        <w:rPr>
          <w:lang w:val="es-EC" w:eastAsia="es-EC"/>
        </w:rPr>
        <w:t>“</w:t>
      </w:r>
      <w:r w:rsidR="00194074" w:rsidRPr="00194074">
        <w:rPr>
          <w:rFonts w:ascii="Times-Italic" w:hAnsi="Times-Italic"/>
          <w:i/>
          <w:iCs/>
          <w:color w:val="000000"/>
          <w:sz w:val="22"/>
          <w:szCs w:val="22"/>
        </w:rPr>
        <w:t xml:space="preserve">se acepta la demanda y se declara Prescripción Adquisitiva Extraordinaria de Dominio </w:t>
      </w:r>
      <w:r w:rsidR="00194074" w:rsidRPr="00194074">
        <w:rPr>
          <w:rFonts w:ascii="Times-Roman" w:hAnsi="Times-Roman"/>
          <w:color w:val="000000"/>
          <w:sz w:val="22"/>
          <w:szCs w:val="22"/>
        </w:rPr>
        <w:t>a favor de EDGAR ENRIQUE</w:t>
      </w:r>
      <w:r w:rsidR="00194074" w:rsidRPr="00194074">
        <w:rPr>
          <w:rFonts w:ascii="Times-Roman" w:hAnsi="Times-Roman"/>
          <w:color w:val="000000"/>
          <w:sz w:val="22"/>
          <w:szCs w:val="22"/>
        </w:rPr>
        <w:br/>
        <w:t>BELTRÁN ZAPATA, respecto del lote de terreno ubicado en el sitio carretas, parroquia</w:t>
      </w:r>
      <w:r w:rsidR="00194074" w:rsidRPr="00194074">
        <w:rPr>
          <w:rFonts w:ascii="Times-Roman" w:hAnsi="Times-Roman"/>
          <w:color w:val="000000"/>
          <w:sz w:val="22"/>
          <w:szCs w:val="22"/>
        </w:rPr>
        <w:br/>
        <w:t>de Calderón, cantó</w:t>
      </w:r>
      <w:r w:rsidR="00194074">
        <w:rPr>
          <w:rFonts w:ascii="Times-Roman" w:hAnsi="Times-Roman"/>
          <w:color w:val="000000"/>
          <w:sz w:val="22"/>
          <w:szCs w:val="22"/>
        </w:rPr>
        <w:t>n Quito, provincia de Pichincha</w:t>
      </w:r>
      <w:r w:rsidR="00854F7C" w:rsidRPr="00275923">
        <w:rPr>
          <w:highlight w:val="yellow"/>
          <w:lang w:val="es-EC" w:eastAsia="es-EC"/>
        </w:rPr>
        <w:t xml:space="preserve">; </w:t>
      </w:r>
      <w:r w:rsidR="00AD1A2A" w:rsidRPr="00275923">
        <w:rPr>
          <w:highlight w:val="yellow"/>
          <w:lang w:val="es-EC" w:eastAsia="es-EC"/>
        </w:rPr>
        <w:t>Resuelvo……….</w:t>
      </w:r>
      <w:r w:rsidR="00854F7C" w:rsidRPr="00921E14">
        <w:rPr>
          <w:lang w:val="es-EC" w:eastAsia="es-EC"/>
        </w:rPr>
        <w:t xml:space="preserve"> </w:t>
      </w:r>
    </w:p>
    <w:p w:rsidR="00854F7C" w:rsidRPr="00921E14" w:rsidRDefault="00854F7C" w:rsidP="00854F7C">
      <w:pPr>
        <w:jc w:val="both"/>
        <w:rPr>
          <w:lang w:val="es-EC" w:eastAsia="es-EC"/>
        </w:rPr>
      </w:pPr>
      <w:bookmarkStart w:id="2" w:name="_GoBack"/>
      <w:bookmarkEnd w:id="2"/>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lastRenderedPageBreak/>
        <w:t>Artículo 2.-</w:t>
      </w:r>
      <w:r w:rsidRPr="00921E14">
        <w:rPr>
          <w:rFonts w:eastAsiaTheme="minorHAnsi"/>
          <w:lang w:val="es-EC" w:eastAsia="en-US"/>
        </w:rPr>
        <w:t xml:space="preserve"> Comuníquese al interesado, a fin de que se continúe con los trámites de ley.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3"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3"/>
    <w:p w:rsidR="00600D8D" w:rsidRPr="00921E14" w:rsidRDefault="00600D8D" w:rsidP="00600D8D">
      <w:pPr>
        <w:autoSpaceDE w:val="0"/>
        <w:autoSpaceDN w:val="0"/>
        <w:adjustRightInd w:val="0"/>
        <w:jc w:val="both"/>
        <w:rPr>
          <w:rFonts w:eastAsiaTheme="minorHAnsi"/>
          <w:bCs/>
          <w:lang w:val="es-EC" w:eastAsia="en-US"/>
        </w:rPr>
      </w:pPr>
    </w:p>
    <w:p w:rsidR="00600D8D" w:rsidRPr="00921E14" w:rsidRDefault="00600D8D" w:rsidP="00600D8D">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842105" w:rsidRPr="00921E14">
        <w:t>de la fecha de su expedición.</w:t>
      </w:r>
      <w:r w:rsidRPr="00921E14">
        <w:rPr>
          <w:shd w:val="clear" w:color="auto" w:fill="FFFFFF"/>
        </w:rPr>
        <w:t xml:space="preserve"> </w:t>
      </w:r>
    </w:p>
    <w:p w:rsidR="00600D8D" w:rsidRPr="00921E14" w:rsidRDefault="00600D8D" w:rsidP="00600D8D">
      <w:pPr>
        <w:autoSpaceDE w:val="0"/>
        <w:autoSpaceDN w:val="0"/>
        <w:adjustRightInd w:val="0"/>
        <w:jc w:val="both"/>
        <w:rPr>
          <w:rFonts w:eastAsiaTheme="minorHAnsi"/>
          <w:lang w:val="es-EC" w:eastAsia="en-US"/>
        </w:rPr>
      </w:pPr>
    </w:p>
    <w:p w:rsidR="00FE75E5" w:rsidRPr="00921E14" w:rsidRDefault="00FE75E5" w:rsidP="00131EC9">
      <w:pPr>
        <w:jc w:val="center"/>
        <w:rPr>
          <w:b/>
        </w:rPr>
      </w:pPr>
    </w:p>
    <w:p w:rsidR="00FE75E5" w:rsidRPr="00921E14" w:rsidRDefault="00FE75E5" w:rsidP="00131EC9">
      <w:pPr>
        <w:jc w:val="center"/>
        <w:rPr>
          <w:b/>
        </w:rPr>
      </w:pPr>
    </w:p>
    <w:p w:rsidR="00854F7C" w:rsidRPr="00921E14" w:rsidRDefault="00854F7C" w:rsidP="00854F7C">
      <w:pPr>
        <w:jc w:val="center"/>
      </w:pPr>
    </w:p>
    <w:p w:rsidR="00854F7C" w:rsidRPr="00921E14" w:rsidRDefault="00854F7C" w:rsidP="00854F7C">
      <w:pPr>
        <w:jc w:val="center"/>
      </w:pPr>
    </w:p>
    <w:p w:rsidR="00854F7C" w:rsidRPr="00921E14" w:rsidRDefault="00854F7C" w:rsidP="00854F7C">
      <w:pPr>
        <w:jc w:val="center"/>
      </w:pPr>
      <w:r w:rsidRPr="00921E14">
        <w:t>Dr. Santiago Guarderas Izquierdo.</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921E1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rPr>
                <w:b/>
              </w:rPr>
            </w:pPr>
          </w:p>
        </w:tc>
        <w:tc>
          <w:tcPr>
            <w:tcW w:w="1418" w:type="dxa"/>
            <w:shd w:val="clear" w:color="auto" w:fill="auto"/>
            <w:vAlign w:val="center"/>
          </w:tcPr>
          <w:p w:rsidR="00854F7C" w:rsidRPr="00921E14" w:rsidRDefault="00854F7C" w:rsidP="001E45AE">
            <w:pPr>
              <w:jc w:val="center"/>
              <w:rPr>
                <w:b/>
              </w:rPr>
            </w:pPr>
          </w:p>
        </w:tc>
        <w:tc>
          <w:tcPr>
            <w:tcW w:w="571" w:type="dxa"/>
            <w:shd w:val="clear" w:color="auto" w:fill="auto"/>
            <w:vAlign w:val="center"/>
          </w:tcPr>
          <w:p w:rsidR="00854F7C" w:rsidRPr="00921E14" w:rsidRDefault="00854F7C" w:rsidP="001E45AE">
            <w:pPr>
              <w:rPr>
                <w:b/>
              </w:rPr>
            </w:pPr>
          </w:p>
        </w:tc>
      </w:tr>
      <w:tr w:rsidR="00854F7C" w:rsidRPr="00921E1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tc>
      </w:tr>
      <w:tr w:rsidR="00854F7C" w:rsidRPr="00921E14" w:rsidTr="001E45AE">
        <w:tblPrEx>
          <w:tblLook w:val="0000" w:firstRow="0" w:lastRow="0" w:firstColumn="0" w:lastColumn="0" w:noHBand="0" w:noVBand="0"/>
        </w:tblPrEx>
        <w:trPr>
          <w:trHeight w:val="208"/>
        </w:trPr>
        <w:tc>
          <w:tcPr>
            <w:tcW w:w="1129" w:type="dxa"/>
            <w:vAlign w:val="center"/>
          </w:tcPr>
          <w:p w:rsidR="00854F7C" w:rsidRPr="00921E14" w:rsidRDefault="00854F7C" w:rsidP="001E45AE"/>
        </w:tc>
        <w:tc>
          <w:tcPr>
            <w:tcW w:w="851" w:type="dxa"/>
            <w:shd w:val="clear" w:color="auto" w:fill="auto"/>
            <w:vAlign w:val="center"/>
          </w:tcPr>
          <w:p w:rsidR="00854F7C" w:rsidRPr="00921E14" w:rsidRDefault="00854F7C" w:rsidP="001E45AE"/>
        </w:tc>
        <w:tc>
          <w:tcPr>
            <w:tcW w:w="992" w:type="dxa"/>
            <w:shd w:val="clear" w:color="auto" w:fill="auto"/>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pPr>
              <w:rPr>
                <w:b/>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Otterco-Regular">
    <w:altName w:val="Times New Roman"/>
    <w:panose1 w:val="00000000000000000000"/>
    <w:charset w:val="00"/>
    <w:family w:val="roman"/>
    <w:notTrueType/>
    <w:pitch w:val="default"/>
  </w:font>
  <w:font w:name="Otterco-Bold">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Times-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23D2E"/>
    <w:multiLevelType w:val="hybridMultilevel"/>
    <w:tmpl w:val="6DB4FA08"/>
    <w:lvl w:ilvl="0" w:tplc="0C0A0001">
      <w:start w:val="1"/>
      <w:numFmt w:val="bullet"/>
      <w:lvlText w:val=""/>
      <w:lvlJc w:val="left"/>
      <w:pPr>
        <w:ind w:left="2424" w:hanging="360"/>
      </w:pPr>
      <w:rPr>
        <w:rFonts w:ascii="Symbol" w:hAnsi="Symbol" w:hint="default"/>
      </w:rPr>
    </w:lvl>
    <w:lvl w:ilvl="1" w:tplc="0C0A0003" w:tentative="1">
      <w:start w:val="1"/>
      <w:numFmt w:val="bullet"/>
      <w:lvlText w:val="o"/>
      <w:lvlJc w:val="left"/>
      <w:pPr>
        <w:ind w:left="3144" w:hanging="360"/>
      </w:pPr>
      <w:rPr>
        <w:rFonts w:ascii="Courier New" w:hAnsi="Courier New" w:cs="Courier New" w:hint="default"/>
      </w:rPr>
    </w:lvl>
    <w:lvl w:ilvl="2" w:tplc="0C0A0005" w:tentative="1">
      <w:start w:val="1"/>
      <w:numFmt w:val="bullet"/>
      <w:lvlText w:val=""/>
      <w:lvlJc w:val="left"/>
      <w:pPr>
        <w:ind w:left="3864" w:hanging="360"/>
      </w:pPr>
      <w:rPr>
        <w:rFonts w:ascii="Wingdings" w:hAnsi="Wingdings" w:hint="default"/>
      </w:rPr>
    </w:lvl>
    <w:lvl w:ilvl="3" w:tplc="0C0A0001" w:tentative="1">
      <w:start w:val="1"/>
      <w:numFmt w:val="bullet"/>
      <w:lvlText w:val=""/>
      <w:lvlJc w:val="left"/>
      <w:pPr>
        <w:ind w:left="4584" w:hanging="360"/>
      </w:pPr>
      <w:rPr>
        <w:rFonts w:ascii="Symbol" w:hAnsi="Symbol" w:hint="default"/>
      </w:rPr>
    </w:lvl>
    <w:lvl w:ilvl="4" w:tplc="0C0A0003" w:tentative="1">
      <w:start w:val="1"/>
      <w:numFmt w:val="bullet"/>
      <w:lvlText w:val="o"/>
      <w:lvlJc w:val="left"/>
      <w:pPr>
        <w:ind w:left="5304" w:hanging="360"/>
      </w:pPr>
      <w:rPr>
        <w:rFonts w:ascii="Courier New" w:hAnsi="Courier New" w:cs="Courier New" w:hint="default"/>
      </w:rPr>
    </w:lvl>
    <w:lvl w:ilvl="5" w:tplc="0C0A0005" w:tentative="1">
      <w:start w:val="1"/>
      <w:numFmt w:val="bullet"/>
      <w:lvlText w:val=""/>
      <w:lvlJc w:val="left"/>
      <w:pPr>
        <w:ind w:left="6024" w:hanging="360"/>
      </w:pPr>
      <w:rPr>
        <w:rFonts w:ascii="Wingdings" w:hAnsi="Wingdings" w:hint="default"/>
      </w:rPr>
    </w:lvl>
    <w:lvl w:ilvl="6" w:tplc="0C0A0001" w:tentative="1">
      <w:start w:val="1"/>
      <w:numFmt w:val="bullet"/>
      <w:lvlText w:val=""/>
      <w:lvlJc w:val="left"/>
      <w:pPr>
        <w:ind w:left="6744" w:hanging="360"/>
      </w:pPr>
      <w:rPr>
        <w:rFonts w:ascii="Symbol" w:hAnsi="Symbol" w:hint="default"/>
      </w:rPr>
    </w:lvl>
    <w:lvl w:ilvl="7" w:tplc="0C0A0003" w:tentative="1">
      <w:start w:val="1"/>
      <w:numFmt w:val="bullet"/>
      <w:lvlText w:val="o"/>
      <w:lvlJc w:val="left"/>
      <w:pPr>
        <w:ind w:left="7464" w:hanging="360"/>
      </w:pPr>
      <w:rPr>
        <w:rFonts w:ascii="Courier New" w:hAnsi="Courier New" w:cs="Courier New" w:hint="default"/>
      </w:rPr>
    </w:lvl>
    <w:lvl w:ilvl="8" w:tplc="0C0A0005" w:tentative="1">
      <w:start w:val="1"/>
      <w:numFmt w:val="bullet"/>
      <w:lvlText w:val=""/>
      <w:lvlJc w:val="left"/>
      <w:pPr>
        <w:ind w:left="81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4E87"/>
    <w:rsid w:val="000849AC"/>
    <w:rsid w:val="00131EC9"/>
    <w:rsid w:val="001338A8"/>
    <w:rsid w:val="001845EF"/>
    <w:rsid w:val="00194074"/>
    <w:rsid w:val="001E45AE"/>
    <w:rsid w:val="00261ABA"/>
    <w:rsid w:val="00275923"/>
    <w:rsid w:val="00307222"/>
    <w:rsid w:val="003F30BA"/>
    <w:rsid w:val="004610D1"/>
    <w:rsid w:val="004647B3"/>
    <w:rsid w:val="004B1A86"/>
    <w:rsid w:val="004B5626"/>
    <w:rsid w:val="004D3600"/>
    <w:rsid w:val="004D4F10"/>
    <w:rsid w:val="004E0D99"/>
    <w:rsid w:val="00600D8D"/>
    <w:rsid w:val="00842105"/>
    <w:rsid w:val="00852D76"/>
    <w:rsid w:val="00854F7C"/>
    <w:rsid w:val="00882DCB"/>
    <w:rsid w:val="008C1C80"/>
    <w:rsid w:val="008D0FA0"/>
    <w:rsid w:val="008E61FC"/>
    <w:rsid w:val="008F0B45"/>
    <w:rsid w:val="008F5CB3"/>
    <w:rsid w:val="00921E14"/>
    <w:rsid w:val="009C26AA"/>
    <w:rsid w:val="00A83A8D"/>
    <w:rsid w:val="00AD1A2A"/>
    <w:rsid w:val="00B34DDB"/>
    <w:rsid w:val="00B57C28"/>
    <w:rsid w:val="00BB77E2"/>
    <w:rsid w:val="00BD745A"/>
    <w:rsid w:val="00BE7CDD"/>
    <w:rsid w:val="00C84761"/>
    <w:rsid w:val="00C924E2"/>
    <w:rsid w:val="00CC083B"/>
    <w:rsid w:val="00D27AB2"/>
    <w:rsid w:val="00D35171"/>
    <w:rsid w:val="00D513B0"/>
    <w:rsid w:val="00D746D2"/>
    <w:rsid w:val="00D768BF"/>
    <w:rsid w:val="00DE6C80"/>
    <w:rsid w:val="00DF5041"/>
    <w:rsid w:val="00E21653"/>
    <w:rsid w:val="00E954FE"/>
    <w:rsid w:val="00EB6AB5"/>
    <w:rsid w:val="00F22B58"/>
    <w:rsid w:val="00F63F2A"/>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paragraph" w:styleId="Prrafodelista">
    <w:name w:val="List Paragraph"/>
    <w:basedOn w:val="Normal"/>
    <w:qFormat/>
    <w:rsid w:val="00EB6AB5"/>
    <w:pPr>
      <w:spacing w:after="160" w:line="259" w:lineRule="auto"/>
      <w:ind w:left="720"/>
      <w:contextualSpacing/>
    </w:pPr>
    <w:rPr>
      <w:rFonts w:asciiTheme="minorHAnsi" w:eastAsiaTheme="minorHAnsi" w:hAnsiTheme="minorHAnsi" w:cstheme="minorBidi"/>
      <w:sz w:val="22"/>
      <w:szCs w:val="22"/>
      <w:lang w:val="es-EC" w:eastAsia="en-US"/>
    </w:rPr>
  </w:style>
  <w:style w:type="character" w:customStyle="1" w:styleId="fontstyle31">
    <w:name w:val="fontstyle31"/>
    <w:basedOn w:val="Fuentedeprrafopredeter"/>
    <w:rsid w:val="00194074"/>
    <w:rPr>
      <w:rFonts w:ascii="Otterco-Regular" w:hAnsi="Otterco-Regular" w:hint="default"/>
      <w:b w:val="0"/>
      <w:bCs w:val="0"/>
      <w:i w:val="0"/>
      <w:iCs w:val="0"/>
      <w:color w:val="33338D"/>
      <w:sz w:val="20"/>
      <w:szCs w:val="20"/>
    </w:rPr>
  </w:style>
  <w:style w:type="character" w:customStyle="1" w:styleId="fontstyle41">
    <w:name w:val="fontstyle41"/>
    <w:basedOn w:val="Fuentedeprrafopredeter"/>
    <w:rsid w:val="00194074"/>
    <w:rPr>
      <w:rFonts w:ascii="Otterco-Bold" w:hAnsi="Otterco-Bold" w:hint="default"/>
      <w:b/>
      <w:bCs/>
      <w:i w:val="0"/>
      <w:iCs w:val="0"/>
      <w:color w:val="EE312D"/>
      <w:sz w:val="14"/>
      <w:szCs w:val="14"/>
    </w:rPr>
  </w:style>
  <w:style w:type="character" w:customStyle="1" w:styleId="fontstyle51">
    <w:name w:val="fontstyle51"/>
    <w:basedOn w:val="Fuentedeprrafopredeter"/>
    <w:rsid w:val="00194074"/>
    <w:rPr>
      <w:rFonts w:ascii="Times-Bold" w:hAnsi="Times-Bold" w:hint="default"/>
      <w:b/>
      <w:bCs/>
      <w:i w:val="0"/>
      <w:iCs w:val="0"/>
      <w:color w:val="000000"/>
      <w:sz w:val="22"/>
      <w:szCs w:val="22"/>
    </w:rPr>
  </w:style>
  <w:style w:type="character" w:customStyle="1" w:styleId="fontstyle61">
    <w:name w:val="fontstyle61"/>
    <w:basedOn w:val="Fuentedeprrafopredeter"/>
    <w:rsid w:val="00194074"/>
    <w:rPr>
      <w:rFonts w:ascii="Times-Roman" w:hAnsi="Times-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paragraph" w:styleId="Prrafodelista">
    <w:name w:val="List Paragraph"/>
    <w:basedOn w:val="Normal"/>
    <w:qFormat/>
    <w:rsid w:val="00EB6AB5"/>
    <w:pPr>
      <w:spacing w:after="160" w:line="259" w:lineRule="auto"/>
      <w:ind w:left="720"/>
      <w:contextualSpacing/>
    </w:pPr>
    <w:rPr>
      <w:rFonts w:asciiTheme="minorHAnsi" w:eastAsiaTheme="minorHAnsi" w:hAnsiTheme="minorHAnsi" w:cstheme="minorBidi"/>
      <w:sz w:val="22"/>
      <w:szCs w:val="22"/>
      <w:lang w:val="es-EC" w:eastAsia="en-US"/>
    </w:rPr>
  </w:style>
  <w:style w:type="character" w:customStyle="1" w:styleId="fontstyle31">
    <w:name w:val="fontstyle31"/>
    <w:basedOn w:val="Fuentedeprrafopredeter"/>
    <w:rsid w:val="00194074"/>
    <w:rPr>
      <w:rFonts w:ascii="Otterco-Regular" w:hAnsi="Otterco-Regular" w:hint="default"/>
      <w:b w:val="0"/>
      <w:bCs w:val="0"/>
      <w:i w:val="0"/>
      <w:iCs w:val="0"/>
      <w:color w:val="33338D"/>
      <w:sz w:val="20"/>
      <w:szCs w:val="20"/>
    </w:rPr>
  </w:style>
  <w:style w:type="character" w:customStyle="1" w:styleId="fontstyle41">
    <w:name w:val="fontstyle41"/>
    <w:basedOn w:val="Fuentedeprrafopredeter"/>
    <w:rsid w:val="00194074"/>
    <w:rPr>
      <w:rFonts w:ascii="Otterco-Bold" w:hAnsi="Otterco-Bold" w:hint="default"/>
      <w:b/>
      <w:bCs/>
      <w:i w:val="0"/>
      <w:iCs w:val="0"/>
      <w:color w:val="EE312D"/>
      <w:sz w:val="14"/>
      <w:szCs w:val="14"/>
    </w:rPr>
  </w:style>
  <w:style w:type="character" w:customStyle="1" w:styleId="fontstyle51">
    <w:name w:val="fontstyle51"/>
    <w:basedOn w:val="Fuentedeprrafopredeter"/>
    <w:rsid w:val="00194074"/>
    <w:rPr>
      <w:rFonts w:ascii="Times-Bold" w:hAnsi="Times-Bold" w:hint="default"/>
      <w:b/>
      <w:bCs/>
      <w:i w:val="0"/>
      <w:iCs w:val="0"/>
      <w:color w:val="000000"/>
      <w:sz w:val="22"/>
      <w:szCs w:val="22"/>
    </w:rPr>
  </w:style>
  <w:style w:type="character" w:customStyle="1" w:styleId="fontstyle61">
    <w:name w:val="fontstyle61"/>
    <w:basedOn w:val="Fuentedeprrafopredeter"/>
    <w:rsid w:val="00194074"/>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F5A3-76BD-4D6F-9CEA-DDBBAD94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1940</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3</cp:revision>
  <dcterms:created xsi:type="dcterms:W3CDTF">2022-08-30T20:44:00Z</dcterms:created>
  <dcterms:modified xsi:type="dcterms:W3CDTF">2022-08-30T21:30:00Z</dcterms:modified>
</cp:coreProperties>
</file>