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458" w:rsidRPr="00707458"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sz w:val="28"/>
          <w:szCs w:val="20"/>
        </w:rPr>
      </w:pPr>
      <w:r w:rsidRPr="00707458">
        <w:rPr>
          <w:rFonts w:ascii="Times New Roman" w:eastAsia="Times New Roman" w:hAnsi="Times New Roman" w:cs="Times New Roman"/>
          <w:b/>
          <w:color w:val="000000"/>
          <w:sz w:val="28"/>
          <w:szCs w:val="20"/>
        </w:rPr>
        <w:t>PROYECTO DE ORDENANZA</w:t>
      </w:r>
    </w:p>
    <w:p w:rsidR="00707458" w:rsidRPr="00707458"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sz w:val="28"/>
          <w:szCs w:val="20"/>
        </w:rPr>
      </w:pPr>
    </w:p>
    <w:p w:rsidR="00707458" w:rsidRPr="00707458"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color w:val="000000"/>
          <w:sz w:val="24"/>
          <w:szCs w:val="20"/>
        </w:rPr>
      </w:pPr>
      <w:r w:rsidRPr="00707458">
        <w:rPr>
          <w:rFonts w:ascii="Times New Roman" w:eastAsia="Times New Roman" w:hAnsi="Times New Roman" w:cs="Times New Roman"/>
          <w:b/>
          <w:color w:val="000000"/>
          <w:sz w:val="28"/>
          <w:szCs w:val="20"/>
        </w:rPr>
        <w:t>EL CONCEJO METROPOLITANO DE QUITO</w:t>
      </w:r>
    </w:p>
    <w:p w:rsidR="00707458"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color w:val="000000"/>
          <w:sz w:val="24"/>
          <w:szCs w:val="20"/>
        </w:rPr>
      </w:pPr>
    </w:p>
    <w:p w:rsidR="009F7204" w:rsidRPr="00707458" w:rsidRDefault="009F7204" w:rsidP="00707458">
      <w:pPr>
        <w:overflowPunct w:val="0"/>
        <w:autoSpaceDE w:val="0"/>
        <w:autoSpaceDN w:val="0"/>
        <w:adjustRightInd w:val="0"/>
        <w:spacing w:after="0" w:line="240" w:lineRule="auto"/>
        <w:jc w:val="center"/>
        <w:rPr>
          <w:rFonts w:ascii="Times New Roman" w:eastAsia="Times New Roman" w:hAnsi="Times New Roman" w:cs="Times New Roman"/>
          <w:color w:val="000000"/>
          <w:sz w:val="24"/>
          <w:szCs w:val="2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color w:val="000000"/>
        </w:rPr>
        <w:t>Visto los informes                                              de la Comisión de Uso de Suelo; y,</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color w:val="000000"/>
        </w:rPr>
        <w:t>En ejercicio de las facultades conferidas por la Ley</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176A72" w:rsidRDefault="00707458" w:rsidP="00707458">
      <w:pPr>
        <w:shd w:val="clear" w:color="auto" w:fill="FFFFFF"/>
        <w:spacing w:after="240"/>
        <w:jc w:val="center"/>
        <w:rPr>
          <w:rFonts w:ascii="Palatino Linotype" w:eastAsia="Times New Roman" w:hAnsi="Palatino Linotype" w:cs="Tahoma"/>
          <w:b/>
          <w:lang w:eastAsia="es-ES"/>
        </w:rPr>
      </w:pPr>
      <w:r w:rsidRPr="00176A72">
        <w:rPr>
          <w:rFonts w:ascii="Palatino Linotype" w:eastAsia="Times New Roman" w:hAnsi="Palatino Linotype" w:cs="Tahoma"/>
          <w:b/>
          <w:lang w:eastAsia="es-ES"/>
        </w:rPr>
        <w:t>CONSIDERANDO:</w:t>
      </w:r>
    </w:p>
    <w:p w:rsidR="00707458" w:rsidRPr="00176A72" w:rsidRDefault="00707458" w:rsidP="00707458">
      <w:pPr>
        <w:spacing w:after="240"/>
        <w:ind w:left="708" w:hanging="708"/>
        <w:jc w:val="both"/>
        <w:rPr>
          <w:rFonts w:ascii="Palatino Linotype" w:eastAsia="Times New Roman" w:hAnsi="Palatino Linotype" w:cs="Tahoma"/>
          <w:lang w:eastAsia="es-ES"/>
        </w:rPr>
      </w:pPr>
      <w:r w:rsidRPr="00176A72">
        <w:rPr>
          <w:rFonts w:ascii="Palatino Linotype" w:eastAsia="Times New Roman" w:hAnsi="Palatino Linotype" w:cs="Tahoma"/>
          <w:b/>
          <w:lang w:eastAsia="es-ES"/>
        </w:rPr>
        <w:t>Que,</w:t>
      </w:r>
      <w:r w:rsidRPr="00176A72">
        <w:rPr>
          <w:rFonts w:ascii="Palatino Linotype" w:eastAsia="Times New Roman" w:hAnsi="Palatino Linotype" w:cs="Tahoma"/>
          <w:lang w:eastAsia="es-ES"/>
        </w:rPr>
        <w:t xml:space="preserve"> </w:t>
      </w:r>
      <w:r w:rsidRPr="00176A72">
        <w:rPr>
          <w:rFonts w:ascii="Palatino Linotype" w:eastAsia="Times New Roman" w:hAnsi="Palatino Linotype" w:cs="Tahoma"/>
          <w:lang w:eastAsia="es-ES"/>
        </w:rPr>
        <w:tab/>
        <w:t>el artículo 240 de la Constitución de la República del Ecuador (en adelante “Constitución”) establece que los gobiernos autónomos descentralizados de las regiones, distritos metropolitanos, provincias y cantones tendrán facultades legislativas en el ámbito de sus competencias y jurisdicciones territoriales;</w:t>
      </w:r>
    </w:p>
    <w:p w:rsidR="00707458" w:rsidRDefault="00707458" w:rsidP="00707458">
      <w:pPr>
        <w:spacing w:after="240"/>
        <w:ind w:left="709" w:hanging="709"/>
        <w:jc w:val="both"/>
        <w:rPr>
          <w:rFonts w:ascii="Palatino Linotype" w:eastAsia="Times New Roman" w:hAnsi="Palatino Linotype" w:cs="Tahoma"/>
          <w:lang w:eastAsia="es-ES"/>
        </w:rPr>
      </w:pPr>
      <w:r w:rsidRPr="00176A72">
        <w:rPr>
          <w:rFonts w:ascii="Palatino Linotype" w:eastAsia="Times New Roman" w:hAnsi="Palatino Linotype" w:cs="Tahoma"/>
          <w:b/>
          <w:lang w:eastAsia="es-ES"/>
        </w:rPr>
        <w:t>Que,</w:t>
      </w:r>
      <w:r w:rsidRPr="00176A72">
        <w:rPr>
          <w:rFonts w:ascii="Palatino Linotype" w:eastAsia="Times New Roman" w:hAnsi="Palatino Linotype" w:cs="Tahoma"/>
          <w:lang w:eastAsia="es-ES"/>
        </w:rPr>
        <w:t xml:space="preserve"> </w:t>
      </w:r>
      <w:r w:rsidRPr="00176A72">
        <w:rPr>
          <w:rFonts w:ascii="Palatino Linotype" w:eastAsia="Times New Roman" w:hAnsi="Palatino Linotype" w:cs="Tahoma"/>
          <w:lang w:eastAsia="es-ES"/>
        </w:rPr>
        <w:tab/>
        <w:t>el numeral 1 del artículo 264 de la Constitución, dentro de las competencias exclusivas de los gobiernos municipales, establece la de planificar el desarrollo cantonal y formular los correspondientes planes de ordenamiento territorial, de manera articulada con la planificación nacional, regional, provincial y parroquial, con el fin de regular el uso y la ocupación del suelo urbano y rural;</w:t>
      </w:r>
    </w:p>
    <w:p w:rsidR="009769AE" w:rsidRPr="00176A72" w:rsidRDefault="009769AE" w:rsidP="00707458">
      <w:pPr>
        <w:spacing w:after="240"/>
        <w:ind w:left="709" w:hanging="709"/>
        <w:jc w:val="both"/>
        <w:rPr>
          <w:rFonts w:ascii="Palatino Linotype" w:eastAsia="Times New Roman" w:hAnsi="Palatino Linotype" w:cs="Tahoma"/>
          <w:lang w:eastAsia="es-ES"/>
        </w:rPr>
      </w:pPr>
      <w:r>
        <w:rPr>
          <w:rFonts w:ascii="Palatino Linotype" w:eastAsia="Times New Roman" w:hAnsi="Palatino Linotype" w:cs="Tahoma"/>
          <w:b/>
          <w:lang w:eastAsia="es-ES"/>
        </w:rPr>
        <w:t xml:space="preserve">Que,  </w:t>
      </w:r>
      <w:r w:rsidRPr="009769AE">
        <w:rPr>
          <w:rFonts w:ascii="Palatino Linotype" w:eastAsia="Times New Roman" w:hAnsi="Palatino Linotype" w:cs="Tahoma"/>
          <w:lang w:eastAsia="es-ES"/>
        </w:rPr>
        <w:t>el ar</w:t>
      </w:r>
      <w:r>
        <w:rPr>
          <w:rFonts w:ascii="Palatino Linotype" w:eastAsia="Times New Roman" w:hAnsi="Palatino Linotype" w:cs="Tahoma"/>
          <w:lang w:eastAsia="es-ES"/>
        </w:rPr>
        <w:t>tículo 7 del Código Orgánico de Organización Territorial, Autonomía y Descentralización, dentro de las facultades normativas señala: “Para el pleno ejercicio de su competencia y de las facultades que de manera concurrente podrá asumir, se reconoce a los concejos regionales y provinciales, concejos metropolitanos y municipales, la capacidad para dictar normas de carácter general, a través de ordenanzas, acuerdos y resoluciones, aplicables dentro de su circunscripción territorial. (</w:t>
      </w:r>
      <w:r w:rsidR="009F7204">
        <w:rPr>
          <w:rFonts w:ascii="Palatino Linotype" w:eastAsia="Times New Roman" w:hAnsi="Palatino Linotype" w:cs="Tahoma"/>
          <w:lang w:eastAsia="es-ES"/>
        </w:rPr>
        <w:t>…)”;</w:t>
      </w:r>
    </w:p>
    <w:p w:rsidR="00707458" w:rsidRPr="00176A72" w:rsidRDefault="00707458" w:rsidP="00707458">
      <w:pPr>
        <w:spacing w:after="240"/>
        <w:ind w:left="709" w:hanging="709"/>
        <w:jc w:val="both"/>
        <w:rPr>
          <w:rFonts w:ascii="Palatino Linotype" w:eastAsia="Times New Roman" w:hAnsi="Palatino Linotype" w:cs="Tahoma"/>
          <w:lang w:eastAsia="es-ES"/>
        </w:rPr>
      </w:pPr>
      <w:r w:rsidRPr="00176A72">
        <w:rPr>
          <w:rFonts w:ascii="Palatino Linotype" w:eastAsia="Times New Roman" w:hAnsi="Palatino Linotype" w:cs="Tahoma"/>
          <w:b/>
          <w:lang w:eastAsia="es-ES"/>
        </w:rPr>
        <w:t>Que,</w:t>
      </w:r>
      <w:r w:rsidRPr="00176A72">
        <w:rPr>
          <w:rFonts w:ascii="Palatino Linotype" w:eastAsia="Times New Roman" w:hAnsi="Palatino Linotype" w:cs="Tahoma"/>
          <w:lang w:eastAsia="es-ES"/>
        </w:rPr>
        <w:t xml:space="preserve"> </w:t>
      </w:r>
      <w:r w:rsidRPr="00176A72">
        <w:rPr>
          <w:rFonts w:ascii="Palatino Linotype" w:eastAsia="Times New Roman" w:hAnsi="Palatino Linotype" w:cs="Tahoma"/>
          <w:lang w:eastAsia="es-ES"/>
        </w:rPr>
        <w:tab/>
        <w:t xml:space="preserve">los literales a) y </w:t>
      </w:r>
      <w:r w:rsidR="006930F2">
        <w:rPr>
          <w:rFonts w:ascii="Palatino Linotype" w:eastAsia="Times New Roman" w:hAnsi="Palatino Linotype" w:cs="Tahoma"/>
          <w:lang w:eastAsia="es-ES"/>
        </w:rPr>
        <w:t>v</w:t>
      </w:r>
      <w:r w:rsidRPr="00176A72">
        <w:rPr>
          <w:rFonts w:ascii="Palatino Linotype" w:eastAsia="Times New Roman" w:hAnsi="Palatino Linotype" w:cs="Tahoma"/>
          <w:lang w:eastAsia="es-ES"/>
        </w:rPr>
        <w:t xml:space="preserve">) del artículo </w:t>
      </w:r>
      <w:r w:rsidR="006930F2">
        <w:rPr>
          <w:rFonts w:ascii="Palatino Linotype" w:eastAsia="Times New Roman" w:hAnsi="Palatino Linotype" w:cs="Tahoma"/>
          <w:lang w:eastAsia="es-ES"/>
        </w:rPr>
        <w:t>8</w:t>
      </w:r>
      <w:r w:rsidRPr="00176A72">
        <w:rPr>
          <w:rFonts w:ascii="Palatino Linotype" w:eastAsia="Times New Roman" w:hAnsi="Palatino Linotype" w:cs="Tahoma"/>
          <w:lang w:eastAsia="es-ES"/>
        </w:rPr>
        <w:t>7, del Código Orgánico de Organización Territorial, Autonomía y Descentralización (en adelante “COOTAD”), respecto de las  atribuciones del concejo m</w:t>
      </w:r>
      <w:r w:rsidR="006930F2">
        <w:rPr>
          <w:rFonts w:ascii="Palatino Linotype" w:eastAsia="Times New Roman" w:hAnsi="Palatino Linotype" w:cs="Tahoma"/>
          <w:lang w:eastAsia="es-ES"/>
        </w:rPr>
        <w:t>etropolitano</w:t>
      </w:r>
      <w:r w:rsidRPr="00176A72">
        <w:rPr>
          <w:rFonts w:ascii="Palatino Linotype" w:eastAsia="Times New Roman" w:hAnsi="Palatino Linotype" w:cs="Tahoma"/>
          <w:lang w:eastAsia="es-ES"/>
        </w:rPr>
        <w:t xml:space="preserve"> establece: “</w:t>
      </w:r>
      <w:r w:rsidRPr="00176A72">
        <w:rPr>
          <w:rFonts w:ascii="Palatino Linotype" w:eastAsia="Times New Roman" w:hAnsi="Palatino Linotype" w:cs="Tahoma"/>
          <w:i/>
          <w:lang w:eastAsia="es-ES"/>
        </w:rPr>
        <w:t>a) ejerc</w:t>
      </w:r>
      <w:r w:rsidR="006930F2">
        <w:rPr>
          <w:rFonts w:ascii="Palatino Linotype" w:eastAsia="Times New Roman" w:hAnsi="Palatino Linotype" w:cs="Tahoma"/>
          <w:i/>
          <w:lang w:eastAsia="es-ES"/>
        </w:rPr>
        <w:t xml:space="preserve">er la </w:t>
      </w:r>
      <w:r w:rsidRPr="00176A72">
        <w:rPr>
          <w:rFonts w:ascii="Palatino Linotype" w:eastAsia="Times New Roman" w:hAnsi="Palatino Linotype" w:cs="Tahoma"/>
          <w:i/>
          <w:lang w:eastAsia="es-ES"/>
        </w:rPr>
        <w:t>facultad normativa en las materias de competencia del gobierno autónomo descentralizado m</w:t>
      </w:r>
      <w:r w:rsidR="006930F2">
        <w:rPr>
          <w:rFonts w:ascii="Palatino Linotype" w:eastAsia="Times New Roman" w:hAnsi="Palatino Linotype" w:cs="Tahoma"/>
          <w:i/>
          <w:lang w:eastAsia="es-ES"/>
        </w:rPr>
        <w:t>etropolitano</w:t>
      </w:r>
      <w:r w:rsidRPr="00176A72">
        <w:rPr>
          <w:rFonts w:ascii="Palatino Linotype" w:eastAsia="Times New Roman" w:hAnsi="Palatino Linotype" w:cs="Tahoma"/>
          <w:i/>
          <w:lang w:eastAsia="es-ES"/>
        </w:rPr>
        <w:t xml:space="preserve">, mediante la expedición de ordenanzas </w:t>
      </w:r>
      <w:r w:rsidR="006930F2">
        <w:rPr>
          <w:rFonts w:ascii="Palatino Linotype" w:eastAsia="Times New Roman" w:hAnsi="Palatino Linotype" w:cs="Tahoma"/>
          <w:i/>
          <w:lang w:eastAsia="es-ES"/>
        </w:rPr>
        <w:t>metropolitanas</w:t>
      </w:r>
      <w:r w:rsidRPr="00176A72">
        <w:rPr>
          <w:rFonts w:ascii="Palatino Linotype" w:eastAsia="Times New Roman" w:hAnsi="Palatino Linotype" w:cs="Tahoma"/>
          <w:i/>
          <w:lang w:eastAsia="es-ES"/>
        </w:rPr>
        <w:t xml:space="preserve">, acuerdos y resoluciones; y, </w:t>
      </w:r>
      <w:r w:rsidR="006930F2">
        <w:rPr>
          <w:rFonts w:ascii="Palatino Linotype" w:eastAsia="Times New Roman" w:hAnsi="Palatino Linotype" w:cs="Tahoma"/>
          <w:i/>
          <w:lang w:eastAsia="es-ES"/>
        </w:rPr>
        <w:t>v</w:t>
      </w:r>
      <w:r w:rsidRPr="00176A72">
        <w:rPr>
          <w:rFonts w:ascii="Palatino Linotype" w:eastAsia="Times New Roman" w:hAnsi="Palatino Linotype" w:cs="Tahoma"/>
          <w:i/>
          <w:lang w:eastAsia="es-ES"/>
        </w:rPr>
        <w:t>) Regular</w:t>
      </w:r>
      <w:r w:rsidR="006930F2">
        <w:rPr>
          <w:rFonts w:ascii="Palatino Linotype" w:eastAsia="Times New Roman" w:hAnsi="Palatino Linotype" w:cs="Tahoma"/>
          <w:i/>
          <w:lang w:eastAsia="es-ES"/>
        </w:rPr>
        <w:t xml:space="preserve"> y controlar el uso en el territorio del distrito metropolitano, de conformidad con las leyes sobre la materia, y establecer el régimen urbanístico de la tierra</w:t>
      </w:r>
      <w:r w:rsidRPr="00176A72">
        <w:rPr>
          <w:rFonts w:ascii="Palatino Linotype" w:eastAsia="Times New Roman" w:hAnsi="Palatino Linotype" w:cs="Tahoma"/>
          <w:i/>
          <w:lang w:eastAsia="es-ES"/>
        </w:rPr>
        <w:t>”</w:t>
      </w:r>
      <w:r w:rsidRPr="00176A72">
        <w:rPr>
          <w:rFonts w:ascii="Palatino Linotype" w:eastAsia="Times New Roman" w:hAnsi="Palatino Linotype" w:cs="Tahoma"/>
          <w:lang w:eastAsia="es-ES"/>
        </w:rPr>
        <w:t xml:space="preserve">; </w:t>
      </w:r>
    </w:p>
    <w:p w:rsidR="00707458" w:rsidRPr="00176A72" w:rsidRDefault="00707458" w:rsidP="00707458">
      <w:pPr>
        <w:spacing w:after="240"/>
        <w:ind w:left="709" w:hanging="709"/>
        <w:jc w:val="both"/>
        <w:rPr>
          <w:rFonts w:ascii="Palatino Linotype" w:eastAsia="Times New Roman" w:hAnsi="Palatino Linotype" w:cs="Tahoma"/>
          <w:lang w:eastAsia="es-ES"/>
        </w:rPr>
      </w:pPr>
      <w:r w:rsidRPr="00176A72">
        <w:rPr>
          <w:rFonts w:ascii="Palatino Linotype" w:eastAsia="Times New Roman" w:hAnsi="Palatino Linotype" w:cs="Tahoma"/>
          <w:b/>
          <w:lang w:eastAsia="es-ES"/>
        </w:rPr>
        <w:t>Que,</w:t>
      </w:r>
      <w:r w:rsidRPr="00176A72">
        <w:rPr>
          <w:rFonts w:ascii="Palatino Linotype" w:eastAsia="Times New Roman" w:hAnsi="Palatino Linotype" w:cs="Tahoma"/>
          <w:lang w:eastAsia="es-ES"/>
        </w:rPr>
        <w:t xml:space="preserve"> </w:t>
      </w:r>
      <w:r w:rsidRPr="00176A72">
        <w:rPr>
          <w:rFonts w:ascii="Palatino Linotype" w:eastAsia="Times New Roman" w:hAnsi="Palatino Linotype" w:cs="Tahoma"/>
          <w:lang w:eastAsia="es-ES"/>
        </w:rPr>
        <w:tab/>
        <w:t>el artículo 322 del COOTAD establece el procedimiento para la emisión de ordenanzas municipales;</w:t>
      </w:r>
    </w:p>
    <w:p w:rsidR="00707458" w:rsidRPr="00176A72" w:rsidRDefault="00707458" w:rsidP="00707458">
      <w:pPr>
        <w:spacing w:after="240"/>
        <w:ind w:left="709" w:hanging="709"/>
        <w:jc w:val="both"/>
        <w:rPr>
          <w:rFonts w:ascii="Palatino Linotype" w:eastAsia="Times New Roman" w:hAnsi="Palatino Linotype" w:cs="Tahoma"/>
          <w:lang w:eastAsia="es-ES"/>
        </w:rPr>
      </w:pPr>
      <w:r w:rsidRPr="00176A72">
        <w:rPr>
          <w:rFonts w:ascii="Palatino Linotype" w:eastAsia="Times New Roman" w:hAnsi="Palatino Linotype" w:cs="Tahoma"/>
          <w:b/>
          <w:lang w:eastAsia="es-ES"/>
        </w:rPr>
        <w:lastRenderedPageBreak/>
        <w:t>Que,</w:t>
      </w:r>
      <w:r w:rsidRPr="00176A72">
        <w:rPr>
          <w:rFonts w:ascii="Palatino Linotype" w:eastAsia="Times New Roman" w:hAnsi="Palatino Linotype" w:cs="Tahoma"/>
          <w:lang w:eastAsia="es-ES"/>
        </w:rPr>
        <w:t xml:space="preserve"> </w:t>
      </w:r>
      <w:r w:rsidRPr="00176A72">
        <w:rPr>
          <w:rFonts w:ascii="Palatino Linotype" w:eastAsia="Times New Roman" w:hAnsi="Palatino Linotype" w:cs="Tahoma"/>
          <w:lang w:eastAsia="es-ES"/>
        </w:rPr>
        <w:tab/>
        <w:t>el numeral 1 del artículo 2 de la Ley Orgánica de Régimen para el Distrito Metropolitano de Quito, establece que el Municipio del Distrito Metropolitano de Quito tiene la competencia exclusiva y privativa de regular el uso y la adecuada ocupación del suelo, ejerciendo control sobre el mismo;</w:t>
      </w:r>
    </w:p>
    <w:p w:rsidR="00707458" w:rsidRPr="00176A72" w:rsidRDefault="00707458" w:rsidP="00707458">
      <w:pPr>
        <w:spacing w:after="240"/>
        <w:ind w:left="709" w:hanging="709"/>
        <w:jc w:val="both"/>
        <w:rPr>
          <w:rFonts w:ascii="Palatino Linotype" w:eastAsia="Times New Roman" w:hAnsi="Palatino Linotype" w:cs="Tahoma"/>
          <w:lang w:eastAsia="es-ES"/>
        </w:rPr>
      </w:pPr>
      <w:r w:rsidRPr="00176A72">
        <w:rPr>
          <w:rFonts w:ascii="Palatino Linotype" w:eastAsia="Times New Roman" w:hAnsi="Palatino Linotype" w:cs="Tahoma"/>
          <w:b/>
          <w:lang w:eastAsia="es-ES"/>
        </w:rPr>
        <w:t>Que,</w:t>
      </w:r>
      <w:r w:rsidRPr="00176A72">
        <w:rPr>
          <w:rFonts w:ascii="Palatino Linotype" w:eastAsia="Times New Roman" w:hAnsi="Palatino Linotype" w:cs="Tahoma"/>
          <w:lang w:eastAsia="es-ES"/>
        </w:rPr>
        <w:t xml:space="preserve"> </w:t>
      </w:r>
      <w:r w:rsidRPr="00176A72">
        <w:rPr>
          <w:rFonts w:ascii="Palatino Linotype" w:eastAsia="Times New Roman" w:hAnsi="Palatino Linotype" w:cs="Tahoma"/>
          <w:lang w:eastAsia="es-ES"/>
        </w:rPr>
        <w:tab/>
        <w:t>la decisión, mediante ordenanza, sobre los asuntos de interés general, relativos al desarrollo integral y a la ordenación urbanística del Distrito, le corresponde al Concejo Metropolitano;</w:t>
      </w:r>
    </w:p>
    <w:p w:rsidR="00707458" w:rsidRPr="00176A72" w:rsidRDefault="00707458" w:rsidP="00707458">
      <w:pPr>
        <w:spacing w:after="240"/>
        <w:ind w:left="709" w:hanging="709"/>
        <w:jc w:val="both"/>
        <w:rPr>
          <w:rFonts w:ascii="Palatino Linotype" w:eastAsia="Times New Roman" w:hAnsi="Palatino Linotype" w:cs="Tahoma"/>
          <w:lang w:eastAsia="es-ES"/>
        </w:rPr>
      </w:pPr>
      <w:r w:rsidRPr="00176A72">
        <w:rPr>
          <w:rFonts w:ascii="Palatino Linotype" w:eastAsia="Times New Roman" w:hAnsi="Palatino Linotype" w:cs="Tahoma"/>
          <w:b/>
          <w:lang w:eastAsia="es-ES"/>
        </w:rPr>
        <w:t>Que,</w:t>
      </w:r>
      <w:r w:rsidRPr="00176A72">
        <w:rPr>
          <w:rFonts w:ascii="Palatino Linotype" w:eastAsia="Times New Roman" w:hAnsi="Palatino Linotype" w:cs="Tahoma"/>
          <w:lang w:eastAsia="es-ES"/>
        </w:rPr>
        <w:t xml:space="preserve"> </w:t>
      </w:r>
      <w:r w:rsidRPr="00176A72">
        <w:rPr>
          <w:rFonts w:ascii="Palatino Linotype" w:eastAsia="Times New Roman" w:hAnsi="Palatino Linotype" w:cs="Tahoma"/>
          <w:lang w:eastAsia="es-ES"/>
        </w:rPr>
        <w:tab/>
      </w:r>
      <w:r w:rsidRPr="00176A72">
        <w:rPr>
          <w:rFonts w:ascii="Palatino Linotype" w:eastAsia="Times New Roman" w:hAnsi="Palatino Linotype" w:cs="Arial"/>
          <w:bCs/>
          <w:lang w:eastAsia="es-ES"/>
        </w:rPr>
        <w:t xml:space="preserve">mediante Ordenanza 2328 de 12 de marzo de 1984, el I. Concejo Municipal de Quito, aprueba La Urbanización denominada “Wilson  &amp; Company””, protocolizada el catorce de septiembre de 1984, ante el doctor </w:t>
      </w:r>
      <w:r w:rsidR="00DB3E8B" w:rsidRPr="00176A72">
        <w:rPr>
          <w:rFonts w:ascii="Palatino Linotype" w:eastAsia="Times New Roman" w:hAnsi="Palatino Linotype" w:cs="Arial"/>
          <w:bCs/>
          <w:lang w:eastAsia="es-ES"/>
        </w:rPr>
        <w:t>Jaime</w:t>
      </w:r>
      <w:r w:rsidRPr="00176A72">
        <w:rPr>
          <w:rFonts w:ascii="Palatino Linotype" w:eastAsia="Times New Roman" w:hAnsi="Palatino Linotype" w:cs="Arial"/>
          <w:bCs/>
          <w:lang w:eastAsia="es-ES"/>
        </w:rPr>
        <w:t xml:space="preserve"> Nolivos  Maldonado, Notario Décimo Segundo del Cantón Quito, e inscrita en el </w:t>
      </w:r>
      <w:r w:rsidR="00DB3E8B" w:rsidRPr="00176A72">
        <w:rPr>
          <w:rFonts w:ascii="Palatino Linotype" w:eastAsia="Times New Roman" w:hAnsi="Palatino Linotype" w:cs="Arial"/>
          <w:bCs/>
          <w:lang w:eastAsia="es-ES"/>
        </w:rPr>
        <w:t>Registro</w:t>
      </w:r>
      <w:r w:rsidRPr="00176A72">
        <w:rPr>
          <w:rFonts w:ascii="Palatino Linotype" w:eastAsia="Times New Roman" w:hAnsi="Palatino Linotype" w:cs="Arial"/>
          <w:bCs/>
          <w:lang w:eastAsia="es-ES"/>
        </w:rPr>
        <w:t xml:space="preserve"> de la propiedad el 4 de septiembre de 1997</w:t>
      </w:r>
      <w:r w:rsidRPr="00176A72">
        <w:rPr>
          <w:rFonts w:ascii="Palatino Linotype" w:eastAsia="Times New Roman" w:hAnsi="Palatino Linotype" w:cs="Tahoma"/>
          <w:lang w:eastAsia="es-ES"/>
        </w:rPr>
        <w:t xml:space="preserve">; </w:t>
      </w:r>
    </w:p>
    <w:p w:rsidR="00707458" w:rsidRPr="00176A72" w:rsidRDefault="00707458" w:rsidP="00707458">
      <w:pPr>
        <w:spacing w:after="240"/>
        <w:ind w:left="709" w:hanging="709"/>
        <w:jc w:val="both"/>
        <w:rPr>
          <w:rFonts w:ascii="Palatino Linotype" w:eastAsia="Times New Roman" w:hAnsi="Palatino Linotype" w:cs="Tahoma"/>
          <w:lang w:eastAsia="es-ES"/>
        </w:rPr>
      </w:pPr>
      <w:r w:rsidRPr="00176A72">
        <w:rPr>
          <w:rFonts w:ascii="Palatino Linotype" w:eastAsia="Times New Roman" w:hAnsi="Palatino Linotype" w:cs="Tahoma"/>
          <w:b/>
          <w:lang w:eastAsia="es-ES"/>
        </w:rPr>
        <w:t>Que,</w:t>
      </w:r>
      <w:r w:rsidRPr="00176A72">
        <w:rPr>
          <w:rFonts w:ascii="Palatino Linotype" w:eastAsia="Times New Roman" w:hAnsi="Palatino Linotype" w:cs="Tahoma"/>
          <w:lang w:eastAsia="es-ES"/>
        </w:rPr>
        <w:t xml:space="preserve"> </w:t>
      </w:r>
      <w:r w:rsidRPr="00176A72">
        <w:rPr>
          <w:rFonts w:ascii="Palatino Linotype" w:eastAsia="Times New Roman" w:hAnsi="Palatino Linotype" w:cs="Tahoma"/>
          <w:lang w:eastAsia="es-ES"/>
        </w:rPr>
        <w:tab/>
      </w:r>
      <w:r w:rsidRPr="00176A72">
        <w:rPr>
          <w:rFonts w:ascii="Palatino Linotype" w:eastAsia="Times New Roman" w:hAnsi="Palatino Linotype" w:cs="Arial"/>
          <w:bCs/>
          <w:lang w:eastAsia="es-ES"/>
        </w:rPr>
        <w:t xml:space="preserve">Con Oficio de </w:t>
      </w:r>
      <w:r w:rsidR="002D77D8" w:rsidRPr="00176A72">
        <w:rPr>
          <w:rFonts w:ascii="Palatino Linotype" w:eastAsia="Times New Roman" w:hAnsi="Palatino Linotype" w:cs="Arial"/>
          <w:bCs/>
          <w:lang w:eastAsia="es-ES"/>
        </w:rPr>
        <w:t>fecha 6 de enero de 2016, el</w:t>
      </w:r>
      <w:r w:rsidRPr="00176A72">
        <w:rPr>
          <w:rFonts w:ascii="Palatino Linotype" w:eastAsia="Times New Roman" w:hAnsi="Palatino Linotype" w:cs="Arial"/>
          <w:bCs/>
          <w:lang w:eastAsia="es-ES"/>
        </w:rPr>
        <w:t xml:space="preserve"> señor</w:t>
      </w:r>
      <w:r w:rsidR="002D77D8" w:rsidRPr="00176A72">
        <w:rPr>
          <w:rFonts w:ascii="Palatino Linotype" w:eastAsia="Times New Roman" w:hAnsi="Palatino Linotype" w:cs="Arial"/>
          <w:bCs/>
          <w:lang w:eastAsia="es-ES"/>
        </w:rPr>
        <w:t xml:space="preserve"> Jaime </w:t>
      </w:r>
      <w:proofErr w:type="spellStart"/>
      <w:r w:rsidR="002D77D8" w:rsidRPr="00176A72">
        <w:rPr>
          <w:rFonts w:ascii="Palatino Linotype" w:eastAsia="Times New Roman" w:hAnsi="Palatino Linotype" w:cs="Arial"/>
          <w:bCs/>
          <w:lang w:eastAsia="es-ES"/>
        </w:rPr>
        <w:t>Crow</w:t>
      </w:r>
      <w:proofErr w:type="spellEnd"/>
      <w:r w:rsidR="002D77D8" w:rsidRPr="00176A72">
        <w:rPr>
          <w:rFonts w:ascii="Palatino Linotype" w:eastAsia="Times New Roman" w:hAnsi="Palatino Linotype" w:cs="Arial"/>
          <w:bCs/>
          <w:lang w:eastAsia="es-ES"/>
        </w:rPr>
        <w:t xml:space="preserve"> Jarrín</w:t>
      </w:r>
      <w:r w:rsidRPr="00176A72">
        <w:rPr>
          <w:rFonts w:ascii="Palatino Linotype" w:eastAsia="Times New Roman" w:hAnsi="Palatino Linotype" w:cs="Arial"/>
          <w:bCs/>
          <w:lang w:eastAsia="es-ES"/>
        </w:rPr>
        <w:t>, en su calidad</w:t>
      </w:r>
      <w:r w:rsidR="002D77D8" w:rsidRPr="00176A72">
        <w:rPr>
          <w:rFonts w:ascii="Palatino Linotype" w:eastAsia="Times New Roman" w:hAnsi="Palatino Linotype" w:cs="Arial"/>
          <w:bCs/>
          <w:lang w:eastAsia="es-ES"/>
        </w:rPr>
        <w:t xml:space="preserve"> Presidente del Comité Pro Mejoras del Barrio Wilson</w:t>
      </w:r>
      <w:r w:rsidRPr="00176A72">
        <w:rPr>
          <w:rFonts w:ascii="Palatino Linotype" w:eastAsia="Times New Roman" w:hAnsi="Palatino Linotype" w:cs="Arial"/>
          <w:bCs/>
          <w:lang w:eastAsia="es-ES"/>
        </w:rPr>
        <w:t xml:space="preserve">, solicita se continúe con el procedimiento para la </w:t>
      </w:r>
      <w:r w:rsidR="0047264D">
        <w:rPr>
          <w:rFonts w:ascii="Palatino Linotype" w:eastAsia="Times New Roman" w:hAnsi="Palatino Linotype" w:cs="Arial"/>
          <w:bCs/>
          <w:lang w:eastAsia="es-ES"/>
        </w:rPr>
        <w:t>reformatoria</w:t>
      </w:r>
      <w:r w:rsidRPr="00176A72">
        <w:rPr>
          <w:rFonts w:ascii="Palatino Linotype" w:eastAsia="Times New Roman" w:hAnsi="Palatino Linotype" w:cs="Arial"/>
          <w:bCs/>
          <w:lang w:eastAsia="es-ES"/>
        </w:rPr>
        <w:t xml:space="preserve"> de la Ordenanza No. 2328</w:t>
      </w:r>
      <w:r w:rsidR="002D77D8" w:rsidRPr="00176A72">
        <w:rPr>
          <w:rFonts w:ascii="Palatino Linotype" w:eastAsia="Times New Roman" w:hAnsi="Palatino Linotype" w:cs="Arial"/>
          <w:bCs/>
          <w:lang w:eastAsia="es-ES"/>
        </w:rPr>
        <w:t>, en cuanto se refiere a</w:t>
      </w:r>
      <w:r w:rsidR="0003618B">
        <w:rPr>
          <w:rFonts w:ascii="Palatino Linotype" w:eastAsia="Times New Roman" w:hAnsi="Palatino Linotype" w:cs="Arial"/>
          <w:bCs/>
          <w:lang w:eastAsia="es-ES"/>
        </w:rPr>
        <w:t>l cambio de material de vías de pavimento a empedrado</w:t>
      </w:r>
      <w:r w:rsidRPr="00176A72">
        <w:rPr>
          <w:rFonts w:ascii="Palatino Linotype" w:eastAsia="Times New Roman" w:hAnsi="Palatino Linotype" w:cs="Arial"/>
          <w:bCs/>
          <w:lang w:eastAsia="es-ES"/>
        </w:rPr>
        <w:t>;</w:t>
      </w:r>
      <w:r w:rsidRPr="00176A72">
        <w:rPr>
          <w:rFonts w:ascii="Palatino Linotype" w:eastAsia="Times New Roman" w:hAnsi="Palatino Linotype" w:cs="Tahoma"/>
          <w:lang w:eastAsia="es-ES"/>
        </w:rPr>
        <w:t xml:space="preserve"> </w:t>
      </w:r>
    </w:p>
    <w:p w:rsidR="00707458" w:rsidRPr="00176A72" w:rsidRDefault="00707458" w:rsidP="00707458">
      <w:pPr>
        <w:spacing w:after="240"/>
        <w:ind w:left="709" w:hanging="709"/>
        <w:jc w:val="both"/>
        <w:rPr>
          <w:rFonts w:ascii="Palatino Linotype" w:eastAsia="Times New Roman" w:hAnsi="Palatino Linotype" w:cs="Tahoma"/>
          <w:lang w:eastAsia="es-ES"/>
        </w:rPr>
      </w:pPr>
      <w:r w:rsidRPr="00176A72">
        <w:rPr>
          <w:rFonts w:ascii="Palatino Linotype" w:eastAsia="Times New Roman" w:hAnsi="Palatino Linotype" w:cs="Tahoma"/>
          <w:b/>
          <w:lang w:eastAsia="es-ES"/>
        </w:rPr>
        <w:t>Que,</w:t>
      </w:r>
      <w:r w:rsidRPr="00176A72">
        <w:rPr>
          <w:rFonts w:ascii="Palatino Linotype" w:eastAsia="Times New Roman" w:hAnsi="Palatino Linotype" w:cs="Tahoma"/>
          <w:lang w:eastAsia="es-ES"/>
        </w:rPr>
        <w:t xml:space="preserve"> </w:t>
      </w:r>
      <w:r w:rsidRPr="00176A72">
        <w:rPr>
          <w:rFonts w:ascii="Palatino Linotype" w:eastAsia="Times New Roman" w:hAnsi="Palatino Linotype" w:cs="Tahoma"/>
          <w:lang w:eastAsia="es-ES"/>
        </w:rPr>
        <w:tab/>
        <w:t xml:space="preserve">mediante </w:t>
      </w:r>
      <w:r w:rsidR="00AE510D" w:rsidRPr="00176A72">
        <w:rPr>
          <w:rFonts w:ascii="Palatino Linotype" w:eastAsia="Times New Roman" w:hAnsi="Palatino Linotype" w:cs="Tahoma"/>
          <w:lang w:eastAsia="es-ES"/>
        </w:rPr>
        <w:t>Memorando</w:t>
      </w:r>
      <w:r w:rsidR="00F57B3E">
        <w:rPr>
          <w:rFonts w:ascii="Palatino Linotype" w:eastAsia="Times New Roman" w:hAnsi="Palatino Linotype" w:cs="Tahoma"/>
          <w:lang w:eastAsia="es-ES"/>
        </w:rPr>
        <w:t>s</w:t>
      </w:r>
      <w:r w:rsidR="00AE510D" w:rsidRPr="00176A72">
        <w:rPr>
          <w:rFonts w:ascii="Palatino Linotype" w:eastAsia="Times New Roman" w:hAnsi="Palatino Linotype" w:cs="Tahoma"/>
          <w:lang w:eastAsia="es-ES"/>
        </w:rPr>
        <w:t xml:space="preserve"> No</w:t>
      </w:r>
      <w:r w:rsidR="00F57B3E">
        <w:rPr>
          <w:rFonts w:ascii="Palatino Linotype" w:eastAsia="Times New Roman" w:hAnsi="Palatino Linotype" w:cs="Tahoma"/>
          <w:lang w:eastAsia="es-ES"/>
        </w:rPr>
        <w:t>s</w:t>
      </w:r>
      <w:r w:rsidR="00AE510D" w:rsidRPr="00176A72">
        <w:rPr>
          <w:rFonts w:ascii="Palatino Linotype" w:eastAsia="Times New Roman" w:hAnsi="Palatino Linotype" w:cs="Tahoma"/>
          <w:lang w:eastAsia="es-ES"/>
        </w:rPr>
        <w:t xml:space="preserve">. </w:t>
      </w:r>
      <w:r w:rsidR="00F57B3E" w:rsidRPr="00F57B3E">
        <w:rPr>
          <w:rFonts w:ascii="Times New Roman" w:eastAsia="Times New Roman" w:hAnsi="Times New Roman" w:cs="Times New Roman"/>
          <w:sz w:val="24"/>
          <w:szCs w:val="24"/>
        </w:rPr>
        <w:t>STHV-DMDU-2021-0263-M</w:t>
      </w:r>
      <w:r w:rsidR="00F57B3E">
        <w:rPr>
          <w:rFonts w:ascii="Times New Roman" w:eastAsia="Times New Roman" w:hAnsi="Times New Roman" w:cs="Times New Roman"/>
          <w:sz w:val="24"/>
          <w:szCs w:val="24"/>
        </w:rPr>
        <w:t xml:space="preserve">, </w:t>
      </w:r>
      <w:r w:rsidR="00F57B3E" w:rsidRPr="00F57B3E">
        <w:rPr>
          <w:rFonts w:ascii="Times New Roman" w:eastAsia="Times New Roman" w:hAnsi="Times New Roman" w:cs="Times New Roman"/>
          <w:sz w:val="24"/>
          <w:szCs w:val="24"/>
        </w:rPr>
        <w:t>STHV-DMGT-2021-1228-M</w:t>
      </w:r>
      <w:r w:rsidR="00F57B3E">
        <w:rPr>
          <w:rFonts w:ascii="Times New Roman" w:eastAsia="Times New Roman" w:hAnsi="Times New Roman" w:cs="Times New Roman"/>
          <w:sz w:val="24"/>
          <w:szCs w:val="24"/>
        </w:rPr>
        <w:t xml:space="preserve">, </w:t>
      </w:r>
      <w:r w:rsidR="00F57B3E" w:rsidRPr="00F57B3E">
        <w:rPr>
          <w:rFonts w:ascii="Times New Roman" w:eastAsia="Times New Roman" w:hAnsi="Times New Roman" w:cs="Times New Roman"/>
          <w:sz w:val="24"/>
          <w:szCs w:val="24"/>
        </w:rPr>
        <w:t xml:space="preserve"> STHV-DMDU-2021-0280-M</w:t>
      </w:r>
      <w:r w:rsidR="00F57B3E">
        <w:rPr>
          <w:rFonts w:ascii="Times New Roman" w:eastAsia="Times New Roman" w:hAnsi="Times New Roman" w:cs="Times New Roman"/>
          <w:sz w:val="24"/>
          <w:szCs w:val="24"/>
        </w:rPr>
        <w:t xml:space="preserve"> </w:t>
      </w:r>
      <w:r w:rsidR="00F57B3E" w:rsidRPr="00F57B3E">
        <w:rPr>
          <w:rFonts w:ascii="Times New Roman" w:eastAsia="Times New Roman" w:hAnsi="Times New Roman" w:cs="Times New Roman"/>
          <w:sz w:val="24"/>
          <w:szCs w:val="24"/>
        </w:rPr>
        <w:t>del 7</w:t>
      </w:r>
      <w:r w:rsidR="00F57B3E">
        <w:rPr>
          <w:rFonts w:ascii="Times New Roman" w:eastAsia="Times New Roman" w:hAnsi="Times New Roman" w:cs="Times New Roman"/>
          <w:sz w:val="24"/>
          <w:szCs w:val="24"/>
        </w:rPr>
        <w:t>, 14 y 20 de octubre de 2021</w:t>
      </w:r>
      <w:r w:rsidR="00AE510D" w:rsidRPr="00176A72">
        <w:rPr>
          <w:rFonts w:ascii="Palatino Linotype" w:eastAsia="Times New Roman" w:hAnsi="Palatino Linotype" w:cs="Tahoma"/>
          <w:lang w:eastAsia="es-ES"/>
        </w:rPr>
        <w:t xml:space="preserve">, la Dirección Metropolitana de Desarrollo Urbanístico, </w:t>
      </w:r>
      <w:r w:rsidR="00F57B3E" w:rsidRPr="00F57B3E">
        <w:rPr>
          <w:rFonts w:ascii="Times New Roman" w:eastAsia="Times New Roman" w:hAnsi="Times New Roman" w:cs="Times New Roman"/>
          <w:sz w:val="24"/>
          <w:szCs w:val="24"/>
        </w:rPr>
        <w:t>remite el Informe Técnico que contiene su pronunciamiento en lo que respecta al cambio de material sobre la vía, mismo que servirá de insumo para complementar el informe que expida la Secretaría de Territorio, Hábitat y Vivienda, a través de la Dirección Metropolitana de Gestión Territorial</w:t>
      </w:r>
      <w:r w:rsidRPr="00176A72">
        <w:rPr>
          <w:rFonts w:ascii="Palatino Linotype" w:eastAsia="Times New Roman" w:hAnsi="Palatino Linotype" w:cs="Tahoma"/>
          <w:lang w:eastAsia="es-ES"/>
        </w:rPr>
        <w:t>;</w:t>
      </w:r>
      <w:r w:rsidR="00F57B3E">
        <w:rPr>
          <w:rFonts w:ascii="Palatino Linotype" w:eastAsia="Times New Roman" w:hAnsi="Palatino Linotype" w:cs="Tahoma"/>
          <w:lang w:eastAsia="es-ES"/>
        </w:rPr>
        <w:t xml:space="preserve"> </w:t>
      </w:r>
    </w:p>
    <w:p w:rsidR="00EA178C" w:rsidRDefault="00707458" w:rsidP="00707458">
      <w:pPr>
        <w:spacing w:after="240"/>
        <w:ind w:left="709" w:hanging="709"/>
        <w:jc w:val="both"/>
      </w:pPr>
      <w:r w:rsidRPr="00176A72">
        <w:rPr>
          <w:rFonts w:ascii="Palatino Linotype" w:eastAsia="Times New Roman" w:hAnsi="Palatino Linotype" w:cs="Tahoma"/>
          <w:b/>
          <w:lang w:eastAsia="es-ES"/>
        </w:rPr>
        <w:t>Que,</w:t>
      </w:r>
      <w:r w:rsidRPr="00176A72">
        <w:rPr>
          <w:rFonts w:ascii="Palatino Linotype" w:eastAsia="Times New Roman" w:hAnsi="Palatino Linotype" w:cs="Tahoma"/>
          <w:lang w:eastAsia="es-ES"/>
        </w:rPr>
        <w:t xml:space="preserve"> </w:t>
      </w:r>
      <w:r w:rsidRPr="00176A72">
        <w:rPr>
          <w:rFonts w:ascii="Palatino Linotype" w:eastAsia="Times New Roman" w:hAnsi="Palatino Linotype" w:cs="Tahoma"/>
          <w:lang w:eastAsia="es-ES"/>
        </w:rPr>
        <w:tab/>
        <w:t>mediante Oficio No</w:t>
      </w:r>
      <w:r w:rsidR="00697E39">
        <w:rPr>
          <w:rFonts w:ascii="Palatino Linotype" w:eastAsia="Times New Roman" w:hAnsi="Palatino Linotype" w:cs="Tahoma"/>
          <w:lang w:eastAsia="es-ES"/>
        </w:rPr>
        <w:t>.</w:t>
      </w:r>
      <w:bookmarkStart w:id="0" w:name="_GoBack"/>
      <w:bookmarkEnd w:id="0"/>
      <w:r w:rsidR="0047264D">
        <w:rPr>
          <w:rFonts w:ascii="Palatino Linotype" w:eastAsia="Times New Roman" w:hAnsi="Palatino Linotype" w:cs="Tahoma"/>
          <w:lang w:eastAsia="es-ES"/>
        </w:rPr>
        <w:t xml:space="preserve"> STHV-DMGT-2021-4386-O  de 29</w:t>
      </w:r>
      <w:r w:rsidRPr="00176A72">
        <w:rPr>
          <w:rFonts w:ascii="Palatino Linotype" w:eastAsia="Times New Roman" w:hAnsi="Palatino Linotype" w:cs="Tahoma"/>
          <w:lang w:eastAsia="es-ES"/>
        </w:rPr>
        <w:t xml:space="preserve"> de</w:t>
      </w:r>
      <w:r w:rsidR="0047264D">
        <w:rPr>
          <w:rFonts w:ascii="Palatino Linotype" w:eastAsia="Times New Roman" w:hAnsi="Palatino Linotype" w:cs="Tahoma"/>
          <w:lang w:eastAsia="es-ES"/>
        </w:rPr>
        <w:t xml:space="preserve"> octubre</w:t>
      </w:r>
      <w:r w:rsidRPr="00176A72">
        <w:rPr>
          <w:rFonts w:ascii="Palatino Linotype" w:eastAsia="Times New Roman" w:hAnsi="Palatino Linotype" w:cs="Tahoma"/>
          <w:lang w:eastAsia="es-ES"/>
        </w:rPr>
        <w:t xml:space="preserve"> 20</w:t>
      </w:r>
      <w:r w:rsidR="00EA178C">
        <w:rPr>
          <w:rFonts w:ascii="Palatino Linotype" w:eastAsia="Times New Roman" w:hAnsi="Palatino Linotype" w:cs="Tahoma"/>
          <w:lang w:eastAsia="es-ES"/>
        </w:rPr>
        <w:t>21</w:t>
      </w:r>
      <w:r w:rsidRPr="00176A72">
        <w:rPr>
          <w:rFonts w:ascii="Palatino Linotype" w:eastAsia="Times New Roman" w:hAnsi="Palatino Linotype" w:cs="Tahoma"/>
          <w:lang w:eastAsia="es-ES"/>
        </w:rPr>
        <w:t xml:space="preserve">, </w:t>
      </w:r>
      <w:r w:rsidR="00EA178C">
        <w:rPr>
          <w:rFonts w:ascii="Palatino Linotype" w:eastAsia="Times New Roman" w:hAnsi="Palatino Linotype" w:cs="Tahoma"/>
          <w:lang w:eastAsia="es-ES"/>
        </w:rPr>
        <w:t xml:space="preserve">la Dirección Metropolitana de Gestión Territorial, de la Secretaría de Territorio, Hábitat y Vivienda, </w:t>
      </w:r>
      <w:r w:rsidR="00EA178C">
        <w:t>emite informe técnico favorable para que se modifique el material de las vías a empedrado con aceras ajardinadas, en la Urbanización “Wilson &amp; Company”.</w:t>
      </w:r>
    </w:p>
    <w:p w:rsidR="00707458" w:rsidRPr="00176A72" w:rsidRDefault="00EA178C" w:rsidP="00707458">
      <w:pPr>
        <w:spacing w:after="240"/>
        <w:ind w:left="709" w:hanging="709"/>
        <w:jc w:val="both"/>
        <w:rPr>
          <w:rFonts w:ascii="Palatino Linotype" w:eastAsia="Times New Roman" w:hAnsi="Palatino Linotype" w:cs="Tahoma"/>
          <w:lang w:eastAsia="es-ES"/>
        </w:rPr>
      </w:pPr>
      <w:r w:rsidRPr="00EA178C">
        <w:rPr>
          <w:rFonts w:ascii="Palatino Linotype" w:eastAsia="Times New Roman" w:hAnsi="Palatino Linotype" w:cs="Tahoma"/>
          <w:b/>
          <w:lang w:eastAsia="es-ES"/>
        </w:rPr>
        <w:t>Que</w:t>
      </w:r>
      <w:r>
        <w:rPr>
          <w:rFonts w:ascii="Palatino Linotype" w:eastAsia="Times New Roman" w:hAnsi="Palatino Linotype" w:cs="Tahoma"/>
          <w:lang w:eastAsia="es-ES"/>
        </w:rPr>
        <w:t>,    la Procuraduría Metropolitana</w:t>
      </w:r>
      <w:r w:rsidR="00707458" w:rsidRPr="00176A72">
        <w:rPr>
          <w:rFonts w:ascii="Palatino Linotype" w:eastAsia="Times New Roman" w:hAnsi="Palatino Linotype" w:cs="Tahoma"/>
          <w:lang w:eastAsia="es-ES"/>
        </w:rPr>
        <w:t xml:space="preserve">, </w:t>
      </w:r>
      <w:r>
        <w:rPr>
          <w:rFonts w:ascii="Palatino Linotype" w:eastAsia="Times New Roman" w:hAnsi="Palatino Linotype" w:cs="Tahoma"/>
          <w:lang w:eastAsia="es-ES"/>
        </w:rPr>
        <w:t>mediante oficio No…</w:t>
      </w:r>
      <w:r w:rsidR="0047264D">
        <w:rPr>
          <w:rFonts w:ascii="Palatino Linotype" w:eastAsia="Times New Roman" w:hAnsi="Palatino Linotype" w:cs="Tahoma"/>
          <w:lang w:eastAsia="es-ES"/>
        </w:rPr>
        <w:t xml:space="preserve"> GADDMQ-PM-2022-0479-O d</w:t>
      </w:r>
      <w:r>
        <w:rPr>
          <w:rFonts w:ascii="Palatino Linotype" w:eastAsia="Times New Roman" w:hAnsi="Palatino Linotype" w:cs="Tahoma"/>
          <w:lang w:eastAsia="es-ES"/>
        </w:rPr>
        <w:t>e</w:t>
      </w:r>
      <w:r w:rsidR="0047264D">
        <w:rPr>
          <w:rFonts w:ascii="Palatino Linotype" w:eastAsia="Times New Roman" w:hAnsi="Palatino Linotype" w:cs="Tahoma"/>
          <w:lang w:eastAsia="es-ES"/>
        </w:rPr>
        <w:t xml:space="preserve"> 2 </w:t>
      </w:r>
      <w:r>
        <w:rPr>
          <w:rFonts w:ascii="Palatino Linotype" w:eastAsia="Times New Roman" w:hAnsi="Palatino Linotype" w:cs="Tahoma"/>
          <w:lang w:eastAsia="es-ES"/>
        </w:rPr>
        <w:t>de</w:t>
      </w:r>
      <w:r w:rsidR="0047264D">
        <w:rPr>
          <w:rFonts w:ascii="Palatino Linotype" w:eastAsia="Times New Roman" w:hAnsi="Palatino Linotype" w:cs="Tahoma"/>
          <w:lang w:eastAsia="es-ES"/>
        </w:rPr>
        <w:t xml:space="preserve"> febrero </w:t>
      </w:r>
      <w:r>
        <w:rPr>
          <w:rFonts w:ascii="Palatino Linotype" w:eastAsia="Times New Roman" w:hAnsi="Palatino Linotype" w:cs="Tahoma"/>
          <w:lang w:eastAsia="es-ES"/>
        </w:rPr>
        <w:t>202</w:t>
      </w:r>
      <w:r w:rsidR="0047264D">
        <w:rPr>
          <w:rFonts w:ascii="Palatino Linotype" w:eastAsia="Times New Roman" w:hAnsi="Palatino Linotype" w:cs="Tahoma"/>
          <w:lang w:eastAsia="es-ES"/>
        </w:rPr>
        <w:t>2</w:t>
      </w:r>
      <w:r>
        <w:rPr>
          <w:rFonts w:ascii="Palatino Linotype" w:eastAsia="Times New Roman" w:hAnsi="Palatino Linotype" w:cs="Tahoma"/>
          <w:lang w:eastAsia="es-ES"/>
        </w:rPr>
        <w:t xml:space="preserve">, </w:t>
      </w:r>
      <w:r w:rsidR="00707458" w:rsidRPr="00176A72">
        <w:rPr>
          <w:rFonts w:ascii="Palatino Linotype" w:eastAsia="Times New Roman" w:hAnsi="Palatino Linotype" w:cs="Tahoma"/>
          <w:lang w:eastAsia="es-ES"/>
        </w:rPr>
        <w:t xml:space="preserve">emite su criterio legal favorable respecto de la referida reforma.  </w:t>
      </w:r>
    </w:p>
    <w:p w:rsidR="00707458" w:rsidRDefault="00707458" w:rsidP="00707458">
      <w:pPr>
        <w:spacing w:after="240"/>
        <w:jc w:val="both"/>
        <w:rPr>
          <w:rFonts w:ascii="Palatino Linotype" w:eastAsia="Times New Roman" w:hAnsi="Palatino Linotype" w:cs="Tahoma"/>
          <w:b/>
          <w:lang w:eastAsia="es-ES"/>
        </w:rPr>
      </w:pPr>
      <w:r w:rsidRPr="00176A72">
        <w:rPr>
          <w:rFonts w:ascii="Palatino Linotype" w:eastAsia="Times New Roman" w:hAnsi="Palatino Linotype" w:cs="Tahoma"/>
          <w:b/>
          <w:lang w:eastAsia="es-ES"/>
        </w:rPr>
        <w:t>En ejercicio de sus atribuciones legales constantes en el artículo 240 y artículo 264 numeral 1 de la Constitución de la República del Ecuador;  87, literales a)  y  v) del Código Orgánico de Organización Territorial, Autonomía y Descentralización; y, 8 de la Ley Orgánica de Régimen para el Distrito Metropolitano de Quito.</w:t>
      </w:r>
    </w:p>
    <w:p w:rsidR="00EA178C" w:rsidRPr="00176A72" w:rsidRDefault="00EA178C" w:rsidP="00707458">
      <w:pPr>
        <w:spacing w:after="240"/>
        <w:jc w:val="both"/>
        <w:rPr>
          <w:rFonts w:ascii="Palatino Linotype" w:eastAsia="Times New Roman" w:hAnsi="Palatino Linotype" w:cs="Tahoma"/>
          <w:b/>
          <w:lang w:eastAsia="es-ES"/>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EA178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r w:rsidRPr="00EA178C">
        <w:rPr>
          <w:rFonts w:ascii="Times New Roman" w:eastAsia="Times New Roman" w:hAnsi="Times New Roman" w:cs="Times New Roman"/>
          <w:b/>
          <w:color w:val="000000"/>
        </w:rPr>
        <w:t>EXPIDE</w:t>
      </w:r>
    </w:p>
    <w:p w:rsidR="00707458" w:rsidRPr="00176A72"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p>
    <w:p w:rsidR="00F57B3E" w:rsidRDefault="00F57B3E" w:rsidP="00707458">
      <w:pPr>
        <w:overflowPunct w:val="0"/>
        <w:autoSpaceDE w:val="0"/>
        <w:autoSpaceDN w:val="0"/>
        <w:adjustRightInd w:val="0"/>
        <w:spacing w:after="0" w:line="240" w:lineRule="auto"/>
        <w:jc w:val="both"/>
        <w:rPr>
          <w:rFonts w:ascii="Times New Roman" w:eastAsia="Times New Roman" w:hAnsi="Times New Roman" w:cs="Times New Roman"/>
          <w:b/>
          <w:caps/>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b/>
          <w:caps/>
          <w:color w:val="000000"/>
        </w:rPr>
        <w:t xml:space="preserve">La ordenanza </w:t>
      </w:r>
      <w:r w:rsidR="006930F2">
        <w:rPr>
          <w:rFonts w:ascii="Times New Roman" w:eastAsia="Times New Roman" w:hAnsi="Times New Roman" w:cs="Times New Roman"/>
          <w:b/>
          <w:caps/>
          <w:color w:val="000000"/>
        </w:rPr>
        <w:t>REFORMATORIA</w:t>
      </w:r>
      <w:r w:rsidRPr="00176A72">
        <w:rPr>
          <w:rFonts w:ascii="Times New Roman" w:eastAsia="Times New Roman" w:hAnsi="Times New Roman" w:cs="Times New Roman"/>
          <w:b/>
          <w:caps/>
          <w:color w:val="000000"/>
        </w:rPr>
        <w:t xml:space="preserve"> a la</w:t>
      </w:r>
      <w:r w:rsidR="00872CC7" w:rsidRPr="00176A72">
        <w:rPr>
          <w:rFonts w:ascii="Times New Roman" w:eastAsia="Times New Roman" w:hAnsi="Times New Roman" w:cs="Times New Roman"/>
          <w:b/>
          <w:caps/>
          <w:color w:val="000000"/>
        </w:rPr>
        <w:t>S</w:t>
      </w:r>
      <w:r w:rsidRPr="00176A72">
        <w:rPr>
          <w:rFonts w:ascii="Times New Roman" w:eastAsia="Times New Roman" w:hAnsi="Times New Roman" w:cs="Times New Roman"/>
          <w:b/>
          <w:caps/>
          <w:color w:val="000000"/>
        </w:rPr>
        <w:t xml:space="preserve"> </w:t>
      </w:r>
      <w:r w:rsidR="00872CC7" w:rsidRPr="00176A72">
        <w:rPr>
          <w:rFonts w:ascii="Times New Roman" w:eastAsia="Times New Roman" w:hAnsi="Times New Roman" w:cs="Times New Roman"/>
          <w:b/>
          <w:caps/>
          <w:color w:val="000000"/>
        </w:rPr>
        <w:t xml:space="preserve">ORDENANZAS </w:t>
      </w:r>
      <w:r w:rsidRPr="00176A72">
        <w:rPr>
          <w:rFonts w:ascii="Times New Roman" w:eastAsia="Times New Roman" w:hAnsi="Times New Roman" w:cs="Times New Roman"/>
          <w:b/>
          <w:caps/>
          <w:color w:val="000000"/>
        </w:rPr>
        <w:t>2</w:t>
      </w:r>
      <w:r w:rsidR="00B91436">
        <w:rPr>
          <w:rFonts w:ascii="Times New Roman" w:eastAsia="Times New Roman" w:hAnsi="Times New Roman" w:cs="Times New Roman"/>
          <w:b/>
          <w:caps/>
          <w:color w:val="000000"/>
        </w:rPr>
        <w:t>328</w:t>
      </w:r>
      <w:r w:rsidRPr="00176A72">
        <w:rPr>
          <w:rFonts w:ascii="Times New Roman" w:eastAsia="Times New Roman" w:hAnsi="Times New Roman" w:cs="Times New Roman"/>
          <w:b/>
          <w:caps/>
          <w:color w:val="000000"/>
        </w:rPr>
        <w:t xml:space="preserve"> de 1</w:t>
      </w:r>
      <w:r w:rsidR="00AE510D" w:rsidRPr="00176A72">
        <w:rPr>
          <w:rFonts w:ascii="Times New Roman" w:eastAsia="Times New Roman" w:hAnsi="Times New Roman" w:cs="Times New Roman"/>
          <w:b/>
          <w:caps/>
          <w:color w:val="000000"/>
        </w:rPr>
        <w:t>2</w:t>
      </w:r>
      <w:r w:rsidRPr="00176A72">
        <w:rPr>
          <w:rFonts w:ascii="Times New Roman" w:eastAsia="Times New Roman" w:hAnsi="Times New Roman" w:cs="Times New Roman"/>
          <w:b/>
          <w:caps/>
          <w:color w:val="000000"/>
        </w:rPr>
        <w:t xml:space="preserve"> de </w:t>
      </w:r>
      <w:r w:rsidR="00AE510D" w:rsidRPr="00176A72">
        <w:rPr>
          <w:rFonts w:ascii="Times New Roman" w:eastAsia="Times New Roman" w:hAnsi="Times New Roman" w:cs="Times New Roman"/>
          <w:b/>
          <w:caps/>
          <w:color w:val="000000"/>
        </w:rPr>
        <w:t>MARZO</w:t>
      </w:r>
      <w:r w:rsidRPr="00176A72">
        <w:rPr>
          <w:rFonts w:ascii="Times New Roman" w:eastAsia="Times New Roman" w:hAnsi="Times New Roman" w:cs="Times New Roman"/>
          <w:b/>
          <w:caps/>
          <w:color w:val="000000"/>
        </w:rPr>
        <w:t xml:space="preserve"> de </w:t>
      </w:r>
      <w:r w:rsidR="00AE510D" w:rsidRPr="00176A72">
        <w:rPr>
          <w:rFonts w:ascii="Times New Roman" w:eastAsia="Times New Roman" w:hAnsi="Times New Roman" w:cs="Times New Roman"/>
          <w:b/>
          <w:caps/>
          <w:color w:val="000000"/>
        </w:rPr>
        <w:t>1984</w:t>
      </w:r>
      <w:r w:rsidR="00872CC7" w:rsidRPr="00176A72">
        <w:rPr>
          <w:rFonts w:ascii="Times New Roman" w:eastAsia="Times New Roman" w:hAnsi="Times New Roman" w:cs="Times New Roman"/>
          <w:b/>
          <w:caps/>
          <w:color w:val="000000"/>
        </w:rPr>
        <w:t xml:space="preserve"> Y 3264 DE 7 DE ABRIL DE 1998</w:t>
      </w:r>
      <w:r w:rsidRPr="00176A72">
        <w:rPr>
          <w:rFonts w:ascii="Times New Roman" w:eastAsia="Times New Roman" w:hAnsi="Times New Roman" w:cs="Times New Roman"/>
          <w:b/>
          <w:caps/>
          <w:color w:val="000000"/>
        </w:rPr>
        <w:t>, CON LA que SE APRUEBA LA URBANIZACIÓN DENOMINADA “</w:t>
      </w:r>
      <w:r w:rsidR="00AE510D" w:rsidRPr="00176A72">
        <w:rPr>
          <w:rFonts w:ascii="Times New Roman" w:eastAsia="Times New Roman" w:hAnsi="Times New Roman" w:cs="Times New Roman"/>
          <w:b/>
          <w:caps/>
          <w:color w:val="000000"/>
        </w:rPr>
        <w:t>WILSON &amp; COMPANY</w:t>
      </w:r>
      <w:r w:rsidRPr="00176A72">
        <w:rPr>
          <w:rFonts w:ascii="Times New Roman" w:eastAsia="Times New Roman" w:hAnsi="Times New Roman" w:cs="Times New Roman"/>
          <w:b/>
          <w:caps/>
          <w:color w:val="000000"/>
        </w:rPr>
        <w:t xml:space="preserve">”, UBICADA EN </w:t>
      </w:r>
      <w:r w:rsidR="00AE510D" w:rsidRPr="00176A72">
        <w:rPr>
          <w:rFonts w:ascii="Times New Roman" w:eastAsia="Times New Roman" w:hAnsi="Times New Roman" w:cs="Times New Roman"/>
          <w:b/>
          <w:caps/>
          <w:color w:val="000000"/>
        </w:rPr>
        <w:t>LA PARROQUIA DE PIFO DE ESTE DISTRITO</w:t>
      </w:r>
      <w:r w:rsidRPr="00176A72">
        <w:rPr>
          <w:rFonts w:ascii="Times New Roman" w:eastAsia="Times New Roman" w:hAnsi="Times New Roman" w:cs="Times New Roman"/>
          <w:color w:val="000000"/>
        </w:rPr>
        <w:t>.</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B91436"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b/>
          <w:color w:val="000000"/>
        </w:rPr>
        <w:t xml:space="preserve">Art. 1.- </w:t>
      </w:r>
      <w:r w:rsidR="00872CC7" w:rsidRPr="00176A72">
        <w:rPr>
          <w:rFonts w:ascii="Times New Roman" w:eastAsia="Times New Roman" w:hAnsi="Times New Roman" w:cs="Times New Roman"/>
          <w:color w:val="000000"/>
        </w:rPr>
        <w:t>Sustitúyase</w:t>
      </w:r>
      <w:r w:rsidR="00A4695C" w:rsidRPr="00176A72">
        <w:rPr>
          <w:rFonts w:ascii="Times New Roman" w:eastAsia="Times New Roman" w:hAnsi="Times New Roman" w:cs="Times New Roman"/>
          <w:color w:val="000000"/>
        </w:rPr>
        <w:t xml:space="preserve"> </w:t>
      </w:r>
      <w:r w:rsidR="00872CC7" w:rsidRPr="00176A72">
        <w:rPr>
          <w:rFonts w:ascii="Times New Roman" w:eastAsia="Times New Roman" w:hAnsi="Times New Roman" w:cs="Times New Roman"/>
          <w:color w:val="000000"/>
        </w:rPr>
        <w:t>el texto de las Ordenanzas 23</w:t>
      </w:r>
      <w:r w:rsidR="00B91436" w:rsidRPr="00176A72">
        <w:rPr>
          <w:rFonts w:ascii="Times New Roman" w:eastAsia="Times New Roman" w:hAnsi="Times New Roman" w:cs="Times New Roman"/>
          <w:color w:val="000000"/>
        </w:rPr>
        <w:t>28</w:t>
      </w:r>
      <w:r w:rsidR="00872CC7" w:rsidRPr="00176A72">
        <w:rPr>
          <w:rFonts w:ascii="Times New Roman" w:eastAsia="Times New Roman" w:hAnsi="Times New Roman" w:cs="Times New Roman"/>
          <w:color w:val="000000"/>
        </w:rPr>
        <w:t xml:space="preserve"> y 3264, en lo que respecta </w:t>
      </w:r>
      <w:r w:rsidR="00B91436">
        <w:t>al material de vías, de pavimento a empedrado</w:t>
      </w:r>
      <w:r w:rsidR="00872CC7" w:rsidRPr="00176A72">
        <w:rPr>
          <w:rFonts w:ascii="Times New Roman" w:eastAsia="Times New Roman" w:hAnsi="Times New Roman" w:cs="Times New Roman"/>
          <w:color w:val="000000"/>
        </w:rPr>
        <w:t xml:space="preserve"> de la urbanización “</w:t>
      </w:r>
      <w:r w:rsidR="0049660D" w:rsidRPr="00176A72">
        <w:rPr>
          <w:rFonts w:ascii="Times New Roman" w:eastAsia="Times New Roman" w:hAnsi="Times New Roman" w:cs="Times New Roman"/>
          <w:color w:val="000000"/>
        </w:rPr>
        <w:t>Wilson</w:t>
      </w:r>
      <w:r w:rsidR="00872CC7" w:rsidRPr="00176A72">
        <w:rPr>
          <w:rFonts w:ascii="Times New Roman" w:eastAsia="Times New Roman" w:hAnsi="Times New Roman" w:cs="Times New Roman"/>
          <w:color w:val="000000"/>
        </w:rPr>
        <w:t xml:space="preserve"> &amp; Company”</w:t>
      </w:r>
      <w:r w:rsidR="00B91436">
        <w:rPr>
          <w:rFonts w:ascii="Times New Roman" w:eastAsia="Times New Roman" w:hAnsi="Times New Roman" w:cs="Times New Roman"/>
          <w:color w:val="000000"/>
        </w:rPr>
        <w:t>.</w:t>
      </w:r>
    </w:p>
    <w:p w:rsidR="00872CC7" w:rsidRPr="00176A72" w:rsidRDefault="00B91436"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color w:val="000000"/>
        </w:rPr>
        <w:t xml:space="preserve"> </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b/>
          <w:color w:val="000000"/>
        </w:rPr>
        <w:t xml:space="preserve">Art. 2.- </w:t>
      </w:r>
      <w:r w:rsidRPr="00176A72">
        <w:rPr>
          <w:rFonts w:ascii="Times New Roman" w:eastAsia="Times New Roman" w:hAnsi="Times New Roman" w:cs="Times New Roman"/>
          <w:color w:val="000000"/>
        </w:rPr>
        <w:t>E</w:t>
      </w:r>
      <w:r w:rsidR="00872CC7" w:rsidRPr="00176A72">
        <w:rPr>
          <w:rFonts w:ascii="Times New Roman" w:eastAsia="Times New Roman" w:hAnsi="Times New Roman" w:cs="Times New Roman"/>
          <w:color w:val="000000"/>
        </w:rPr>
        <w:t>n el inciso tercero de la</w:t>
      </w:r>
      <w:r w:rsidR="0049660D" w:rsidRPr="00176A72">
        <w:rPr>
          <w:rFonts w:ascii="Times New Roman" w:eastAsia="Times New Roman" w:hAnsi="Times New Roman" w:cs="Times New Roman"/>
          <w:color w:val="000000"/>
        </w:rPr>
        <w:t>s</w:t>
      </w:r>
      <w:r w:rsidR="00872CC7" w:rsidRPr="00176A72">
        <w:rPr>
          <w:rFonts w:ascii="Times New Roman" w:eastAsia="Times New Roman" w:hAnsi="Times New Roman" w:cs="Times New Roman"/>
          <w:color w:val="000000"/>
        </w:rPr>
        <w:t xml:space="preserve"> regu</w:t>
      </w:r>
      <w:r w:rsidRPr="00176A72">
        <w:rPr>
          <w:rFonts w:ascii="Times New Roman" w:eastAsia="Times New Roman" w:hAnsi="Times New Roman" w:cs="Times New Roman"/>
          <w:color w:val="000000"/>
        </w:rPr>
        <w:t>l</w:t>
      </w:r>
      <w:r w:rsidR="00872CC7" w:rsidRPr="00176A72">
        <w:rPr>
          <w:rFonts w:ascii="Times New Roman" w:eastAsia="Times New Roman" w:hAnsi="Times New Roman" w:cs="Times New Roman"/>
          <w:color w:val="000000"/>
        </w:rPr>
        <w:t xml:space="preserve">aciones y especificaciones especiales para esta urbanización </w:t>
      </w:r>
      <w:r w:rsidR="00B1170A">
        <w:rPr>
          <w:rFonts w:ascii="Times New Roman" w:eastAsia="Times New Roman" w:hAnsi="Times New Roman" w:cs="Times New Roman"/>
          <w:color w:val="000000"/>
        </w:rPr>
        <w:t>de la Ordenanza 2328,</w:t>
      </w:r>
      <w:r w:rsidRPr="00176A72">
        <w:rPr>
          <w:rFonts w:ascii="Times New Roman" w:eastAsia="Times New Roman" w:hAnsi="Times New Roman" w:cs="Times New Roman"/>
          <w:color w:val="000000"/>
        </w:rPr>
        <w:t xml:space="preserve"> </w:t>
      </w:r>
      <w:r w:rsidR="0049660D" w:rsidRPr="00176A72">
        <w:rPr>
          <w:rFonts w:ascii="Times New Roman" w:eastAsia="Times New Roman" w:hAnsi="Times New Roman" w:cs="Times New Roman"/>
          <w:color w:val="000000"/>
        </w:rPr>
        <w:t>sustitúyase las palabras pavimento asfáltico por material permeable como el empedrado.</w:t>
      </w:r>
    </w:p>
    <w:p w:rsidR="0049660D" w:rsidRPr="00176A72" w:rsidRDefault="0049660D"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AF2C73" w:rsidRPr="00176A72" w:rsidRDefault="0049660D"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b/>
          <w:color w:val="000000"/>
        </w:rPr>
        <w:t>Art. 3</w:t>
      </w:r>
      <w:r w:rsidRPr="00176A72">
        <w:rPr>
          <w:rFonts w:ascii="Times New Roman" w:eastAsia="Times New Roman" w:hAnsi="Times New Roman" w:cs="Times New Roman"/>
          <w:color w:val="000000"/>
        </w:rPr>
        <w:t xml:space="preserve">.- </w:t>
      </w:r>
      <w:r w:rsidR="00AF2C73" w:rsidRPr="00176A72">
        <w:rPr>
          <w:rFonts w:ascii="Times New Roman" w:eastAsia="Times New Roman" w:hAnsi="Times New Roman" w:cs="Times New Roman"/>
          <w:color w:val="000000"/>
        </w:rPr>
        <w:t>Sustitúyase el artículo tercero de la Ordenanza 3264 de 7 de abril de 1998, por el siguiente: El plazo para la ejecución total y entrega.</w:t>
      </w:r>
    </w:p>
    <w:p w:rsidR="00AF2C73" w:rsidRPr="00176A72" w:rsidRDefault="00AF2C73"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176A72" w:rsidRDefault="00176A72"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color w:val="000000"/>
        </w:rPr>
        <w:t xml:space="preserve">El plazo para la ejecución total y la entrega de las obras de Urbanización a la Municipalidad será de un año </w:t>
      </w:r>
      <w:r w:rsidR="009769AE" w:rsidRPr="00176A72">
        <w:rPr>
          <w:rFonts w:ascii="Times New Roman" w:eastAsia="Times New Roman" w:hAnsi="Times New Roman" w:cs="Times New Roman"/>
          <w:color w:val="000000"/>
        </w:rPr>
        <w:t>contado</w:t>
      </w:r>
      <w:r w:rsidRPr="00176A72">
        <w:rPr>
          <w:rFonts w:ascii="Times New Roman" w:eastAsia="Times New Roman" w:hAnsi="Times New Roman" w:cs="Times New Roman"/>
          <w:color w:val="000000"/>
        </w:rPr>
        <w:t xml:space="preserve"> desde la fecha en que se eleva a escritura pública la presente ordenanza </w:t>
      </w:r>
      <w:r w:rsidR="00F92B4E">
        <w:rPr>
          <w:rFonts w:ascii="Times New Roman" w:eastAsia="Times New Roman" w:hAnsi="Times New Roman" w:cs="Times New Roman"/>
          <w:color w:val="000000"/>
        </w:rPr>
        <w:t>reformatoria</w:t>
      </w:r>
      <w:r w:rsidRPr="00176A72">
        <w:rPr>
          <w:rFonts w:ascii="Times New Roman" w:eastAsia="Times New Roman" w:hAnsi="Times New Roman" w:cs="Times New Roman"/>
          <w:color w:val="000000"/>
        </w:rPr>
        <w:t>.</w:t>
      </w:r>
    </w:p>
    <w:p w:rsidR="009769AE" w:rsidRPr="00176A72" w:rsidRDefault="009769AE"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DB3E8B" w:rsidRPr="00176A72" w:rsidRDefault="00AF2C73"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color w:val="000000"/>
        </w:rPr>
        <w:t xml:space="preserve">En caso de mora injustificada o que exceda el plazo otorgado el Concejo Metropolitano </w:t>
      </w:r>
      <w:r w:rsidR="00DB3E8B" w:rsidRPr="00176A72">
        <w:rPr>
          <w:rFonts w:ascii="Times New Roman" w:eastAsia="Times New Roman" w:hAnsi="Times New Roman" w:cs="Times New Roman"/>
          <w:color w:val="000000"/>
        </w:rPr>
        <w:t xml:space="preserve">impondrá al promotor </w:t>
      </w:r>
      <w:r w:rsidR="000E711F">
        <w:rPr>
          <w:rFonts w:ascii="Times New Roman" w:eastAsia="Times New Roman" w:hAnsi="Times New Roman" w:cs="Times New Roman"/>
          <w:color w:val="000000"/>
        </w:rPr>
        <w:t xml:space="preserve">o quien asuma esta obligación </w:t>
      </w:r>
      <w:r w:rsidR="00DB3E8B" w:rsidRPr="00176A72">
        <w:rPr>
          <w:rFonts w:ascii="Times New Roman" w:eastAsia="Times New Roman" w:hAnsi="Times New Roman" w:cs="Times New Roman"/>
          <w:color w:val="000000"/>
        </w:rPr>
        <w:t>una multa diaria equivalente al UNO POR MIL del presupuesto de obras del predio a urbanizarse, la misma será recaudada por el Tesorero Metropolitano de la garantía rendida por la vía coactiva.</w:t>
      </w:r>
    </w:p>
    <w:p w:rsidR="00176A72" w:rsidRPr="00176A72" w:rsidRDefault="00176A72"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DB3E8B" w:rsidRDefault="00DB3E8B"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color w:val="000000"/>
        </w:rPr>
        <w:t xml:space="preserve">Concluido que fuere el plazo original entregará a la Municipalidad las obras de urbanización, y si el promotor no hubiere cumplido con las obligaciones demandadas de esta ordenanza, la Tesorería </w:t>
      </w:r>
      <w:r w:rsidR="00B91436">
        <w:rPr>
          <w:rFonts w:ascii="Times New Roman" w:eastAsia="Times New Roman" w:hAnsi="Times New Roman" w:cs="Times New Roman"/>
          <w:color w:val="000000"/>
        </w:rPr>
        <w:t>M</w:t>
      </w:r>
      <w:r w:rsidRPr="00176A72">
        <w:rPr>
          <w:rFonts w:ascii="Times New Roman" w:eastAsia="Times New Roman" w:hAnsi="Times New Roman" w:cs="Times New Roman"/>
          <w:color w:val="000000"/>
        </w:rPr>
        <w:t xml:space="preserve">etropolitana expedirá los respectivos títulos de crédito equivalente al valor de las planillas de trabajos que falten con el recargo del 25%, y ejercitará su jurisdicción coactiva, para realizar esta recaudación. Con la suma </w:t>
      </w:r>
      <w:r w:rsidR="00FC1FCE" w:rsidRPr="00176A72">
        <w:rPr>
          <w:rFonts w:ascii="Times New Roman" w:eastAsia="Times New Roman" w:hAnsi="Times New Roman" w:cs="Times New Roman"/>
          <w:color w:val="000000"/>
        </w:rPr>
        <w:t>recaudada la</w:t>
      </w:r>
      <w:r w:rsidRPr="00176A72">
        <w:rPr>
          <w:rFonts w:ascii="Times New Roman" w:eastAsia="Times New Roman" w:hAnsi="Times New Roman" w:cs="Times New Roman"/>
          <w:color w:val="000000"/>
        </w:rPr>
        <w:t xml:space="preserve"> Municipalidad procederá por administración directa o por contrato a terminar las obras de urbanización.</w:t>
      </w:r>
    </w:p>
    <w:p w:rsidR="00FC1FCE" w:rsidRDefault="00FC1FCE"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FC1FCE" w:rsidRPr="00FC1FCE" w:rsidRDefault="00FC1FCE"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FC1FCE">
        <w:rPr>
          <w:rFonts w:ascii="Times New Roman" w:eastAsia="Times New Roman" w:hAnsi="Times New Roman" w:cs="Times New Roman"/>
          <w:b/>
          <w:color w:val="000000"/>
        </w:rPr>
        <w:t>Art. 4</w:t>
      </w:r>
      <w:r>
        <w:rPr>
          <w:rFonts w:ascii="Times New Roman" w:eastAsia="Times New Roman" w:hAnsi="Times New Roman" w:cs="Times New Roman"/>
          <w:b/>
          <w:color w:val="000000"/>
        </w:rPr>
        <w:t>.- S</w:t>
      </w:r>
      <w:r w:rsidRPr="00FC1FCE">
        <w:rPr>
          <w:rFonts w:ascii="Times New Roman" w:eastAsia="Times New Roman" w:hAnsi="Times New Roman" w:cs="Times New Roman"/>
          <w:color w:val="000000"/>
        </w:rPr>
        <w:t>e</w:t>
      </w:r>
      <w:r>
        <w:rPr>
          <w:rFonts w:ascii="Times New Roman" w:eastAsia="Times New Roman" w:hAnsi="Times New Roman" w:cs="Times New Roman"/>
          <w:color w:val="000000"/>
        </w:rPr>
        <w:t xml:space="preserve"> concede el término de 60 días para la protocolización e inscripción de la </w:t>
      </w:r>
      <w:r w:rsidR="001F0554">
        <w:rPr>
          <w:rFonts w:ascii="Times New Roman" w:eastAsia="Times New Roman" w:hAnsi="Times New Roman" w:cs="Times New Roman"/>
          <w:color w:val="000000"/>
        </w:rPr>
        <w:t>ordenanza reformatoria</w:t>
      </w:r>
      <w:r>
        <w:rPr>
          <w:rFonts w:ascii="Times New Roman" w:eastAsia="Times New Roman" w:hAnsi="Times New Roman" w:cs="Times New Roman"/>
          <w:color w:val="000000"/>
        </w:rPr>
        <w:t xml:space="preserve"> que se apruebe, contados a partir de su sanción.    </w:t>
      </w:r>
      <w:r w:rsidRPr="00FC1FCE">
        <w:rPr>
          <w:rFonts w:ascii="Times New Roman" w:eastAsia="Times New Roman" w:hAnsi="Times New Roman" w:cs="Times New Roman"/>
          <w:color w:val="000000"/>
        </w:rPr>
        <w:t xml:space="preserve"> </w:t>
      </w:r>
    </w:p>
    <w:p w:rsidR="00FC1FCE" w:rsidRPr="00FC1FCE" w:rsidRDefault="00FC1FCE"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FC1FCE" w:rsidRPr="00176A72" w:rsidRDefault="00FC1FCE"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FC1FCE">
        <w:rPr>
          <w:rFonts w:ascii="Times New Roman" w:eastAsia="Times New Roman" w:hAnsi="Times New Roman" w:cs="Times New Roman"/>
          <w:b/>
          <w:color w:val="000000"/>
        </w:rPr>
        <w:t>Disposición General</w:t>
      </w:r>
      <w:r>
        <w:rPr>
          <w:rFonts w:ascii="Times New Roman" w:eastAsia="Times New Roman" w:hAnsi="Times New Roman" w:cs="Times New Roman"/>
          <w:color w:val="000000"/>
        </w:rPr>
        <w:t xml:space="preserve">.- </w:t>
      </w:r>
      <w:r w:rsidR="001F0554">
        <w:rPr>
          <w:rFonts w:ascii="Times New Roman" w:eastAsia="Times New Roman" w:hAnsi="Times New Roman" w:cs="Times New Roman"/>
          <w:color w:val="000000"/>
        </w:rPr>
        <w:t xml:space="preserve">Para la protocolización de la presente ordenanza, el urbanizador y/o el representante legal del COMITÉ PRO MEJORAS DEL BARRIO “WILSON” retirarán de procuraduría Metropolitana el respectivo oficio para el notario.   </w:t>
      </w:r>
    </w:p>
    <w:p w:rsidR="00707458" w:rsidRPr="00176A72" w:rsidRDefault="00DB3E8B"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r w:rsidRPr="00176A72">
        <w:rPr>
          <w:rFonts w:ascii="Times New Roman" w:eastAsia="Times New Roman" w:hAnsi="Times New Roman" w:cs="Times New Roman"/>
          <w:b/>
          <w:color w:val="000000"/>
        </w:rPr>
        <w:t xml:space="preserve"> </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r w:rsidRPr="00176A72">
        <w:rPr>
          <w:rFonts w:ascii="Times New Roman" w:eastAsia="Times New Roman" w:hAnsi="Times New Roman" w:cs="Times New Roman"/>
          <w:b/>
          <w:color w:val="000000"/>
        </w:rPr>
        <w:t xml:space="preserve">Disposición Final.- </w:t>
      </w:r>
      <w:r w:rsidRPr="00176A72">
        <w:rPr>
          <w:rFonts w:ascii="Times New Roman" w:eastAsia="Times New Roman" w:hAnsi="Times New Roman" w:cs="Times New Roman"/>
          <w:color w:val="000000"/>
        </w:rPr>
        <w:t>Esta modificatoria de la</w:t>
      </w:r>
      <w:r w:rsidR="0049660D" w:rsidRPr="00176A72">
        <w:rPr>
          <w:rFonts w:ascii="Times New Roman" w:eastAsia="Times New Roman" w:hAnsi="Times New Roman" w:cs="Times New Roman"/>
          <w:color w:val="000000"/>
        </w:rPr>
        <w:t>s</w:t>
      </w:r>
      <w:r w:rsidRPr="00176A72">
        <w:rPr>
          <w:rFonts w:ascii="Times New Roman" w:eastAsia="Times New Roman" w:hAnsi="Times New Roman" w:cs="Times New Roman"/>
          <w:color w:val="000000"/>
        </w:rPr>
        <w:t xml:space="preserve"> Ordenanza</w:t>
      </w:r>
      <w:r w:rsidR="0049660D" w:rsidRPr="00176A72">
        <w:rPr>
          <w:rFonts w:ascii="Times New Roman" w:eastAsia="Times New Roman" w:hAnsi="Times New Roman" w:cs="Times New Roman"/>
          <w:color w:val="000000"/>
        </w:rPr>
        <w:t>s</w:t>
      </w:r>
      <w:r w:rsidRPr="00176A72">
        <w:rPr>
          <w:rFonts w:ascii="Times New Roman" w:eastAsia="Times New Roman" w:hAnsi="Times New Roman" w:cs="Times New Roman"/>
          <w:color w:val="000000"/>
        </w:rPr>
        <w:t xml:space="preserve"> </w:t>
      </w:r>
      <w:r w:rsidR="00B91436" w:rsidRPr="00176A72">
        <w:rPr>
          <w:rFonts w:ascii="Times New Roman" w:eastAsia="Times New Roman" w:hAnsi="Times New Roman" w:cs="Times New Roman"/>
          <w:color w:val="000000"/>
        </w:rPr>
        <w:t>23</w:t>
      </w:r>
      <w:r w:rsidR="0049660D" w:rsidRPr="00176A72">
        <w:rPr>
          <w:rFonts w:ascii="Times New Roman" w:eastAsia="Times New Roman" w:hAnsi="Times New Roman" w:cs="Times New Roman"/>
          <w:color w:val="000000"/>
        </w:rPr>
        <w:t>28 y 3264</w:t>
      </w:r>
      <w:r w:rsidRPr="00176A72">
        <w:rPr>
          <w:rFonts w:ascii="Times New Roman" w:eastAsia="Times New Roman" w:hAnsi="Times New Roman" w:cs="Times New Roman"/>
          <w:color w:val="000000"/>
        </w:rPr>
        <w:t>, entrará en vigencia a partir de su sanción</w:t>
      </w:r>
      <w:r w:rsidR="001F0554">
        <w:rPr>
          <w:rFonts w:ascii="Times New Roman" w:eastAsia="Times New Roman" w:hAnsi="Times New Roman" w:cs="Times New Roman"/>
          <w:color w:val="000000"/>
        </w:rPr>
        <w:t>, sin perjuicio de su publicación en la Gaceta Municipal, la página web institucional de la Municipalidad y el registro Oficial, conforme lo dispuesto en el artículo 324 del COOTAD.</w:t>
      </w:r>
      <w:r w:rsidRPr="00176A72">
        <w:rPr>
          <w:rFonts w:ascii="Times New Roman" w:eastAsia="Times New Roman" w:hAnsi="Times New Roman" w:cs="Times New Roman"/>
          <w:b/>
          <w:color w:val="000000"/>
        </w:rPr>
        <w:t xml:space="preserve"> </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color w:val="000000"/>
        </w:rPr>
        <w:t>Dada en la sala de sesiones del Concejo Metropolitano, el</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176A72" w:rsidRDefault="00B91436"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Dr. Santiago Guarderas Izquierdo</w:t>
      </w:r>
      <w:r w:rsidR="00707458" w:rsidRPr="00176A72">
        <w:rPr>
          <w:rFonts w:ascii="Times New Roman" w:eastAsia="Times New Roman" w:hAnsi="Times New Roman" w:cs="Times New Roman"/>
          <w:color w:val="000000"/>
        </w:rPr>
        <w:tab/>
      </w:r>
      <w:r w:rsidR="00707458" w:rsidRPr="00176A72">
        <w:rPr>
          <w:rFonts w:ascii="Times New Roman" w:eastAsia="Times New Roman" w:hAnsi="Times New Roman" w:cs="Times New Roman"/>
          <w:color w:val="000000"/>
        </w:rPr>
        <w:tab/>
        <w:t xml:space="preserve">  Abg. </w:t>
      </w:r>
      <w:r w:rsidR="0020174B">
        <w:rPr>
          <w:rFonts w:ascii="Times New Roman" w:eastAsia="Times New Roman" w:hAnsi="Times New Roman" w:cs="Times New Roman"/>
          <w:color w:val="000000"/>
        </w:rPr>
        <w:t xml:space="preserve">Pablo Saúl </w:t>
      </w:r>
      <w:proofErr w:type="spellStart"/>
      <w:r w:rsidR="0020174B">
        <w:rPr>
          <w:rFonts w:ascii="Times New Roman" w:eastAsia="Times New Roman" w:hAnsi="Times New Roman" w:cs="Times New Roman"/>
          <w:color w:val="000000"/>
        </w:rPr>
        <w:t>Solorzano</w:t>
      </w:r>
      <w:proofErr w:type="spellEnd"/>
      <w:r w:rsidR="0020174B">
        <w:rPr>
          <w:rFonts w:ascii="Times New Roman" w:eastAsia="Times New Roman" w:hAnsi="Times New Roman" w:cs="Times New Roman"/>
          <w:color w:val="000000"/>
        </w:rPr>
        <w:t xml:space="preserve"> Salinas</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r w:rsidRPr="00176A72">
        <w:rPr>
          <w:rFonts w:ascii="Times New Roman" w:eastAsia="Times New Roman" w:hAnsi="Times New Roman" w:cs="Times New Roman"/>
          <w:b/>
          <w:color w:val="000000"/>
        </w:rPr>
        <w:lastRenderedPageBreak/>
        <w:t xml:space="preserve">ALCALDE METROPOLITANO </w:t>
      </w:r>
      <w:r w:rsidRPr="00176A72">
        <w:rPr>
          <w:rFonts w:ascii="Times New Roman" w:eastAsia="Times New Roman" w:hAnsi="Times New Roman" w:cs="Times New Roman"/>
          <w:b/>
          <w:color w:val="000000"/>
        </w:rPr>
        <w:tab/>
        <w:t xml:space="preserve">               SECRETARI</w:t>
      </w:r>
      <w:r w:rsidR="00FB30F6">
        <w:rPr>
          <w:rFonts w:ascii="Times New Roman" w:eastAsia="Times New Roman" w:hAnsi="Times New Roman" w:cs="Times New Roman"/>
          <w:b/>
          <w:color w:val="000000"/>
        </w:rPr>
        <w:t>O</w:t>
      </w:r>
      <w:r w:rsidRPr="00176A72">
        <w:rPr>
          <w:rFonts w:ascii="Times New Roman" w:eastAsia="Times New Roman" w:hAnsi="Times New Roman" w:cs="Times New Roman"/>
          <w:b/>
          <w:color w:val="000000"/>
        </w:rPr>
        <w:t xml:space="preserve"> GENERAL</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r w:rsidRPr="00176A72">
        <w:rPr>
          <w:rFonts w:ascii="Times New Roman" w:eastAsia="Times New Roman" w:hAnsi="Times New Roman" w:cs="Times New Roman"/>
          <w:b/>
          <w:color w:val="000000"/>
        </w:rPr>
        <w:tab/>
      </w:r>
      <w:r w:rsidRPr="00176A72">
        <w:rPr>
          <w:rFonts w:ascii="Times New Roman" w:eastAsia="Times New Roman" w:hAnsi="Times New Roman" w:cs="Times New Roman"/>
          <w:b/>
          <w:color w:val="000000"/>
        </w:rPr>
        <w:tab/>
      </w:r>
      <w:r w:rsidRPr="00176A72">
        <w:rPr>
          <w:rFonts w:ascii="Times New Roman" w:eastAsia="Times New Roman" w:hAnsi="Times New Roman" w:cs="Times New Roman"/>
          <w:b/>
          <w:color w:val="000000"/>
        </w:rPr>
        <w:tab/>
      </w:r>
      <w:r w:rsidRPr="00176A72">
        <w:rPr>
          <w:rFonts w:ascii="Times New Roman" w:eastAsia="Times New Roman" w:hAnsi="Times New Roman" w:cs="Times New Roman"/>
          <w:b/>
          <w:color w:val="000000"/>
        </w:rPr>
        <w:tab/>
      </w:r>
      <w:r w:rsidRPr="00176A72">
        <w:rPr>
          <w:rFonts w:ascii="Times New Roman" w:eastAsia="Times New Roman" w:hAnsi="Times New Roman" w:cs="Times New Roman"/>
          <w:b/>
          <w:color w:val="000000"/>
        </w:rPr>
        <w:tab/>
        <w:t xml:space="preserve">               DEL CONCEJO METROPOLITANO</w:t>
      </w:r>
      <w:r w:rsidR="00806CD6">
        <w:rPr>
          <w:rFonts w:ascii="Times New Roman" w:eastAsia="Times New Roman" w:hAnsi="Times New Roman" w:cs="Times New Roman"/>
          <w:b/>
          <w:color w:val="000000"/>
        </w:rPr>
        <w:t xml:space="preserve"> (S)</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r w:rsidRPr="00176A72">
        <w:rPr>
          <w:rFonts w:ascii="Times New Roman" w:eastAsia="Times New Roman" w:hAnsi="Times New Roman" w:cs="Times New Roman"/>
          <w:b/>
          <w:color w:val="000000"/>
        </w:rPr>
        <w:t>CERTIFICADO DE DISCUSIÓN</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color w:val="000000"/>
        </w:rPr>
        <w:t>La infrascrita Secretaria General del Concejo Metropolitano de Quito, certifica que la presente modificatoria a la</w:t>
      </w:r>
      <w:r w:rsidR="00FB30F6">
        <w:rPr>
          <w:rFonts w:ascii="Times New Roman" w:eastAsia="Times New Roman" w:hAnsi="Times New Roman" w:cs="Times New Roman"/>
          <w:color w:val="000000"/>
        </w:rPr>
        <w:t>s</w:t>
      </w:r>
      <w:r w:rsidRPr="00176A72">
        <w:rPr>
          <w:rFonts w:ascii="Times New Roman" w:eastAsia="Times New Roman" w:hAnsi="Times New Roman" w:cs="Times New Roman"/>
          <w:color w:val="000000"/>
        </w:rPr>
        <w:t xml:space="preserve"> Ordenanza</w:t>
      </w:r>
      <w:r w:rsidR="00FB30F6">
        <w:rPr>
          <w:rFonts w:ascii="Times New Roman" w:eastAsia="Times New Roman" w:hAnsi="Times New Roman" w:cs="Times New Roman"/>
          <w:color w:val="000000"/>
        </w:rPr>
        <w:t xml:space="preserve">s </w:t>
      </w:r>
      <w:r w:rsidR="00FB30F6" w:rsidRPr="00176A72">
        <w:rPr>
          <w:rFonts w:ascii="Times New Roman" w:eastAsia="Times New Roman" w:hAnsi="Times New Roman" w:cs="Times New Roman"/>
          <w:color w:val="000000"/>
        </w:rPr>
        <w:t>2328 y 3264</w:t>
      </w:r>
      <w:r w:rsidRPr="00176A72">
        <w:rPr>
          <w:rFonts w:ascii="Times New Roman" w:eastAsia="Times New Roman" w:hAnsi="Times New Roman" w:cs="Times New Roman"/>
          <w:color w:val="000000"/>
        </w:rPr>
        <w:t xml:space="preserve"> fue discutida y aprobada en dos debates en sesiones de</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color w:val="000000"/>
        </w:rPr>
        <w:t> </w:t>
      </w:r>
    </w:p>
    <w:p w:rsidR="00707458" w:rsidRPr="00176A72" w:rsidRDefault="00FB30F6"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r w:rsidRPr="00176A72">
        <w:rPr>
          <w:rFonts w:ascii="Times New Roman" w:eastAsia="Times New Roman" w:hAnsi="Times New Roman" w:cs="Times New Roman"/>
          <w:color w:val="000000"/>
        </w:rPr>
        <w:t xml:space="preserve">  Abg. </w:t>
      </w:r>
      <w:r w:rsidR="0020174B">
        <w:rPr>
          <w:rFonts w:ascii="Times New Roman" w:eastAsia="Times New Roman" w:hAnsi="Times New Roman" w:cs="Times New Roman"/>
          <w:color w:val="000000"/>
        </w:rPr>
        <w:t xml:space="preserve">Pablo Saúl </w:t>
      </w:r>
      <w:proofErr w:type="spellStart"/>
      <w:r w:rsidR="0020174B">
        <w:rPr>
          <w:rFonts w:ascii="Times New Roman" w:eastAsia="Times New Roman" w:hAnsi="Times New Roman" w:cs="Times New Roman"/>
          <w:color w:val="000000"/>
        </w:rPr>
        <w:t>Solorzano</w:t>
      </w:r>
      <w:proofErr w:type="spellEnd"/>
      <w:r w:rsidR="0020174B">
        <w:rPr>
          <w:rFonts w:ascii="Times New Roman" w:eastAsia="Times New Roman" w:hAnsi="Times New Roman" w:cs="Times New Roman"/>
          <w:color w:val="000000"/>
        </w:rPr>
        <w:t xml:space="preserve"> Salinas</w:t>
      </w:r>
    </w:p>
    <w:p w:rsidR="00707458" w:rsidRPr="00176A72"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r w:rsidRPr="00176A72">
        <w:rPr>
          <w:rFonts w:ascii="Times New Roman" w:eastAsia="Times New Roman" w:hAnsi="Times New Roman" w:cs="Times New Roman"/>
          <w:b/>
          <w:color w:val="000000"/>
        </w:rPr>
        <w:t xml:space="preserve"> SECRETARI</w:t>
      </w:r>
      <w:r w:rsidR="00FB30F6">
        <w:rPr>
          <w:rFonts w:ascii="Times New Roman" w:eastAsia="Times New Roman" w:hAnsi="Times New Roman" w:cs="Times New Roman"/>
          <w:b/>
          <w:color w:val="000000"/>
        </w:rPr>
        <w:t>O</w:t>
      </w:r>
      <w:r w:rsidRPr="00176A72">
        <w:rPr>
          <w:rFonts w:ascii="Times New Roman" w:eastAsia="Times New Roman" w:hAnsi="Times New Roman" w:cs="Times New Roman"/>
          <w:b/>
          <w:color w:val="000000"/>
        </w:rPr>
        <w:t xml:space="preserve"> GENERAL</w:t>
      </w:r>
    </w:p>
    <w:p w:rsidR="00707458" w:rsidRPr="00176A72"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r w:rsidRPr="00176A72">
        <w:rPr>
          <w:rFonts w:ascii="Times New Roman" w:eastAsia="Times New Roman" w:hAnsi="Times New Roman" w:cs="Times New Roman"/>
          <w:b/>
          <w:color w:val="000000"/>
        </w:rPr>
        <w:t xml:space="preserve">    DEL CONCEJO METROPOLITANO</w:t>
      </w:r>
    </w:p>
    <w:p w:rsidR="00707458" w:rsidRPr="00176A72"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176A72"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r w:rsidRPr="00176A72">
        <w:rPr>
          <w:rFonts w:ascii="Times New Roman" w:eastAsia="Times New Roman" w:hAnsi="Times New Roman" w:cs="Times New Roman"/>
          <w:color w:val="000000"/>
        </w:rPr>
        <w:t>EJECÚTESE</w:t>
      </w:r>
    </w:p>
    <w:p w:rsidR="00707458" w:rsidRPr="00176A72"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p>
    <w:p w:rsidR="00707458" w:rsidRPr="00176A72" w:rsidRDefault="00FB30F6"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Dr. S</w:t>
      </w:r>
      <w:r w:rsidR="00707458" w:rsidRPr="00176A72">
        <w:rPr>
          <w:rFonts w:ascii="Times New Roman" w:eastAsia="Times New Roman" w:hAnsi="Times New Roman" w:cs="Times New Roman"/>
          <w:color w:val="000000"/>
        </w:rPr>
        <w:t>a</w:t>
      </w:r>
      <w:r>
        <w:rPr>
          <w:rFonts w:ascii="Times New Roman" w:eastAsia="Times New Roman" w:hAnsi="Times New Roman" w:cs="Times New Roman"/>
          <w:color w:val="000000"/>
        </w:rPr>
        <w:t>ntiago Guarderas Izquierdo</w:t>
      </w:r>
    </w:p>
    <w:p w:rsidR="00707458" w:rsidRPr="00176A72"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r w:rsidRPr="00176A72">
        <w:rPr>
          <w:rFonts w:ascii="Times New Roman" w:eastAsia="Times New Roman" w:hAnsi="Times New Roman" w:cs="Times New Roman"/>
          <w:b/>
          <w:color w:val="000000"/>
        </w:rPr>
        <w:t xml:space="preserve">   ALCALDE METROPOLITANO</w:t>
      </w:r>
    </w:p>
    <w:p w:rsidR="00707458" w:rsidRPr="00176A72"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b/>
          <w:color w:val="000000"/>
        </w:rPr>
        <w:t xml:space="preserve">CERTIFICO, </w:t>
      </w:r>
      <w:r w:rsidRPr="00176A72">
        <w:rPr>
          <w:rFonts w:ascii="Times New Roman" w:eastAsia="Times New Roman" w:hAnsi="Times New Roman" w:cs="Times New Roman"/>
          <w:color w:val="000000"/>
        </w:rPr>
        <w:t xml:space="preserve">que la presente modificatoria a la Ordenanza </w:t>
      </w:r>
      <w:r w:rsidR="007306BD">
        <w:rPr>
          <w:rFonts w:ascii="Times New Roman" w:eastAsia="Times New Roman" w:hAnsi="Times New Roman" w:cs="Times New Roman"/>
          <w:color w:val="000000"/>
        </w:rPr>
        <w:t>2328 y 3264</w:t>
      </w:r>
      <w:r w:rsidRPr="00176A72">
        <w:rPr>
          <w:rFonts w:ascii="Times New Roman" w:eastAsia="Times New Roman" w:hAnsi="Times New Roman" w:cs="Times New Roman"/>
          <w:color w:val="000000"/>
        </w:rPr>
        <w:t xml:space="preserve">, fue sancionada por </w:t>
      </w:r>
      <w:r w:rsidR="007306BD">
        <w:rPr>
          <w:rFonts w:ascii="Times New Roman" w:eastAsia="Times New Roman" w:hAnsi="Times New Roman" w:cs="Times New Roman"/>
          <w:color w:val="000000"/>
        </w:rPr>
        <w:t>el doctor Santiago Guarderas Izquierdo</w:t>
      </w:r>
      <w:r w:rsidRPr="00176A72">
        <w:rPr>
          <w:rFonts w:ascii="Times New Roman" w:eastAsia="Times New Roman" w:hAnsi="Times New Roman" w:cs="Times New Roman"/>
          <w:color w:val="000000"/>
        </w:rPr>
        <w:t>, ALCALDE METROPOLITANO,</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176A72" w:rsidRDefault="00FB30F6"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r w:rsidRPr="00176A72">
        <w:rPr>
          <w:rFonts w:ascii="Times New Roman" w:eastAsia="Times New Roman" w:hAnsi="Times New Roman" w:cs="Times New Roman"/>
          <w:color w:val="000000"/>
        </w:rPr>
        <w:t xml:space="preserve">  Abg. </w:t>
      </w:r>
      <w:r w:rsidR="0020174B">
        <w:rPr>
          <w:rFonts w:ascii="Times New Roman" w:eastAsia="Times New Roman" w:hAnsi="Times New Roman" w:cs="Times New Roman"/>
          <w:color w:val="000000"/>
        </w:rPr>
        <w:t xml:space="preserve">Pablo Saúl </w:t>
      </w:r>
      <w:proofErr w:type="spellStart"/>
      <w:r w:rsidR="0020174B">
        <w:rPr>
          <w:rFonts w:ascii="Times New Roman" w:eastAsia="Times New Roman" w:hAnsi="Times New Roman" w:cs="Times New Roman"/>
          <w:color w:val="000000"/>
        </w:rPr>
        <w:t>Solorzano</w:t>
      </w:r>
      <w:proofErr w:type="spellEnd"/>
      <w:r w:rsidR="0020174B">
        <w:rPr>
          <w:rFonts w:ascii="Times New Roman" w:eastAsia="Times New Roman" w:hAnsi="Times New Roman" w:cs="Times New Roman"/>
          <w:color w:val="000000"/>
        </w:rPr>
        <w:t xml:space="preserve"> Salinas</w:t>
      </w:r>
      <w:r w:rsidRPr="00176A72">
        <w:rPr>
          <w:rFonts w:ascii="Times New Roman" w:eastAsia="Times New Roman" w:hAnsi="Times New Roman" w:cs="Times New Roman"/>
          <w:color w:val="000000"/>
        </w:rPr>
        <w:t xml:space="preserve"> </w:t>
      </w:r>
    </w:p>
    <w:p w:rsidR="00707458" w:rsidRPr="00176A72"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r w:rsidRPr="00176A72">
        <w:rPr>
          <w:rFonts w:ascii="Times New Roman" w:eastAsia="Times New Roman" w:hAnsi="Times New Roman" w:cs="Times New Roman"/>
          <w:b/>
          <w:color w:val="000000"/>
        </w:rPr>
        <w:t xml:space="preserve">   SECRETARI</w:t>
      </w:r>
      <w:r w:rsidR="00FB30F6">
        <w:rPr>
          <w:rFonts w:ascii="Times New Roman" w:eastAsia="Times New Roman" w:hAnsi="Times New Roman" w:cs="Times New Roman"/>
          <w:b/>
          <w:color w:val="000000"/>
        </w:rPr>
        <w:t>O</w:t>
      </w:r>
      <w:r w:rsidRPr="00176A72">
        <w:rPr>
          <w:rFonts w:ascii="Times New Roman" w:eastAsia="Times New Roman" w:hAnsi="Times New Roman" w:cs="Times New Roman"/>
          <w:b/>
          <w:color w:val="000000"/>
        </w:rPr>
        <w:t xml:space="preserve"> GENERAL DEL CONCEJO</w:t>
      </w:r>
    </w:p>
    <w:p w:rsidR="00707458" w:rsidRPr="00176A72"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r w:rsidRPr="00176A72">
        <w:rPr>
          <w:rFonts w:ascii="Times New Roman" w:eastAsia="Times New Roman" w:hAnsi="Times New Roman" w:cs="Times New Roman"/>
          <w:b/>
          <w:color w:val="000000"/>
        </w:rPr>
        <w:t xml:space="preserve">   METROPOLITANO DE QUITO</w:t>
      </w:r>
    </w:p>
    <w:p w:rsidR="00B40DC7" w:rsidRDefault="00B40DC7" w:rsidP="00EB3452">
      <w:pPr>
        <w:jc w:val="center"/>
        <w:rPr>
          <w:b/>
        </w:rPr>
      </w:pPr>
    </w:p>
    <w:p w:rsidR="00B40DC7" w:rsidRDefault="00B40DC7" w:rsidP="00EB3452">
      <w:pPr>
        <w:jc w:val="center"/>
        <w:rPr>
          <w:b/>
        </w:rPr>
      </w:pPr>
    </w:p>
    <w:p w:rsidR="00B40DC7" w:rsidRDefault="00B40DC7" w:rsidP="00EB3452">
      <w:pPr>
        <w:jc w:val="center"/>
        <w:rPr>
          <w:b/>
        </w:rPr>
      </w:pPr>
    </w:p>
    <w:p w:rsidR="00B40DC7" w:rsidRDefault="00B40DC7" w:rsidP="00EB3452">
      <w:pPr>
        <w:jc w:val="center"/>
        <w:rPr>
          <w:b/>
        </w:rPr>
      </w:pPr>
    </w:p>
    <w:p w:rsidR="00B40DC7" w:rsidRDefault="00B40DC7" w:rsidP="00EB3452">
      <w:pPr>
        <w:jc w:val="center"/>
        <w:rPr>
          <w:b/>
        </w:rPr>
      </w:pPr>
    </w:p>
    <w:p w:rsidR="00B40DC7" w:rsidRDefault="00B40DC7" w:rsidP="00EB3452">
      <w:pPr>
        <w:jc w:val="center"/>
        <w:rPr>
          <w:b/>
        </w:rPr>
      </w:pPr>
    </w:p>
    <w:p w:rsidR="00B40DC7" w:rsidRDefault="00B40DC7" w:rsidP="00EB3452">
      <w:pPr>
        <w:jc w:val="center"/>
        <w:rPr>
          <w:b/>
        </w:rPr>
      </w:pPr>
    </w:p>
    <w:p w:rsidR="00B40DC7" w:rsidRDefault="00B40DC7" w:rsidP="00EB3452">
      <w:pPr>
        <w:jc w:val="center"/>
        <w:rPr>
          <w:b/>
        </w:rPr>
      </w:pPr>
    </w:p>
    <w:p w:rsidR="00B40DC7" w:rsidRDefault="00B40DC7" w:rsidP="00EB3452">
      <w:pPr>
        <w:jc w:val="center"/>
        <w:rPr>
          <w:b/>
        </w:rPr>
      </w:pPr>
    </w:p>
    <w:sectPr w:rsidR="00B40DC7" w:rsidSect="000D56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52"/>
    <w:rsid w:val="0003618B"/>
    <w:rsid w:val="000D56C8"/>
    <w:rsid w:val="000E711F"/>
    <w:rsid w:val="00176A72"/>
    <w:rsid w:val="001F0554"/>
    <w:rsid w:val="0020174B"/>
    <w:rsid w:val="00233F16"/>
    <w:rsid w:val="00244EE1"/>
    <w:rsid w:val="002B2B0B"/>
    <w:rsid w:val="002B413E"/>
    <w:rsid w:val="002D77D8"/>
    <w:rsid w:val="003E60A2"/>
    <w:rsid w:val="0047264D"/>
    <w:rsid w:val="0049660D"/>
    <w:rsid w:val="004B39CA"/>
    <w:rsid w:val="00537C01"/>
    <w:rsid w:val="00640B07"/>
    <w:rsid w:val="006930F2"/>
    <w:rsid w:val="00697E39"/>
    <w:rsid w:val="00707458"/>
    <w:rsid w:val="007306BD"/>
    <w:rsid w:val="00781885"/>
    <w:rsid w:val="00806CD6"/>
    <w:rsid w:val="00872CC7"/>
    <w:rsid w:val="009767CD"/>
    <w:rsid w:val="009769AE"/>
    <w:rsid w:val="00987DF4"/>
    <w:rsid w:val="009F7204"/>
    <w:rsid w:val="00A46830"/>
    <w:rsid w:val="00A4695C"/>
    <w:rsid w:val="00A969EE"/>
    <w:rsid w:val="00AE510D"/>
    <w:rsid w:val="00AF2C73"/>
    <w:rsid w:val="00B1170A"/>
    <w:rsid w:val="00B40DC7"/>
    <w:rsid w:val="00B91436"/>
    <w:rsid w:val="00DB3E8B"/>
    <w:rsid w:val="00E61947"/>
    <w:rsid w:val="00E7143B"/>
    <w:rsid w:val="00E7153F"/>
    <w:rsid w:val="00E85AA9"/>
    <w:rsid w:val="00EA178C"/>
    <w:rsid w:val="00EB3452"/>
    <w:rsid w:val="00F57B3E"/>
    <w:rsid w:val="00F707BA"/>
    <w:rsid w:val="00F92B4E"/>
    <w:rsid w:val="00FB30F6"/>
    <w:rsid w:val="00FC1F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4EE2B2-F8EE-4A68-85E8-70FCD4F2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14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143B"/>
    <w:rPr>
      <w:rFonts w:ascii="Tahoma" w:hAnsi="Tahoma" w:cs="Tahoma"/>
      <w:sz w:val="16"/>
      <w:szCs w:val="16"/>
    </w:rPr>
  </w:style>
  <w:style w:type="paragraph" w:styleId="Sinespaciado">
    <w:name w:val="No Spacing"/>
    <w:uiPriority w:val="1"/>
    <w:qFormat/>
    <w:rsid w:val="009769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79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1232</Words>
  <Characters>6777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alavila</dc:creator>
  <cp:lastModifiedBy>Wuillan Patricio Jaramillo Arciniegas</cp:lastModifiedBy>
  <cp:revision>5</cp:revision>
  <cp:lastPrinted>2016-07-18T18:30:00Z</cp:lastPrinted>
  <dcterms:created xsi:type="dcterms:W3CDTF">2022-02-07T19:47:00Z</dcterms:created>
  <dcterms:modified xsi:type="dcterms:W3CDTF">2022-02-07T20:51:00Z</dcterms:modified>
</cp:coreProperties>
</file>