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C4BD2" w14:textId="155107E6" w:rsidR="00F70D6D" w:rsidRDefault="00F70D6D" w:rsidP="00ED01A1"/>
    <w:p w14:paraId="28797CE2" w14:textId="77777777" w:rsidR="0085411E" w:rsidRDefault="0085411E" w:rsidP="00ED01A1"/>
    <w:p w14:paraId="4200706E" w14:textId="09447B1D" w:rsidR="0085411E" w:rsidRPr="005D711E" w:rsidRDefault="00FC3C35" w:rsidP="005D711E">
      <w:pPr>
        <w:jc w:val="center"/>
        <w:rPr>
          <w:rFonts w:ascii="Palatino Linotype" w:hAnsi="Palatino Linotype"/>
          <w:sz w:val="24"/>
          <w:szCs w:val="24"/>
        </w:rPr>
      </w:pPr>
      <w:r>
        <w:rPr>
          <w:rFonts w:ascii="Palatino Linotype" w:hAnsi="Palatino Linotype"/>
          <w:sz w:val="24"/>
          <w:szCs w:val="24"/>
        </w:rPr>
        <w:t>RESOLUCIÓN No.- C   -2022</w:t>
      </w:r>
    </w:p>
    <w:p w14:paraId="025A1397" w14:textId="41664B26" w:rsidR="0085411E" w:rsidRPr="00C8654B" w:rsidRDefault="0085411E" w:rsidP="00FD4136">
      <w:pPr>
        <w:autoSpaceDE w:val="0"/>
        <w:autoSpaceDN w:val="0"/>
        <w:adjustRightInd w:val="0"/>
        <w:jc w:val="center"/>
        <w:rPr>
          <w:rFonts w:ascii="Palatino Linotype" w:eastAsia="Calibri" w:hAnsi="Palatino Linotype"/>
          <w:b/>
          <w:lang w:eastAsia="en-US"/>
        </w:rPr>
      </w:pPr>
      <w:r w:rsidRPr="00C8654B">
        <w:rPr>
          <w:rFonts w:ascii="Palatino Linotype" w:eastAsia="Calibri" w:hAnsi="Palatino Linotype"/>
          <w:b/>
          <w:lang w:eastAsia="en-US"/>
        </w:rPr>
        <w:t>EL CONCEJO METROPOLITANO DE QUITO</w:t>
      </w:r>
    </w:p>
    <w:p w14:paraId="3CD34A49" w14:textId="5CF1C02C" w:rsidR="0085411E" w:rsidRPr="00A0627D" w:rsidRDefault="0085411E" w:rsidP="00FD4136">
      <w:pPr>
        <w:autoSpaceDE w:val="0"/>
        <w:autoSpaceDN w:val="0"/>
        <w:adjustRightInd w:val="0"/>
        <w:jc w:val="center"/>
        <w:rPr>
          <w:rFonts w:ascii="Palatino Linotype" w:eastAsia="Calibri" w:hAnsi="Palatino Linotype"/>
          <w:b/>
          <w:lang w:eastAsia="en-US"/>
        </w:rPr>
      </w:pPr>
      <w:r>
        <w:rPr>
          <w:rFonts w:ascii="Palatino Linotype" w:eastAsia="Calibri" w:hAnsi="Palatino Linotype"/>
          <w:b/>
          <w:lang w:eastAsia="en-US"/>
        </w:rPr>
        <w:t>CONSIDERANDO:</w:t>
      </w:r>
    </w:p>
    <w:p w14:paraId="6DDAF2C4" w14:textId="2C5C5392" w:rsidR="0085411E" w:rsidRPr="00875BBD" w:rsidRDefault="0085411E" w:rsidP="00875BBD">
      <w:pPr>
        <w:autoSpaceDE w:val="0"/>
        <w:autoSpaceDN w:val="0"/>
        <w:adjustRightInd w:val="0"/>
        <w:ind w:left="705" w:hanging="705"/>
        <w:jc w:val="both"/>
        <w:rPr>
          <w:rFonts w:ascii="Palatino Linotype" w:eastAsia="Calibri" w:hAnsi="Palatino Linotype"/>
          <w:i/>
          <w:iCs/>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 el artículo 240 de la Constitución de República del Ecuador, en adelante Constitución, establece: “</w:t>
      </w:r>
      <w:r w:rsidRPr="00C8654B">
        <w:rPr>
          <w:rFonts w:ascii="Palatino Linotype" w:eastAsia="Calibri" w:hAnsi="Palatino Linotype"/>
          <w:i/>
          <w:iCs/>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370A6E15" w14:textId="6CFEE0FA" w:rsidR="0085411E" w:rsidRPr="00C8654B" w:rsidRDefault="0085411E" w:rsidP="00875BBD">
      <w:pPr>
        <w:autoSpaceDE w:val="0"/>
        <w:autoSpaceDN w:val="0"/>
        <w:adjustRightInd w:val="0"/>
        <w:ind w:left="705" w:hanging="705"/>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los numerales 1 y 2 del artículo 264 de la Constitución, disponen: </w:t>
      </w:r>
      <w:r w:rsidRPr="00C8654B">
        <w:rPr>
          <w:rFonts w:ascii="Palatino Linotype" w:eastAsia="Calibri" w:hAnsi="Palatino Linotype"/>
          <w:i/>
          <w:lang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C8654B">
        <w:rPr>
          <w:rFonts w:ascii="Palatino Linotype" w:eastAsia="Calibri" w:hAnsi="Palatino Linotype"/>
          <w:lang w:eastAsia="en-US"/>
        </w:rPr>
        <w:t>;</w:t>
      </w:r>
    </w:p>
    <w:p w14:paraId="49129217" w14:textId="0909C7F7"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t xml:space="preserve">el artículo 266 de la Constitución, determina: </w:t>
      </w:r>
      <w:r w:rsidRPr="00C8654B">
        <w:rPr>
          <w:rFonts w:ascii="Palatino Linotype" w:eastAsia="Calibri" w:hAnsi="Palatino Linotype"/>
          <w:i/>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C8654B">
        <w:rPr>
          <w:rFonts w:ascii="Palatino Linotype" w:eastAsia="Calibri" w:hAnsi="Palatino Linotype"/>
          <w:lang w:eastAsia="en-US"/>
        </w:rPr>
        <w:t>;</w:t>
      </w:r>
    </w:p>
    <w:p w14:paraId="5D2DFEC7" w14:textId="57490CFF" w:rsidR="0085411E" w:rsidRPr="00875BBD" w:rsidRDefault="0085411E" w:rsidP="00875BBD">
      <w:pPr>
        <w:autoSpaceDE w:val="0"/>
        <w:autoSpaceDN w:val="0"/>
        <w:adjustRightInd w:val="0"/>
        <w:ind w:left="709" w:hanging="709"/>
        <w:jc w:val="both"/>
        <w:rPr>
          <w:rFonts w:ascii="Palatino Linotype" w:eastAsia="Calibri" w:hAnsi="Palatino Linotype"/>
          <w:i/>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00B33E6A">
        <w:rPr>
          <w:rFonts w:ascii="Palatino Linotype" w:eastAsia="Calibri" w:hAnsi="Palatino Linotype"/>
          <w:lang w:eastAsia="en-US"/>
        </w:rPr>
        <w:t xml:space="preserve">   </w:t>
      </w:r>
      <w:r w:rsidRPr="00C8654B">
        <w:rPr>
          <w:rFonts w:ascii="Palatino Linotype" w:eastAsia="Calibri" w:hAnsi="Palatino Linotype"/>
          <w:lang w:eastAsia="en-US"/>
        </w:rPr>
        <w:t xml:space="preserve">el literal c) del artículo 84, del Código Orgánico de Organización Territorial, Autonomía y Descentralización, en adelante COOTAD, manifiesta: </w:t>
      </w:r>
      <w:r w:rsidRPr="00C8654B">
        <w:rPr>
          <w:rFonts w:ascii="Palatino Linotype" w:eastAsia="Calibri" w:hAnsi="Palatino Linotype"/>
          <w:i/>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893F474"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b/>
          <w:bCs/>
          <w:lang w:eastAsia="en-US"/>
        </w:rPr>
        <w:t>Que</w:t>
      </w:r>
      <w:r w:rsidRPr="00C8654B">
        <w:rPr>
          <w:rFonts w:ascii="Palatino Linotype" w:eastAsia="Calibri" w:hAnsi="Palatino Linotype"/>
          <w:lang w:eastAsia="en-US"/>
        </w:rPr>
        <w:t xml:space="preserve">, </w:t>
      </w:r>
      <w:r w:rsidRPr="00C8654B">
        <w:rPr>
          <w:rFonts w:ascii="Palatino Linotype" w:eastAsia="Calibri" w:hAnsi="Palatino Linotype"/>
          <w:lang w:eastAsia="en-US"/>
        </w:rPr>
        <w:tab/>
      </w:r>
      <w:bookmarkStart w:id="0" w:name="_Hlk51943612"/>
      <w:r w:rsidRPr="00C8654B">
        <w:rPr>
          <w:rFonts w:ascii="Palatino Linotype" w:eastAsia="Calibri" w:hAnsi="Palatino Linotype"/>
          <w:lang w:eastAsia="en-US"/>
        </w:rPr>
        <w:t>los literales a), d) y v) del artículo 87 del COOTAD, señala:</w:t>
      </w:r>
      <w:r w:rsidRPr="00311D72">
        <w:rPr>
          <w:rFonts w:ascii="Palatino Linotype" w:hAnsi="Palatino Linotype"/>
          <w:i/>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C8654B">
        <w:rPr>
          <w:rFonts w:ascii="Palatino Linotype" w:eastAsia="Calibri" w:hAnsi="Palatino Linotype"/>
          <w:lang w:eastAsia="en-US"/>
        </w:rPr>
        <w:t xml:space="preserve"> </w:t>
      </w:r>
      <w:r w:rsidRPr="00C8654B">
        <w:rPr>
          <w:rFonts w:ascii="Palatino Linotype" w:eastAsia="Calibri" w:hAnsi="Palatino Linotype"/>
          <w:i/>
          <w:lang w:eastAsia="en-US"/>
        </w:rPr>
        <w:t>v) Regular y controlar el uso del suelo en el territorio del distrito metropolitano, de conformidad con las leyes sobre la materia, y establecer el régimen urbanístico de la tierra</w:t>
      </w:r>
      <w:bookmarkEnd w:id="0"/>
      <w:r w:rsidRPr="00C8654B">
        <w:rPr>
          <w:rFonts w:ascii="Palatino Linotype" w:eastAsia="Calibri" w:hAnsi="Palatino Linotype"/>
          <w:i/>
          <w:lang w:eastAsia="en-US"/>
        </w:rPr>
        <w:t>”;</w:t>
      </w:r>
      <w:r w:rsidRPr="00C8654B">
        <w:rPr>
          <w:rFonts w:ascii="Palatino Linotype" w:eastAsia="Calibri" w:hAnsi="Palatino Linotype"/>
          <w:lang w:eastAsia="en-US"/>
        </w:rPr>
        <w:t xml:space="preserve"> </w:t>
      </w:r>
    </w:p>
    <w:p w14:paraId="6F15F003"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p>
    <w:p w14:paraId="667F3C8C" w14:textId="28846A4E" w:rsidR="0085411E" w:rsidRPr="00875BBD" w:rsidRDefault="0085411E" w:rsidP="00875BBD">
      <w:pPr>
        <w:autoSpaceDE w:val="0"/>
        <w:autoSpaceDN w:val="0"/>
        <w:adjustRightInd w:val="0"/>
        <w:ind w:left="709" w:hanging="709"/>
        <w:jc w:val="both"/>
        <w:rPr>
          <w:rFonts w:ascii="Palatino Linotype" w:eastAsia="Calibri" w:hAnsi="Palatino Linotype"/>
          <w:i/>
          <w:iCs/>
          <w:lang w:eastAsia="en-US"/>
        </w:rPr>
      </w:pPr>
      <w:r w:rsidRPr="00C8654B">
        <w:rPr>
          <w:rFonts w:ascii="Palatino Linotype" w:eastAsia="Calibri" w:hAnsi="Palatino Linotype"/>
          <w:lang w:eastAsia="en-US"/>
        </w:rPr>
        <w:lastRenderedPageBreak/>
        <w:t xml:space="preserve">Que, </w:t>
      </w:r>
      <w:r w:rsidRPr="00C8654B">
        <w:rPr>
          <w:rFonts w:ascii="Palatino Linotype" w:eastAsia="Calibri" w:hAnsi="Palatino Linotype"/>
          <w:lang w:eastAsia="en-US"/>
        </w:rPr>
        <w:tab/>
        <w:t>el artículo 323 del COOTAD establece: “</w:t>
      </w:r>
      <w:r w:rsidRPr="00C8654B">
        <w:rPr>
          <w:rFonts w:ascii="Palatino Linotype" w:eastAsia="Calibri" w:hAnsi="Palatino Linotype"/>
          <w:i/>
          <w:iCs/>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DA23095" w14:textId="7AEEF9BD"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0FB178D0" w14:textId="3CEFCBD6" w:rsidR="0085411E" w:rsidRPr="00875BBD"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 xml:space="preserve">el artículo 473 del COOTAD establece que: </w:t>
      </w:r>
      <w:r w:rsidRPr="00C8654B">
        <w:rPr>
          <w:rFonts w:ascii="Palatino Linotype" w:eastAsia="Calibri" w:hAnsi="Palatino Linotype"/>
          <w:i/>
          <w:lang w:eastAsia="en-US"/>
        </w:rPr>
        <w:t>“</w:t>
      </w:r>
      <w:r w:rsidRPr="00C8654B">
        <w:rPr>
          <w:rFonts w:ascii="Palatino Linotype" w:eastAsia="Calibri" w:hAnsi="Palatino Linotype" w:cs="CourierNewNormal"/>
          <w:i/>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C8654B">
        <w:rPr>
          <w:rFonts w:ascii="Palatino Linotype" w:eastAsia="Calibri" w:hAnsi="Palatino Linotype"/>
          <w:i/>
          <w:lang w:eastAsia="en-US"/>
        </w:rPr>
        <w:t>”</w:t>
      </w:r>
      <w:r w:rsidRPr="00C8654B">
        <w:rPr>
          <w:rFonts w:ascii="Palatino Linotype" w:eastAsia="Calibri" w:hAnsi="Palatino Linotype"/>
          <w:lang w:eastAsia="en-US"/>
        </w:rPr>
        <w:t>;</w:t>
      </w:r>
    </w:p>
    <w:p w14:paraId="60B38203" w14:textId="566B941A"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el numeral 1, del artículo 2 de la Ley de Régimen para el Distrito Metropolitano de Quito, determina, como finalidad, que el Municipio del Distrito Metropolitano de Quito: “</w:t>
      </w:r>
      <w:r w:rsidRPr="00C8654B">
        <w:rPr>
          <w:rFonts w:ascii="Palatino Linotype" w:eastAsia="Calibri" w:hAnsi="Palatino Linotype"/>
          <w:i/>
          <w:iCs/>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C8654B">
        <w:rPr>
          <w:rFonts w:ascii="Palatino Linotype" w:eastAsia="Calibri" w:hAnsi="Palatino Linotype"/>
          <w:lang w:eastAsia="en-US"/>
        </w:rPr>
        <w:t>;</w:t>
      </w:r>
    </w:p>
    <w:p w14:paraId="5F2BD119" w14:textId="0C8A25E1"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Que,</w:t>
      </w:r>
      <w:r w:rsidRPr="00C8654B">
        <w:rPr>
          <w:rFonts w:ascii="Palatino Linotype" w:eastAsia="Calibri" w:hAnsi="Palatino Linotype"/>
          <w:lang w:eastAsia="en-US"/>
        </w:rPr>
        <w:tab/>
        <w:t>los literales a y b del</w:t>
      </w:r>
      <w:r w:rsidR="00642814">
        <w:rPr>
          <w:rFonts w:ascii="Palatino Linotype" w:eastAsia="Calibri" w:hAnsi="Palatino Linotype"/>
          <w:lang w:eastAsia="en-US"/>
        </w:rPr>
        <w:t xml:space="preserve"> numeral 1, del artículo 2156</w:t>
      </w:r>
      <w:r w:rsidRPr="00C8654B">
        <w:rPr>
          <w:rFonts w:ascii="Palatino Linotype" w:eastAsia="Calibri" w:hAnsi="Palatino Linotype"/>
          <w:lang w:eastAsia="en-US"/>
        </w:rPr>
        <w:t xml:space="preserve"> del Código Municipal para el Distrito Metropolitano de Quito, en adelante Código Municipal, señalan que las asignaciones de zonificación para habilitación del suelo y edificación son</w:t>
      </w:r>
      <w:r w:rsidRPr="00C8654B">
        <w:rPr>
          <w:rFonts w:ascii="Palatino Linotype" w:eastAsia="Calibri" w:hAnsi="Palatino Linotype"/>
          <w:i/>
          <w:iCs/>
          <w:lang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C04F7AB" w14:textId="4433DAEE" w:rsidR="0085411E" w:rsidRPr="00C8654B" w:rsidRDefault="0085411E" w:rsidP="00875BBD">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el literal a, del numeral 1, del artí</w:t>
      </w:r>
      <w:r w:rsidR="0055117F">
        <w:rPr>
          <w:rFonts w:ascii="Palatino Linotype" w:eastAsia="Calibri" w:hAnsi="Palatino Linotype"/>
          <w:lang w:eastAsia="en-US"/>
        </w:rPr>
        <w:t>culo 2157</w:t>
      </w:r>
      <w:r w:rsidRPr="00C8654B">
        <w:rPr>
          <w:rFonts w:ascii="Palatino Linotype" w:eastAsia="Calibri" w:hAnsi="Palatino Linotype"/>
          <w:lang w:eastAsia="en-US"/>
        </w:rPr>
        <w:t xml:space="preserve"> del Código Municipal establece: </w:t>
      </w:r>
      <w:r w:rsidRPr="00C8654B">
        <w:rPr>
          <w:rFonts w:ascii="Palatino Linotype" w:eastAsia="Calibri" w:hAnsi="Palatino Linotype"/>
          <w:i/>
          <w:lang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723FE914" w14:textId="56069AFC" w:rsidR="0085411E" w:rsidRPr="00311D72" w:rsidRDefault="0085411E" w:rsidP="00875BBD">
      <w:pPr>
        <w:autoSpaceDE w:val="0"/>
        <w:autoSpaceDN w:val="0"/>
        <w:adjustRightInd w:val="0"/>
        <w:ind w:left="709" w:hanging="709"/>
        <w:jc w:val="both"/>
        <w:rPr>
          <w:rFonts w:ascii="Palatino Linotype" w:hAnsi="Palatino Linotype"/>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los nume</w:t>
      </w:r>
      <w:r w:rsidR="0055117F">
        <w:rPr>
          <w:rFonts w:ascii="Palatino Linotype" w:eastAsia="Calibri" w:hAnsi="Palatino Linotype"/>
          <w:lang w:eastAsia="en-US"/>
        </w:rPr>
        <w:t>rales 1 y 5 del artículo 2162</w:t>
      </w:r>
      <w:r w:rsidRPr="00C8654B">
        <w:rPr>
          <w:rFonts w:ascii="Palatino Linotype" w:eastAsia="Calibri" w:hAnsi="Palatino Linotype"/>
          <w:lang w:eastAsia="en-US"/>
        </w:rPr>
        <w:t xml:space="preserve">, del Código Municipal determina, que: </w:t>
      </w:r>
      <w:r w:rsidRPr="00C8654B">
        <w:rPr>
          <w:rFonts w:ascii="Palatino Linotype" w:eastAsia="Calibri" w:hAnsi="Palatino Linotype"/>
          <w:i/>
          <w:lang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rPr>
        <w:t xml:space="preserve">Se considera, además, como subdivisión a las habilitaciones originadas por partición judicial que </w:t>
      </w:r>
      <w:r w:rsidRPr="00311D72">
        <w:rPr>
          <w:rFonts w:ascii="Palatino Linotype" w:hAnsi="Palatino Linotype"/>
          <w:i/>
        </w:rPr>
        <w:lastRenderedPageBreak/>
        <w:t>pueden generarse en suelo urbano y rural. Éstas deberán sujetarse a la zonificación y normativa vigentes”</w:t>
      </w:r>
      <w:r w:rsidRPr="00311D72">
        <w:rPr>
          <w:rFonts w:ascii="Palatino Linotype" w:hAnsi="Palatino Linotype"/>
        </w:rPr>
        <w:t xml:space="preserve">; </w:t>
      </w:r>
    </w:p>
    <w:p w14:paraId="085A942C" w14:textId="23820950" w:rsidR="0085411E" w:rsidRPr="00C8654B" w:rsidRDefault="00531D63" w:rsidP="00875BBD">
      <w:pPr>
        <w:autoSpaceDE w:val="0"/>
        <w:autoSpaceDN w:val="0"/>
        <w:adjustRightInd w:val="0"/>
        <w:ind w:left="709" w:hanging="709"/>
        <w:jc w:val="both"/>
        <w:rPr>
          <w:rFonts w:ascii="Palatino Linotype" w:eastAsia="Calibri" w:hAnsi="Palatino Linotype"/>
          <w:i/>
          <w:lang w:eastAsia="en-US"/>
        </w:rPr>
      </w:pPr>
      <w:r>
        <w:rPr>
          <w:rFonts w:ascii="Palatino Linotype" w:eastAsia="Calibri" w:hAnsi="Palatino Linotype"/>
          <w:lang w:eastAsia="en-US"/>
        </w:rPr>
        <w:t xml:space="preserve">Que, </w:t>
      </w:r>
      <w:r>
        <w:rPr>
          <w:rFonts w:ascii="Palatino Linotype" w:eastAsia="Calibri" w:hAnsi="Palatino Linotype"/>
          <w:lang w:eastAsia="en-US"/>
        </w:rPr>
        <w:tab/>
        <w:t>el artículo 2164</w:t>
      </w:r>
      <w:r w:rsidR="0085411E" w:rsidRPr="00C8654B">
        <w:rPr>
          <w:rFonts w:ascii="Palatino Linotype" w:eastAsia="Calibri" w:hAnsi="Palatino Linotype"/>
          <w:lang w:eastAsia="en-US"/>
        </w:rPr>
        <w:t xml:space="preserve"> del Código Municipal, respecto a las dimensiones y áreas mínimas de lotes, establece:</w:t>
      </w:r>
      <w:r w:rsidR="0085411E" w:rsidRPr="00311D72">
        <w:rPr>
          <w:rFonts w:ascii="Palatino Linotype" w:hAnsi="Palatino Linotype" w:cs="Arial"/>
          <w:i/>
          <w:iCs/>
        </w:rPr>
        <w:t xml:space="preserve"> </w:t>
      </w:r>
      <w:r w:rsidR="0085411E" w:rsidRPr="00C8654B">
        <w:rPr>
          <w:rFonts w:ascii="Palatino Linotype" w:eastAsia="Calibri" w:hAnsi="Palatino Linotype"/>
          <w:i/>
          <w:lang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2CDA386C" w14:textId="7C33834B" w:rsidR="00F31762" w:rsidRDefault="0085411E" w:rsidP="001F2A83">
      <w:pPr>
        <w:autoSpaceDE w:val="0"/>
        <w:autoSpaceDN w:val="0"/>
        <w:adjustRightInd w:val="0"/>
        <w:ind w:left="709" w:hanging="709"/>
        <w:jc w:val="both"/>
        <w:rPr>
          <w:rFonts w:cs="Calibri"/>
          <w:bCs/>
          <w:color w:val="000000"/>
          <w:lang w:eastAsia="es-ES"/>
        </w:rPr>
      </w:pPr>
      <w:r w:rsidRPr="00F90ACD">
        <w:rPr>
          <w:rFonts w:ascii="Palatino Linotype" w:eastAsia="Calibri" w:hAnsi="Palatino Linotype"/>
          <w:lang w:eastAsia="en-US"/>
        </w:rPr>
        <w:t xml:space="preserve">Que, </w:t>
      </w:r>
      <w:r w:rsidRPr="00F90ACD">
        <w:rPr>
          <w:rFonts w:ascii="Palatino Linotype" w:eastAsia="Calibri" w:hAnsi="Palatino Linotype"/>
          <w:lang w:eastAsia="en-US"/>
        </w:rPr>
        <w:tab/>
      </w:r>
      <w:bookmarkStart w:id="1" w:name="_Hlk51947053"/>
      <w:r w:rsidR="002442A0">
        <w:rPr>
          <w:rFonts w:cs="Calibri"/>
          <w:bCs/>
          <w:color w:val="000000"/>
          <w:lang w:eastAsia="es-ES"/>
        </w:rPr>
        <w:t xml:space="preserve">En atención al oficio No. GADDMQ-SGCM-2022-0835-O de 11 de febrero de 2022, mediante el cual la Presidenta de la Comisión de Uso de Suelo, solicita que se emita el informe técnico y legal de factibilidad de partición de un bien inmueble signado con el número de predio 305377, ubicado en el sector Carcelén Bajo, parroquia Carcelén, cantón Quito, provincia de Pichincha, de acuerdo a lo requerido por el Dr. Luis Fernando </w:t>
      </w:r>
      <w:proofErr w:type="spellStart"/>
      <w:r w:rsidR="002442A0">
        <w:rPr>
          <w:rFonts w:cs="Calibri"/>
          <w:bCs/>
          <w:color w:val="000000"/>
          <w:lang w:eastAsia="es-ES"/>
        </w:rPr>
        <w:t>Quinaluisa</w:t>
      </w:r>
      <w:proofErr w:type="spellEnd"/>
      <w:r w:rsidR="002442A0">
        <w:rPr>
          <w:rFonts w:cs="Calibri"/>
          <w:bCs/>
          <w:color w:val="000000"/>
          <w:lang w:eastAsia="es-ES"/>
        </w:rPr>
        <w:t xml:space="preserve"> Cabezas a través de su abogado patrocinador Luis Guachamín</w:t>
      </w:r>
      <w:bookmarkStart w:id="2" w:name="_GoBack"/>
      <w:bookmarkEnd w:id="2"/>
      <w:r w:rsidR="002442A0">
        <w:rPr>
          <w:rFonts w:cs="Calibri"/>
          <w:bCs/>
          <w:color w:val="000000"/>
          <w:lang w:eastAsia="es-ES"/>
        </w:rPr>
        <w:t>, de conformidad a lo establecido en el artículo 473 del COOTAD</w:t>
      </w:r>
      <w:r w:rsidR="002442A0">
        <w:rPr>
          <w:rFonts w:cs="Calibri"/>
          <w:bCs/>
          <w:color w:val="000000"/>
          <w:lang w:eastAsia="es-ES"/>
        </w:rPr>
        <w:t>.</w:t>
      </w:r>
      <w:r w:rsidR="00F31762">
        <w:rPr>
          <w:rFonts w:cs="Calibri"/>
          <w:bCs/>
          <w:color w:val="000000"/>
          <w:lang w:eastAsia="es-ES"/>
        </w:rPr>
        <w:t xml:space="preserve"> </w:t>
      </w:r>
    </w:p>
    <w:p w14:paraId="5FD33C2D" w14:textId="6EA63902" w:rsidR="001F2A83" w:rsidRDefault="0085411E" w:rsidP="001F2A83">
      <w:pPr>
        <w:autoSpaceDE w:val="0"/>
        <w:autoSpaceDN w:val="0"/>
        <w:adjustRightInd w:val="0"/>
        <w:ind w:left="709" w:hanging="709"/>
        <w:jc w:val="both"/>
        <w:rPr>
          <w:rFonts w:ascii="Palatino Linotype" w:hAnsi="Palatino Linotype" w:cs="Calibri"/>
          <w:bCs/>
          <w:color w:val="000000"/>
          <w:lang w:eastAsia="es-ES"/>
        </w:rPr>
      </w:pPr>
      <w:r w:rsidRPr="00116A1A">
        <w:rPr>
          <w:rFonts w:ascii="Palatino Linotype" w:eastAsia="Calibri" w:hAnsi="Palatino Linotype"/>
          <w:lang w:eastAsia="en-US"/>
        </w:rPr>
        <w:t xml:space="preserve">Que, </w:t>
      </w:r>
      <w:r w:rsidRPr="00116A1A">
        <w:rPr>
          <w:rFonts w:ascii="Palatino Linotype" w:eastAsia="Calibri" w:hAnsi="Palatino Linotype"/>
          <w:lang w:eastAsia="en-US"/>
        </w:rPr>
        <w:tab/>
        <w:t xml:space="preserve">mediante oficio Nro. </w:t>
      </w:r>
      <w:r w:rsidRPr="00116A1A">
        <w:rPr>
          <w:rFonts w:ascii="Palatino Linotype" w:hAnsi="Palatino Linotype"/>
        </w:rPr>
        <w:t xml:space="preserve">…, de … de … de …, la …, Administradora Municipal Zona La Delicia, </w:t>
      </w:r>
      <w:r w:rsidR="002A1445">
        <w:rPr>
          <w:rFonts w:ascii="Palatino Linotype" w:hAnsi="Palatino Linotype"/>
        </w:rPr>
        <w:t>Abg. Laura Flores Arias</w:t>
      </w:r>
      <w:r w:rsidRPr="00116A1A">
        <w:rPr>
          <w:rFonts w:ascii="Palatino Linotype" w:hAnsi="Palatino Linotype"/>
        </w:rPr>
        <w:t xml:space="preserve">, remitió el informe técnico </w:t>
      </w:r>
      <w:r w:rsidR="001C5A11" w:rsidRPr="00116A1A">
        <w:rPr>
          <w:rFonts w:ascii="Palatino Linotype" w:hAnsi="Palatino Linotype"/>
        </w:rPr>
        <w:t>N</w:t>
      </w:r>
      <w:r w:rsidR="001C5A11">
        <w:rPr>
          <w:rFonts w:ascii="Palatino Linotype" w:hAnsi="Palatino Linotype"/>
        </w:rPr>
        <w:t>r</w:t>
      </w:r>
      <w:r w:rsidR="001C5A11" w:rsidRPr="00116A1A">
        <w:rPr>
          <w:rFonts w:ascii="Palatino Linotype" w:hAnsi="Palatino Linotype"/>
        </w:rPr>
        <w:t>o.</w:t>
      </w:r>
      <w:r w:rsidRPr="00116A1A">
        <w:rPr>
          <w:rFonts w:ascii="Palatino Linotype" w:hAnsi="Palatino Linotype"/>
        </w:rPr>
        <w:t>,</w:t>
      </w:r>
      <w:r w:rsidR="001C5A11">
        <w:rPr>
          <w:rFonts w:ascii="Palatino Linotype" w:hAnsi="Palatino Linotype" w:cs="Calibri"/>
        </w:rPr>
        <w:t xml:space="preserve"> 01</w:t>
      </w:r>
      <w:r w:rsidR="004B5C2C">
        <w:rPr>
          <w:rFonts w:ascii="Palatino Linotype" w:hAnsi="Palatino Linotype" w:cs="Calibri"/>
        </w:rPr>
        <w:t>6</w:t>
      </w:r>
      <w:r w:rsidR="001C5A11">
        <w:rPr>
          <w:rFonts w:ascii="Palatino Linotype" w:hAnsi="Palatino Linotype" w:cs="Calibri"/>
        </w:rPr>
        <w:t>-UZGT-2022</w:t>
      </w:r>
      <w:r w:rsidR="00B33E6A">
        <w:rPr>
          <w:rFonts w:ascii="Palatino Linotype" w:hAnsi="Palatino Linotype" w:cs="Calibri"/>
        </w:rPr>
        <w:t xml:space="preserve">, </w:t>
      </w:r>
      <w:r w:rsidRPr="00116A1A">
        <w:rPr>
          <w:rFonts w:ascii="Palatino Linotype" w:hAnsi="Palatino Linotype"/>
        </w:rPr>
        <w:t xml:space="preserve">de factibilidad de partición </w:t>
      </w:r>
      <w:r w:rsidRPr="00116A1A">
        <w:rPr>
          <w:rFonts w:ascii="Palatino Linotype" w:hAnsi="Palatino Linotype" w:cs="Calibri"/>
          <w:color w:val="000000"/>
          <w:bdr w:val="none" w:sz="0" w:space="0" w:color="auto" w:frame="1"/>
        </w:rPr>
        <w:t xml:space="preserve">del predio </w:t>
      </w:r>
      <w:r w:rsidRPr="00116A1A">
        <w:rPr>
          <w:rFonts w:ascii="Palatino Linotype" w:hAnsi="Palatino Linotype"/>
        </w:rPr>
        <w:t xml:space="preserve">No.- </w:t>
      </w:r>
      <w:r w:rsidR="004B5C2C">
        <w:rPr>
          <w:rFonts w:ascii="Palatino Linotype" w:hAnsi="Palatino Linotype"/>
        </w:rPr>
        <w:t>305377</w:t>
      </w:r>
      <w:r w:rsidRPr="00116A1A">
        <w:rPr>
          <w:rFonts w:ascii="Palatino Linotype" w:hAnsi="Palatino Linotype" w:cs="Calibri"/>
          <w:color w:val="222222"/>
          <w:bdr w:val="none" w:sz="0" w:space="0" w:color="auto" w:frame="1"/>
          <w:shd w:val="clear" w:color="auto" w:fill="FFFFFF"/>
        </w:rPr>
        <w:t>, constante en memoran</w:t>
      </w:r>
      <w:r w:rsidR="001C5A11">
        <w:rPr>
          <w:rFonts w:ascii="Palatino Linotype" w:hAnsi="Palatino Linotype" w:cs="Calibri"/>
          <w:color w:val="222222"/>
          <w:bdr w:val="none" w:sz="0" w:space="0" w:color="auto" w:frame="1"/>
          <w:shd w:val="clear" w:color="auto" w:fill="FFFFFF"/>
        </w:rPr>
        <w:t>do No. GADDMQ-AZLD-DGT-2022-0</w:t>
      </w:r>
      <w:r w:rsidR="004B5C2C">
        <w:rPr>
          <w:rFonts w:ascii="Palatino Linotype" w:hAnsi="Palatino Linotype" w:cs="Calibri"/>
          <w:color w:val="222222"/>
          <w:bdr w:val="none" w:sz="0" w:space="0" w:color="auto" w:frame="1"/>
          <w:shd w:val="clear" w:color="auto" w:fill="FFFFFF"/>
        </w:rPr>
        <w:t>100</w:t>
      </w:r>
      <w:r w:rsidRPr="00116A1A">
        <w:rPr>
          <w:rFonts w:ascii="Palatino Linotype" w:hAnsi="Palatino Linotype" w:cs="Calibri"/>
          <w:color w:val="222222"/>
          <w:bdr w:val="none" w:sz="0" w:space="0" w:color="auto" w:frame="1"/>
          <w:shd w:val="clear" w:color="auto" w:fill="FFFFFF"/>
        </w:rPr>
        <w:t>-</w:t>
      </w:r>
      <w:r w:rsidR="001F2A83" w:rsidRPr="00116A1A">
        <w:rPr>
          <w:rFonts w:ascii="Palatino Linotype" w:hAnsi="Palatino Linotype" w:cs="Calibri"/>
          <w:color w:val="222222"/>
          <w:bdr w:val="none" w:sz="0" w:space="0" w:color="auto" w:frame="1"/>
          <w:shd w:val="clear" w:color="auto" w:fill="FFFFFF"/>
        </w:rPr>
        <w:t xml:space="preserve">M, </w:t>
      </w:r>
      <w:r w:rsidR="001F2A83">
        <w:rPr>
          <w:rFonts w:ascii="Palatino Linotype" w:hAnsi="Palatino Linotype" w:cs="Calibri"/>
          <w:color w:val="222222"/>
          <w:bdr w:val="none" w:sz="0" w:space="0" w:color="auto" w:frame="1"/>
          <w:shd w:val="clear" w:color="auto" w:fill="FFFFFF"/>
        </w:rPr>
        <w:t>de</w:t>
      </w:r>
      <w:r w:rsidRPr="00116A1A">
        <w:rPr>
          <w:rFonts w:ascii="Palatino Linotype" w:hAnsi="Palatino Linotype" w:cs="Calibri"/>
          <w:color w:val="222222"/>
          <w:bdr w:val="none" w:sz="0" w:space="0" w:color="auto" w:frame="1"/>
          <w:shd w:val="clear" w:color="auto" w:fill="FFFFFF"/>
        </w:rPr>
        <w:t xml:space="preserve"> </w:t>
      </w:r>
      <w:r w:rsidR="004B5C2C">
        <w:rPr>
          <w:rFonts w:ascii="Palatino Linotype" w:hAnsi="Palatino Linotype" w:cs="Calibri"/>
          <w:color w:val="222222"/>
          <w:bdr w:val="none" w:sz="0" w:space="0" w:color="auto" w:frame="1"/>
          <w:shd w:val="clear" w:color="auto" w:fill="FFFFFF"/>
        </w:rPr>
        <w:t>14</w:t>
      </w:r>
      <w:r w:rsidR="001C5A11">
        <w:rPr>
          <w:rFonts w:ascii="Palatino Linotype" w:hAnsi="Palatino Linotype" w:cs="Calibri"/>
          <w:color w:val="222222"/>
          <w:bdr w:val="none" w:sz="0" w:space="0" w:color="auto" w:frame="1"/>
          <w:shd w:val="clear" w:color="auto" w:fill="FFFFFF"/>
        </w:rPr>
        <w:t xml:space="preserve"> de febrero de 2022</w:t>
      </w:r>
      <w:r w:rsidRPr="00116A1A">
        <w:rPr>
          <w:rFonts w:ascii="Palatino Linotype" w:hAnsi="Palatino Linotype"/>
        </w:rPr>
        <w:t xml:space="preserve">, suscrito por el </w:t>
      </w:r>
      <w:r w:rsidR="002A1445">
        <w:rPr>
          <w:rFonts w:ascii="Palatino Linotype" w:hAnsi="Palatino Linotype" w:cs="Calibri"/>
        </w:rPr>
        <w:t>Mgs. Luis Rodolfo Andrade Baldeón</w:t>
      </w:r>
      <w:r w:rsidRPr="00116A1A">
        <w:rPr>
          <w:rFonts w:ascii="Palatino Linotype" w:hAnsi="Palatino Linotype" w:cs="Calibri"/>
        </w:rPr>
        <w:t xml:space="preserve">, Director de Gestión del Territorio, </w:t>
      </w:r>
      <w:r w:rsidRPr="00116A1A">
        <w:rPr>
          <w:rFonts w:ascii="Palatino Linotype" w:hAnsi="Palatino Linotype"/>
        </w:rPr>
        <w:t>que en su parte pertinente señala: el predio No.-</w:t>
      </w:r>
      <w:r w:rsidR="004B5C2C" w:rsidRPr="004B5C2C">
        <w:rPr>
          <w:rFonts w:ascii="Palatino Linotype" w:hAnsi="Palatino Linotype"/>
        </w:rPr>
        <w:t xml:space="preserve"> </w:t>
      </w:r>
      <w:r w:rsidR="004B5C2C">
        <w:rPr>
          <w:rFonts w:ascii="Palatino Linotype" w:hAnsi="Palatino Linotype"/>
        </w:rPr>
        <w:t>305377</w:t>
      </w:r>
      <w:r w:rsidR="001F2A83" w:rsidRPr="00116A1A">
        <w:rPr>
          <w:rFonts w:ascii="Palatino Linotype" w:hAnsi="Palatino Linotype" w:cs="Calibri"/>
        </w:rPr>
        <w:t xml:space="preserve"> </w:t>
      </w:r>
      <w:r w:rsidR="004B5C2C">
        <w:rPr>
          <w:rFonts w:cs="Calibri"/>
        </w:rPr>
        <w:t>“</w:t>
      </w:r>
      <w:r w:rsidR="004B5C2C">
        <w:rPr>
          <w:rFonts w:cs="Calibri"/>
          <w:i/>
        </w:rPr>
        <w:t xml:space="preserve">Revisado el sistema catastral, el Informe de Regulación Metropolitana IRM, se determina lo siguiente: El predio 305377, consta catastrado como UNIPROPIEDAD, a nombre del Sr. Luis Fernando </w:t>
      </w:r>
      <w:proofErr w:type="spellStart"/>
      <w:r w:rsidR="004B5C2C">
        <w:rPr>
          <w:rFonts w:cs="Calibri"/>
          <w:i/>
        </w:rPr>
        <w:t>Quinaluisa</w:t>
      </w:r>
      <w:proofErr w:type="spellEnd"/>
      <w:r w:rsidR="004B5C2C">
        <w:rPr>
          <w:rFonts w:cs="Calibri"/>
          <w:i/>
        </w:rPr>
        <w:t xml:space="preserve"> Cabezas, área de escritura  170.00 m2, frente de 9.98 metros con zonificación D3 (D203-80), que corresponde a un lote mínimo de 200 m2 y frente mínimo de 10 m.”</w:t>
      </w:r>
      <w:r w:rsidR="004B5C2C" w:rsidRPr="001F2A83">
        <w:rPr>
          <w:rFonts w:ascii="Palatino Linotype" w:hAnsi="Palatino Linotype" w:cs="Calibri"/>
          <w:i/>
        </w:rPr>
        <w:t xml:space="preserve"> </w:t>
      </w:r>
    </w:p>
    <w:p w14:paraId="7637E602" w14:textId="12F14BAE" w:rsidR="001F2A83" w:rsidRDefault="001F2A83" w:rsidP="001F2A83">
      <w:pPr>
        <w:autoSpaceDE w:val="0"/>
        <w:autoSpaceDN w:val="0"/>
        <w:adjustRightInd w:val="0"/>
        <w:ind w:left="709" w:hanging="709"/>
        <w:jc w:val="both"/>
        <w:rPr>
          <w:rFonts w:ascii="Palatino Linotype" w:hAnsi="Palatino Linotype" w:cs="Calibri"/>
          <w:bCs/>
          <w:color w:val="000000"/>
          <w:lang w:eastAsia="es-ES"/>
        </w:rPr>
      </w:pPr>
      <w:r>
        <w:rPr>
          <w:rFonts w:ascii="Palatino Linotype" w:eastAsiaTheme="minorHAnsi" w:hAnsi="Palatino Linotype" w:cs="Calibri"/>
          <w:i/>
          <w:lang w:eastAsia="en-US"/>
        </w:rPr>
        <w:t xml:space="preserve">             </w:t>
      </w:r>
      <w:r w:rsidRPr="001F2A83">
        <w:rPr>
          <w:rFonts w:ascii="Palatino Linotype" w:eastAsiaTheme="minorHAnsi" w:hAnsi="Palatino Linotype" w:cs="Calibri"/>
          <w:i/>
          <w:lang w:eastAsia="en-US"/>
        </w:rPr>
        <w:t xml:space="preserve">Por lo expuesto anteriormente se informa que el predio Nro.- </w:t>
      </w:r>
      <w:r w:rsidR="004B5C2C">
        <w:rPr>
          <w:rFonts w:ascii="Palatino Linotype" w:hAnsi="Palatino Linotype"/>
        </w:rPr>
        <w:t>305377</w:t>
      </w:r>
      <w:r w:rsidRPr="001F2A83">
        <w:rPr>
          <w:rFonts w:ascii="Palatino Linotype" w:eastAsiaTheme="minorHAnsi" w:hAnsi="Palatino Linotype" w:cs="Calibri"/>
          <w:i/>
          <w:lang w:eastAsia="en-US"/>
        </w:rPr>
        <w:t xml:space="preserve">, </w:t>
      </w:r>
      <w:r w:rsidRPr="001F2A83">
        <w:rPr>
          <w:rFonts w:ascii="Palatino Linotype" w:eastAsiaTheme="minorHAnsi" w:hAnsi="Palatino Linotype" w:cs="Calibri"/>
          <w:b/>
          <w:i/>
          <w:lang w:eastAsia="en-US"/>
        </w:rPr>
        <w:t>NO ES FACTIBLE</w:t>
      </w:r>
      <w:r w:rsidRPr="001F2A83">
        <w:rPr>
          <w:rFonts w:ascii="Palatino Linotype" w:eastAsiaTheme="minorHAnsi" w:hAnsi="Palatino Linotype" w:cs="Calibri"/>
          <w:i/>
          <w:lang w:eastAsia="en-US"/>
        </w:rPr>
        <w:t xml:space="preserve"> de partición por NO cumplir con la zonificación respecto al lote y frente mínimo.</w:t>
      </w:r>
    </w:p>
    <w:p w14:paraId="51E6221B" w14:textId="7754A882" w:rsidR="009E7D32" w:rsidRDefault="001F2A83" w:rsidP="00E91CF9">
      <w:pPr>
        <w:autoSpaceDE w:val="0"/>
        <w:autoSpaceDN w:val="0"/>
        <w:adjustRightInd w:val="0"/>
        <w:ind w:left="709" w:hanging="709"/>
        <w:jc w:val="both"/>
        <w:rPr>
          <w:rFonts w:ascii="Palatino Linotype" w:hAnsi="Palatino Linotype" w:cs="Calibri"/>
          <w:bCs/>
          <w:color w:val="000000"/>
          <w:lang w:eastAsia="es-ES"/>
        </w:rPr>
      </w:pPr>
      <w:r>
        <w:rPr>
          <w:rFonts w:ascii="Palatino Linotype" w:hAnsi="Palatino Linotype" w:cs="Calibri"/>
          <w:bCs/>
          <w:color w:val="000000"/>
          <w:lang w:eastAsia="es-ES"/>
        </w:rPr>
        <w:t xml:space="preserve">             </w:t>
      </w:r>
      <w:r w:rsidRPr="001F2A83">
        <w:rPr>
          <w:rFonts w:ascii="Palatino Linotype" w:eastAsiaTheme="minorHAnsi" w:hAnsi="Palatino Linotype" w:cs="Calibri"/>
          <w:i/>
          <w:lang w:eastAsia="en-US"/>
        </w:rPr>
        <w:t>En base a la Normativa Vigente, compensará con el pago en valor monetario equivalente al 15 % del área útil de la subdivisión, como mínimo según el avalúo catastral actualizado.”</w:t>
      </w:r>
    </w:p>
    <w:p w14:paraId="743B2166" w14:textId="559CE781" w:rsidR="0085411E" w:rsidRPr="004B5C2C" w:rsidRDefault="0085411E" w:rsidP="004B5C2C">
      <w:pPr>
        <w:autoSpaceDE w:val="0"/>
        <w:autoSpaceDN w:val="0"/>
        <w:adjustRightInd w:val="0"/>
        <w:ind w:left="709" w:hanging="709"/>
        <w:jc w:val="both"/>
        <w:rPr>
          <w:rFonts w:ascii="Palatino Linotype" w:hAnsi="Palatino Linotype" w:cs="Calibri"/>
          <w:bCs/>
          <w:color w:val="000000"/>
          <w:lang w:eastAsia="es-ES"/>
        </w:rPr>
      </w:pPr>
      <w:r w:rsidRPr="00C3372C">
        <w:rPr>
          <w:rFonts w:ascii="Palatino Linotype" w:eastAsia="Calibri" w:hAnsi="Palatino Linotype"/>
          <w:lang w:eastAsia="en-US"/>
        </w:rPr>
        <w:t xml:space="preserve">Que, </w:t>
      </w:r>
      <w:r w:rsidRPr="00C3372C">
        <w:rPr>
          <w:rFonts w:ascii="Palatino Linotype" w:eastAsia="Calibri" w:hAnsi="Palatino Linotype"/>
          <w:lang w:eastAsia="en-US"/>
        </w:rPr>
        <w:tab/>
      </w:r>
      <w:r w:rsidRPr="00BA369D">
        <w:rPr>
          <w:rFonts w:ascii="Palatino Linotype" w:eastAsia="Calibri" w:hAnsi="Palatino Linotype"/>
          <w:lang w:eastAsia="en-US"/>
        </w:rPr>
        <w:t xml:space="preserve">mediante oficio Nro. </w:t>
      </w:r>
      <w:r w:rsidRPr="00BA369D">
        <w:rPr>
          <w:rFonts w:ascii="Palatino Linotype" w:hAnsi="Palatino Linotype"/>
        </w:rPr>
        <w:t>…-O, de … de … de …, …, Administradora Municipal Zona La D</w:t>
      </w:r>
      <w:r w:rsidR="00BA369D" w:rsidRPr="00BA369D">
        <w:rPr>
          <w:rFonts w:ascii="Palatino Linotype" w:hAnsi="Palatino Linotype"/>
        </w:rPr>
        <w:t xml:space="preserve">elicia, </w:t>
      </w:r>
      <w:r w:rsidR="0023681F">
        <w:rPr>
          <w:rFonts w:ascii="Palatino Linotype" w:hAnsi="Palatino Linotype"/>
        </w:rPr>
        <w:t>Abg. Laura Flores Arias</w:t>
      </w:r>
      <w:r w:rsidR="00BA369D" w:rsidRPr="00BA369D">
        <w:rPr>
          <w:rFonts w:ascii="Palatino Linotype" w:hAnsi="Palatino Linotype"/>
        </w:rPr>
        <w:t>,</w:t>
      </w:r>
      <w:r w:rsidRPr="00BA369D">
        <w:rPr>
          <w:rFonts w:ascii="Palatino Linotype" w:hAnsi="Palatino Linotype"/>
        </w:rPr>
        <w:t xml:space="preserve"> remitió el informe legal </w:t>
      </w:r>
      <w:r w:rsidR="009E7D32">
        <w:rPr>
          <w:rFonts w:ascii="Palatino Linotype" w:hAnsi="Palatino Linotype" w:cs="Arial"/>
        </w:rPr>
        <w:t>No</w:t>
      </w:r>
      <w:r w:rsidR="00751A03">
        <w:rPr>
          <w:rFonts w:ascii="Palatino Linotype" w:hAnsi="Palatino Linotype" w:cs="Arial"/>
        </w:rPr>
        <w:t>. AZLD-DJ-2022-16</w:t>
      </w:r>
      <w:r w:rsidRPr="00BA369D">
        <w:rPr>
          <w:rFonts w:ascii="Palatino Linotype" w:hAnsi="Palatino Linotype"/>
        </w:rPr>
        <w:t>,</w:t>
      </w:r>
      <w:r w:rsidR="00751A03">
        <w:rPr>
          <w:rFonts w:ascii="Palatino Linotype" w:hAnsi="Palatino Linotype"/>
        </w:rPr>
        <w:t xml:space="preserve"> de 11 de febrero de 2022, </w:t>
      </w:r>
      <w:r w:rsidRPr="00BA369D">
        <w:rPr>
          <w:rFonts w:ascii="Palatino Linotype" w:hAnsi="Palatino Linotype"/>
        </w:rPr>
        <w:t xml:space="preserve"> </w:t>
      </w:r>
      <w:r w:rsidR="00FA729B">
        <w:rPr>
          <w:rFonts w:ascii="Palatino Linotype" w:hAnsi="Palatino Linotype"/>
        </w:rPr>
        <w:t xml:space="preserve"> </w:t>
      </w:r>
      <w:r w:rsidRPr="00BA369D">
        <w:rPr>
          <w:rFonts w:ascii="Palatino Linotype" w:hAnsi="Palatino Linotype"/>
        </w:rPr>
        <w:t xml:space="preserve">de factibilidad de partición </w:t>
      </w:r>
      <w:r w:rsidR="004B5C2C" w:rsidRPr="00BA369D">
        <w:rPr>
          <w:rFonts w:ascii="Palatino Linotype" w:hAnsi="Palatino Linotype" w:cs="Calibri"/>
          <w:color w:val="000000"/>
          <w:bdr w:val="none" w:sz="0" w:space="0" w:color="auto" w:frame="1"/>
        </w:rPr>
        <w:t>del predio</w:t>
      </w:r>
      <w:r w:rsidRPr="00BA369D">
        <w:rPr>
          <w:rFonts w:ascii="Palatino Linotype" w:hAnsi="Palatino Linotype" w:cs="Calibri"/>
          <w:color w:val="000000"/>
          <w:bdr w:val="none" w:sz="0" w:space="0" w:color="auto" w:frame="1"/>
        </w:rPr>
        <w:t xml:space="preserve"> </w:t>
      </w:r>
      <w:r w:rsidR="00751A03">
        <w:rPr>
          <w:rFonts w:ascii="Palatino Linotype" w:hAnsi="Palatino Linotype" w:cs="Calibri"/>
          <w:color w:val="222222"/>
          <w:bdr w:val="none" w:sz="0" w:space="0" w:color="auto" w:frame="1"/>
          <w:shd w:val="clear" w:color="auto" w:fill="FFFFFF"/>
        </w:rPr>
        <w:t xml:space="preserve">No. </w:t>
      </w:r>
      <w:r w:rsidR="004B5C2C">
        <w:rPr>
          <w:rFonts w:ascii="Palatino Linotype" w:hAnsi="Palatino Linotype"/>
        </w:rPr>
        <w:t>305377</w:t>
      </w:r>
      <w:r w:rsidRPr="00BA369D">
        <w:rPr>
          <w:rFonts w:ascii="Palatino Linotype" w:hAnsi="Palatino Linotype" w:cs="Calibri"/>
          <w:color w:val="000000"/>
          <w:bdr w:val="none" w:sz="0" w:space="0" w:color="auto" w:frame="1"/>
        </w:rPr>
        <w:t xml:space="preserve">, </w:t>
      </w:r>
      <w:r w:rsidRPr="00BA369D">
        <w:rPr>
          <w:rFonts w:ascii="Palatino Linotype" w:hAnsi="Palatino Linotype"/>
        </w:rPr>
        <w:t xml:space="preserve">suscrito por el </w:t>
      </w:r>
      <w:r w:rsidR="00BA369D" w:rsidRPr="00BA369D">
        <w:rPr>
          <w:rFonts w:ascii="Palatino Linotype" w:hAnsi="Palatino Linotype"/>
        </w:rPr>
        <w:t xml:space="preserve">Abg. Santiago Rodriguez, </w:t>
      </w:r>
      <w:r w:rsidRPr="00BA369D">
        <w:rPr>
          <w:rFonts w:ascii="Palatino Linotype" w:hAnsi="Palatino Linotype" w:cs="Arial"/>
        </w:rPr>
        <w:t>Director Jurídico de la Administración Zonal La Delicia</w:t>
      </w:r>
      <w:r w:rsidRPr="00BA369D">
        <w:rPr>
          <w:rFonts w:ascii="Palatino Linotype" w:hAnsi="Palatino Linotype"/>
        </w:rPr>
        <w:t>, que en lo principal</w:t>
      </w:r>
      <w:r w:rsidR="004B5C2C" w:rsidRPr="00BA369D">
        <w:rPr>
          <w:rFonts w:ascii="Palatino Linotype" w:hAnsi="Palatino Linotype"/>
        </w:rPr>
        <w:t>, indica</w:t>
      </w:r>
      <w:r w:rsidR="00D95F23" w:rsidRPr="00BA369D">
        <w:rPr>
          <w:rFonts w:ascii="Palatino Linotype" w:hAnsi="Palatino Linotype"/>
        </w:rPr>
        <w:t>:</w:t>
      </w:r>
      <w:r w:rsidR="009E7D32">
        <w:rPr>
          <w:rFonts w:ascii="Palatino Linotype" w:hAnsi="Palatino Linotype"/>
        </w:rPr>
        <w:t xml:space="preserve"> “</w:t>
      </w:r>
      <w:r w:rsidR="003C71D2" w:rsidRPr="003C71D2">
        <w:rPr>
          <w:rFonts w:ascii="Palatino Linotype" w:hAnsi="Palatino Linotype"/>
          <w:i/>
        </w:rPr>
        <w:t>(…)</w:t>
      </w:r>
      <w:r w:rsidR="009E7D32">
        <w:rPr>
          <w:rFonts w:ascii="Palatino Linotype" w:hAnsi="Palatino Linotype"/>
          <w:i/>
        </w:rPr>
        <w:t xml:space="preserve"> </w:t>
      </w:r>
      <w:r w:rsidR="009E7D32" w:rsidRPr="009E7D32">
        <w:rPr>
          <w:rFonts w:ascii="Palatino Linotype" w:eastAsiaTheme="minorHAnsi" w:hAnsi="Palatino Linotype" w:cs="Calibri"/>
          <w:i/>
          <w:lang w:eastAsia="en-US"/>
        </w:rPr>
        <w:t>el pre</w:t>
      </w:r>
      <w:r w:rsidR="00FA729B">
        <w:rPr>
          <w:rFonts w:ascii="Palatino Linotype" w:eastAsiaTheme="minorHAnsi" w:hAnsi="Palatino Linotype" w:cs="Calibri"/>
          <w:i/>
          <w:lang w:eastAsia="en-US"/>
        </w:rPr>
        <w:t xml:space="preserve">dio signado con el número </w:t>
      </w:r>
      <w:r w:rsidR="004B5C2C">
        <w:rPr>
          <w:rFonts w:ascii="Palatino Linotype" w:hAnsi="Palatino Linotype"/>
        </w:rPr>
        <w:t>305377</w:t>
      </w:r>
      <w:r w:rsidR="009E7D32" w:rsidRPr="009E7D32">
        <w:rPr>
          <w:rFonts w:ascii="Palatino Linotype" w:eastAsiaTheme="minorHAnsi" w:hAnsi="Palatino Linotype" w:cs="Calibri"/>
          <w:i/>
          <w:lang w:eastAsia="en-US"/>
        </w:rPr>
        <w:t>,</w:t>
      </w:r>
      <w:r w:rsidR="00FA729B">
        <w:rPr>
          <w:rFonts w:ascii="Palatino Linotype" w:eastAsiaTheme="minorHAnsi" w:hAnsi="Palatino Linotype" w:cs="Calibri"/>
          <w:i/>
          <w:lang w:eastAsia="en-US"/>
        </w:rPr>
        <w:t xml:space="preserve"> </w:t>
      </w:r>
      <w:r w:rsidR="004B5C2C">
        <w:rPr>
          <w:rFonts w:ascii="Palatino Linotype" w:eastAsiaTheme="minorHAnsi" w:hAnsi="Palatino Linotype" w:cs="Calibri"/>
          <w:i/>
          <w:lang w:eastAsia="en-US"/>
        </w:rPr>
        <w:t xml:space="preserve">no </w:t>
      </w:r>
      <w:r w:rsidR="004B5C2C" w:rsidRPr="009E7D32">
        <w:rPr>
          <w:rFonts w:ascii="Palatino Linotype" w:eastAsiaTheme="minorHAnsi" w:hAnsi="Palatino Linotype" w:cs="Calibri"/>
          <w:i/>
          <w:lang w:eastAsia="en-US"/>
        </w:rPr>
        <w:t>es</w:t>
      </w:r>
      <w:r w:rsidR="009E7D32" w:rsidRPr="009E7D32">
        <w:rPr>
          <w:rFonts w:ascii="Palatino Linotype" w:eastAsiaTheme="minorHAnsi" w:hAnsi="Palatino Linotype" w:cs="Calibri"/>
          <w:i/>
          <w:lang w:eastAsia="en-US"/>
        </w:rPr>
        <w:t xml:space="preserve"> factible</w:t>
      </w:r>
      <w:r w:rsidR="00FA729B">
        <w:rPr>
          <w:rFonts w:ascii="Palatino Linotype" w:eastAsiaTheme="minorHAnsi" w:hAnsi="Palatino Linotype" w:cs="Calibri"/>
          <w:i/>
          <w:lang w:eastAsia="en-US"/>
        </w:rPr>
        <w:t xml:space="preserve"> </w:t>
      </w:r>
      <w:proofErr w:type="gramStart"/>
      <w:r w:rsidR="00FA729B">
        <w:rPr>
          <w:rFonts w:ascii="Palatino Linotype" w:eastAsiaTheme="minorHAnsi" w:hAnsi="Palatino Linotype" w:cs="Calibri"/>
          <w:i/>
          <w:lang w:eastAsia="en-US"/>
        </w:rPr>
        <w:t xml:space="preserve">de </w:t>
      </w:r>
      <w:r w:rsidR="009E7D32" w:rsidRPr="009E7D32">
        <w:rPr>
          <w:rFonts w:ascii="Palatino Linotype" w:eastAsiaTheme="minorHAnsi" w:hAnsi="Palatino Linotype" w:cs="Calibri"/>
          <w:i/>
          <w:lang w:eastAsia="en-US"/>
        </w:rPr>
        <w:t xml:space="preserve"> partición</w:t>
      </w:r>
      <w:proofErr w:type="gramEnd"/>
      <w:r w:rsidR="009E7D32" w:rsidRPr="009E7D32">
        <w:rPr>
          <w:rFonts w:ascii="Palatino Linotype" w:eastAsiaTheme="minorHAnsi" w:hAnsi="Palatino Linotype" w:cs="Calibri"/>
          <w:i/>
          <w:lang w:eastAsia="en-US"/>
        </w:rPr>
        <w:t xml:space="preserve">  por  cumplir con las regulaciones establecidas para esa zonificación</w:t>
      </w:r>
      <w:r w:rsidR="003C71D2" w:rsidRPr="003C71D2">
        <w:rPr>
          <w:rFonts w:ascii="Palatino Linotype" w:hAnsi="Palatino Linotype" w:cs="Calibri"/>
          <w:i/>
        </w:rPr>
        <w:t>.</w:t>
      </w:r>
      <w:r w:rsidR="003D4D8C" w:rsidRPr="003C71D2">
        <w:rPr>
          <w:rFonts w:ascii="Palatino Linotype" w:eastAsiaTheme="minorHAnsi" w:hAnsi="Palatino Linotype" w:cs="Calibri"/>
          <w:i/>
          <w:lang w:eastAsia="en-US"/>
        </w:rPr>
        <w:t>”</w:t>
      </w:r>
      <w:r w:rsidR="003C71D2" w:rsidRPr="003C71D2">
        <w:rPr>
          <w:rFonts w:ascii="Palatino Linotype" w:eastAsiaTheme="minorHAnsi" w:hAnsi="Palatino Linotype" w:cs="Calibri"/>
          <w:i/>
          <w:lang w:eastAsia="en-US"/>
        </w:rPr>
        <w:t xml:space="preserve"> </w:t>
      </w:r>
      <w:r w:rsidR="005F5FFC" w:rsidRPr="003C71D2">
        <w:rPr>
          <w:rFonts w:ascii="Palatino Linotype" w:hAnsi="Palatino Linotype" w:cs="Calibri"/>
          <w:color w:val="000000"/>
          <w:bdr w:val="none" w:sz="0" w:space="0" w:color="auto" w:frame="1"/>
        </w:rPr>
        <w:t>En</w:t>
      </w:r>
      <w:r w:rsidRPr="003C71D2">
        <w:rPr>
          <w:rFonts w:ascii="Palatino Linotype" w:hAnsi="Palatino Linotype" w:cs="Calibri"/>
          <w:color w:val="000000"/>
          <w:bdr w:val="none" w:sz="0" w:space="0" w:color="auto" w:frame="1"/>
        </w:rPr>
        <w:t xml:space="preserve"> tal sentido esta Administración Zonal EMITE</w:t>
      </w:r>
      <w:r w:rsidRPr="003C71D2">
        <w:rPr>
          <w:rFonts w:ascii="Palatino Linotype" w:hAnsi="Palatino Linotype" w:cs="Calibri"/>
          <w:b/>
          <w:bCs/>
          <w:color w:val="000000"/>
          <w:bdr w:val="none" w:sz="0" w:space="0" w:color="auto" w:frame="1"/>
        </w:rPr>
        <w:t xml:space="preserve"> CRITERIO </w:t>
      </w:r>
      <w:r w:rsidR="00FA729B">
        <w:rPr>
          <w:rFonts w:ascii="Palatino Linotype" w:hAnsi="Palatino Linotype" w:cs="Calibri"/>
          <w:b/>
          <w:bCs/>
          <w:color w:val="000000"/>
          <w:bdr w:val="none" w:sz="0" w:space="0" w:color="auto" w:frame="1"/>
        </w:rPr>
        <w:t>DES</w:t>
      </w:r>
      <w:r w:rsidRPr="003C71D2">
        <w:rPr>
          <w:rFonts w:ascii="Palatino Linotype" w:hAnsi="Palatino Linotype" w:cs="Calibri"/>
          <w:b/>
          <w:bCs/>
          <w:color w:val="000000"/>
          <w:bdr w:val="none" w:sz="0" w:space="0" w:color="auto" w:frame="1"/>
        </w:rPr>
        <w:t>FAVORABLE</w:t>
      </w:r>
      <w:r w:rsidRPr="003C71D2">
        <w:rPr>
          <w:rFonts w:ascii="Palatino Linotype" w:hAnsi="Palatino Linotype" w:cs="Calibri"/>
          <w:color w:val="000000"/>
          <w:bdr w:val="none" w:sz="0" w:space="0" w:color="auto" w:frame="1"/>
        </w:rPr>
        <w:t> para la partición del predio antes indicado</w:t>
      </w:r>
      <w:r w:rsidRPr="003C71D2">
        <w:rPr>
          <w:rFonts w:ascii="Palatino Linotype" w:hAnsi="Palatino Linotype" w:cs="Calibri"/>
          <w:i/>
          <w:color w:val="000000"/>
          <w:bdr w:val="none" w:sz="0" w:space="0" w:color="auto" w:frame="1"/>
        </w:rPr>
        <w:t>.</w:t>
      </w:r>
      <w:bookmarkEnd w:id="1"/>
    </w:p>
    <w:p w14:paraId="1B7D4775" w14:textId="77777777" w:rsidR="0085411E" w:rsidRPr="00C8654B" w:rsidRDefault="0085411E" w:rsidP="0085411E">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mediante oficio Nro. …, </w:t>
      </w:r>
      <w:proofErr w:type="gramStart"/>
      <w:r w:rsidRPr="00C8654B">
        <w:rPr>
          <w:rFonts w:ascii="Palatino Linotype" w:eastAsia="Calibri" w:hAnsi="Palatino Linotype"/>
          <w:lang w:eastAsia="en-US"/>
        </w:rPr>
        <w:t>de …</w:t>
      </w:r>
      <w:proofErr w:type="gramEnd"/>
      <w:r w:rsidRPr="00C8654B">
        <w:rPr>
          <w:rFonts w:ascii="Palatino Linotype" w:eastAsia="Calibri" w:hAnsi="Palatino Linotype"/>
          <w:lang w:eastAsia="en-US"/>
        </w:rPr>
        <w:t xml:space="preserve"> de … de 2021, el Dr. Édison Yépez, Subprocurador Metropolitano emite el informe legal, en el cual señala : …;</w:t>
      </w:r>
    </w:p>
    <w:p w14:paraId="302B21A8" w14:textId="77777777" w:rsidR="0085411E" w:rsidRPr="00C8654B" w:rsidRDefault="0085411E" w:rsidP="0085411E">
      <w:pPr>
        <w:autoSpaceDE w:val="0"/>
        <w:autoSpaceDN w:val="0"/>
        <w:adjustRightInd w:val="0"/>
        <w:ind w:left="709" w:hanging="709"/>
        <w:jc w:val="both"/>
        <w:rPr>
          <w:rFonts w:ascii="Palatino Linotype" w:eastAsia="Calibri" w:hAnsi="Palatino Linotype"/>
          <w:highlight w:val="yellow"/>
          <w:lang w:eastAsia="en-US"/>
        </w:rPr>
      </w:pPr>
    </w:p>
    <w:p w14:paraId="61F49806" w14:textId="660E8D4E" w:rsidR="0085411E" w:rsidRPr="00DA5FA0" w:rsidRDefault="0085411E" w:rsidP="00DA5FA0">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lastRenderedPageBreak/>
        <w:t xml:space="preserve">Que, </w:t>
      </w:r>
      <w:r w:rsidRPr="00C8654B">
        <w:rPr>
          <w:rFonts w:ascii="Palatino Linotype" w:eastAsia="Calibri" w:hAnsi="Palatino Linotype"/>
          <w:lang w:eastAsia="en-US"/>
        </w:rPr>
        <w:tab/>
        <w:t xml:space="preserve">la Comisión de Uso de Suelo en sesión ordinaria Nro. …, de … de … de 2021 analizó los informes técnicos y legales, que reposan en el </w:t>
      </w:r>
      <w:r w:rsidR="00DA5FA0" w:rsidRPr="00C8654B">
        <w:rPr>
          <w:rFonts w:ascii="Palatino Linotype" w:eastAsia="Calibri" w:hAnsi="Palatino Linotype"/>
          <w:lang w:eastAsia="en-US"/>
        </w:rPr>
        <w:t>expediente,</w:t>
      </w:r>
      <w:r w:rsidRPr="00311D72">
        <w:rPr>
          <w:rFonts w:ascii="Palatino Linotype" w:hAnsi="Palatino Linotype"/>
        </w:rPr>
        <w:t xml:space="preserve"> </w:t>
      </w:r>
      <w:r w:rsidRPr="00C8654B">
        <w:rPr>
          <w:rFonts w:ascii="Palatino Linotype" w:eastAsia="Calibri" w:hAnsi="Palatino Linotype"/>
          <w:lang w:eastAsia="en-US"/>
        </w:rPr>
        <w:t>y emitió dictamen …,</w:t>
      </w:r>
    </w:p>
    <w:p w14:paraId="5FCF94FB" w14:textId="2A7541B8" w:rsidR="0085411E" w:rsidRPr="00C8654B" w:rsidRDefault="0085411E" w:rsidP="00DA5FA0">
      <w:pPr>
        <w:autoSpaceDE w:val="0"/>
        <w:autoSpaceDN w:val="0"/>
        <w:adjustRightInd w:val="0"/>
        <w:ind w:left="709" w:hanging="709"/>
        <w:jc w:val="both"/>
        <w:rPr>
          <w:rFonts w:ascii="Palatino Linotype" w:eastAsia="Calibri" w:hAnsi="Palatino Linotype"/>
          <w:lang w:eastAsia="en-US"/>
        </w:rPr>
      </w:pPr>
      <w:r w:rsidRPr="00C8654B">
        <w:rPr>
          <w:rFonts w:ascii="Palatino Linotype" w:eastAsia="Calibri" w:hAnsi="Palatino Linotype"/>
          <w:lang w:eastAsia="en-US"/>
        </w:rPr>
        <w:t xml:space="preserve">Que, </w:t>
      </w:r>
      <w:r w:rsidRPr="00C8654B">
        <w:rPr>
          <w:rFonts w:ascii="Palatino Linotype" w:eastAsia="Calibri" w:hAnsi="Palatino Linotype"/>
          <w:lang w:eastAsia="en-US"/>
        </w:rPr>
        <w:tab/>
        <w:t xml:space="preserve">el Concejo Metropolitano de Quito, en sesión pública ordinaria realizada el … de … de 2020, analizó el informe Nro. IC-CUS-2020-… emitido por la Comisión de Uso de Suelo; </w:t>
      </w:r>
    </w:p>
    <w:p w14:paraId="39934284" w14:textId="77777777" w:rsidR="0085411E" w:rsidRPr="00C8654B" w:rsidRDefault="0085411E" w:rsidP="0085411E">
      <w:pPr>
        <w:autoSpaceDE w:val="0"/>
        <w:autoSpaceDN w:val="0"/>
        <w:adjustRightInd w:val="0"/>
        <w:jc w:val="both"/>
        <w:rPr>
          <w:rFonts w:ascii="Palatino Linotype" w:eastAsia="Calibri" w:hAnsi="Palatino Linotype"/>
          <w:b/>
          <w:bCs/>
          <w:lang w:eastAsia="en-US"/>
        </w:rPr>
      </w:pPr>
      <w:r w:rsidRPr="00C8654B">
        <w:rPr>
          <w:rFonts w:ascii="Palatino Linotype" w:eastAsia="Calibri" w:hAnsi="Palatino Linotype"/>
          <w:b/>
          <w:bCs/>
          <w:lang w:eastAsia="en-US"/>
        </w:rPr>
        <w:t>En ejercicio de sus atribuciones previstas en el artículo 240 y 266 de la Constitución de la República y artículos 87 letra a) y d); y, 323 del Código Orgánico de Organización Territorial, Autonomía y Descentralización;</w:t>
      </w:r>
    </w:p>
    <w:p w14:paraId="616B99EB" w14:textId="77777777" w:rsidR="0085411E" w:rsidRPr="00C8654B" w:rsidRDefault="0085411E" w:rsidP="0085411E">
      <w:pPr>
        <w:autoSpaceDE w:val="0"/>
        <w:autoSpaceDN w:val="0"/>
        <w:adjustRightInd w:val="0"/>
        <w:jc w:val="center"/>
        <w:rPr>
          <w:rFonts w:ascii="Palatino Linotype" w:eastAsia="Calibri" w:hAnsi="Palatino Linotype"/>
          <w:b/>
          <w:bCs/>
          <w:lang w:eastAsia="en-US"/>
        </w:rPr>
      </w:pPr>
    </w:p>
    <w:p w14:paraId="77FCAFA6" w14:textId="77777777" w:rsidR="0085411E" w:rsidRPr="0024207D" w:rsidRDefault="0085411E" w:rsidP="0085411E">
      <w:pPr>
        <w:autoSpaceDE w:val="0"/>
        <w:autoSpaceDN w:val="0"/>
        <w:adjustRightInd w:val="0"/>
        <w:jc w:val="center"/>
        <w:rPr>
          <w:rFonts w:ascii="Palatino Linotype" w:eastAsia="Calibri" w:hAnsi="Palatino Linotype"/>
          <w:b/>
          <w:bCs/>
          <w:lang w:eastAsia="en-US"/>
        </w:rPr>
      </w:pPr>
      <w:r>
        <w:rPr>
          <w:rFonts w:ascii="Palatino Linotype" w:eastAsia="Calibri" w:hAnsi="Palatino Linotype"/>
          <w:b/>
          <w:bCs/>
          <w:lang w:eastAsia="en-US"/>
        </w:rPr>
        <w:t>RESUELVE</w:t>
      </w:r>
    </w:p>
    <w:p w14:paraId="505672C4" w14:textId="77777777" w:rsidR="005F5FFC" w:rsidRDefault="005F5FFC" w:rsidP="0085411E">
      <w:pPr>
        <w:jc w:val="both"/>
        <w:rPr>
          <w:rFonts w:ascii="Palatino Linotype" w:eastAsia="Calibri" w:hAnsi="Palatino Linotype"/>
          <w:b/>
          <w:lang w:eastAsia="en-US"/>
        </w:rPr>
      </w:pPr>
    </w:p>
    <w:p w14:paraId="33EB66FF" w14:textId="4FE632BA" w:rsidR="0085411E" w:rsidRPr="005E0879" w:rsidRDefault="0085411E" w:rsidP="0085411E">
      <w:pPr>
        <w:jc w:val="both"/>
        <w:rPr>
          <w:rFonts w:ascii="Palatino Linotype" w:eastAsia="Calibri" w:hAnsi="Palatino Linotype"/>
          <w:lang w:eastAsia="en-US"/>
        </w:rPr>
      </w:pPr>
      <w:r w:rsidRPr="005E0879">
        <w:rPr>
          <w:rFonts w:ascii="Palatino Linotype" w:eastAsia="Calibri" w:hAnsi="Palatino Linotype"/>
          <w:b/>
          <w:lang w:eastAsia="en-US"/>
        </w:rPr>
        <w:t>Artículo 1.-</w:t>
      </w:r>
      <w:r w:rsidRPr="005E0879">
        <w:rPr>
          <w:rFonts w:ascii="Palatino Linotype" w:eastAsia="Calibri" w:hAnsi="Palatino Linotype"/>
          <w:lang w:eastAsia="en-US"/>
        </w:rPr>
        <w:t xml:space="preserve"> Acoger el informe Nro. IC-CUS-2021-… emitido por la Comisión d</w:t>
      </w:r>
      <w:r w:rsidR="005D5B65">
        <w:rPr>
          <w:rFonts w:ascii="Palatino Linotype" w:eastAsia="Calibri" w:hAnsi="Palatino Linotype"/>
          <w:lang w:eastAsia="en-US"/>
        </w:rPr>
        <w:t xml:space="preserve">e Uso de Suelo; y, por tanto </w:t>
      </w:r>
      <w:r w:rsidR="00DA5FA0">
        <w:rPr>
          <w:rFonts w:ascii="Palatino Linotype" w:eastAsia="Calibri" w:hAnsi="Palatino Linotype"/>
          <w:lang w:eastAsia="en-US"/>
        </w:rPr>
        <w:t xml:space="preserve">no </w:t>
      </w:r>
      <w:r w:rsidRPr="005E0879">
        <w:rPr>
          <w:rFonts w:ascii="Palatino Linotype" w:eastAsia="Calibri" w:hAnsi="Palatino Linotype"/>
          <w:lang w:eastAsia="en-US"/>
        </w:rPr>
        <w:t>autoriz</w:t>
      </w:r>
      <w:r w:rsidR="007D3382" w:rsidRPr="005E0879">
        <w:rPr>
          <w:rFonts w:ascii="Palatino Linotype" w:eastAsia="Calibri" w:hAnsi="Palatino Linotype"/>
          <w:lang w:eastAsia="en-US"/>
        </w:rPr>
        <w:t>a</w:t>
      </w:r>
      <w:r w:rsidR="00DA5FA0">
        <w:rPr>
          <w:rFonts w:ascii="Palatino Linotype" w:eastAsia="Calibri" w:hAnsi="Palatino Linotype"/>
          <w:lang w:eastAsia="en-US"/>
        </w:rPr>
        <w:t xml:space="preserve"> la partición del predio 767978</w:t>
      </w:r>
      <w:r w:rsidR="00DA5FA0" w:rsidRPr="005E0879">
        <w:rPr>
          <w:rFonts w:ascii="Palatino Linotype" w:eastAsia="Calibri" w:hAnsi="Palatino Linotype"/>
          <w:lang w:eastAsia="en-US"/>
        </w:rPr>
        <w:t>,</w:t>
      </w:r>
      <w:r w:rsidR="002D60FC">
        <w:rPr>
          <w:rFonts w:ascii="Palatino Linotype" w:eastAsia="Calibri" w:hAnsi="Palatino Linotype"/>
          <w:lang w:eastAsia="en-US"/>
        </w:rPr>
        <w:t xml:space="preserve"> </w:t>
      </w:r>
      <w:r w:rsidR="00DA5FA0" w:rsidRPr="005E0879">
        <w:rPr>
          <w:rFonts w:ascii="Palatino Linotype" w:eastAsia="Calibri" w:hAnsi="Palatino Linotype"/>
          <w:lang w:eastAsia="en-US"/>
        </w:rPr>
        <w:t xml:space="preserve"> </w:t>
      </w:r>
      <w:r w:rsidR="00DA5FA0">
        <w:rPr>
          <w:rFonts w:ascii="Palatino Linotype" w:eastAsia="Calibri" w:hAnsi="Palatino Linotype"/>
          <w:lang w:eastAsia="en-US"/>
        </w:rPr>
        <w:t xml:space="preserve"> </w:t>
      </w:r>
      <w:r w:rsidR="007D3382" w:rsidRPr="005E0879">
        <w:rPr>
          <w:rFonts w:ascii="Palatino Linotype" w:eastAsia="Calibri" w:hAnsi="Palatino Linotype"/>
          <w:lang w:eastAsia="en-US"/>
        </w:rPr>
        <w:t xml:space="preserve">solicitado por </w:t>
      </w:r>
      <w:r w:rsidR="004B5C2C">
        <w:rPr>
          <w:rFonts w:ascii="Palatino Linotype" w:eastAsia="Calibri" w:hAnsi="Palatino Linotype"/>
          <w:lang w:eastAsia="en-US"/>
        </w:rPr>
        <w:t>la Presidenta de la Comisión de Uso de Suelo</w:t>
      </w:r>
      <w:r w:rsidR="00DA5FA0">
        <w:rPr>
          <w:rFonts w:ascii="Palatino Linotype" w:eastAsia="Calibri" w:hAnsi="Palatino Linotype"/>
          <w:lang w:eastAsia="en-US"/>
        </w:rPr>
        <w:t xml:space="preserve">, </w:t>
      </w:r>
      <w:r w:rsidR="004B5C2C">
        <w:rPr>
          <w:rFonts w:ascii="Palatino Linotype" w:eastAsia="Calibri" w:hAnsi="Palatino Linotype"/>
          <w:lang w:eastAsia="en-US"/>
        </w:rPr>
        <w:t xml:space="preserve">misma que </w:t>
      </w:r>
      <w:r w:rsidR="00DA5FA0">
        <w:rPr>
          <w:rFonts w:ascii="Palatino Linotype" w:eastAsia="Calibri" w:hAnsi="Palatino Linotype"/>
          <w:lang w:eastAsia="en-US"/>
        </w:rPr>
        <w:t xml:space="preserve">no </w:t>
      </w:r>
      <w:r w:rsidR="005F5FFC" w:rsidRPr="005E0879">
        <w:rPr>
          <w:rFonts w:ascii="Palatino Linotype" w:hAnsi="Palatino Linotype"/>
        </w:rPr>
        <w:t xml:space="preserve">cumple con </w:t>
      </w:r>
      <w:r w:rsidR="004B5C2C" w:rsidRPr="005E0879">
        <w:rPr>
          <w:rFonts w:ascii="Palatino Linotype" w:hAnsi="Palatino Linotype"/>
        </w:rPr>
        <w:t xml:space="preserve">la </w:t>
      </w:r>
      <w:r w:rsidR="004B5C2C" w:rsidRPr="005E0879">
        <w:rPr>
          <w:rFonts w:ascii="Palatino Linotype" w:hAnsi="Palatino Linotype" w:cs="Calibri"/>
          <w:i/>
        </w:rPr>
        <w:t>Zonificación</w:t>
      </w:r>
      <w:r w:rsidR="00CA1BC2">
        <w:rPr>
          <w:rFonts w:ascii="Palatino Linotype" w:hAnsi="Palatino Linotype" w:cs="Calibri"/>
        </w:rPr>
        <w:t xml:space="preserve"> respecto al </w:t>
      </w:r>
      <w:proofErr w:type="gramStart"/>
      <w:r w:rsidR="00CA1BC2">
        <w:rPr>
          <w:rFonts w:ascii="Palatino Linotype" w:hAnsi="Palatino Linotype" w:cs="Calibri"/>
        </w:rPr>
        <w:t>l</w:t>
      </w:r>
      <w:r w:rsidR="005F5FFC" w:rsidRPr="005E0879">
        <w:rPr>
          <w:rFonts w:ascii="Palatino Linotype" w:hAnsi="Palatino Linotype" w:cs="Calibri"/>
        </w:rPr>
        <w:t>ote  y</w:t>
      </w:r>
      <w:proofErr w:type="gramEnd"/>
      <w:r w:rsidR="005F5FFC" w:rsidRPr="005E0879">
        <w:rPr>
          <w:rFonts w:ascii="Palatino Linotype" w:hAnsi="Palatino Linotype" w:cs="Calibri"/>
        </w:rPr>
        <w:t xml:space="preserve"> frente mínimo</w:t>
      </w:r>
      <w:r w:rsidR="005F5FFC" w:rsidRPr="005E0879">
        <w:rPr>
          <w:rFonts w:ascii="Palatino Linotype" w:hAnsi="Palatino Linotype"/>
        </w:rPr>
        <w:t xml:space="preserve">, </w:t>
      </w:r>
      <w:r w:rsidRPr="005E0879">
        <w:rPr>
          <w:rFonts w:ascii="Palatino Linotype" w:hAnsi="Palatino Linotype" w:cs="Calibri"/>
        </w:rPr>
        <w:t>por lo tanto</w:t>
      </w:r>
      <w:r w:rsidR="00DA5FA0">
        <w:rPr>
          <w:rFonts w:ascii="Palatino Linotype" w:hAnsi="Palatino Linotype" w:cs="Calibri"/>
        </w:rPr>
        <w:t xml:space="preserve"> no </w:t>
      </w:r>
      <w:r w:rsidRPr="005E0879">
        <w:rPr>
          <w:rFonts w:ascii="Palatino Linotype" w:hAnsi="Palatino Linotype" w:cs="Calibri"/>
        </w:rPr>
        <w:t xml:space="preserve"> </w:t>
      </w:r>
      <w:r w:rsidRPr="005E0879">
        <w:rPr>
          <w:rFonts w:ascii="Palatino Linotype" w:hAnsi="Palatino Linotype" w:cs="Arial"/>
        </w:rPr>
        <w:t>cumple con los requisitos necesarios para aprobar subdivisiones de bienes inmuebles en el Distrito Metropolitano de Quito.</w:t>
      </w:r>
    </w:p>
    <w:p w14:paraId="68DB097E" w14:textId="77777777"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Artículo 2.-</w:t>
      </w:r>
      <w:r w:rsidRPr="00C8654B">
        <w:rPr>
          <w:rFonts w:ascii="Palatino Linotype" w:eastAsia="Calibri" w:hAnsi="Palatino Linotype"/>
          <w:lang w:eastAsia="en-US"/>
        </w:rPr>
        <w:t xml:space="preserve"> </w:t>
      </w:r>
      <w:r w:rsidRPr="004D3872">
        <w:rPr>
          <w:rFonts w:ascii="Palatino Linotype" w:eastAsia="Calibri" w:hAnsi="Palatino Linotype"/>
          <w:lang w:eastAsia="en-US"/>
        </w:rPr>
        <w:t>Comuníquese al interesado, a la Administración Zonal La Delicia que corresponda, y, a la Secretaría de Territorio, Hábitat y Vivienda, a fin de que se continúe con los trámites de ley.</w:t>
      </w:r>
      <w:r>
        <w:rPr>
          <w:rFonts w:ascii="Palatino Linotype" w:eastAsia="Calibri" w:hAnsi="Palatino Linotype"/>
          <w:lang w:eastAsia="en-US"/>
        </w:rPr>
        <w:t xml:space="preserve"> </w:t>
      </w:r>
    </w:p>
    <w:p w14:paraId="36082434" w14:textId="77777777" w:rsidR="0085411E" w:rsidRPr="00C8654B" w:rsidRDefault="0085411E" w:rsidP="0085411E">
      <w:pPr>
        <w:autoSpaceDE w:val="0"/>
        <w:autoSpaceDN w:val="0"/>
        <w:adjustRightInd w:val="0"/>
        <w:jc w:val="both"/>
        <w:rPr>
          <w:rFonts w:ascii="Palatino Linotype" w:eastAsia="Calibri" w:hAnsi="Palatino Linotype"/>
          <w:bCs/>
          <w:lang w:eastAsia="en-US"/>
        </w:rPr>
      </w:pPr>
      <w:bookmarkStart w:id="3" w:name="_Hlk40866429"/>
      <w:r w:rsidRPr="00C8654B">
        <w:rPr>
          <w:rFonts w:ascii="Palatino Linotype" w:eastAsia="Calibri" w:hAnsi="Palatino Linotype"/>
          <w:b/>
          <w:lang w:eastAsia="en-US"/>
        </w:rPr>
        <w:t xml:space="preserve">Disposición General Única. - </w:t>
      </w:r>
      <w:r w:rsidRPr="00C8654B">
        <w:rPr>
          <w:rFonts w:ascii="Palatino Linotype" w:eastAsia="Calibri" w:hAnsi="Palatino Linotype"/>
          <w:bCs/>
          <w:lang w:eastAsia="en-US"/>
        </w:rPr>
        <w:t>La presente resolución se aprueba en base a los informes que son de exclusiva responsabilidad de los funcionarios que lo suscriben y realizan.</w:t>
      </w:r>
      <w:bookmarkEnd w:id="3"/>
    </w:p>
    <w:p w14:paraId="4D5A6B35" w14:textId="6122097A" w:rsidR="0085411E" w:rsidRPr="00C8654B" w:rsidRDefault="0085411E" w:rsidP="0085411E">
      <w:pPr>
        <w:autoSpaceDE w:val="0"/>
        <w:autoSpaceDN w:val="0"/>
        <w:adjustRightInd w:val="0"/>
        <w:jc w:val="both"/>
        <w:rPr>
          <w:rFonts w:ascii="Palatino Linotype" w:eastAsia="Calibri" w:hAnsi="Palatino Linotype"/>
          <w:lang w:eastAsia="en-US"/>
        </w:rPr>
      </w:pPr>
      <w:r w:rsidRPr="00C8654B">
        <w:rPr>
          <w:rFonts w:ascii="Palatino Linotype" w:eastAsia="Calibri" w:hAnsi="Palatino Linotype"/>
          <w:b/>
          <w:lang w:eastAsia="en-US"/>
        </w:rPr>
        <w:t>Disposición Final. -</w:t>
      </w:r>
      <w:r w:rsidRPr="00C8654B">
        <w:rPr>
          <w:rFonts w:ascii="Palatino Linotype" w:eastAsia="Calibri" w:hAnsi="Palatino Linotype"/>
          <w:lang w:eastAsia="en-US"/>
        </w:rPr>
        <w:t xml:space="preserve"> La presente resolución entrará en vigencia a partir de su suscripción sin perjuicio de su publicación.</w:t>
      </w:r>
      <w:r w:rsidRPr="00311D72">
        <w:rPr>
          <w:rFonts w:ascii="Palatino Linotype" w:hAnsi="Palatino Linotype" w:cs="Arial"/>
          <w:shd w:val="clear" w:color="auto" w:fill="FFFFFF"/>
        </w:rPr>
        <w:t xml:space="preserve">, </w:t>
      </w:r>
    </w:p>
    <w:p w14:paraId="55A6D324" w14:textId="29A80B9F" w:rsidR="005E0879" w:rsidRPr="002D60FC" w:rsidRDefault="0085411E" w:rsidP="002D60FC">
      <w:pPr>
        <w:jc w:val="both"/>
        <w:rPr>
          <w:rFonts w:ascii="Palatino Linotype" w:hAnsi="Palatino Linotype"/>
        </w:rPr>
      </w:pPr>
      <w:r w:rsidRPr="00311D72">
        <w:rPr>
          <w:rFonts w:ascii="Palatino Linotype" w:hAnsi="Palatino Linotype"/>
          <w:b/>
        </w:rPr>
        <w:t xml:space="preserve">Alcaldía del Distrito Metropolitano. - </w:t>
      </w:r>
      <w:r w:rsidRPr="00311D72">
        <w:rPr>
          <w:rFonts w:ascii="Palatino Linotype" w:hAnsi="Palatino Linotype"/>
        </w:rPr>
        <w:t xml:space="preserve">Distrito Metropolitano de Quito, fecha. </w:t>
      </w:r>
    </w:p>
    <w:p w14:paraId="60ABF6E9" w14:textId="77777777" w:rsidR="0085411E" w:rsidRDefault="0085411E" w:rsidP="0085411E">
      <w:pPr>
        <w:jc w:val="center"/>
        <w:rPr>
          <w:rFonts w:ascii="Palatino Linotype" w:hAnsi="Palatino Linotype"/>
          <w:b/>
        </w:rPr>
      </w:pPr>
      <w:r>
        <w:rPr>
          <w:rFonts w:ascii="Palatino Linotype" w:hAnsi="Palatino Linotype"/>
          <w:b/>
        </w:rPr>
        <w:t>EJECÚTESE:</w:t>
      </w:r>
    </w:p>
    <w:p w14:paraId="4F98CA6B" w14:textId="77777777" w:rsidR="005E0879" w:rsidRDefault="005E0879" w:rsidP="0085411E">
      <w:pPr>
        <w:jc w:val="center"/>
        <w:rPr>
          <w:rFonts w:ascii="Palatino Linotype" w:hAnsi="Palatino Linotype"/>
          <w:b/>
        </w:rPr>
      </w:pPr>
    </w:p>
    <w:p w14:paraId="339A5499" w14:textId="77777777" w:rsidR="005E0879" w:rsidRPr="0024207D" w:rsidRDefault="005E0879" w:rsidP="0085411E">
      <w:pPr>
        <w:jc w:val="center"/>
        <w:rPr>
          <w:rFonts w:ascii="Palatino Linotype" w:hAnsi="Palatino Linotype"/>
          <w:b/>
        </w:rPr>
      </w:pPr>
    </w:p>
    <w:p w14:paraId="402C30F2" w14:textId="42AC305F" w:rsidR="0085411E" w:rsidRPr="00311D72" w:rsidRDefault="005E0879" w:rsidP="0085411E">
      <w:pPr>
        <w:pStyle w:val="Sinespaciado"/>
        <w:jc w:val="center"/>
        <w:rPr>
          <w:rFonts w:ascii="Palatino Linotype" w:hAnsi="Palatino Linotype"/>
        </w:rPr>
      </w:pPr>
      <w:r>
        <w:rPr>
          <w:rFonts w:ascii="Palatino Linotype" w:hAnsi="Palatino Linotype"/>
        </w:rPr>
        <w:t>Dr. Santiago Guarderas Izquierdo</w:t>
      </w:r>
    </w:p>
    <w:p w14:paraId="178B0122"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ALCALDE DEL DISTRITO METROPOLITANO DE QUITO</w:t>
      </w:r>
    </w:p>
    <w:p w14:paraId="4AB73F4E" w14:textId="77777777" w:rsidR="0085411E" w:rsidRPr="00311D72" w:rsidRDefault="0085411E" w:rsidP="0085411E">
      <w:pPr>
        <w:jc w:val="both"/>
        <w:rPr>
          <w:rFonts w:ascii="Palatino Linotype" w:hAnsi="Palatino Linotype"/>
          <w:b/>
        </w:rPr>
      </w:pPr>
    </w:p>
    <w:p w14:paraId="730477E3" w14:textId="21C1D641" w:rsidR="0085411E" w:rsidRPr="00311D72" w:rsidRDefault="0085411E" w:rsidP="005E0879">
      <w:pPr>
        <w:pStyle w:val="Sinespaciado"/>
        <w:rPr>
          <w:rFonts w:ascii="Palatino Linotype" w:hAnsi="Palatino Linotype"/>
        </w:rPr>
      </w:pPr>
      <w:r w:rsidRPr="00311D72">
        <w:rPr>
          <w:rFonts w:ascii="Palatino Linotype" w:hAnsi="Palatino Linotype"/>
          <w:b/>
        </w:rPr>
        <w:t>CERTIFICO,</w:t>
      </w:r>
      <w:r w:rsidRPr="00311D72">
        <w:rPr>
          <w:rFonts w:ascii="Palatino Linotype" w:hAnsi="Palatino Linotype"/>
        </w:rPr>
        <w:t xml:space="preserve"> que la presente resolución fue discutida y aprobada en sesión pública ordinaria del Concejo Metropolitano de Quito, </w:t>
      </w:r>
      <w:r w:rsidR="004B5C2C" w:rsidRPr="00311D72">
        <w:rPr>
          <w:rFonts w:ascii="Palatino Linotype" w:hAnsi="Palatino Linotype"/>
        </w:rPr>
        <w:t>el…</w:t>
      </w:r>
      <w:r w:rsidRPr="00311D72">
        <w:rPr>
          <w:rFonts w:ascii="Palatino Linotype" w:hAnsi="Palatino Linotype"/>
        </w:rPr>
        <w:t xml:space="preserve">; y, suscrita por </w:t>
      </w:r>
      <w:proofErr w:type="gramStart"/>
      <w:r w:rsidRPr="00311D72">
        <w:rPr>
          <w:rFonts w:ascii="Palatino Linotype" w:hAnsi="Palatino Linotype"/>
        </w:rPr>
        <w:t xml:space="preserve">el </w:t>
      </w:r>
      <w:r w:rsidR="005E0879">
        <w:rPr>
          <w:rFonts w:ascii="Palatino Linotype" w:hAnsi="Palatino Linotype"/>
        </w:rPr>
        <w:t xml:space="preserve"> Dr</w:t>
      </w:r>
      <w:proofErr w:type="gramEnd"/>
      <w:r w:rsidR="005E0879">
        <w:rPr>
          <w:rFonts w:ascii="Palatino Linotype" w:hAnsi="Palatino Linotype"/>
        </w:rPr>
        <w:t>. Santiago Guarderas Izquierdo</w:t>
      </w:r>
      <w:r w:rsidRPr="00311D72">
        <w:rPr>
          <w:rFonts w:ascii="Palatino Linotype" w:hAnsi="Palatino Linotype"/>
        </w:rPr>
        <w:t xml:space="preserve">, Alcalde del Distrito Metropolitano de Quito, </w:t>
      </w:r>
      <w:r w:rsidR="004B5C2C" w:rsidRPr="00311D72">
        <w:rPr>
          <w:rFonts w:ascii="Palatino Linotype" w:hAnsi="Palatino Linotype"/>
        </w:rPr>
        <w:t>…</w:t>
      </w:r>
    </w:p>
    <w:p w14:paraId="0D783688" w14:textId="77777777" w:rsidR="0085411E" w:rsidRPr="00311D72" w:rsidRDefault="0085411E" w:rsidP="0085411E">
      <w:pPr>
        <w:jc w:val="both"/>
        <w:rPr>
          <w:rFonts w:ascii="Palatino Linotype" w:hAnsi="Palatino Linotype"/>
          <w:b/>
        </w:rPr>
      </w:pPr>
    </w:p>
    <w:p w14:paraId="57D0A4A5" w14:textId="77777777" w:rsidR="0085411E" w:rsidRPr="00311D72" w:rsidRDefault="0085411E" w:rsidP="0085411E">
      <w:pPr>
        <w:jc w:val="both"/>
        <w:rPr>
          <w:rFonts w:ascii="Palatino Linotype" w:hAnsi="Palatino Linotype"/>
        </w:rPr>
      </w:pPr>
      <w:r w:rsidRPr="00311D72">
        <w:rPr>
          <w:rFonts w:ascii="Palatino Linotype" w:hAnsi="Palatino Linotype"/>
          <w:b/>
        </w:rPr>
        <w:lastRenderedPageBreak/>
        <w:t xml:space="preserve">Lo certifico.- </w:t>
      </w:r>
      <w:r w:rsidRPr="00311D72">
        <w:rPr>
          <w:rFonts w:ascii="Palatino Linotype" w:hAnsi="Palatino Linotype"/>
        </w:rPr>
        <w:t>Distrito Metropolitano de Quito</w:t>
      </w:r>
      <w:proofErr w:type="gramStart"/>
      <w:r w:rsidRPr="00311D72">
        <w:rPr>
          <w:rFonts w:ascii="Palatino Linotype" w:hAnsi="Palatino Linotype"/>
        </w:rPr>
        <w:t>, …</w:t>
      </w:r>
      <w:proofErr w:type="gramEnd"/>
      <w:r w:rsidRPr="00311D72">
        <w:rPr>
          <w:rFonts w:ascii="Palatino Linotype" w:hAnsi="Palatino Linotype"/>
        </w:rPr>
        <w:t>..</w:t>
      </w:r>
    </w:p>
    <w:p w14:paraId="7A493258" w14:textId="77777777" w:rsidR="0085411E" w:rsidRPr="00311D72" w:rsidRDefault="0085411E" w:rsidP="0085411E">
      <w:pPr>
        <w:rPr>
          <w:rFonts w:ascii="Palatino Linotype" w:hAnsi="Palatino Linotype"/>
        </w:rPr>
      </w:pPr>
    </w:p>
    <w:p w14:paraId="651D4317" w14:textId="77777777" w:rsidR="0085411E" w:rsidRPr="00311D72" w:rsidRDefault="0085411E" w:rsidP="0085411E">
      <w:pPr>
        <w:jc w:val="both"/>
        <w:rPr>
          <w:rFonts w:ascii="Palatino Linotype" w:hAnsi="Palatino Linotype"/>
        </w:rPr>
      </w:pPr>
    </w:p>
    <w:p w14:paraId="2EA3C391" w14:textId="77777777" w:rsidR="0085411E" w:rsidRPr="00311D72" w:rsidRDefault="0085411E" w:rsidP="0085411E">
      <w:pPr>
        <w:pStyle w:val="Sinespaciado"/>
        <w:jc w:val="center"/>
        <w:rPr>
          <w:rFonts w:ascii="Palatino Linotype" w:hAnsi="Palatino Linotype"/>
        </w:rPr>
      </w:pPr>
      <w:r w:rsidRPr="00311D72">
        <w:rPr>
          <w:rFonts w:ascii="Palatino Linotype" w:hAnsi="Palatino Linotype"/>
        </w:rPr>
        <w:t xml:space="preserve">Abg. Damaris Ortiz </w:t>
      </w:r>
      <w:proofErr w:type="spellStart"/>
      <w:r w:rsidRPr="00311D72">
        <w:rPr>
          <w:rFonts w:ascii="Palatino Linotype" w:hAnsi="Palatino Linotype"/>
        </w:rPr>
        <w:t>Pasuy</w:t>
      </w:r>
      <w:proofErr w:type="spellEnd"/>
    </w:p>
    <w:p w14:paraId="5B924EF7" w14:textId="77777777" w:rsidR="0085411E" w:rsidRPr="00311D72" w:rsidRDefault="0085411E" w:rsidP="0085411E">
      <w:pPr>
        <w:pStyle w:val="Sinespaciado"/>
        <w:jc w:val="center"/>
        <w:rPr>
          <w:rFonts w:ascii="Palatino Linotype" w:hAnsi="Palatino Linotype"/>
          <w:b/>
        </w:rPr>
      </w:pPr>
      <w:r w:rsidRPr="00311D72">
        <w:rPr>
          <w:rFonts w:ascii="Palatino Linotype" w:hAnsi="Palatino Linotype"/>
          <w:b/>
        </w:rPr>
        <w:t>SECRETARIA GENERAL DEL CONCEJO METROPOLITANO DE QUITO (E)</w:t>
      </w:r>
    </w:p>
    <w:p w14:paraId="57B8AC69" w14:textId="77777777" w:rsidR="0085411E" w:rsidRPr="00ED01A1" w:rsidRDefault="0085411E" w:rsidP="00ED01A1"/>
    <w:sectPr w:rsidR="0085411E" w:rsidRPr="00ED01A1" w:rsidSect="00E3797A">
      <w:headerReference w:type="default" r:id="rId7"/>
      <w:footerReference w:type="default" r:id="rId8"/>
      <w:pgSz w:w="11906" w:h="16838"/>
      <w:pgMar w:top="2167"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EF064" w14:textId="77777777" w:rsidR="00060151" w:rsidRDefault="00060151" w:rsidP="001011B7">
      <w:pPr>
        <w:spacing w:after="0" w:line="240" w:lineRule="auto"/>
      </w:pPr>
      <w:r>
        <w:separator/>
      </w:r>
    </w:p>
  </w:endnote>
  <w:endnote w:type="continuationSeparator" w:id="0">
    <w:p w14:paraId="6105DC15" w14:textId="77777777" w:rsidR="00060151" w:rsidRDefault="00060151" w:rsidP="0010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E350" w14:textId="149754E0" w:rsidR="00F70D6D" w:rsidRDefault="00E35F44" w:rsidP="00015927">
    <w:pPr>
      <w:widowControl w:val="0"/>
      <w:autoSpaceDE w:val="0"/>
      <w:autoSpaceDN w:val="0"/>
      <w:adjustRightInd w:val="0"/>
      <w:spacing w:before="29" w:after="0" w:line="240" w:lineRule="auto"/>
      <w:ind w:right="-20"/>
      <w:rPr>
        <w:rFonts w:ascii="Times New Roman" w:hAnsi="Times New Roman"/>
        <w:color w:val="000000"/>
        <w:sz w:val="21"/>
        <w:szCs w:val="21"/>
      </w:rPr>
    </w:pPr>
    <w:r w:rsidRPr="00671D8D">
      <w:rPr>
        <w:rFonts w:ascii="Times New Roman" w:hAnsi="Times New Roman"/>
        <w:noProof/>
        <w:color w:val="000000"/>
        <w:sz w:val="21"/>
        <w:szCs w:val="21"/>
      </w:rPr>
      <mc:AlternateContent>
        <mc:Choice Requires="wps">
          <w:drawing>
            <wp:anchor distT="45720" distB="45720" distL="114300" distR="114300" simplePos="0" relativeHeight="251663360" behindDoc="0" locked="0" layoutInCell="1" allowOverlap="1" wp14:anchorId="254E3F38" wp14:editId="77AA6C92">
              <wp:simplePos x="0" y="0"/>
              <wp:positionH relativeFrom="margin">
                <wp:posOffset>-200025</wp:posOffset>
              </wp:positionH>
              <wp:positionV relativeFrom="paragraph">
                <wp:posOffset>282575</wp:posOffset>
              </wp:positionV>
              <wp:extent cx="5010150" cy="485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85775"/>
                      </a:xfrm>
                      <a:prstGeom prst="rect">
                        <a:avLst/>
                      </a:prstGeom>
                      <a:solidFill>
                        <a:srgbClr val="FFFFFF"/>
                      </a:solidFill>
                      <a:ln w="9525">
                        <a:noFill/>
                        <a:miter lim="800000"/>
                        <a:headEnd/>
                        <a:tailEnd/>
                      </a:ln>
                    </wps:spPr>
                    <wps:txb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1"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3F38" id="_x0000_t202" coordsize="21600,21600" o:spt="202" path="m,l,21600r21600,l21600,xe">
              <v:stroke joinstyle="miter"/>
              <v:path gradientshapeok="t" o:connecttype="rect"/>
            </v:shapetype>
            <v:shape id="Cuadro de texto 2" o:spid="_x0000_s1026" type="#_x0000_t202" style="position:absolute;margin-left:-15.75pt;margin-top:22.25pt;width:394.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" stroked="f">
              <v:textbox>
                <w:txbxContent>
                  <w:p w14:paraId="5E308D35" w14:textId="5F0C2EBD" w:rsidR="00F70D6D" w:rsidRPr="00E52B48" w:rsidRDefault="00E52B48">
                    <w:pPr>
                      <w:rPr>
                        <w:sz w:val="20"/>
                        <w:szCs w:val="20"/>
                      </w:rPr>
                    </w:pPr>
                    <w:r w:rsidRPr="00E52B48">
                      <w:rPr>
                        <w:rFonts w:ascii="Times New Roman" w:hAnsi="Times New Roman"/>
                        <w:b/>
                        <w:bCs/>
                        <w:color w:val="0061AF"/>
                        <w:spacing w:val="8"/>
                        <w:sz w:val="20"/>
                        <w:szCs w:val="20"/>
                      </w:rPr>
                      <w:t xml:space="preserve">Av. </w:t>
                    </w:r>
                    <w:r>
                      <w:rPr>
                        <w:rFonts w:ascii="Times New Roman" w:hAnsi="Times New Roman"/>
                        <w:b/>
                        <w:bCs/>
                        <w:color w:val="0061AF"/>
                        <w:spacing w:val="8"/>
                        <w:sz w:val="20"/>
                        <w:szCs w:val="20"/>
                      </w:rPr>
                      <w:t xml:space="preserve">De </w:t>
                    </w:r>
                    <w:r w:rsidRPr="00E52B48">
                      <w:rPr>
                        <w:rFonts w:ascii="Times New Roman" w:hAnsi="Times New Roman"/>
                        <w:b/>
                        <w:bCs/>
                        <w:color w:val="0061AF"/>
                        <w:spacing w:val="8"/>
                        <w:sz w:val="20"/>
                        <w:szCs w:val="20"/>
                      </w:rPr>
                      <w:t>La Prensa</w:t>
                    </w:r>
                    <w:r>
                      <w:rPr>
                        <w:rFonts w:ascii="Times New Roman" w:hAnsi="Times New Roman"/>
                        <w:b/>
                        <w:bCs/>
                        <w:color w:val="0061AF"/>
                        <w:spacing w:val="8"/>
                        <w:sz w:val="20"/>
                        <w:szCs w:val="20"/>
                      </w:rPr>
                      <w:t xml:space="preserve"> N66 – 101 y Ramón Chiriboga -</w:t>
                    </w:r>
                    <w:r w:rsidR="00F70D6D" w:rsidRPr="00E52B48">
                      <w:rPr>
                        <w:rFonts w:ascii="Times New Roman" w:hAnsi="Times New Roman"/>
                        <w:b/>
                        <w:bCs/>
                        <w:color w:val="0061AF"/>
                        <w:spacing w:val="8"/>
                        <w:sz w:val="20"/>
                        <w:szCs w:val="20"/>
                      </w:rPr>
                      <w:t xml:space="preserve"> PBX: </w:t>
                    </w:r>
                    <w:r>
                      <w:rPr>
                        <w:rFonts w:ascii="Times New Roman" w:hAnsi="Times New Roman"/>
                        <w:b/>
                        <w:bCs/>
                        <w:color w:val="0061AF"/>
                        <w:spacing w:val="8"/>
                        <w:sz w:val="20"/>
                        <w:szCs w:val="20"/>
                      </w:rPr>
                      <w:t xml:space="preserve">229 4340 </w:t>
                    </w:r>
                    <w:hyperlink r:id="rId2" w:history="1">
                      <w:r w:rsidR="00F70D6D" w:rsidRPr="00E52B48">
                        <w:rPr>
                          <w:rFonts w:ascii="Times New Roman" w:hAnsi="Times New Roman"/>
                          <w:b/>
                          <w:bCs/>
                          <w:color w:val="E11A22"/>
                          <w:spacing w:val="13"/>
                          <w:w w:val="101"/>
                          <w:sz w:val="20"/>
                          <w:szCs w:val="20"/>
                        </w:rPr>
                        <w:t>ww</w:t>
                      </w:r>
                      <w:r w:rsidR="00F70D6D" w:rsidRPr="00E52B48">
                        <w:rPr>
                          <w:rFonts w:ascii="Times New Roman" w:hAnsi="Times New Roman"/>
                          <w:b/>
                          <w:bCs/>
                          <w:color w:val="E11A22"/>
                          <w:w w:val="101"/>
                          <w:sz w:val="20"/>
                          <w:szCs w:val="20"/>
                        </w:rPr>
                        <w:t>w</w:t>
                      </w:r>
                      <w:r w:rsidR="00F70D6D" w:rsidRPr="00E52B48">
                        <w:rPr>
                          <w:rFonts w:ascii="Times New Roman" w:hAnsi="Times New Roman"/>
                          <w:b/>
                          <w:bCs/>
                          <w:color w:val="E11A22"/>
                          <w:spacing w:val="12"/>
                          <w:w w:val="103"/>
                          <w:sz w:val="20"/>
                          <w:szCs w:val="20"/>
                        </w:rPr>
                        <w:t>.qu</w:t>
                      </w:r>
                      <w:r w:rsidR="00F70D6D" w:rsidRPr="00E52B48">
                        <w:rPr>
                          <w:rFonts w:ascii="Times New Roman" w:hAnsi="Times New Roman"/>
                          <w:b/>
                          <w:bCs/>
                          <w:color w:val="E11A22"/>
                          <w:spacing w:val="12"/>
                          <w:w w:val="108"/>
                          <w:sz w:val="20"/>
                          <w:szCs w:val="20"/>
                        </w:rPr>
                        <w:t>ito.gob.</w:t>
                      </w:r>
                      <w:r w:rsidR="00F70D6D" w:rsidRPr="00E52B48">
                        <w:rPr>
                          <w:rFonts w:ascii="Times New Roman" w:hAnsi="Times New Roman"/>
                          <w:b/>
                          <w:bCs/>
                          <w:color w:val="E11A22"/>
                          <w:spacing w:val="13"/>
                          <w:w w:val="117"/>
                          <w:sz w:val="20"/>
                          <w:szCs w:val="20"/>
                        </w:rPr>
                        <w:t>e</w:t>
                      </w:r>
                      <w:r w:rsidR="00F70D6D" w:rsidRPr="00E52B48">
                        <w:rPr>
                          <w:rFonts w:ascii="Times New Roman" w:hAnsi="Times New Roman"/>
                          <w:b/>
                          <w:bCs/>
                          <w:color w:val="E11A22"/>
                          <w:w w:val="115"/>
                          <w:sz w:val="20"/>
                          <w:szCs w:val="20"/>
                        </w:rPr>
                        <w:t>c</w:t>
                      </w:r>
                    </w:hyperlink>
                  </w:p>
                </w:txbxContent>
              </v:textbox>
              <w10:wrap type="square" anchorx="margin"/>
            </v:shape>
          </w:pict>
        </mc:Fallback>
      </mc:AlternateContent>
    </w:r>
    <w:r>
      <w:rPr>
        <w:rFonts w:ascii="Times New Roman" w:hAnsi="Times New Roman"/>
        <w:noProof/>
        <w:color w:val="000000"/>
        <w:sz w:val="21"/>
        <w:szCs w:val="21"/>
      </w:rPr>
      <w:drawing>
        <wp:anchor distT="0" distB="0" distL="114300" distR="114300" simplePos="0" relativeHeight="251664384" behindDoc="0" locked="0" layoutInCell="1" allowOverlap="1" wp14:anchorId="1DABDBAF" wp14:editId="0C9FC2B6">
          <wp:simplePos x="0" y="0"/>
          <wp:positionH relativeFrom="column">
            <wp:posOffset>3933825</wp:posOffset>
          </wp:positionH>
          <wp:positionV relativeFrom="paragraph">
            <wp:posOffset>38735</wp:posOffset>
          </wp:positionV>
          <wp:extent cx="2486025" cy="70421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602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6D">
      <w:rPr>
        <w:rFonts w:ascii="Times New Roman" w:hAnsi="Times New Roman"/>
        <w:color w:val="000000"/>
        <w:sz w:val="21"/>
        <w:szCs w:val="21"/>
      </w:rPr>
      <w:t xml:space="preserve"> </w:t>
    </w:r>
  </w:p>
  <w:p w14:paraId="569C0541" w14:textId="15852B42" w:rsidR="00F70D6D" w:rsidRDefault="00F70D6D">
    <w:pPr>
      <w:pStyle w:val="Piedepgina"/>
    </w:pPr>
    <w:r>
      <w:rPr>
        <w:noProof/>
        <w:lang w:eastAsia="es-EC"/>
      </w:rPr>
      <mc:AlternateContent>
        <mc:Choice Requires="wps">
          <w:drawing>
            <wp:anchor distT="0" distB="0" distL="114300" distR="114300" simplePos="0" relativeHeight="251661312" behindDoc="0" locked="0" layoutInCell="1" allowOverlap="1" wp14:anchorId="03DAEE3C" wp14:editId="2E42AFEC">
              <wp:simplePos x="0" y="0"/>
              <wp:positionH relativeFrom="column">
                <wp:posOffset>291465</wp:posOffset>
              </wp:positionH>
              <wp:positionV relativeFrom="paragraph">
                <wp:posOffset>10051415</wp:posOffset>
              </wp:positionV>
              <wp:extent cx="5300980" cy="3784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8460"/>
                      </a:xfrm>
                      <a:prstGeom prst="rect">
                        <a:avLst/>
                      </a:prstGeom>
                      <a:solidFill>
                        <a:srgbClr val="FFFFFF"/>
                      </a:solidFill>
                      <a:ln w="9525">
                        <a:solidFill>
                          <a:srgbClr val="FFFFFF"/>
                        </a:solidFill>
                        <a:miter lim="800000"/>
                        <a:headEnd/>
                        <a:tailEnd/>
                      </a:ln>
                    </wps:spPr>
                    <wps:txb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4"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EE3C" id="Cuadro de texto 1" o:spid="_x0000_s1027" type="#_x0000_t202" style="position:absolute;margin-left:22.95pt;margin-top:791.45pt;width:417.4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" strokecolor="white">
              <v:textbox>
                <w:txbxContent>
                  <w:p w14:paraId="218830F2" w14:textId="77777777" w:rsidR="00F70D6D" w:rsidRDefault="00F70D6D" w:rsidP="00671D8D">
                    <w:pPr>
                      <w:widowControl w:val="0"/>
                      <w:autoSpaceDE w:val="0"/>
                      <w:autoSpaceDN w:val="0"/>
                      <w:adjustRightInd w:val="0"/>
                      <w:spacing w:before="29" w:after="0" w:line="240" w:lineRule="auto"/>
                      <w:ind w:left="106" w:right="-20"/>
                      <w:rPr>
                        <w:rFonts w:ascii="Times New Roman" w:hAnsi="Times New Roman"/>
                        <w:color w:val="000000"/>
                        <w:sz w:val="21"/>
                        <w:szCs w:val="21"/>
                      </w:rPr>
                    </w:pPr>
                    <w:r>
                      <w:rPr>
                        <w:rFonts w:ascii="Times New Roman" w:hAnsi="Times New Roman"/>
                        <w:b/>
                        <w:bCs/>
                        <w:color w:val="0061AF"/>
                        <w:spacing w:val="8"/>
                        <w:sz w:val="21"/>
                        <w:szCs w:val="21"/>
                      </w:rPr>
                      <w:t>Av</w:t>
                    </w:r>
                    <w:r>
                      <w:rPr>
                        <w:rFonts w:ascii="Times New Roman" w:hAnsi="Times New Roman"/>
                        <w:b/>
                        <w:bCs/>
                        <w:color w:val="0061AF"/>
                        <w:sz w:val="21"/>
                        <w:szCs w:val="21"/>
                      </w:rPr>
                      <w:t>.</w:t>
                    </w:r>
                    <w:r>
                      <w:rPr>
                        <w:rFonts w:ascii="Times New Roman" w:hAnsi="Times New Roman"/>
                        <w:b/>
                        <w:bCs/>
                        <w:color w:val="0061AF"/>
                        <w:spacing w:val="6"/>
                        <w:sz w:val="21"/>
                        <w:szCs w:val="21"/>
                      </w:rPr>
                      <w:t xml:space="preserve"> </w:t>
                    </w:r>
                    <w:r>
                      <w:rPr>
                        <w:rFonts w:ascii="Times New Roman" w:hAnsi="Times New Roman"/>
                        <w:b/>
                        <w:bCs/>
                        <w:color w:val="0061AF"/>
                        <w:spacing w:val="8"/>
                        <w:sz w:val="21"/>
                        <w:szCs w:val="21"/>
                      </w:rPr>
                      <w:t>d</w:t>
                    </w:r>
                    <w:r>
                      <w:rPr>
                        <w:rFonts w:ascii="Times New Roman" w:hAnsi="Times New Roman"/>
                        <w:b/>
                        <w:bCs/>
                        <w:color w:val="0061AF"/>
                        <w:sz w:val="21"/>
                        <w:szCs w:val="21"/>
                      </w:rPr>
                      <w:t>e</w:t>
                    </w:r>
                    <w:r>
                      <w:rPr>
                        <w:rFonts w:ascii="Times New Roman" w:hAnsi="Times New Roman"/>
                        <w:b/>
                        <w:bCs/>
                        <w:color w:val="0061AF"/>
                        <w:spacing w:val="32"/>
                        <w:sz w:val="21"/>
                        <w:szCs w:val="21"/>
                      </w:rPr>
                      <w:t xml:space="preserve"> </w:t>
                    </w:r>
                    <w:r>
                      <w:rPr>
                        <w:rFonts w:ascii="Times New Roman" w:hAnsi="Times New Roman"/>
                        <w:b/>
                        <w:bCs/>
                        <w:color w:val="0061AF"/>
                        <w:spacing w:val="8"/>
                        <w:sz w:val="21"/>
                        <w:szCs w:val="21"/>
                      </w:rPr>
                      <w:t>L</w:t>
                    </w:r>
                    <w:r>
                      <w:rPr>
                        <w:rFonts w:ascii="Times New Roman" w:hAnsi="Times New Roman"/>
                        <w:b/>
                        <w:bCs/>
                        <w:color w:val="0061AF"/>
                        <w:sz w:val="21"/>
                        <w:szCs w:val="21"/>
                      </w:rPr>
                      <w:t>a</w:t>
                    </w:r>
                    <w:r>
                      <w:rPr>
                        <w:rFonts w:ascii="Times New Roman" w:hAnsi="Times New Roman"/>
                        <w:b/>
                        <w:bCs/>
                        <w:color w:val="0061AF"/>
                        <w:spacing w:val="-2"/>
                        <w:sz w:val="21"/>
                        <w:szCs w:val="21"/>
                      </w:rPr>
                      <w:t xml:space="preserve"> </w:t>
                    </w:r>
                    <w:r>
                      <w:rPr>
                        <w:rFonts w:ascii="Times New Roman" w:hAnsi="Times New Roman"/>
                        <w:b/>
                        <w:bCs/>
                        <w:color w:val="0061AF"/>
                        <w:spacing w:val="8"/>
                        <w:sz w:val="21"/>
                        <w:szCs w:val="21"/>
                      </w:rPr>
                      <w:t>Prens</w:t>
                    </w:r>
                    <w:r>
                      <w:rPr>
                        <w:rFonts w:ascii="Times New Roman" w:hAnsi="Times New Roman"/>
                        <w:b/>
                        <w:bCs/>
                        <w:color w:val="0061AF"/>
                        <w:sz w:val="21"/>
                        <w:szCs w:val="21"/>
                      </w:rPr>
                      <w:t>a</w:t>
                    </w:r>
                    <w:r>
                      <w:rPr>
                        <w:rFonts w:ascii="Times New Roman" w:hAnsi="Times New Roman"/>
                        <w:b/>
                        <w:bCs/>
                        <w:color w:val="0061AF"/>
                        <w:spacing w:val="46"/>
                        <w:sz w:val="21"/>
                        <w:szCs w:val="21"/>
                      </w:rPr>
                      <w:t xml:space="preserve"> </w:t>
                    </w:r>
                    <w:r>
                      <w:rPr>
                        <w:rFonts w:ascii="Times New Roman" w:hAnsi="Times New Roman"/>
                        <w:b/>
                        <w:bCs/>
                        <w:color w:val="0061AF"/>
                        <w:spacing w:val="9"/>
                        <w:w w:val="110"/>
                        <w:sz w:val="21"/>
                        <w:szCs w:val="21"/>
                      </w:rPr>
                      <w:t>N66-10</w:t>
                    </w:r>
                    <w:r>
                      <w:rPr>
                        <w:rFonts w:ascii="Times New Roman" w:hAnsi="Times New Roman"/>
                        <w:b/>
                        <w:bCs/>
                        <w:color w:val="0061AF"/>
                        <w:w w:val="110"/>
                        <w:sz w:val="21"/>
                        <w:szCs w:val="21"/>
                      </w:rPr>
                      <w:t>1</w:t>
                    </w:r>
                    <w:r>
                      <w:rPr>
                        <w:rFonts w:ascii="Times New Roman" w:hAnsi="Times New Roman"/>
                        <w:b/>
                        <w:bCs/>
                        <w:color w:val="0061AF"/>
                        <w:spacing w:val="19"/>
                        <w:w w:val="110"/>
                        <w:sz w:val="21"/>
                        <w:szCs w:val="21"/>
                      </w:rPr>
                      <w:t xml:space="preserve"> </w:t>
                    </w:r>
                    <w:r>
                      <w:rPr>
                        <w:rFonts w:ascii="Times New Roman" w:hAnsi="Times New Roman"/>
                        <w:b/>
                        <w:bCs/>
                        <w:color w:val="0061AF"/>
                        <w:sz w:val="21"/>
                        <w:szCs w:val="21"/>
                      </w:rPr>
                      <w:t>y</w:t>
                    </w:r>
                    <w:r>
                      <w:rPr>
                        <w:rFonts w:ascii="Times New Roman" w:hAnsi="Times New Roman"/>
                        <w:b/>
                        <w:bCs/>
                        <w:color w:val="0061AF"/>
                        <w:spacing w:val="16"/>
                        <w:sz w:val="21"/>
                        <w:szCs w:val="21"/>
                      </w:rPr>
                      <w:t xml:space="preserve"> </w:t>
                    </w:r>
                    <w:r>
                      <w:rPr>
                        <w:rFonts w:ascii="Times New Roman" w:hAnsi="Times New Roman"/>
                        <w:b/>
                        <w:bCs/>
                        <w:color w:val="0061AF"/>
                        <w:spacing w:val="8"/>
                        <w:sz w:val="21"/>
                        <w:szCs w:val="21"/>
                      </w:rPr>
                      <w:t>Ramó</w:t>
                    </w:r>
                    <w:r>
                      <w:rPr>
                        <w:rFonts w:ascii="Times New Roman" w:hAnsi="Times New Roman"/>
                        <w:b/>
                        <w:bCs/>
                        <w:color w:val="0061AF"/>
                        <w:sz w:val="21"/>
                        <w:szCs w:val="21"/>
                      </w:rPr>
                      <w:t>n</w:t>
                    </w:r>
                    <w:r>
                      <w:rPr>
                        <w:rFonts w:ascii="Times New Roman" w:hAnsi="Times New Roman"/>
                        <w:b/>
                        <w:bCs/>
                        <w:color w:val="0061AF"/>
                        <w:spacing w:val="22"/>
                        <w:sz w:val="21"/>
                        <w:szCs w:val="21"/>
                      </w:rPr>
                      <w:t xml:space="preserve"> </w:t>
                    </w:r>
                    <w:r>
                      <w:rPr>
                        <w:rFonts w:ascii="Times New Roman" w:hAnsi="Times New Roman"/>
                        <w:b/>
                        <w:bCs/>
                        <w:color w:val="0061AF"/>
                        <w:spacing w:val="8"/>
                        <w:sz w:val="21"/>
                        <w:szCs w:val="21"/>
                      </w:rPr>
                      <w:t>Chiribog</w:t>
                    </w:r>
                    <w:r>
                      <w:rPr>
                        <w:rFonts w:ascii="Times New Roman" w:hAnsi="Times New Roman"/>
                        <w:b/>
                        <w:bCs/>
                        <w:color w:val="0061AF"/>
                        <w:sz w:val="21"/>
                        <w:szCs w:val="21"/>
                      </w:rPr>
                      <w:t>a</w:t>
                    </w:r>
                    <w:r>
                      <w:rPr>
                        <w:rFonts w:ascii="Times New Roman" w:hAnsi="Times New Roman"/>
                        <w:b/>
                        <w:bCs/>
                        <w:color w:val="0061AF"/>
                        <w:spacing w:val="6"/>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9"/>
                        <w:w w:val="130"/>
                        <w:sz w:val="21"/>
                        <w:szCs w:val="21"/>
                      </w:rPr>
                      <w:t xml:space="preserve"> </w:t>
                    </w:r>
                    <w:r>
                      <w:rPr>
                        <w:rFonts w:ascii="Times New Roman" w:hAnsi="Times New Roman"/>
                        <w:b/>
                        <w:bCs/>
                        <w:color w:val="0061AF"/>
                        <w:spacing w:val="12"/>
                        <w:sz w:val="21"/>
                        <w:szCs w:val="21"/>
                      </w:rPr>
                      <w:t>22</w:t>
                    </w:r>
                    <w:r>
                      <w:rPr>
                        <w:rFonts w:ascii="Times New Roman" w:hAnsi="Times New Roman"/>
                        <w:b/>
                        <w:bCs/>
                        <w:color w:val="0061AF"/>
                        <w:sz w:val="21"/>
                        <w:szCs w:val="21"/>
                      </w:rPr>
                      <w:t xml:space="preserve">9 </w:t>
                    </w:r>
                    <w:r>
                      <w:rPr>
                        <w:rFonts w:ascii="Times New Roman" w:hAnsi="Times New Roman"/>
                        <w:b/>
                        <w:bCs/>
                        <w:color w:val="0061AF"/>
                        <w:spacing w:val="16"/>
                        <w:sz w:val="21"/>
                        <w:szCs w:val="21"/>
                      </w:rPr>
                      <w:t xml:space="preserve"> </w:t>
                    </w:r>
                    <w:r>
                      <w:rPr>
                        <w:rFonts w:ascii="Times New Roman" w:hAnsi="Times New Roman"/>
                        <w:b/>
                        <w:bCs/>
                        <w:color w:val="0061AF"/>
                        <w:spacing w:val="13"/>
                        <w:sz w:val="21"/>
                        <w:szCs w:val="21"/>
                      </w:rPr>
                      <w:t>434</w:t>
                    </w:r>
                    <w:r>
                      <w:rPr>
                        <w:rFonts w:ascii="Times New Roman" w:hAnsi="Times New Roman"/>
                        <w:b/>
                        <w:bCs/>
                        <w:color w:val="0061AF"/>
                        <w:sz w:val="21"/>
                        <w:szCs w:val="21"/>
                      </w:rPr>
                      <w:t xml:space="preserve">0 </w:t>
                    </w:r>
                    <w:r>
                      <w:rPr>
                        <w:rFonts w:ascii="Times New Roman" w:hAnsi="Times New Roman"/>
                        <w:b/>
                        <w:bCs/>
                        <w:color w:val="0061AF"/>
                        <w:spacing w:val="31"/>
                        <w:sz w:val="21"/>
                        <w:szCs w:val="21"/>
                      </w:rPr>
                      <w:t xml:space="preserve"> </w:t>
                    </w:r>
                    <w:r>
                      <w:rPr>
                        <w:rFonts w:ascii="Times New Roman" w:hAnsi="Times New Roman"/>
                        <w:b/>
                        <w:bCs/>
                        <w:color w:val="0061AF"/>
                        <w:w w:val="130"/>
                        <w:sz w:val="21"/>
                        <w:szCs w:val="21"/>
                      </w:rPr>
                      <w:t>-</w:t>
                    </w:r>
                    <w:r>
                      <w:rPr>
                        <w:rFonts w:ascii="Times New Roman" w:hAnsi="Times New Roman"/>
                        <w:b/>
                        <w:bCs/>
                        <w:color w:val="0061AF"/>
                        <w:spacing w:val="-35"/>
                        <w:w w:val="130"/>
                        <w:sz w:val="21"/>
                        <w:szCs w:val="21"/>
                      </w:rPr>
                      <w:t xml:space="preserve"> </w:t>
                    </w:r>
                    <w:hyperlink r:id="rId5" w:history="1">
                      <w:r>
                        <w:rPr>
                          <w:rFonts w:ascii="Times New Roman" w:hAnsi="Times New Roman"/>
                          <w:b/>
                          <w:bCs/>
                          <w:color w:val="E11A22"/>
                          <w:spacing w:val="13"/>
                          <w:w w:val="101"/>
                          <w:sz w:val="21"/>
                          <w:szCs w:val="21"/>
                        </w:rPr>
                        <w:t>ww</w:t>
                      </w:r>
                      <w:r>
                        <w:rPr>
                          <w:rFonts w:ascii="Times New Roman" w:hAnsi="Times New Roman"/>
                          <w:b/>
                          <w:bCs/>
                          <w:color w:val="E11A22"/>
                          <w:w w:val="101"/>
                          <w:sz w:val="21"/>
                          <w:szCs w:val="21"/>
                        </w:rPr>
                        <w:t>w</w:t>
                      </w:r>
                      <w:r>
                        <w:rPr>
                          <w:rFonts w:ascii="Times New Roman" w:hAnsi="Times New Roman"/>
                          <w:b/>
                          <w:bCs/>
                          <w:color w:val="E11A22"/>
                          <w:spacing w:val="12"/>
                          <w:w w:val="103"/>
                          <w:sz w:val="21"/>
                          <w:szCs w:val="21"/>
                        </w:rPr>
                        <w:t>.qu</w:t>
                      </w:r>
                      <w:r>
                        <w:rPr>
                          <w:rFonts w:ascii="Times New Roman" w:hAnsi="Times New Roman"/>
                          <w:b/>
                          <w:bCs/>
                          <w:color w:val="E11A22"/>
                          <w:spacing w:val="12"/>
                          <w:w w:val="108"/>
                          <w:sz w:val="21"/>
                          <w:szCs w:val="21"/>
                        </w:rPr>
                        <w:t>ito.gob.</w:t>
                      </w:r>
                      <w:r>
                        <w:rPr>
                          <w:rFonts w:ascii="Times New Roman" w:hAnsi="Times New Roman"/>
                          <w:b/>
                          <w:bCs/>
                          <w:color w:val="E11A22"/>
                          <w:spacing w:val="13"/>
                          <w:w w:val="117"/>
                          <w:sz w:val="21"/>
                          <w:szCs w:val="21"/>
                        </w:rPr>
                        <w:t>e</w:t>
                      </w:r>
                      <w:r>
                        <w:rPr>
                          <w:rFonts w:ascii="Times New Roman" w:hAnsi="Times New Roman"/>
                          <w:b/>
                          <w:bCs/>
                          <w:color w:val="E11A22"/>
                          <w:w w:val="115"/>
                          <w:sz w:val="21"/>
                          <w:szCs w:val="21"/>
                        </w:rPr>
                        <w:t>c</w:t>
                      </w:r>
                    </w:hyperlink>
                  </w:p>
                  <w:p w14:paraId="00CA66B8" w14:textId="77777777" w:rsidR="00F70D6D" w:rsidRPr="00080B2D" w:rsidRDefault="00F70D6D" w:rsidP="00671D8D">
                    <w:pPr>
                      <w:widowControl w:val="0"/>
                      <w:autoSpaceDE w:val="0"/>
                      <w:autoSpaceDN w:val="0"/>
                      <w:adjustRightInd w:val="0"/>
                      <w:spacing w:before="29" w:after="0" w:line="240" w:lineRule="auto"/>
                      <w:ind w:left="106" w:right="-20"/>
                      <w:rPr>
                        <w:rFonts w:ascii="Times New Roman" w:hAnsi="Times New Roman"/>
                        <w:sz w:val="21"/>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B7E5" w14:textId="77777777" w:rsidR="00060151" w:rsidRDefault="00060151" w:rsidP="001011B7">
      <w:pPr>
        <w:spacing w:after="0" w:line="240" w:lineRule="auto"/>
      </w:pPr>
      <w:r>
        <w:separator/>
      </w:r>
    </w:p>
  </w:footnote>
  <w:footnote w:type="continuationSeparator" w:id="0">
    <w:p w14:paraId="0A1BFFBA" w14:textId="77777777" w:rsidR="00060151" w:rsidRDefault="00060151" w:rsidP="00101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0706" w14:textId="77777777" w:rsidR="00F70D6D" w:rsidRDefault="00F70D6D">
    <w:pPr>
      <w:pStyle w:val="Encabezado"/>
    </w:pPr>
    <w:r>
      <w:rPr>
        <w:noProof/>
        <w:lang w:eastAsia="es-EC"/>
      </w:rPr>
      <w:drawing>
        <wp:anchor distT="0" distB="0" distL="114300" distR="114300" simplePos="0" relativeHeight="251659264" behindDoc="0" locked="0" layoutInCell="1" allowOverlap="1" wp14:anchorId="4207523B" wp14:editId="34FECD5F">
          <wp:simplePos x="0" y="0"/>
          <wp:positionH relativeFrom="margin">
            <wp:posOffset>-819785</wp:posOffset>
          </wp:positionH>
          <wp:positionV relativeFrom="paragraph">
            <wp:posOffset>-342900</wp:posOffset>
          </wp:positionV>
          <wp:extent cx="1762125" cy="120142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EC0F8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B"/>
    <w:multiLevelType w:val="singleLevel"/>
    <w:tmpl w:val="0000000B"/>
    <w:name w:val="WW8Num19"/>
    <w:lvl w:ilvl="0">
      <w:start w:val="1"/>
      <w:numFmt w:val="lowerLetter"/>
      <w:lvlText w:val="%1)"/>
      <w:lvlJc w:val="left"/>
      <w:pPr>
        <w:tabs>
          <w:tab w:val="num" w:pos="1065"/>
        </w:tabs>
        <w:ind w:left="1065" w:hanging="360"/>
      </w:pPr>
    </w:lvl>
  </w:abstractNum>
  <w:abstractNum w:abstractNumId="2" w15:restartNumberingAfterBreak="0">
    <w:nsid w:val="02BC18EF"/>
    <w:multiLevelType w:val="multilevel"/>
    <w:tmpl w:val="7C4CCDAE"/>
    <w:lvl w:ilvl="0">
      <w:start w:val="1"/>
      <w:numFmt w:val="decimal"/>
      <w:pStyle w:val="Ttulo1"/>
      <w:lvlText w:val="%1"/>
      <w:lvlJc w:val="left"/>
      <w:pPr>
        <w:ind w:left="199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E6F7A06"/>
    <w:multiLevelType w:val="hybridMultilevel"/>
    <w:tmpl w:val="F3D0FE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E866D09"/>
    <w:multiLevelType w:val="hybridMultilevel"/>
    <w:tmpl w:val="A64A04F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1B17415"/>
    <w:multiLevelType w:val="hybridMultilevel"/>
    <w:tmpl w:val="EBCC7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D6282"/>
    <w:multiLevelType w:val="hybridMultilevel"/>
    <w:tmpl w:val="A4F608F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A20065E"/>
    <w:multiLevelType w:val="hybridMultilevel"/>
    <w:tmpl w:val="DC2661EE"/>
    <w:lvl w:ilvl="0" w:tplc="300A000F">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204069AD"/>
    <w:multiLevelType w:val="hybridMultilevel"/>
    <w:tmpl w:val="3E28ED02"/>
    <w:lvl w:ilvl="0" w:tplc="1526C59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E1068B"/>
    <w:multiLevelType w:val="hybridMultilevel"/>
    <w:tmpl w:val="3932B712"/>
    <w:lvl w:ilvl="0" w:tplc="0C0A0001">
      <w:start w:val="1"/>
      <w:numFmt w:val="bullet"/>
      <w:lvlText w:val=""/>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15:restartNumberingAfterBreak="0">
    <w:nsid w:val="34862BA4"/>
    <w:multiLevelType w:val="hybridMultilevel"/>
    <w:tmpl w:val="A42CC5F8"/>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5E13E9C"/>
    <w:multiLevelType w:val="hybridMultilevel"/>
    <w:tmpl w:val="4650F1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E92B3E"/>
    <w:multiLevelType w:val="hybridMultilevel"/>
    <w:tmpl w:val="5608C14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385555FD"/>
    <w:multiLevelType w:val="hybridMultilevel"/>
    <w:tmpl w:val="06902BE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4" w15:restartNumberingAfterBreak="0">
    <w:nsid w:val="3B590ADD"/>
    <w:multiLevelType w:val="hybridMultilevel"/>
    <w:tmpl w:val="D390EA32"/>
    <w:lvl w:ilvl="0" w:tplc="300A000B">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4CCF5934"/>
    <w:multiLevelType w:val="hybridMultilevel"/>
    <w:tmpl w:val="81C276BC"/>
    <w:lvl w:ilvl="0" w:tplc="300A0019">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76775F"/>
    <w:multiLevelType w:val="hybridMultilevel"/>
    <w:tmpl w:val="1C8EF9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A2D31E9"/>
    <w:multiLevelType w:val="hybridMultilevel"/>
    <w:tmpl w:val="83420CD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2F027A"/>
    <w:multiLevelType w:val="hybridMultilevel"/>
    <w:tmpl w:val="6A743AB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9" w15:restartNumberingAfterBreak="0">
    <w:nsid w:val="646129F1"/>
    <w:multiLevelType w:val="hybridMultilevel"/>
    <w:tmpl w:val="062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756C0"/>
    <w:multiLevelType w:val="hybridMultilevel"/>
    <w:tmpl w:val="9E8E2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547A42"/>
    <w:multiLevelType w:val="hybridMultilevel"/>
    <w:tmpl w:val="45C62148"/>
    <w:lvl w:ilvl="0" w:tplc="BBC4FFEA">
      <w:numFmt w:val="bullet"/>
      <w:lvlText w:val="-"/>
      <w:lvlJc w:val="left"/>
      <w:pPr>
        <w:ind w:left="1065" w:hanging="360"/>
      </w:pPr>
      <w:rPr>
        <w:rFonts w:ascii="Century Gothic" w:eastAsia="Times New Roman" w:hAnsi="Century Gothic"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6D592E4F"/>
    <w:multiLevelType w:val="hybridMultilevel"/>
    <w:tmpl w:val="94F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16FDD"/>
    <w:multiLevelType w:val="hybridMultilevel"/>
    <w:tmpl w:val="9CD2C0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6"/>
  </w:num>
  <w:num w:numId="5">
    <w:abstractNumId w:val="17"/>
  </w:num>
  <w:num w:numId="6">
    <w:abstractNumId w:val="14"/>
  </w:num>
  <w:num w:numId="7">
    <w:abstractNumId w:val="11"/>
  </w:num>
  <w:num w:numId="8">
    <w:abstractNumId w:val="7"/>
  </w:num>
  <w:num w:numId="9">
    <w:abstractNumId w:val="2"/>
  </w:num>
  <w:num w:numId="10">
    <w:abstractNumId w:val="18"/>
  </w:num>
  <w:num w:numId="11">
    <w:abstractNumId w:val="20"/>
  </w:num>
  <w:num w:numId="12">
    <w:abstractNumId w:val="22"/>
  </w:num>
  <w:num w:numId="13">
    <w:abstractNumId w:val="9"/>
  </w:num>
  <w:num w:numId="14">
    <w:abstractNumId w:val="21"/>
  </w:num>
  <w:num w:numId="15">
    <w:abstractNumId w:val="19"/>
  </w:num>
  <w:num w:numId="16">
    <w:abstractNumId w:val="0"/>
  </w:num>
  <w:num w:numId="17">
    <w:abstractNumId w:val="23"/>
  </w:num>
  <w:num w:numId="18">
    <w:abstractNumId w:val="1"/>
    <w:lvlOverride w:ilvl="0">
      <w:startOverride w:val="1"/>
    </w:lvlOverride>
  </w:num>
  <w:num w:numId="19">
    <w:abstractNumId w:val="4"/>
  </w:num>
  <w:num w:numId="20">
    <w:abstractNumId w:val="3"/>
  </w:num>
  <w:num w:numId="21">
    <w:abstractNumId w:val="12"/>
  </w:num>
  <w:num w:numId="22">
    <w:abstractNumId w:val="13"/>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EC" w:vendorID="64" w:dllVersion="4096" w:nlCheck="1" w:checkStyle="0"/>
  <w:activeWritingStyle w:appName="MSWord" w:lang="es-EC"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7"/>
    <w:rsid w:val="00015927"/>
    <w:rsid w:val="00060151"/>
    <w:rsid w:val="001011B7"/>
    <w:rsid w:val="00116A1A"/>
    <w:rsid w:val="001564A3"/>
    <w:rsid w:val="00190391"/>
    <w:rsid w:val="001C5A11"/>
    <w:rsid w:val="001E15D4"/>
    <w:rsid w:val="001F2A83"/>
    <w:rsid w:val="0023681F"/>
    <w:rsid w:val="00242D5B"/>
    <w:rsid w:val="002442A0"/>
    <w:rsid w:val="00247C90"/>
    <w:rsid w:val="002A1445"/>
    <w:rsid w:val="002B255F"/>
    <w:rsid w:val="002D60FC"/>
    <w:rsid w:val="00335C88"/>
    <w:rsid w:val="003C71D2"/>
    <w:rsid w:val="003D4D8C"/>
    <w:rsid w:val="003F2890"/>
    <w:rsid w:val="003F3D20"/>
    <w:rsid w:val="00400F56"/>
    <w:rsid w:val="00423E00"/>
    <w:rsid w:val="004B5C2C"/>
    <w:rsid w:val="00521AAA"/>
    <w:rsid w:val="00523C51"/>
    <w:rsid w:val="00531D63"/>
    <w:rsid w:val="0055117F"/>
    <w:rsid w:val="005D091C"/>
    <w:rsid w:val="005D2256"/>
    <w:rsid w:val="005D5B65"/>
    <w:rsid w:val="005D711E"/>
    <w:rsid w:val="005E0879"/>
    <w:rsid w:val="005F5FFC"/>
    <w:rsid w:val="005F60AE"/>
    <w:rsid w:val="00641052"/>
    <w:rsid w:val="00642814"/>
    <w:rsid w:val="00671D8D"/>
    <w:rsid w:val="006C40CD"/>
    <w:rsid w:val="00751A03"/>
    <w:rsid w:val="00760B9D"/>
    <w:rsid w:val="00763F02"/>
    <w:rsid w:val="00772E71"/>
    <w:rsid w:val="00790EC3"/>
    <w:rsid w:val="007B0910"/>
    <w:rsid w:val="007D3382"/>
    <w:rsid w:val="0085411E"/>
    <w:rsid w:val="00857A53"/>
    <w:rsid w:val="00862EFE"/>
    <w:rsid w:val="00875BBD"/>
    <w:rsid w:val="00880CF0"/>
    <w:rsid w:val="008B15EA"/>
    <w:rsid w:val="009170CB"/>
    <w:rsid w:val="00925F32"/>
    <w:rsid w:val="00971F00"/>
    <w:rsid w:val="00981186"/>
    <w:rsid w:val="009C5716"/>
    <w:rsid w:val="009E7A3C"/>
    <w:rsid w:val="009E7D32"/>
    <w:rsid w:val="00A02812"/>
    <w:rsid w:val="00A138C9"/>
    <w:rsid w:val="00AC6778"/>
    <w:rsid w:val="00AE2E4C"/>
    <w:rsid w:val="00B33E6A"/>
    <w:rsid w:val="00BA369D"/>
    <w:rsid w:val="00BD708B"/>
    <w:rsid w:val="00BF2219"/>
    <w:rsid w:val="00C22C5E"/>
    <w:rsid w:val="00C43E9F"/>
    <w:rsid w:val="00C747B1"/>
    <w:rsid w:val="00C82859"/>
    <w:rsid w:val="00CA1BC2"/>
    <w:rsid w:val="00CE4584"/>
    <w:rsid w:val="00D92267"/>
    <w:rsid w:val="00D95F23"/>
    <w:rsid w:val="00DA5FA0"/>
    <w:rsid w:val="00DB38AE"/>
    <w:rsid w:val="00E22D28"/>
    <w:rsid w:val="00E35F44"/>
    <w:rsid w:val="00E3797A"/>
    <w:rsid w:val="00E52B48"/>
    <w:rsid w:val="00E91CF9"/>
    <w:rsid w:val="00EC15D1"/>
    <w:rsid w:val="00ED01A1"/>
    <w:rsid w:val="00F31762"/>
    <w:rsid w:val="00F70D6D"/>
    <w:rsid w:val="00FA729B"/>
    <w:rsid w:val="00FC3C35"/>
    <w:rsid w:val="00FD4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0C27"/>
  <w15:chartTrackingRefBased/>
  <w15:docId w15:val="{1E8F0582-2C64-457D-8EE3-A5FA4E20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1E"/>
    <w:rPr>
      <w:rFonts w:ascii="Calibri" w:eastAsia="Times New Roman" w:hAnsi="Calibri" w:cs="Times New Roman"/>
      <w:lang w:val="es-EC" w:eastAsia="es-EC"/>
    </w:rPr>
  </w:style>
  <w:style w:type="paragraph" w:styleId="Ttulo1">
    <w:name w:val="heading 1"/>
    <w:basedOn w:val="Normal"/>
    <w:next w:val="Normal"/>
    <w:link w:val="Ttulo1Car"/>
    <w:uiPriority w:val="9"/>
    <w:qFormat/>
    <w:rsid w:val="00F70D6D"/>
    <w:pPr>
      <w:keepNext/>
      <w:keepLines/>
      <w:numPr>
        <w:numId w:val="9"/>
      </w:numPr>
      <w:spacing w:before="240" w:after="240" w:line="240" w:lineRule="auto"/>
      <w:jc w:val="both"/>
      <w:outlineLvl w:val="0"/>
    </w:pPr>
    <w:rPr>
      <w:rFonts w:ascii="Arial" w:hAnsi="Arial" w:cs="Arial"/>
      <w:b/>
      <w:sz w:val="18"/>
      <w:szCs w:val="18"/>
      <w:lang w:eastAsia="en-US"/>
    </w:rPr>
  </w:style>
  <w:style w:type="paragraph" w:styleId="Ttulo2">
    <w:name w:val="heading 2"/>
    <w:basedOn w:val="Normal"/>
    <w:next w:val="Normal"/>
    <w:link w:val="Ttulo2Car"/>
    <w:uiPriority w:val="9"/>
    <w:unhideWhenUsed/>
    <w:qFormat/>
    <w:rsid w:val="00F70D6D"/>
    <w:pPr>
      <w:keepNext/>
      <w:keepLines/>
      <w:numPr>
        <w:ilvl w:val="1"/>
        <w:numId w:val="9"/>
      </w:numPr>
      <w:spacing w:before="240" w:after="240" w:line="240" w:lineRule="auto"/>
      <w:ind w:left="578" w:hanging="578"/>
      <w:jc w:val="both"/>
      <w:outlineLvl w:val="1"/>
    </w:pPr>
    <w:rPr>
      <w:rFonts w:ascii="Arial" w:hAnsi="Arial" w:cs="Arial"/>
      <w:b/>
      <w:sz w:val="18"/>
      <w:szCs w:val="18"/>
      <w:lang w:eastAsia="en-US"/>
    </w:rPr>
  </w:style>
  <w:style w:type="paragraph" w:styleId="Ttulo3">
    <w:name w:val="heading 3"/>
    <w:basedOn w:val="Normal"/>
    <w:next w:val="Normal"/>
    <w:link w:val="Ttulo3Car"/>
    <w:uiPriority w:val="9"/>
    <w:semiHidden/>
    <w:unhideWhenUsed/>
    <w:qFormat/>
    <w:rsid w:val="00F70D6D"/>
    <w:pPr>
      <w:keepNext/>
      <w:keepLines/>
      <w:numPr>
        <w:ilvl w:val="2"/>
        <w:numId w:val="9"/>
      </w:numPr>
      <w:spacing w:before="40" w:after="0" w:line="240" w:lineRule="auto"/>
      <w:jc w:val="both"/>
      <w:outlineLvl w:val="2"/>
    </w:pPr>
    <w:rPr>
      <w:rFonts w:ascii="Cambria" w:hAnsi="Cambria"/>
      <w:color w:val="243F60"/>
      <w:sz w:val="24"/>
      <w:szCs w:val="24"/>
      <w:lang w:eastAsia="en-US"/>
    </w:rPr>
  </w:style>
  <w:style w:type="paragraph" w:styleId="Ttulo4">
    <w:name w:val="heading 4"/>
    <w:basedOn w:val="Normal"/>
    <w:next w:val="Normal"/>
    <w:link w:val="Ttulo4Car"/>
    <w:uiPriority w:val="9"/>
    <w:semiHidden/>
    <w:unhideWhenUsed/>
    <w:qFormat/>
    <w:rsid w:val="00F70D6D"/>
    <w:pPr>
      <w:keepNext/>
      <w:keepLines/>
      <w:numPr>
        <w:ilvl w:val="3"/>
        <w:numId w:val="9"/>
      </w:numPr>
      <w:spacing w:before="40" w:after="0" w:line="240" w:lineRule="auto"/>
      <w:jc w:val="both"/>
      <w:outlineLvl w:val="3"/>
    </w:pPr>
    <w:rPr>
      <w:rFonts w:ascii="Cambria" w:hAnsi="Cambria"/>
      <w:i/>
      <w:iCs/>
      <w:color w:val="365F91"/>
      <w:sz w:val="18"/>
      <w:szCs w:val="18"/>
    </w:rPr>
  </w:style>
  <w:style w:type="paragraph" w:styleId="Ttulo5">
    <w:name w:val="heading 5"/>
    <w:basedOn w:val="Normal"/>
    <w:next w:val="Normal"/>
    <w:link w:val="Ttulo5Car"/>
    <w:uiPriority w:val="9"/>
    <w:semiHidden/>
    <w:unhideWhenUsed/>
    <w:qFormat/>
    <w:rsid w:val="00F70D6D"/>
    <w:pPr>
      <w:keepNext/>
      <w:keepLines/>
      <w:numPr>
        <w:ilvl w:val="4"/>
        <w:numId w:val="9"/>
      </w:numPr>
      <w:spacing w:before="40" w:after="0" w:line="240" w:lineRule="auto"/>
      <w:jc w:val="both"/>
      <w:outlineLvl w:val="4"/>
    </w:pPr>
    <w:rPr>
      <w:rFonts w:ascii="Cambria" w:hAnsi="Cambria"/>
      <w:color w:val="365F91"/>
      <w:sz w:val="18"/>
      <w:szCs w:val="18"/>
    </w:rPr>
  </w:style>
  <w:style w:type="paragraph" w:styleId="Ttulo6">
    <w:name w:val="heading 6"/>
    <w:basedOn w:val="Normal"/>
    <w:next w:val="Normal"/>
    <w:link w:val="Ttulo6Car"/>
    <w:uiPriority w:val="9"/>
    <w:semiHidden/>
    <w:unhideWhenUsed/>
    <w:qFormat/>
    <w:rsid w:val="00F70D6D"/>
    <w:pPr>
      <w:keepNext/>
      <w:keepLines/>
      <w:numPr>
        <w:ilvl w:val="5"/>
        <w:numId w:val="9"/>
      </w:numPr>
      <w:spacing w:before="40" w:after="0" w:line="240" w:lineRule="auto"/>
      <w:jc w:val="both"/>
      <w:outlineLvl w:val="5"/>
    </w:pPr>
    <w:rPr>
      <w:rFonts w:ascii="Cambria" w:hAnsi="Cambria"/>
      <w:color w:val="243F60"/>
      <w:sz w:val="18"/>
      <w:szCs w:val="18"/>
    </w:rPr>
  </w:style>
  <w:style w:type="paragraph" w:styleId="Ttulo7">
    <w:name w:val="heading 7"/>
    <w:basedOn w:val="Normal"/>
    <w:next w:val="Normal"/>
    <w:link w:val="Ttulo7Car"/>
    <w:uiPriority w:val="9"/>
    <w:semiHidden/>
    <w:unhideWhenUsed/>
    <w:qFormat/>
    <w:rsid w:val="00F70D6D"/>
    <w:pPr>
      <w:keepNext/>
      <w:keepLines/>
      <w:numPr>
        <w:ilvl w:val="6"/>
        <w:numId w:val="9"/>
      </w:numPr>
      <w:spacing w:before="40" w:after="0" w:line="240" w:lineRule="auto"/>
      <w:jc w:val="both"/>
      <w:outlineLvl w:val="6"/>
    </w:pPr>
    <w:rPr>
      <w:rFonts w:ascii="Cambria" w:hAnsi="Cambria"/>
      <w:i/>
      <w:iCs/>
      <w:color w:val="243F60"/>
      <w:sz w:val="18"/>
      <w:szCs w:val="18"/>
    </w:rPr>
  </w:style>
  <w:style w:type="paragraph" w:styleId="Ttulo8">
    <w:name w:val="heading 8"/>
    <w:basedOn w:val="Normal"/>
    <w:next w:val="Normal"/>
    <w:link w:val="Ttulo8Car"/>
    <w:uiPriority w:val="9"/>
    <w:semiHidden/>
    <w:unhideWhenUsed/>
    <w:qFormat/>
    <w:rsid w:val="00F70D6D"/>
    <w:pPr>
      <w:keepNext/>
      <w:keepLines/>
      <w:numPr>
        <w:ilvl w:val="7"/>
        <w:numId w:val="9"/>
      </w:numPr>
      <w:spacing w:before="40" w:after="0" w:line="240" w:lineRule="auto"/>
      <w:jc w:val="both"/>
      <w:outlineLvl w:val="7"/>
    </w:pPr>
    <w:rPr>
      <w:rFonts w:ascii="Cambria" w:hAnsi="Cambria"/>
      <w:color w:val="272727"/>
      <w:sz w:val="21"/>
      <w:szCs w:val="21"/>
    </w:rPr>
  </w:style>
  <w:style w:type="paragraph" w:styleId="Ttulo9">
    <w:name w:val="heading 9"/>
    <w:basedOn w:val="Normal"/>
    <w:next w:val="Normal"/>
    <w:link w:val="Ttulo9Car"/>
    <w:uiPriority w:val="9"/>
    <w:semiHidden/>
    <w:unhideWhenUsed/>
    <w:qFormat/>
    <w:rsid w:val="00F70D6D"/>
    <w:pPr>
      <w:keepNext/>
      <w:keepLines/>
      <w:numPr>
        <w:ilvl w:val="8"/>
        <w:numId w:val="9"/>
      </w:numPr>
      <w:spacing w:before="40" w:after="0" w:line="240" w:lineRule="auto"/>
      <w:jc w:val="both"/>
      <w:outlineLvl w:val="8"/>
    </w:pPr>
    <w:rPr>
      <w:rFonts w:ascii="Cambria" w:hAnsi="Cambria"/>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D6D"/>
    <w:rPr>
      <w:rFonts w:ascii="Arial" w:eastAsia="Times New Roman" w:hAnsi="Arial" w:cs="Arial"/>
      <w:b/>
      <w:sz w:val="18"/>
      <w:szCs w:val="18"/>
      <w:lang w:val="es-EC"/>
    </w:rPr>
  </w:style>
  <w:style w:type="character" w:customStyle="1" w:styleId="Ttulo2Car">
    <w:name w:val="Título 2 Car"/>
    <w:basedOn w:val="Fuentedeprrafopredeter"/>
    <w:link w:val="Ttulo2"/>
    <w:uiPriority w:val="9"/>
    <w:rsid w:val="00F70D6D"/>
    <w:rPr>
      <w:rFonts w:ascii="Arial" w:eastAsia="Times New Roman" w:hAnsi="Arial" w:cs="Arial"/>
      <w:b/>
      <w:sz w:val="18"/>
      <w:szCs w:val="18"/>
      <w:lang w:val="es-EC"/>
    </w:rPr>
  </w:style>
  <w:style w:type="character" w:customStyle="1" w:styleId="Ttulo3Car">
    <w:name w:val="Título 3 Car"/>
    <w:basedOn w:val="Fuentedeprrafopredeter"/>
    <w:link w:val="Ttulo3"/>
    <w:uiPriority w:val="9"/>
    <w:semiHidden/>
    <w:rsid w:val="00F70D6D"/>
    <w:rPr>
      <w:rFonts w:ascii="Cambria" w:eastAsia="Times New Roman" w:hAnsi="Cambria" w:cs="Times New Roman"/>
      <w:color w:val="243F60"/>
      <w:sz w:val="24"/>
      <w:szCs w:val="24"/>
      <w:lang w:val="es-EC"/>
    </w:rPr>
  </w:style>
  <w:style w:type="paragraph" w:styleId="Encabezado">
    <w:name w:val="header"/>
    <w:basedOn w:val="Normal"/>
    <w:link w:val="Encabezado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011B7"/>
  </w:style>
  <w:style w:type="paragraph" w:styleId="Piedepgina">
    <w:name w:val="footer"/>
    <w:basedOn w:val="Normal"/>
    <w:link w:val="PiedepginaCar"/>
    <w:uiPriority w:val="99"/>
    <w:unhideWhenUsed/>
    <w:rsid w:val="001011B7"/>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011B7"/>
  </w:style>
  <w:style w:type="character" w:customStyle="1" w:styleId="Ttulo4Car">
    <w:name w:val="Título 4 Car"/>
    <w:basedOn w:val="Fuentedeprrafopredeter"/>
    <w:link w:val="Ttulo4"/>
    <w:uiPriority w:val="9"/>
    <w:semiHidden/>
    <w:rsid w:val="00F70D6D"/>
    <w:rPr>
      <w:rFonts w:ascii="Cambria" w:eastAsia="Times New Roman" w:hAnsi="Cambria" w:cs="Times New Roman"/>
      <w:i/>
      <w:iCs/>
      <w:color w:val="365F91"/>
      <w:sz w:val="18"/>
      <w:szCs w:val="18"/>
      <w:lang w:val="es-EC"/>
    </w:rPr>
  </w:style>
  <w:style w:type="character" w:customStyle="1" w:styleId="Ttulo5Car">
    <w:name w:val="Título 5 Car"/>
    <w:basedOn w:val="Fuentedeprrafopredeter"/>
    <w:link w:val="Ttulo5"/>
    <w:uiPriority w:val="9"/>
    <w:semiHidden/>
    <w:rsid w:val="00F70D6D"/>
    <w:rPr>
      <w:rFonts w:ascii="Cambria" w:eastAsia="Times New Roman" w:hAnsi="Cambria" w:cs="Times New Roman"/>
      <w:color w:val="365F91"/>
      <w:sz w:val="18"/>
      <w:szCs w:val="18"/>
      <w:lang w:val="es-EC"/>
    </w:rPr>
  </w:style>
  <w:style w:type="character" w:customStyle="1" w:styleId="Ttulo6Car">
    <w:name w:val="Título 6 Car"/>
    <w:basedOn w:val="Fuentedeprrafopredeter"/>
    <w:link w:val="Ttulo6"/>
    <w:uiPriority w:val="9"/>
    <w:semiHidden/>
    <w:rsid w:val="00F70D6D"/>
    <w:rPr>
      <w:rFonts w:ascii="Cambria" w:eastAsia="Times New Roman" w:hAnsi="Cambria" w:cs="Times New Roman"/>
      <w:color w:val="243F60"/>
      <w:sz w:val="18"/>
      <w:szCs w:val="18"/>
      <w:lang w:val="es-EC"/>
    </w:rPr>
  </w:style>
  <w:style w:type="character" w:customStyle="1" w:styleId="Ttulo7Car">
    <w:name w:val="Título 7 Car"/>
    <w:basedOn w:val="Fuentedeprrafopredeter"/>
    <w:link w:val="Ttulo7"/>
    <w:uiPriority w:val="9"/>
    <w:semiHidden/>
    <w:rsid w:val="00F70D6D"/>
    <w:rPr>
      <w:rFonts w:ascii="Cambria" w:eastAsia="Times New Roman" w:hAnsi="Cambria" w:cs="Times New Roman"/>
      <w:i/>
      <w:iCs/>
      <w:color w:val="243F60"/>
      <w:sz w:val="18"/>
      <w:szCs w:val="18"/>
      <w:lang w:val="es-EC"/>
    </w:rPr>
  </w:style>
  <w:style w:type="character" w:customStyle="1" w:styleId="Ttulo8Car">
    <w:name w:val="Título 8 Car"/>
    <w:basedOn w:val="Fuentedeprrafopredeter"/>
    <w:link w:val="Ttulo8"/>
    <w:uiPriority w:val="9"/>
    <w:semiHidden/>
    <w:rsid w:val="00F70D6D"/>
    <w:rPr>
      <w:rFonts w:ascii="Cambria" w:eastAsia="Times New Roman" w:hAnsi="Cambria" w:cs="Times New Roman"/>
      <w:color w:val="272727"/>
      <w:sz w:val="21"/>
      <w:szCs w:val="21"/>
      <w:lang w:val="es-EC"/>
    </w:rPr>
  </w:style>
  <w:style w:type="character" w:customStyle="1" w:styleId="Ttulo9Car">
    <w:name w:val="Título 9 Car"/>
    <w:basedOn w:val="Fuentedeprrafopredeter"/>
    <w:link w:val="Ttulo9"/>
    <w:uiPriority w:val="9"/>
    <w:semiHidden/>
    <w:rsid w:val="00F70D6D"/>
    <w:rPr>
      <w:rFonts w:ascii="Cambria" w:eastAsia="Times New Roman" w:hAnsi="Cambria" w:cs="Times New Roman"/>
      <w:i/>
      <w:iCs/>
      <w:color w:val="272727"/>
      <w:sz w:val="21"/>
      <w:szCs w:val="21"/>
      <w:lang w:val="es-EC"/>
    </w:rPr>
  </w:style>
  <w:style w:type="character" w:styleId="Hipervnculo">
    <w:name w:val="Hyperlink"/>
    <w:basedOn w:val="Fuentedeprrafopredeter"/>
    <w:uiPriority w:val="99"/>
    <w:unhideWhenUsed/>
    <w:rsid w:val="00F70D6D"/>
    <w:rPr>
      <w:color w:val="0563C1" w:themeColor="hyperlink"/>
      <w:u w:val="single"/>
    </w:rPr>
  </w:style>
  <w:style w:type="paragraph" w:styleId="Prrafodelista">
    <w:name w:val="List Paragraph"/>
    <w:aliases w:val="TIT 2 IND,Párrafo artículo,numeral,Capítulo,Texto,List Paragraph1,Titulo 1,Lista vistosa - Énfasis 11,Colorful List - Accent 11,Párrafo 3,Párrafo de Viñeta,tEXTO,AATITULO,Subtitulo1,INDICE,Titulo 2,Titulo parrafo,MEDIDA,Titulo 6,lp1"/>
    <w:basedOn w:val="Normal"/>
    <w:link w:val="PrrafodelistaCar"/>
    <w:qFormat/>
    <w:rsid w:val="00F70D6D"/>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artículo Car,numeral Car,Capítulo Car,Texto Car,List Paragraph1 Car,Titulo 1 Car,Lista vistosa - Énfasis 11 Car,Colorful List - Accent 11 Car,Párrafo 3 Car,Párrafo de Viñeta Car,tEXTO Car,AATITULO Car,lp1 Car"/>
    <w:link w:val="Prrafodelista"/>
    <w:qFormat/>
    <w:locked/>
    <w:rsid w:val="00F70D6D"/>
    <w:rPr>
      <w:lang w:val="es-EC"/>
    </w:rPr>
  </w:style>
  <w:style w:type="paragraph" w:styleId="Sinespaciado">
    <w:name w:val="No Spacing"/>
    <w:link w:val="SinespaciadoCar"/>
    <w:uiPriority w:val="1"/>
    <w:qFormat/>
    <w:rsid w:val="00F70D6D"/>
    <w:pPr>
      <w:spacing w:after="0" w:line="240" w:lineRule="auto"/>
    </w:pPr>
    <w:rPr>
      <w:lang w:val="es-EC"/>
    </w:rPr>
  </w:style>
  <w:style w:type="paragraph" w:customStyle="1" w:styleId="Default">
    <w:name w:val="Default"/>
    <w:rsid w:val="00F70D6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character" w:customStyle="1" w:styleId="TextodegloboCar">
    <w:name w:val="Texto de globo Car"/>
    <w:basedOn w:val="Fuentedeprrafopredeter"/>
    <w:link w:val="Textodeglobo"/>
    <w:uiPriority w:val="99"/>
    <w:semiHidden/>
    <w:rsid w:val="00F70D6D"/>
    <w:rPr>
      <w:rFonts w:ascii="Segoe UI" w:hAnsi="Segoe UI" w:cs="Segoe UI"/>
      <w:sz w:val="18"/>
      <w:szCs w:val="18"/>
      <w:lang w:val="es-EC"/>
    </w:rPr>
  </w:style>
  <w:style w:type="paragraph" w:styleId="Textodeglobo">
    <w:name w:val="Balloon Text"/>
    <w:basedOn w:val="Normal"/>
    <w:link w:val="TextodegloboCar"/>
    <w:uiPriority w:val="99"/>
    <w:semiHidden/>
    <w:unhideWhenUsed/>
    <w:rsid w:val="00F70D6D"/>
    <w:pPr>
      <w:spacing w:after="0" w:line="240" w:lineRule="auto"/>
    </w:pPr>
    <w:rPr>
      <w:rFonts w:ascii="Segoe UI" w:hAnsi="Segoe UI" w:cs="Segoe UI"/>
      <w:sz w:val="18"/>
      <w:szCs w:val="18"/>
    </w:rPr>
  </w:style>
  <w:style w:type="paragraph" w:styleId="NormalWeb">
    <w:name w:val="Normal (Web)"/>
    <w:basedOn w:val="Normal"/>
    <w:unhideWhenUsed/>
    <w:rsid w:val="00F70D6D"/>
    <w:pPr>
      <w:suppressAutoHyphens/>
      <w:spacing w:before="100" w:beforeAutospacing="1" w:after="0" w:line="240" w:lineRule="auto"/>
      <w:jc w:val="both"/>
    </w:pPr>
    <w:rPr>
      <w:rFonts w:ascii="Times New Roman" w:hAnsi="Times New Roman"/>
      <w:sz w:val="24"/>
      <w:szCs w:val="24"/>
      <w:u w:val="single"/>
      <w:lang w:bidi="hi-IN"/>
    </w:rPr>
  </w:style>
  <w:style w:type="paragraph" w:styleId="Sangradetextonormal">
    <w:name w:val="Body Text Indent"/>
    <w:basedOn w:val="Normal"/>
    <w:link w:val="SangradetextonormalCar"/>
    <w:rsid w:val="00F70D6D"/>
    <w:pPr>
      <w:widowControl w:val="0"/>
      <w:tabs>
        <w:tab w:val="left" w:pos="6804"/>
      </w:tabs>
      <w:suppressAutoHyphens/>
      <w:autoSpaceDE w:val="0"/>
      <w:spacing w:after="0" w:line="240" w:lineRule="auto"/>
      <w:jc w:val="both"/>
    </w:pPr>
    <w:rPr>
      <w:rFonts w:ascii="Arial" w:eastAsia="MS Mincho" w:hAnsi="Arial"/>
      <w:sz w:val="20"/>
      <w:szCs w:val="20"/>
      <w:lang w:val="es-ES_tradnl" w:eastAsia="ar-SA"/>
    </w:rPr>
  </w:style>
  <w:style w:type="character" w:customStyle="1" w:styleId="SangradetextonormalCar">
    <w:name w:val="Sangría de texto normal Car"/>
    <w:basedOn w:val="Fuentedeprrafopredeter"/>
    <w:link w:val="Sangradetextonormal"/>
    <w:rsid w:val="00F70D6D"/>
    <w:rPr>
      <w:rFonts w:ascii="Arial" w:eastAsia="MS Mincho" w:hAnsi="Arial" w:cs="Times New Roman"/>
      <w:sz w:val="20"/>
      <w:szCs w:val="20"/>
      <w:lang w:val="es-ES_tradnl" w:eastAsia="ar-SA"/>
    </w:rPr>
  </w:style>
  <w:style w:type="paragraph" w:customStyle="1" w:styleId="Standard">
    <w:name w:val="Standard"/>
    <w:qFormat/>
    <w:rsid w:val="00F70D6D"/>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tulodeTDC">
    <w:name w:val="TOC Heading"/>
    <w:basedOn w:val="Ttulo1"/>
    <w:next w:val="Normal"/>
    <w:uiPriority w:val="39"/>
    <w:unhideWhenUsed/>
    <w:qFormat/>
    <w:rsid w:val="00F70D6D"/>
    <w:pPr>
      <w:numPr>
        <w:numId w:val="0"/>
      </w:numPr>
      <w:spacing w:after="0" w:line="259" w:lineRule="auto"/>
      <w:jc w:val="left"/>
      <w:outlineLvl w:val="9"/>
    </w:pPr>
    <w:rPr>
      <w:rFonts w:ascii="Cambria" w:hAnsi="Cambria" w:cs="Times New Roman"/>
      <w:b w:val="0"/>
      <w:color w:val="365F91"/>
      <w:sz w:val="32"/>
      <w:szCs w:val="32"/>
      <w:lang w:val="es-ES" w:eastAsia="es-ES"/>
    </w:rPr>
  </w:style>
  <w:style w:type="paragraph" w:styleId="TDC1">
    <w:name w:val="toc 1"/>
    <w:basedOn w:val="Normal"/>
    <w:next w:val="Normal"/>
    <w:autoRedefine/>
    <w:uiPriority w:val="39"/>
    <w:unhideWhenUsed/>
    <w:rsid w:val="00F70D6D"/>
    <w:pPr>
      <w:spacing w:before="240" w:after="100" w:line="240" w:lineRule="auto"/>
      <w:jc w:val="both"/>
    </w:pPr>
    <w:rPr>
      <w:rFonts w:ascii="Tahoma" w:eastAsia="Calibri" w:hAnsi="Tahoma" w:cs="Tahoma"/>
      <w:sz w:val="18"/>
      <w:szCs w:val="18"/>
      <w:lang w:eastAsia="en-US"/>
    </w:rPr>
  </w:style>
  <w:style w:type="paragraph" w:styleId="TDC2">
    <w:name w:val="toc 2"/>
    <w:basedOn w:val="Normal"/>
    <w:next w:val="Normal"/>
    <w:autoRedefine/>
    <w:uiPriority w:val="39"/>
    <w:unhideWhenUsed/>
    <w:rsid w:val="00F70D6D"/>
    <w:pPr>
      <w:spacing w:before="240" w:after="100" w:line="240" w:lineRule="auto"/>
      <w:ind w:left="180"/>
      <w:jc w:val="both"/>
    </w:pPr>
    <w:rPr>
      <w:rFonts w:ascii="Tahoma" w:eastAsia="Calibri" w:hAnsi="Tahoma" w:cs="Tahoma"/>
      <w:sz w:val="18"/>
      <w:szCs w:val="18"/>
    </w:rPr>
  </w:style>
  <w:style w:type="character" w:customStyle="1" w:styleId="PuestoCar2">
    <w:name w:val="Puesto Car2"/>
    <w:link w:val="Puesto"/>
    <w:uiPriority w:val="10"/>
    <w:rsid w:val="00F70D6D"/>
    <w:rPr>
      <w:rFonts w:ascii="Cambria" w:hAnsi="Cambria"/>
      <w:spacing w:val="-10"/>
      <w:kern w:val="28"/>
      <w:sz w:val="56"/>
      <w:szCs w:val="56"/>
    </w:rPr>
  </w:style>
  <w:style w:type="paragraph" w:styleId="Puesto">
    <w:name w:val="Title"/>
    <w:basedOn w:val="Normal"/>
    <w:next w:val="Normal"/>
    <w:link w:val="PuestoCar2"/>
    <w:uiPriority w:val="10"/>
    <w:qFormat/>
    <w:rsid w:val="00F70D6D"/>
    <w:pPr>
      <w:spacing w:after="0" w:line="240" w:lineRule="auto"/>
      <w:contextualSpacing/>
    </w:pPr>
    <w:rPr>
      <w:rFonts w:ascii="Cambria" w:eastAsiaTheme="minorHAnsi" w:hAnsi="Cambria" w:cstheme="minorBidi"/>
      <w:spacing w:val="-10"/>
      <w:kern w:val="28"/>
      <w:sz w:val="56"/>
      <w:szCs w:val="56"/>
      <w:lang w:val="es-ES" w:eastAsia="en-US"/>
    </w:rPr>
  </w:style>
  <w:style w:type="paragraph" w:styleId="Listaconvietas2">
    <w:name w:val="List Bullet 2"/>
    <w:basedOn w:val="Normal"/>
    <w:uiPriority w:val="99"/>
    <w:unhideWhenUsed/>
    <w:rsid w:val="00F70D6D"/>
    <w:pPr>
      <w:numPr>
        <w:numId w:val="16"/>
      </w:numPr>
      <w:spacing w:after="200" w:line="276" w:lineRule="auto"/>
      <w:contextualSpacing/>
    </w:pPr>
    <w:rPr>
      <w:lang w:val="es-ES" w:eastAsia="es-ES"/>
    </w:rPr>
  </w:style>
  <w:style w:type="paragraph" w:customStyle="1" w:styleId="Contenidodelatabla">
    <w:name w:val="Contenido de la tabla"/>
    <w:basedOn w:val="Normal"/>
    <w:rsid w:val="00F70D6D"/>
    <w:pPr>
      <w:suppressLineNumbers/>
      <w:suppressAutoHyphens/>
      <w:spacing w:after="0" w:line="240" w:lineRule="auto"/>
    </w:pPr>
    <w:rPr>
      <w:rFonts w:ascii="Times New Roman" w:hAnsi="Times New Roman"/>
      <w:sz w:val="24"/>
      <w:szCs w:val="20"/>
      <w:lang w:eastAsia="hi-IN" w:bidi="hi-IN"/>
    </w:rPr>
  </w:style>
  <w:style w:type="character" w:customStyle="1" w:styleId="Refdenotaalpie1">
    <w:name w:val="Ref. de nota al pie1"/>
    <w:rsid w:val="00F70D6D"/>
    <w:rPr>
      <w:vertAlign w:val="superscript"/>
    </w:rPr>
  </w:style>
  <w:style w:type="character" w:customStyle="1" w:styleId="PuestoCar">
    <w:name w:val="Puesto Car"/>
    <w:uiPriority w:val="10"/>
    <w:rsid w:val="00F70D6D"/>
    <w:rPr>
      <w:rFonts w:ascii="Cambria" w:hAnsi="Cambria"/>
      <w:spacing w:val="-10"/>
      <w:kern w:val="28"/>
      <w:sz w:val="56"/>
      <w:szCs w:val="56"/>
      <w:lang w:eastAsia="en-US"/>
    </w:rPr>
  </w:style>
  <w:style w:type="character" w:customStyle="1" w:styleId="PuestoCar1">
    <w:name w:val="Puesto Car1"/>
    <w:basedOn w:val="Fuentedeprrafopredeter"/>
    <w:uiPriority w:val="10"/>
    <w:rsid w:val="00F70D6D"/>
    <w:rPr>
      <w:rFonts w:asciiTheme="majorHAnsi" w:eastAsiaTheme="majorEastAsia" w:hAnsiTheme="majorHAnsi" w:cstheme="majorBidi"/>
      <w:spacing w:val="-10"/>
      <w:kern w:val="28"/>
      <w:sz w:val="56"/>
      <w:szCs w:val="56"/>
      <w:lang w:val="es-EC"/>
    </w:rPr>
  </w:style>
  <w:style w:type="character" w:customStyle="1" w:styleId="TtuloCar">
    <w:name w:val="Título Car"/>
    <w:uiPriority w:val="10"/>
    <w:rsid w:val="00F70D6D"/>
    <w:rPr>
      <w:rFonts w:ascii="Cambria" w:hAnsi="Cambria"/>
      <w:spacing w:val="-10"/>
      <w:kern w:val="28"/>
      <w:sz w:val="56"/>
      <w:szCs w:val="56"/>
      <w:lang w:eastAsia="en-US"/>
    </w:rPr>
  </w:style>
  <w:style w:type="character" w:customStyle="1" w:styleId="markedcontent">
    <w:name w:val="markedcontent"/>
    <w:basedOn w:val="Fuentedeprrafopredeter"/>
    <w:rsid w:val="00F70D6D"/>
  </w:style>
  <w:style w:type="character" w:customStyle="1" w:styleId="SinespaciadoCar">
    <w:name w:val="Sin espaciado Car"/>
    <w:link w:val="Sinespaciado"/>
    <w:uiPriority w:val="1"/>
    <w:rsid w:val="0085411E"/>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quito.gob.ec" TargetMode="External"/><Relationship Id="rId1" Type="http://schemas.openxmlformats.org/officeDocument/2006/relationships/hyperlink" Target="http://www.quito.gob.ec" TargetMode="External"/><Relationship Id="rId5" Type="http://schemas.openxmlformats.org/officeDocument/2006/relationships/hyperlink" Target="http://www.quito.gob.ec" TargetMode="External"/><Relationship Id="rId4" Type="http://schemas.openxmlformats.org/officeDocument/2006/relationships/hyperlink" Target="http://www.quito.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1665</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Natividad Tello Zambrano</dc:creator>
  <cp:keywords/>
  <dc:description/>
  <cp:lastModifiedBy>Sandra Salgado Robayo</cp:lastModifiedBy>
  <cp:revision>6</cp:revision>
  <cp:lastPrinted>2021-06-09T14:46:00Z</cp:lastPrinted>
  <dcterms:created xsi:type="dcterms:W3CDTF">2022-03-03T18:08:00Z</dcterms:created>
  <dcterms:modified xsi:type="dcterms:W3CDTF">2022-03-03T18:53:00Z</dcterms:modified>
</cp:coreProperties>
</file>