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2838F" w14:textId="34A05D17" w:rsidR="00F82319" w:rsidRDefault="00F82319" w:rsidP="0018018F">
      <w:pPr>
        <w:pStyle w:val="Sinespaciado"/>
        <w:spacing w:line="276" w:lineRule="auto"/>
        <w:jc w:val="center"/>
        <w:rPr>
          <w:rFonts w:ascii="Palatino Linotype" w:hAnsi="Palatino Linotype"/>
          <w:b/>
          <w:sz w:val="20"/>
          <w:szCs w:val="20"/>
        </w:rPr>
      </w:pPr>
      <w:r w:rsidRPr="00274EC3">
        <w:rPr>
          <w:rFonts w:ascii="Palatino Linotype" w:hAnsi="Palatino Linotype"/>
          <w:b/>
          <w:sz w:val="20"/>
          <w:szCs w:val="20"/>
        </w:rPr>
        <w:t>EXPOSICIÓN DE MOTIVOS</w:t>
      </w:r>
    </w:p>
    <w:p w14:paraId="07201067" w14:textId="3D1AD58A" w:rsidR="00AC0A0D" w:rsidRDefault="00AC0A0D" w:rsidP="0018018F">
      <w:pPr>
        <w:pStyle w:val="Sinespaciado"/>
        <w:spacing w:line="276" w:lineRule="auto"/>
        <w:jc w:val="center"/>
        <w:rPr>
          <w:rFonts w:ascii="Palatino Linotype" w:hAnsi="Palatino Linotype"/>
          <w:b/>
          <w:sz w:val="20"/>
          <w:szCs w:val="20"/>
        </w:rPr>
      </w:pPr>
    </w:p>
    <w:p w14:paraId="497EE8E6" w14:textId="34889B3D" w:rsidR="00AC0A0D" w:rsidRPr="009729C3" w:rsidRDefault="00347317" w:rsidP="009C6DFF">
      <w:pPr>
        <w:pStyle w:val="Sinespaciado"/>
        <w:spacing w:line="276" w:lineRule="auto"/>
        <w:jc w:val="both"/>
        <w:rPr>
          <w:rFonts w:ascii="Palatino Linotype" w:hAnsi="Palatino Linotype"/>
          <w:b/>
          <w:sz w:val="20"/>
          <w:szCs w:val="20"/>
        </w:rPr>
      </w:pPr>
      <w:r w:rsidRPr="009729C3">
        <w:rPr>
          <w:rFonts w:ascii="Palatino Linotype" w:hAnsi="Palatino Linotype"/>
          <w:sz w:val="20"/>
          <w:szCs w:val="20"/>
        </w:rPr>
        <w:t>E</w:t>
      </w:r>
      <w:r w:rsidR="009C6DFF" w:rsidRPr="009729C3">
        <w:rPr>
          <w:rFonts w:ascii="Palatino Linotype" w:hAnsi="Palatino Linotype"/>
          <w:sz w:val="20"/>
          <w:szCs w:val="20"/>
        </w:rPr>
        <w:t>l día martes 19 de octubre de 2021,</w:t>
      </w:r>
      <w:r w:rsidRPr="009729C3">
        <w:rPr>
          <w:rFonts w:ascii="Palatino Linotype" w:hAnsi="Palatino Linotype"/>
          <w:sz w:val="20"/>
          <w:szCs w:val="20"/>
        </w:rPr>
        <w:t xml:space="preserve"> fui designada Presidenta de la Comisión de Uso de Suelo; y,  una vez que he revisado la información que está a cargo de la mencionada comisión, he considerado  que es urgent</w:t>
      </w:r>
      <w:r w:rsidR="0082510F" w:rsidRPr="009729C3">
        <w:rPr>
          <w:rFonts w:ascii="Palatino Linotype" w:hAnsi="Palatino Linotype"/>
          <w:sz w:val="20"/>
          <w:szCs w:val="20"/>
        </w:rPr>
        <w:t>e contar con una normativa</w:t>
      </w:r>
      <w:r w:rsidRPr="009729C3">
        <w:rPr>
          <w:rFonts w:ascii="Palatino Linotype" w:hAnsi="Palatino Linotype"/>
          <w:sz w:val="20"/>
          <w:szCs w:val="20"/>
        </w:rPr>
        <w:t xml:space="preserve"> que permita contar con una herramienta administrativa, en beneficio de la ciudadanía, para la emisión de informe para particiones judiciales y extrajudiciales de conformidad con lo previsto en el artículo 473 del Código Orgánico de Organización Territorial, Autonomía y Descentralización</w:t>
      </w:r>
      <w:r w:rsidR="0082510F" w:rsidRPr="009729C3">
        <w:rPr>
          <w:rFonts w:ascii="Palatino Linotype" w:hAnsi="Palatino Linotype"/>
          <w:sz w:val="20"/>
          <w:szCs w:val="20"/>
        </w:rPr>
        <w:t xml:space="preserve">, </w:t>
      </w:r>
      <w:r w:rsidR="002F7C07" w:rsidRPr="009729C3">
        <w:rPr>
          <w:rFonts w:ascii="Palatino Linotype" w:hAnsi="Palatino Linotype"/>
          <w:sz w:val="20"/>
          <w:szCs w:val="20"/>
        </w:rPr>
        <w:t xml:space="preserve">analizando </w:t>
      </w:r>
      <w:r w:rsidR="0082510F" w:rsidRPr="009729C3">
        <w:rPr>
          <w:rFonts w:ascii="Palatino Linotype" w:hAnsi="Palatino Linotype"/>
          <w:sz w:val="20"/>
          <w:szCs w:val="20"/>
        </w:rPr>
        <w:t xml:space="preserve">que la autorización del Concejo Metropolitano </w:t>
      </w:r>
      <w:r w:rsidR="009C6DFF" w:rsidRPr="009729C3">
        <w:rPr>
          <w:rFonts w:ascii="Palatino Linotype" w:hAnsi="Palatino Linotype"/>
          <w:sz w:val="20"/>
          <w:szCs w:val="20"/>
        </w:rPr>
        <w:t>no es una prueba relativa a la partición sino un requisito legal</w:t>
      </w:r>
      <w:r w:rsidR="009729C3">
        <w:rPr>
          <w:rFonts w:ascii="Palatino Linotype" w:hAnsi="Palatino Linotype"/>
          <w:sz w:val="20"/>
          <w:szCs w:val="20"/>
        </w:rPr>
        <w:t xml:space="preserve">; </w:t>
      </w:r>
      <w:r w:rsidR="009C6DFF" w:rsidRPr="009729C3">
        <w:rPr>
          <w:rFonts w:ascii="Palatino Linotype" w:hAnsi="Palatino Linotype"/>
          <w:sz w:val="20"/>
          <w:szCs w:val="20"/>
        </w:rPr>
        <w:t xml:space="preserve"> </w:t>
      </w:r>
      <w:r w:rsidR="009729C3" w:rsidRPr="009729C3">
        <w:rPr>
          <w:rFonts w:ascii="Palatino Linotype" w:hAnsi="Palatino Linotype"/>
          <w:sz w:val="20"/>
          <w:szCs w:val="20"/>
        </w:rPr>
        <w:t>por consiguiente</w:t>
      </w:r>
      <w:r w:rsidR="009729C3">
        <w:rPr>
          <w:rFonts w:ascii="Palatino Linotype" w:hAnsi="Palatino Linotype"/>
          <w:sz w:val="20"/>
          <w:szCs w:val="20"/>
        </w:rPr>
        <w:t>,</w:t>
      </w:r>
      <w:r w:rsidR="009729C3" w:rsidRPr="009729C3">
        <w:rPr>
          <w:rFonts w:ascii="Palatino Linotype" w:hAnsi="Palatino Linotype"/>
          <w:sz w:val="20"/>
          <w:szCs w:val="20"/>
        </w:rPr>
        <w:t xml:space="preserve"> </w:t>
      </w:r>
      <w:r w:rsidR="009C6DFF" w:rsidRPr="009729C3">
        <w:rPr>
          <w:rFonts w:ascii="Palatino Linotype" w:hAnsi="Palatino Linotype"/>
          <w:sz w:val="20"/>
          <w:szCs w:val="20"/>
        </w:rPr>
        <w:t>sin el cual no puede autorizarse la división de un bien inmueble y tampoco depende de la oposición de la persona interesada o de terceros.</w:t>
      </w:r>
    </w:p>
    <w:p w14:paraId="775BD673" w14:textId="77777777" w:rsidR="002F7C07" w:rsidRPr="009729C3" w:rsidRDefault="002F7C07" w:rsidP="009C6DFF">
      <w:pPr>
        <w:pStyle w:val="Sinespaciado"/>
        <w:spacing w:line="276" w:lineRule="auto"/>
        <w:jc w:val="both"/>
        <w:rPr>
          <w:rFonts w:ascii="Palatino Linotype" w:hAnsi="Palatino Linotype"/>
          <w:b/>
          <w:sz w:val="20"/>
          <w:szCs w:val="20"/>
        </w:rPr>
      </w:pPr>
    </w:p>
    <w:p w14:paraId="2C7CE68D" w14:textId="6254FB8C" w:rsidR="00A14AFC" w:rsidRPr="009729C3" w:rsidRDefault="00A14AFC" w:rsidP="009C6DFF">
      <w:pPr>
        <w:pStyle w:val="Sinespaciado"/>
        <w:spacing w:line="276" w:lineRule="auto"/>
        <w:jc w:val="both"/>
        <w:rPr>
          <w:rFonts w:ascii="Palatino Linotype" w:hAnsi="Palatino Linotype"/>
          <w:sz w:val="20"/>
          <w:szCs w:val="20"/>
        </w:rPr>
      </w:pPr>
      <w:r w:rsidRPr="009729C3">
        <w:rPr>
          <w:rFonts w:ascii="Palatino Linotype" w:hAnsi="Palatino Linotype"/>
          <w:sz w:val="20"/>
          <w:szCs w:val="20"/>
        </w:rPr>
        <w:t xml:space="preserve">Acogiendo de la absolución de consultas emitida por el Presidente de la Corte Provincial de Justicia del Azuay, en OFICIO: FJA-CPJA-2018-0040, de fecha 08 de febrero de 2018, </w:t>
      </w:r>
      <w:r w:rsidR="00C01A18" w:rsidRPr="009729C3">
        <w:rPr>
          <w:rFonts w:ascii="Palatino Linotype" w:hAnsi="Palatino Linotype"/>
          <w:sz w:val="20"/>
          <w:szCs w:val="20"/>
        </w:rPr>
        <w:t>que,</w:t>
      </w:r>
      <w:r w:rsidRPr="009729C3">
        <w:rPr>
          <w:rFonts w:ascii="Palatino Linotype" w:hAnsi="Palatino Linotype"/>
          <w:sz w:val="20"/>
          <w:szCs w:val="20"/>
        </w:rPr>
        <w:t xml:space="preserve"> en su parte pertinente textualmente</w:t>
      </w:r>
      <w:r w:rsidR="00C01A18">
        <w:rPr>
          <w:rFonts w:ascii="Palatino Linotype" w:hAnsi="Palatino Linotype"/>
          <w:sz w:val="20"/>
          <w:szCs w:val="20"/>
        </w:rPr>
        <w:t>,</w:t>
      </w:r>
      <w:r w:rsidRPr="009729C3">
        <w:rPr>
          <w:rFonts w:ascii="Palatino Linotype" w:hAnsi="Palatino Linotype"/>
          <w:sz w:val="20"/>
          <w:szCs w:val="20"/>
        </w:rPr>
        <w:t xml:space="preserve"> dice: </w:t>
      </w:r>
    </w:p>
    <w:p w14:paraId="5079653A" w14:textId="77777777" w:rsidR="00A14AFC" w:rsidRPr="009729C3" w:rsidRDefault="00A14AFC" w:rsidP="009C6DFF">
      <w:pPr>
        <w:pStyle w:val="Sinespaciado"/>
        <w:spacing w:line="276" w:lineRule="auto"/>
        <w:jc w:val="both"/>
        <w:rPr>
          <w:rFonts w:ascii="Palatino Linotype" w:hAnsi="Palatino Linotype"/>
          <w:sz w:val="20"/>
          <w:szCs w:val="20"/>
        </w:rPr>
      </w:pPr>
    </w:p>
    <w:p w14:paraId="7775751B" w14:textId="52638F32" w:rsidR="00A14AFC" w:rsidRPr="009729C3" w:rsidRDefault="00A14AFC" w:rsidP="009729C3">
      <w:pPr>
        <w:pStyle w:val="Sinespaciado"/>
        <w:spacing w:line="276" w:lineRule="auto"/>
        <w:ind w:firstLine="720"/>
        <w:jc w:val="both"/>
        <w:rPr>
          <w:rFonts w:ascii="Palatino Linotype" w:hAnsi="Palatino Linotype"/>
          <w:b/>
          <w:i/>
          <w:sz w:val="20"/>
          <w:szCs w:val="20"/>
        </w:rPr>
      </w:pPr>
      <w:r w:rsidRPr="009729C3">
        <w:rPr>
          <w:rFonts w:ascii="Palatino Linotype" w:hAnsi="Palatino Linotype"/>
          <w:b/>
          <w:i/>
          <w:sz w:val="20"/>
          <w:szCs w:val="20"/>
        </w:rPr>
        <w:t xml:space="preserve">“CONCLUSIÓN: </w:t>
      </w:r>
    </w:p>
    <w:p w14:paraId="136B6AFB" w14:textId="7782F084" w:rsidR="00A14AFC" w:rsidRPr="009729C3" w:rsidRDefault="009C6DFF" w:rsidP="009729C3">
      <w:pPr>
        <w:pStyle w:val="Sinespaciado"/>
        <w:spacing w:line="276" w:lineRule="auto"/>
        <w:ind w:left="720"/>
        <w:jc w:val="both"/>
        <w:rPr>
          <w:rFonts w:ascii="Palatino Linotype" w:hAnsi="Palatino Linotype"/>
          <w:i/>
          <w:sz w:val="20"/>
          <w:szCs w:val="20"/>
        </w:rPr>
      </w:pPr>
      <w:r w:rsidRPr="009729C3">
        <w:rPr>
          <w:rFonts w:ascii="Palatino Linotype" w:hAnsi="Palatino Linotype"/>
          <w:i/>
          <w:sz w:val="20"/>
          <w:szCs w:val="20"/>
        </w:rPr>
        <w:t xml:space="preserve">En los juicios de partición que tenga como objeto la división de bienes inmuebles, se deberá contar siempre con la autorización del concejo municipal prevista en el Art. 473 del COTAD; requisito que debería presentarse con la petición o demanda, de acuerdo con los Arts. 335 inciso primero y 143 numeral 7 del COGEP. Esto con la obligación de que se mande a citar al alcalde y procurador síndico municipal, a quienes se les deberá convocar a la audiencia. Por tanto, aunque la parte interesada con quien se solicita se cuente en la partición no se oponga, para aprobar la partición en sentencia se deberá cumplir con este requisito legal. </w:t>
      </w:r>
    </w:p>
    <w:p w14:paraId="0688667C" w14:textId="77777777" w:rsidR="00A14AFC" w:rsidRPr="009729C3" w:rsidRDefault="00A14AFC" w:rsidP="009C6DFF">
      <w:pPr>
        <w:pStyle w:val="Sinespaciado"/>
        <w:spacing w:line="276" w:lineRule="auto"/>
        <w:jc w:val="both"/>
        <w:rPr>
          <w:rFonts w:ascii="Palatino Linotype" w:hAnsi="Palatino Linotype"/>
          <w:i/>
          <w:sz w:val="20"/>
          <w:szCs w:val="20"/>
        </w:rPr>
      </w:pPr>
    </w:p>
    <w:p w14:paraId="1432DE27" w14:textId="41C47B5F" w:rsidR="00A14AFC" w:rsidRDefault="009C6DFF" w:rsidP="009729C3">
      <w:pPr>
        <w:pStyle w:val="Sinespaciado"/>
        <w:spacing w:line="276" w:lineRule="auto"/>
        <w:ind w:left="720"/>
        <w:jc w:val="both"/>
        <w:rPr>
          <w:rFonts w:ascii="Palatino Linotype" w:hAnsi="Palatino Linotype"/>
          <w:i/>
          <w:sz w:val="20"/>
          <w:szCs w:val="20"/>
        </w:rPr>
      </w:pPr>
      <w:r w:rsidRPr="009729C3">
        <w:rPr>
          <w:rFonts w:ascii="Palatino Linotype" w:hAnsi="Palatino Linotype"/>
          <w:i/>
          <w:sz w:val="20"/>
          <w:szCs w:val="20"/>
        </w:rPr>
        <w:t xml:space="preserve">La autorización municipal para la partición es un requisito legal, por tanto no forma parte de la prueba, y aunque se presente un informe pericial, el mismo no tendría aplicación sin esa </w:t>
      </w:r>
      <w:proofErr w:type="gramStart"/>
      <w:r w:rsidRPr="009729C3">
        <w:rPr>
          <w:rFonts w:ascii="Palatino Linotype" w:hAnsi="Palatino Linotype"/>
          <w:i/>
          <w:sz w:val="20"/>
          <w:szCs w:val="20"/>
        </w:rPr>
        <w:t>autorización</w:t>
      </w:r>
      <w:proofErr w:type="gramEnd"/>
      <w:r w:rsidRPr="009729C3">
        <w:rPr>
          <w:rFonts w:ascii="Palatino Linotype" w:hAnsi="Palatino Linotype"/>
          <w:i/>
          <w:sz w:val="20"/>
          <w:szCs w:val="20"/>
        </w:rPr>
        <w:t xml:space="preserve">, por ente, no se puede suspender la audiencia hasta obtener la referida autorización, sino resolver y negar la pretensión precisamente por no cumplir con este requisito; este es un documento que el interesado debería presentarlo con la petición. </w:t>
      </w:r>
    </w:p>
    <w:p w14:paraId="29BDB8EA" w14:textId="0AFCEFEC" w:rsidR="009729C3" w:rsidRDefault="009729C3" w:rsidP="009729C3">
      <w:pPr>
        <w:pStyle w:val="Sinespaciado"/>
        <w:spacing w:line="276" w:lineRule="auto"/>
        <w:ind w:left="720"/>
        <w:jc w:val="both"/>
        <w:rPr>
          <w:rFonts w:ascii="Palatino Linotype" w:hAnsi="Palatino Linotype"/>
          <w:i/>
          <w:sz w:val="20"/>
          <w:szCs w:val="20"/>
        </w:rPr>
      </w:pPr>
    </w:p>
    <w:p w14:paraId="574BA4E5" w14:textId="78E66FB6" w:rsidR="00AC0A0D" w:rsidRPr="00C01A18" w:rsidRDefault="009C6DFF" w:rsidP="009729C3">
      <w:pPr>
        <w:pStyle w:val="Sinespaciado"/>
        <w:spacing w:line="276" w:lineRule="auto"/>
        <w:ind w:left="720"/>
        <w:jc w:val="both"/>
        <w:rPr>
          <w:rFonts w:ascii="Palatino Linotype" w:hAnsi="Palatino Linotype"/>
          <w:i/>
          <w:sz w:val="20"/>
          <w:szCs w:val="20"/>
        </w:rPr>
      </w:pPr>
      <w:r w:rsidRPr="00C01A18">
        <w:rPr>
          <w:rFonts w:ascii="Palatino Linotype" w:hAnsi="Palatino Linotype"/>
          <w:i/>
          <w:sz w:val="20"/>
          <w:szCs w:val="20"/>
        </w:rPr>
        <w:t>En el caso de que la persona que solicite la partición cuente con el informe favorable del concejo municipal, pero la persona o terceros interesados se opongan, se deberá calificar la oposición y proceder en un juicio sumario, según lo establece el Art. 336 del COGEP.</w:t>
      </w:r>
      <w:r w:rsidR="009729C3" w:rsidRPr="00C01A18">
        <w:rPr>
          <w:rFonts w:ascii="Palatino Linotype" w:hAnsi="Palatino Linotype"/>
          <w:i/>
          <w:sz w:val="20"/>
          <w:szCs w:val="20"/>
        </w:rPr>
        <w:t>”</w:t>
      </w:r>
    </w:p>
    <w:p w14:paraId="3B58A4DC" w14:textId="284BB40E" w:rsidR="00C01A18" w:rsidRDefault="00C01A18" w:rsidP="009729C3">
      <w:pPr>
        <w:pStyle w:val="Sinespaciado"/>
        <w:spacing w:line="276" w:lineRule="auto"/>
        <w:ind w:left="720"/>
        <w:jc w:val="both"/>
        <w:rPr>
          <w:i/>
        </w:rPr>
      </w:pPr>
    </w:p>
    <w:p w14:paraId="7B47405E" w14:textId="580523B1" w:rsidR="00C01A18" w:rsidRDefault="00C01A18" w:rsidP="009729C3">
      <w:pPr>
        <w:pStyle w:val="Sinespaciado"/>
        <w:spacing w:line="276" w:lineRule="auto"/>
        <w:ind w:left="720"/>
        <w:jc w:val="both"/>
        <w:rPr>
          <w:i/>
        </w:rPr>
      </w:pPr>
    </w:p>
    <w:p w14:paraId="19ACAC78" w14:textId="0CA4A485" w:rsidR="005217A9" w:rsidRPr="005217A9" w:rsidRDefault="005217A9" w:rsidP="005217A9">
      <w:pPr>
        <w:pStyle w:val="Sinespaciado"/>
        <w:jc w:val="both"/>
        <w:rPr>
          <w:rFonts w:ascii="Palatino Linotype" w:hAnsi="Palatino Linotype"/>
          <w:sz w:val="20"/>
          <w:szCs w:val="20"/>
        </w:rPr>
      </w:pPr>
      <w:r w:rsidRPr="005217A9">
        <w:rPr>
          <w:rFonts w:ascii="Palatino Linotype" w:hAnsi="Palatino Linotype"/>
          <w:sz w:val="20"/>
          <w:szCs w:val="20"/>
        </w:rPr>
        <w:lastRenderedPageBreak/>
        <w:t>Por consiguiente, al regular todo el procedimiento en las diligencias judiciales y extrajudiciales de partición de los bienes inmuebles del Distrito Metropolitano de Quito, estamos optimizando tiempo y recursos económicos en beneficio de los ciudadanos que requieren del informe favorable del concejo.</w:t>
      </w:r>
    </w:p>
    <w:p w14:paraId="58372886" w14:textId="39E04379" w:rsidR="00C01A18" w:rsidRPr="005217A9" w:rsidRDefault="00C01A18" w:rsidP="009729C3">
      <w:pPr>
        <w:pStyle w:val="Sinespaciado"/>
        <w:spacing w:line="276" w:lineRule="auto"/>
        <w:ind w:left="720"/>
        <w:jc w:val="both"/>
        <w:rPr>
          <w:rFonts w:ascii="Palatino Linotype" w:hAnsi="Palatino Linotype"/>
          <w:i/>
          <w:sz w:val="20"/>
          <w:szCs w:val="20"/>
        </w:rPr>
      </w:pPr>
    </w:p>
    <w:p w14:paraId="6A602AEE" w14:textId="7984E7A6" w:rsidR="009475B6" w:rsidRDefault="00C01A18" w:rsidP="006A7205">
      <w:pPr>
        <w:pStyle w:val="Sinespaciado"/>
        <w:jc w:val="both"/>
        <w:rPr>
          <w:rFonts w:ascii="Palatino Linotype" w:hAnsi="Palatino Linotype"/>
          <w:sz w:val="20"/>
          <w:szCs w:val="20"/>
        </w:rPr>
      </w:pPr>
      <w:r>
        <w:rPr>
          <w:rFonts w:ascii="Palatino Linotype" w:hAnsi="Palatino Linotype"/>
          <w:sz w:val="20"/>
          <w:szCs w:val="20"/>
        </w:rPr>
        <w:t>Con esta normativa las Administraciones Zonales</w:t>
      </w:r>
      <w:r w:rsidR="009475B6">
        <w:rPr>
          <w:rFonts w:ascii="Palatino Linotype" w:hAnsi="Palatino Linotype"/>
          <w:sz w:val="20"/>
          <w:szCs w:val="20"/>
        </w:rPr>
        <w:t xml:space="preserve"> harán la revisión de la petición, en el caso </w:t>
      </w:r>
      <w:r w:rsidR="009475B6" w:rsidRPr="00274EC3">
        <w:rPr>
          <w:rFonts w:ascii="Palatino Linotype" w:hAnsi="Palatino Linotype"/>
          <w:sz w:val="20"/>
          <w:szCs w:val="20"/>
        </w:rPr>
        <w:t xml:space="preserve">de ser </w:t>
      </w:r>
      <w:r w:rsidR="009475B6">
        <w:rPr>
          <w:rFonts w:ascii="Palatino Linotype" w:hAnsi="Palatino Linotype"/>
          <w:sz w:val="20"/>
          <w:szCs w:val="20"/>
        </w:rPr>
        <w:t xml:space="preserve">favorable, </w:t>
      </w:r>
      <w:r w:rsidR="009475B6" w:rsidRPr="00274EC3">
        <w:rPr>
          <w:rFonts w:ascii="Palatino Linotype" w:hAnsi="Palatino Linotype"/>
          <w:sz w:val="20"/>
          <w:szCs w:val="20"/>
        </w:rPr>
        <w:t>remitirá el expediente</w:t>
      </w:r>
      <w:r w:rsidR="009475B6">
        <w:rPr>
          <w:rFonts w:ascii="Palatino Linotype" w:hAnsi="Palatino Linotype"/>
          <w:sz w:val="20"/>
          <w:szCs w:val="20"/>
        </w:rPr>
        <w:t xml:space="preserve"> completo, con </w:t>
      </w:r>
      <w:r w:rsidR="009475B6" w:rsidRPr="00274EC3">
        <w:rPr>
          <w:rFonts w:ascii="Palatino Linotype" w:hAnsi="Palatino Linotype"/>
          <w:sz w:val="20"/>
          <w:szCs w:val="20"/>
        </w:rPr>
        <w:t xml:space="preserve">los </w:t>
      </w:r>
      <w:r w:rsidR="009475B6">
        <w:rPr>
          <w:rFonts w:ascii="Palatino Linotype" w:hAnsi="Palatino Linotype"/>
          <w:sz w:val="20"/>
          <w:szCs w:val="20"/>
        </w:rPr>
        <w:t xml:space="preserve">respectivos </w:t>
      </w:r>
      <w:r w:rsidR="009475B6" w:rsidRPr="00274EC3">
        <w:rPr>
          <w:rFonts w:ascii="Palatino Linotype" w:hAnsi="Palatino Linotype"/>
          <w:sz w:val="20"/>
          <w:szCs w:val="20"/>
        </w:rPr>
        <w:t xml:space="preserve">informes </w:t>
      </w:r>
      <w:r w:rsidR="009475B6">
        <w:rPr>
          <w:rFonts w:ascii="Palatino Linotype" w:hAnsi="Palatino Linotype"/>
          <w:sz w:val="20"/>
          <w:szCs w:val="20"/>
        </w:rPr>
        <w:t>y el proyecto de resolución de Concejo Metropolitano</w:t>
      </w:r>
      <w:r w:rsidR="009475B6" w:rsidRPr="00274EC3">
        <w:rPr>
          <w:rFonts w:ascii="Palatino Linotype" w:hAnsi="Palatino Linotype"/>
          <w:sz w:val="20"/>
          <w:szCs w:val="20"/>
        </w:rPr>
        <w:t xml:space="preserve"> a la </w:t>
      </w:r>
      <w:r w:rsidR="009475B6">
        <w:rPr>
          <w:rFonts w:ascii="Palatino Linotype" w:hAnsi="Palatino Linotype"/>
          <w:sz w:val="20"/>
          <w:szCs w:val="20"/>
        </w:rPr>
        <w:t>Procuraduría Metropolitana</w:t>
      </w:r>
      <w:r w:rsidR="005217A9">
        <w:rPr>
          <w:rFonts w:ascii="Palatino Linotype" w:hAnsi="Palatino Linotype"/>
          <w:sz w:val="20"/>
          <w:szCs w:val="20"/>
        </w:rPr>
        <w:t>,</w:t>
      </w:r>
      <w:r w:rsidR="009475B6">
        <w:rPr>
          <w:rFonts w:ascii="Palatino Linotype" w:hAnsi="Palatino Linotype"/>
          <w:sz w:val="20"/>
          <w:szCs w:val="20"/>
        </w:rPr>
        <w:t xml:space="preserve"> que </w:t>
      </w:r>
      <w:r w:rsidR="009475B6" w:rsidRPr="00274EC3">
        <w:rPr>
          <w:rFonts w:ascii="Palatino Linotype" w:hAnsi="Palatino Linotype"/>
          <w:sz w:val="20"/>
          <w:szCs w:val="20"/>
        </w:rPr>
        <w:t xml:space="preserve">remitirá su informe legal a la Comisión de </w:t>
      </w:r>
      <w:r w:rsidR="009475B6">
        <w:rPr>
          <w:rFonts w:ascii="Palatino Linotype" w:hAnsi="Palatino Linotype"/>
          <w:sz w:val="20"/>
          <w:szCs w:val="20"/>
        </w:rPr>
        <w:t>Uso de Suelo</w:t>
      </w:r>
      <w:r w:rsidR="005217A9">
        <w:rPr>
          <w:rFonts w:ascii="Palatino Linotype" w:hAnsi="Palatino Linotype"/>
          <w:sz w:val="20"/>
          <w:szCs w:val="20"/>
        </w:rPr>
        <w:t>,</w:t>
      </w:r>
      <w:r w:rsidR="006A7205">
        <w:rPr>
          <w:rFonts w:ascii="Palatino Linotype" w:hAnsi="Palatino Linotype"/>
          <w:sz w:val="20"/>
          <w:szCs w:val="20"/>
        </w:rPr>
        <w:t xml:space="preserve"> que </w:t>
      </w:r>
      <w:r w:rsidR="006A7205" w:rsidRPr="00631569">
        <w:rPr>
          <w:rFonts w:ascii="Palatino Linotype" w:hAnsi="Palatino Linotype"/>
          <w:sz w:val="20"/>
          <w:szCs w:val="20"/>
        </w:rPr>
        <w:t>analizará el expediente completo y emitirá dictamen</w:t>
      </w:r>
      <w:r w:rsidR="006A7205">
        <w:rPr>
          <w:rFonts w:ascii="Palatino Linotype" w:hAnsi="Palatino Linotype"/>
          <w:sz w:val="20"/>
          <w:szCs w:val="20"/>
        </w:rPr>
        <w:t xml:space="preserve"> </w:t>
      </w:r>
      <w:r w:rsidR="006A7205" w:rsidRPr="00631569">
        <w:rPr>
          <w:rFonts w:ascii="Palatino Linotype" w:hAnsi="Palatino Linotype"/>
          <w:sz w:val="20"/>
          <w:szCs w:val="20"/>
        </w:rPr>
        <w:t>para que el Concejo Metropolitano</w:t>
      </w:r>
      <w:r w:rsidR="006A7205">
        <w:rPr>
          <w:rFonts w:ascii="Palatino Linotype" w:hAnsi="Palatino Linotype"/>
          <w:sz w:val="20"/>
          <w:szCs w:val="20"/>
        </w:rPr>
        <w:t xml:space="preserve"> resuelva aprobar o negar la partición</w:t>
      </w:r>
      <w:r w:rsidR="006A7205" w:rsidRPr="00274EC3">
        <w:rPr>
          <w:rFonts w:ascii="Palatino Linotype" w:hAnsi="Palatino Linotype"/>
          <w:sz w:val="20"/>
          <w:szCs w:val="20"/>
        </w:rPr>
        <w:t xml:space="preserve"> </w:t>
      </w:r>
      <w:r w:rsidR="006A7205">
        <w:rPr>
          <w:rFonts w:ascii="Palatino Linotype" w:hAnsi="Palatino Linotype"/>
          <w:sz w:val="20"/>
          <w:szCs w:val="20"/>
        </w:rPr>
        <w:t xml:space="preserve">judicial o extrajudicial, según corresponda; además se ha contemplado determinar términos máximos en días, para que cada una de las dependencias municipales lo cumplan de manera obligatoria </w:t>
      </w:r>
      <w:r w:rsidR="00186CA0">
        <w:rPr>
          <w:rFonts w:ascii="Palatino Linotype" w:hAnsi="Palatino Linotype"/>
          <w:sz w:val="20"/>
          <w:szCs w:val="20"/>
        </w:rPr>
        <w:t xml:space="preserve">y </w:t>
      </w:r>
      <w:r w:rsidR="006A7205">
        <w:rPr>
          <w:rFonts w:ascii="Palatino Linotype" w:hAnsi="Palatino Linotype"/>
          <w:sz w:val="20"/>
          <w:szCs w:val="20"/>
        </w:rPr>
        <w:t xml:space="preserve">su atención </w:t>
      </w:r>
      <w:r w:rsidR="00186CA0">
        <w:rPr>
          <w:rFonts w:ascii="Palatino Linotype" w:hAnsi="Palatino Linotype"/>
          <w:sz w:val="20"/>
          <w:szCs w:val="20"/>
        </w:rPr>
        <w:t xml:space="preserve">sea </w:t>
      </w:r>
      <w:r w:rsidR="006A7205">
        <w:rPr>
          <w:rFonts w:ascii="Palatino Linotype" w:hAnsi="Palatino Linotype"/>
          <w:sz w:val="20"/>
          <w:szCs w:val="20"/>
        </w:rPr>
        <w:t>oportuna.</w:t>
      </w:r>
    </w:p>
    <w:p w14:paraId="2F5D331E" w14:textId="77777777" w:rsidR="00AF476D" w:rsidRDefault="00AF476D" w:rsidP="009475B6">
      <w:pPr>
        <w:pStyle w:val="Sinespaciado"/>
        <w:jc w:val="both"/>
        <w:rPr>
          <w:rFonts w:ascii="Palatino Linotype" w:hAnsi="Palatino Linotype"/>
          <w:sz w:val="20"/>
          <w:szCs w:val="20"/>
        </w:rPr>
      </w:pPr>
    </w:p>
    <w:p w14:paraId="4CC4CD92" w14:textId="5A38CC31" w:rsidR="009475B6" w:rsidRDefault="00AF476D" w:rsidP="009475B6">
      <w:pPr>
        <w:pStyle w:val="Sinespaciado"/>
        <w:jc w:val="both"/>
        <w:rPr>
          <w:rFonts w:ascii="Palatino Linotype" w:hAnsi="Palatino Linotype"/>
          <w:sz w:val="20"/>
          <w:szCs w:val="20"/>
        </w:rPr>
      </w:pPr>
      <w:r>
        <w:rPr>
          <w:rFonts w:ascii="Palatino Linotype" w:hAnsi="Palatino Linotype"/>
          <w:sz w:val="20"/>
          <w:szCs w:val="20"/>
        </w:rPr>
        <w:t>P</w:t>
      </w:r>
      <w:r w:rsidR="009475B6">
        <w:rPr>
          <w:rFonts w:ascii="Palatino Linotype" w:hAnsi="Palatino Linotype"/>
          <w:sz w:val="20"/>
          <w:szCs w:val="20"/>
        </w:rPr>
        <w:t xml:space="preserve">ara los casos que el informe sea desfavorable, </w:t>
      </w:r>
      <w:r>
        <w:rPr>
          <w:rFonts w:ascii="Palatino Linotype" w:hAnsi="Palatino Linotype"/>
          <w:sz w:val="20"/>
          <w:szCs w:val="20"/>
        </w:rPr>
        <w:t xml:space="preserve">Administración Zonal competente, </w:t>
      </w:r>
      <w:r w:rsidR="009475B6">
        <w:rPr>
          <w:rFonts w:ascii="Palatino Linotype" w:hAnsi="Palatino Linotype"/>
          <w:sz w:val="20"/>
          <w:szCs w:val="20"/>
        </w:rPr>
        <w:t>notificará al solicitante la negativa mediante acto administrativo, sin necesidad de que el Concejo Metropo</w:t>
      </w:r>
      <w:r>
        <w:rPr>
          <w:rFonts w:ascii="Palatino Linotype" w:hAnsi="Palatino Linotype"/>
          <w:sz w:val="20"/>
          <w:szCs w:val="20"/>
        </w:rPr>
        <w:t>litano se pronuncie, así de esta manera se evitará que los trámites la partición</w:t>
      </w:r>
      <w:r w:rsidRPr="00274EC3">
        <w:rPr>
          <w:rFonts w:ascii="Palatino Linotype" w:hAnsi="Palatino Linotype"/>
          <w:sz w:val="20"/>
          <w:szCs w:val="20"/>
        </w:rPr>
        <w:t xml:space="preserve"> </w:t>
      </w:r>
      <w:r>
        <w:rPr>
          <w:rFonts w:ascii="Palatino Linotype" w:hAnsi="Palatino Linotype"/>
          <w:sz w:val="20"/>
          <w:szCs w:val="20"/>
        </w:rPr>
        <w:t>judicial o extrajudicial, se demoren en resolver por parte de la entidad edilicia.</w:t>
      </w:r>
    </w:p>
    <w:p w14:paraId="0BB9C6CE" w14:textId="19372F00" w:rsidR="009475B6" w:rsidRDefault="009475B6" w:rsidP="009475B6">
      <w:pPr>
        <w:pStyle w:val="Sinespaciado"/>
        <w:jc w:val="both"/>
        <w:rPr>
          <w:rFonts w:ascii="Palatino Linotype" w:hAnsi="Palatino Linotype"/>
          <w:sz w:val="20"/>
          <w:szCs w:val="20"/>
        </w:rPr>
      </w:pPr>
    </w:p>
    <w:p w14:paraId="7512CDE4" w14:textId="77777777" w:rsidR="009475B6" w:rsidRDefault="009475B6" w:rsidP="009475B6">
      <w:pPr>
        <w:pStyle w:val="Sinespaciado"/>
        <w:jc w:val="both"/>
        <w:rPr>
          <w:rFonts w:ascii="Palatino Linotype" w:hAnsi="Palatino Linotype"/>
          <w:sz w:val="20"/>
          <w:szCs w:val="20"/>
        </w:rPr>
      </w:pPr>
    </w:p>
    <w:p w14:paraId="09C70E9F" w14:textId="77777777" w:rsidR="009475B6" w:rsidRDefault="009475B6" w:rsidP="00C01A18">
      <w:pPr>
        <w:pStyle w:val="Sinespaciado"/>
        <w:jc w:val="both"/>
        <w:rPr>
          <w:rFonts w:ascii="Palatino Linotype" w:hAnsi="Palatino Linotype"/>
          <w:sz w:val="20"/>
          <w:szCs w:val="20"/>
        </w:rPr>
      </w:pPr>
    </w:p>
    <w:p w14:paraId="6B895AD0" w14:textId="1C7DAAC0" w:rsidR="00A9721F" w:rsidRDefault="00A9721F">
      <w:pPr>
        <w:rPr>
          <w:rFonts w:ascii="Palatino Linotype" w:hAnsi="Palatino Linotype"/>
          <w:i/>
          <w:sz w:val="20"/>
          <w:szCs w:val="20"/>
          <w:lang w:val="es-EC"/>
        </w:rPr>
      </w:pPr>
      <w:r>
        <w:rPr>
          <w:rFonts w:ascii="Palatino Linotype" w:hAnsi="Palatino Linotype"/>
          <w:i/>
          <w:sz w:val="20"/>
          <w:szCs w:val="20"/>
        </w:rPr>
        <w:br w:type="page"/>
      </w:r>
    </w:p>
    <w:p w14:paraId="1C0C4412" w14:textId="77777777" w:rsidR="00C01A18" w:rsidRPr="009729C3" w:rsidRDefault="00C01A18" w:rsidP="009729C3">
      <w:pPr>
        <w:pStyle w:val="Sinespaciado"/>
        <w:spacing w:line="276" w:lineRule="auto"/>
        <w:ind w:left="720"/>
        <w:jc w:val="both"/>
        <w:rPr>
          <w:rFonts w:ascii="Palatino Linotype" w:hAnsi="Palatino Linotype"/>
          <w:i/>
          <w:sz w:val="20"/>
          <w:szCs w:val="20"/>
        </w:rPr>
      </w:pPr>
    </w:p>
    <w:p w14:paraId="357AFC35" w14:textId="77777777" w:rsidR="00F15FE9" w:rsidRPr="00274EC3" w:rsidRDefault="00F15FE9" w:rsidP="0018018F">
      <w:pPr>
        <w:pStyle w:val="NormalWeb"/>
        <w:spacing w:before="0" w:beforeAutospacing="0" w:after="0" w:afterAutospacing="0" w:line="276" w:lineRule="auto"/>
        <w:jc w:val="both"/>
        <w:rPr>
          <w:rFonts w:ascii="Palatino Linotype" w:hAnsi="Palatino Linotype"/>
          <w:sz w:val="20"/>
          <w:szCs w:val="20"/>
        </w:rPr>
      </w:pPr>
    </w:p>
    <w:p w14:paraId="4CFAE486" w14:textId="527BBCE6" w:rsidR="008138B4" w:rsidRPr="00274EC3" w:rsidRDefault="00930889" w:rsidP="0018018F">
      <w:pPr>
        <w:pStyle w:val="Sinespaciado"/>
        <w:spacing w:line="276" w:lineRule="auto"/>
        <w:jc w:val="center"/>
        <w:rPr>
          <w:rFonts w:ascii="Palatino Linotype" w:hAnsi="Palatino Linotype"/>
          <w:b/>
          <w:sz w:val="20"/>
          <w:szCs w:val="20"/>
        </w:rPr>
      </w:pPr>
      <w:r w:rsidRPr="00274EC3">
        <w:rPr>
          <w:rFonts w:ascii="Palatino Linotype" w:hAnsi="Palatino Linotype"/>
          <w:b/>
          <w:sz w:val="20"/>
          <w:szCs w:val="20"/>
        </w:rPr>
        <w:t>EL CONCEJO METROPOLITANO DE QUITO</w:t>
      </w:r>
    </w:p>
    <w:p w14:paraId="3A5C6D13" w14:textId="77777777" w:rsidR="00930889" w:rsidRPr="00274EC3" w:rsidRDefault="00930889" w:rsidP="0018018F">
      <w:pPr>
        <w:pStyle w:val="Sinespaciado"/>
        <w:spacing w:line="276" w:lineRule="auto"/>
        <w:jc w:val="center"/>
        <w:rPr>
          <w:rFonts w:ascii="Palatino Linotype" w:hAnsi="Palatino Linotype"/>
          <w:b/>
          <w:sz w:val="20"/>
          <w:szCs w:val="20"/>
        </w:rPr>
      </w:pPr>
    </w:p>
    <w:p w14:paraId="3E13663B" w14:textId="1B9DF5A3" w:rsidR="00F82319" w:rsidRPr="00274EC3" w:rsidRDefault="00930889" w:rsidP="0018018F">
      <w:pPr>
        <w:pStyle w:val="Sinespaciado"/>
        <w:spacing w:line="276" w:lineRule="auto"/>
        <w:jc w:val="both"/>
        <w:rPr>
          <w:rFonts w:ascii="Palatino Linotype" w:hAnsi="Palatino Linotype"/>
          <w:sz w:val="20"/>
          <w:szCs w:val="20"/>
        </w:rPr>
      </w:pPr>
      <w:r w:rsidRPr="00274EC3">
        <w:rPr>
          <w:rFonts w:ascii="Palatino Linotype" w:hAnsi="Palatino Linotype"/>
          <w:sz w:val="20"/>
          <w:szCs w:val="20"/>
        </w:rPr>
        <w:t xml:space="preserve">Visto el Informe </w:t>
      </w:r>
      <w:r w:rsidR="00F82319" w:rsidRPr="00274EC3">
        <w:rPr>
          <w:rFonts w:ascii="Palatino Linotype" w:hAnsi="Palatino Linotype"/>
          <w:sz w:val="20"/>
          <w:szCs w:val="20"/>
        </w:rPr>
        <w:t>No.</w:t>
      </w:r>
      <w:r w:rsidR="00BB5A7A" w:rsidRPr="00274EC3">
        <w:rPr>
          <w:rFonts w:ascii="Palatino Linotype" w:hAnsi="Palatino Linotype"/>
          <w:sz w:val="20"/>
          <w:szCs w:val="20"/>
        </w:rPr>
        <w:t xml:space="preserve"> …………………..</w:t>
      </w:r>
      <w:r w:rsidR="00844F34" w:rsidRPr="00274EC3">
        <w:rPr>
          <w:rFonts w:ascii="Palatino Linotype" w:hAnsi="Palatino Linotype"/>
          <w:sz w:val="20"/>
          <w:szCs w:val="20"/>
        </w:rPr>
        <w:t xml:space="preserve"> </w:t>
      </w:r>
      <w:proofErr w:type="gramStart"/>
      <w:r w:rsidR="00F82319" w:rsidRPr="00274EC3">
        <w:rPr>
          <w:rFonts w:ascii="Palatino Linotype" w:hAnsi="Palatino Linotype"/>
          <w:sz w:val="20"/>
          <w:szCs w:val="20"/>
        </w:rPr>
        <w:t>y</w:t>
      </w:r>
      <w:proofErr w:type="gramEnd"/>
      <w:r w:rsidR="00F82319" w:rsidRPr="00274EC3">
        <w:rPr>
          <w:rFonts w:ascii="Palatino Linotype" w:hAnsi="Palatino Linotype"/>
          <w:sz w:val="20"/>
          <w:szCs w:val="20"/>
        </w:rPr>
        <w:t xml:space="preserve"> el Informe No.</w:t>
      </w:r>
      <w:r w:rsidR="00CE3252" w:rsidRPr="00274EC3">
        <w:rPr>
          <w:rFonts w:ascii="Palatino Linotype" w:hAnsi="Palatino Linotype"/>
          <w:sz w:val="20"/>
          <w:szCs w:val="20"/>
        </w:rPr>
        <w:t xml:space="preserve"> </w:t>
      </w:r>
      <w:r w:rsidR="00BB5A7A" w:rsidRPr="00274EC3">
        <w:rPr>
          <w:rFonts w:ascii="Palatino Linotype" w:hAnsi="Palatino Linotype"/>
          <w:sz w:val="20"/>
          <w:szCs w:val="20"/>
        </w:rPr>
        <w:t>…………………………………</w:t>
      </w:r>
      <w:r w:rsidR="00F15FE9" w:rsidRPr="00274EC3">
        <w:rPr>
          <w:rFonts w:ascii="Palatino Linotype" w:hAnsi="Palatino Linotype"/>
          <w:sz w:val="20"/>
          <w:szCs w:val="20"/>
        </w:rPr>
        <w:t>, emitidos</w:t>
      </w:r>
      <w:r w:rsidR="00F82319" w:rsidRPr="00274EC3">
        <w:rPr>
          <w:rFonts w:ascii="Palatino Linotype" w:hAnsi="Palatino Linotype"/>
          <w:sz w:val="20"/>
          <w:szCs w:val="20"/>
        </w:rPr>
        <w:t xml:space="preserve"> por la Comisión de Codificación Legislativa. </w:t>
      </w:r>
    </w:p>
    <w:p w14:paraId="501DD28D" w14:textId="77777777" w:rsidR="008138B4" w:rsidRPr="00274EC3" w:rsidRDefault="008138B4" w:rsidP="0018018F">
      <w:pPr>
        <w:pStyle w:val="Sinespaciado"/>
        <w:spacing w:line="276" w:lineRule="auto"/>
        <w:jc w:val="center"/>
        <w:rPr>
          <w:rFonts w:ascii="Palatino Linotype" w:hAnsi="Palatino Linotype"/>
          <w:b/>
          <w:sz w:val="20"/>
          <w:szCs w:val="20"/>
        </w:rPr>
      </w:pPr>
    </w:p>
    <w:p w14:paraId="23235E51" w14:textId="77777777" w:rsidR="008138B4" w:rsidRPr="00274EC3" w:rsidRDefault="008138B4" w:rsidP="00A672D5">
      <w:pPr>
        <w:pStyle w:val="Sinespaciado"/>
        <w:jc w:val="center"/>
        <w:rPr>
          <w:rFonts w:ascii="Palatino Linotype" w:hAnsi="Palatino Linotype"/>
          <w:b/>
          <w:sz w:val="20"/>
          <w:szCs w:val="20"/>
        </w:rPr>
      </w:pPr>
      <w:r w:rsidRPr="00274EC3">
        <w:rPr>
          <w:rFonts w:ascii="Palatino Linotype" w:hAnsi="Palatino Linotype"/>
          <w:b/>
          <w:sz w:val="20"/>
          <w:szCs w:val="20"/>
        </w:rPr>
        <w:t>CONSIDERANDO:</w:t>
      </w:r>
    </w:p>
    <w:p w14:paraId="1EE5FCE7" w14:textId="77777777" w:rsidR="008138B4" w:rsidRPr="00274EC3" w:rsidRDefault="008138B4" w:rsidP="00A672D5">
      <w:pPr>
        <w:pStyle w:val="Sinespaciado"/>
        <w:jc w:val="both"/>
        <w:rPr>
          <w:rFonts w:ascii="Palatino Linotype" w:hAnsi="Palatino Linotype"/>
          <w:sz w:val="20"/>
          <w:szCs w:val="20"/>
        </w:rPr>
      </w:pPr>
    </w:p>
    <w:p w14:paraId="297AE3A8" w14:textId="7E0FEA71" w:rsidR="009729EC" w:rsidRPr="00274EC3" w:rsidRDefault="009729EC">
      <w:pPr>
        <w:spacing w:after="0" w:line="240" w:lineRule="auto"/>
        <w:ind w:left="708" w:hanging="708"/>
        <w:jc w:val="both"/>
        <w:rPr>
          <w:rFonts w:ascii="Palatino Linotype" w:hAnsi="Palatino Linotype"/>
          <w:sz w:val="20"/>
          <w:szCs w:val="20"/>
        </w:rPr>
      </w:pPr>
      <w:r w:rsidRPr="00274EC3">
        <w:rPr>
          <w:rFonts w:ascii="Palatino Linotype" w:hAnsi="Palatino Linotype"/>
          <w:b/>
          <w:sz w:val="20"/>
          <w:szCs w:val="20"/>
        </w:rPr>
        <w:t>Que</w:t>
      </w:r>
      <w:r w:rsidR="00057D67" w:rsidRPr="00274EC3">
        <w:rPr>
          <w:rFonts w:ascii="Palatino Linotype" w:hAnsi="Palatino Linotype"/>
          <w:b/>
          <w:sz w:val="20"/>
          <w:szCs w:val="20"/>
        </w:rPr>
        <w:t>,</w:t>
      </w:r>
      <w:r w:rsidRPr="00274EC3">
        <w:rPr>
          <w:rFonts w:ascii="Palatino Linotype" w:hAnsi="Palatino Linotype"/>
          <w:sz w:val="20"/>
          <w:szCs w:val="20"/>
        </w:rPr>
        <w:tab/>
        <w:t xml:space="preserve">la Constitución de la República del Ecuador en su artículo 11, numeral 5, indica: </w:t>
      </w:r>
      <w:r w:rsidRPr="00274EC3">
        <w:rPr>
          <w:rFonts w:ascii="Palatino Linotype" w:hAnsi="Palatino Linotype"/>
          <w:i/>
          <w:sz w:val="20"/>
          <w:szCs w:val="20"/>
        </w:rPr>
        <w:t>“El ejercicio de los derechos se regirá por los siguientes principios: 5. En materia de derechos y garantías constitucionales, las servidoras y servidores públicos, administrativos o judiciales, deberán aplicar la norma y la interpretación que más favorezcan su efectiva vigencia. (…)”</w:t>
      </w:r>
      <w:r w:rsidRPr="00274EC3">
        <w:rPr>
          <w:rFonts w:ascii="Palatino Linotype" w:hAnsi="Palatino Linotype"/>
          <w:sz w:val="20"/>
          <w:szCs w:val="20"/>
        </w:rPr>
        <w:t xml:space="preserve"> ;</w:t>
      </w:r>
    </w:p>
    <w:p w14:paraId="3DFD0E7D" w14:textId="1C22779B" w:rsidR="009729EC" w:rsidRPr="00274EC3" w:rsidRDefault="009729EC">
      <w:pPr>
        <w:spacing w:after="0" w:line="240" w:lineRule="auto"/>
        <w:ind w:left="708" w:hanging="708"/>
        <w:jc w:val="both"/>
        <w:rPr>
          <w:rFonts w:ascii="Palatino Linotype" w:hAnsi="Palatino Linotype"/>
          <w:sz w:val="20"/>
          <w:szCs w:val="20"/>
        </w:rPr>
      </w:pPr>
    </w:p>
    <w:p w14:paraId="26D00AA9" w14:textId="4D50CCAA" w:rsidR="00057D67" w:rsidRPr="00274EC3" w:rsidRDefault="00057D67" w:rsidP="007A7643">
      <w:pPr>
        <w:pStyle w:val="Sinespaciado"/>
        <w:ind w:left="708" w:hanging="708"/>
        <w:jc w:val="both"/>
        <w:rPr>
          <w:rFonts w:ascii="Palatino Linotype" w:hAnsi="Palatino Linotype"/>
          <w:sz w:val="20"/>
          <w:szCs w:val="20"/>
        </w:rPr>
      </w:pPr>
      <w:r w:rsidRPr="00274EC3">
        <w:rPr>
          <w:rFonts w:ascii="Palatino Linotype" w:hAnsi="Palatino Linotype"/>
          <w:b/>
          <w:sz w:val="20"/>
          <w:szCs w:val="20"/>
        </w:rPr>
        <w:t>Que,</w:t>
      </w:r>
      <w:r w:rsidRPr="00274EC3">
        <w:rPr>
          <w:rFonts w:ascii="Palatino Linotype" w:hAnsi="Palatino Linotype"/>
          <w:sz w:val="20"/>
          <w:szCs w:val="20"/>
        </w:rPr>
        <w:tab/>
        <w:t>el numeral 25 del artículo 66 de la Constitución de la República recoge el derecho de las personas a acceder a bienes y servicios públicos y privados de calidad, con eficiencia, eficacia y buen trato, así como, a recibir información adecuada y veraz sobre su contenido y características;</w:t>
      </w:r>
    </w:p>
    <w:p w14:paraId="71533A2A" w14:textId="77777777" w:rsidR="009729EC" w:rsidRPr="00274EC3" w:rsidRDefault="009729EC">
      <w:pPr>
        <w:spacing w:after="0" w:line="240" w:lineRule="auto"/>
        <w:ind w:left="708" w:hanging="708"/>
        <w:jc w:val="both"/>
        <w:rPr>
          <w:rFonts w:ascii="Palatino Linotype" w:hAnsi="Palatino Linotype"/>
          <w:sz w:val="20"/>
          <w:szCs w:val="20"/>
        </w:rPr>
      </w:pPr>
    </w:p>
    <w:p w14:paraId="44FA0229" w14:textId="46CD1ABC" w:rsidR="00F82319" w:rsidRPr="00274EC3" w:rsidRDefault="00F15FE9" w:rsidP="00A672D5">
      <w:pPr>
        <w:pStyle w:val="Sinespaciado"/>
        <w:ind w:left="720" w:hanging="720"/>
        <w:jc w:val="both"/>
        <w:rPr>
          <w:rFonts w:ascii="Palatino Linotype" w:hAnsi="Palatino Linotype"/>
          <w:sz w:val="20"/>
          <w:szCs w:val="20"/>
        </w:rPr>
      </w:pPr>
      <w:r w:rsidRPr="00274EC3">
        <w:rPr>
          <w:rFonts w:ascii="Palatino Linotype" w:hAnsi="Palatino Linotype"/>
          <w:b/>
          <w:sz w:val="20"/>
          <w:szCs w:val="20"/>
        </w:rPr>
        <w:t>Que</w:t>
      </w:r>
      <w:r w:rsidR="00057D67" w:rsidRPr="00274EC3">
        <w:rPr>
          <w:rFonts w:ascii="Palatino Linotype" w:hAnsi="Palatino Linotype"/>
          <w:b/>
          <w:sz w:val="20"/>
          <w:szCs w:val="20"/>
        </w:rPr>
        <w:t>,</w:t>
      </w:r>
      <w:r w:rsidRPr="00274EC3">
        <w:rPr>
          <w:rFonts w:ascii="Palatino Linotype" w:hAnsi="Palatino Linotype"/>
          <w:b/>
          <w:sz w:val="20"/>
          <w:szCs w:val="20"/>
        </w:rPr>
        <w:tab/>
      </w:r>
      <w:r w:rsidR="00F82319" w:rsidRPr="00274EC3">
        <w:rPr>
          <w:rFonts w:ascii="Palatino Linotype" w:hAnsi="Palatino Linotype"/>
          <w:sz w:val="20"/>
          <w:szCs w:val="20"/>
        </w:rPr>
        <w:t>la Constitución de la República en su artículo 82 garantiza la seguridad jurídica, misma que se fundamenta en el respeto a la Constitución y en la existencia de normas jurídicas previas, claras, públicas y aplicadas por las autoridades competentes;</w:t>
      </w:r>
    </w:p>
    <w:p w14:paraId="4631BAD5" w14:textId="77777777" w:rsidR="00F82319" w:rsidRPr="00274EC3" w:rsidRDefault="00F82319" w:rsidP="00A672D5">
      <w:pPr>
        <w:pStyle w:val="Sinespaciado"/>
        <w:ind w:left="720" w:hanging="720"/>
        <w:jc w:val="both"/>
        <w:rPr>
          <w:rFonts w:ascii="Palatino Linotype" w:hAnsi="Palatino Linotype"/>
          <w:sz w:val="20"/>
          <w:szCs w:val="20"/>
        </w:rPr>
      </w:pPr>
    </w:p>
    <w:p w14:paraId="3F5A3263" w14:textId="46F1A6E2" w:rsidR="00F82319" w:rsidRPr="00274EC3" w:rsidRDefault="00F82319" w:rsidP="00A672D5">
      <w:pPr>
        <w:pStyle w:val="Sinespaciado"/>
        <w:ind w:left="720" w:hanging="720"/>
        <w:jc w:val="both"/>
        <w:rPr>
          <w:rFonts w:ascii="Palatino Linotype" w:hAnsi="Palatino Linotype"/>
          <w:sz w:val="20"/>
          <w:szCs w:val="20"/>
        </w:rPr>
      </w:pPr>
      <w:r w:rsidRPr="00274EC3">
        <w:rPr>
          <w:rFonts w:ascii="Palatino Linotype" w:hAnsi="Palatino Linotype"/>
          <w:b/>
          <w:sz w:val="20"/>
          <w:szCs w:val="20"/>
        </w:rPr>
        <w:t>Que</w:t>
      </w:r>
      <w:r w:rsidR="00057D67" w:rsidRPr="00274EC3">
        <w:rPr>
          <w:rFonts w:ascii="Palatino Linotype" w:hAnsi="Palatino Linotype"/>
          <w:b/>
          <w:sz w:val="20"/>
          <w:szCs w:val="20"/>
        </w:rPr>
        <w:t>,</w:t>
      </w:r>
      <w:r w:rsidR="0051713F" w:rsidRPr="00274EC3">
        <w:rPr>
          <w:rFonts w:ascii="Palatino Linotype" w:hAnsi="Palatino Linotype"/>
          <w:sz w:val="20"/>
          <w:szCs w:val="20"/>
        </w:rPr>
        <w:tab/>
      </w:r>
      <w:r w:rsidRPr="00274EC3">
        <w:rPr>
          <w:rFonts w:ascii="Palatino Linotype" w:hAnsi="Palatino Linotype"/>
          <w:sz w:val="20"/>
          <w:szCs w:val="20"/>
        </w:rPr>
        <w:t>el artículo 226 de la Constitución de la República establece que las instituciones del Estado, sus organismos y dependencias, las servidoras o servidores públicos y las personas que actúen en virtud de una potestad estatal, tendrán el deber de coordinar las acciones para el cumplimiento de sus fines y hacer efectivo el goce de los derechos reconocidos en la Constitución;</w:t>
      </w:r>
    </w:p>
    <w:p w14:paraId="024BC654" w14:textId="77777777" w:rsidR="00F82319" w:rsidRPr="00274EC3" w:rsidRDefault="00F82319" w:rsidP="00A672D5">
      <w:pPr>
        <w:pStyle w:val="Sinespaciado"/>
        <w:ind w:left="720" w:hanging="720"/>
        <w:jc w:val="both"/>
        <w:rPr>
          <w:rFonts w:ascii="Palatino Linotype" w:hAnsi="Palatino Linotype"/>
          <w:sz w:val="20"/>
          <w:szCs w:val="20"/>
        </w:rPr>
      </w:pPr>
    </w:p>
    <w:p w14:paraId="30042722" w14:textId="02193922" w:rsidR="00F82319" w:rsidRPr="00274EC3" w:rsidRDefault="00F82319" w:rsidP="00A672D5">
      <w:pPr>
        <w:pStyle w:val="Sinespaciado"/>
        <w:ind w:left="720" w:hanging="720"/>
        <w:jc w:val="both"/>
        <w:rPr>
          <w:rFonts w:ascii="Palatino Linotype" w:hAnsi="Palatino Linotype"/>
          <w:sz w:val="20"/>
          <w:szCs w:val="20"/>
        </w:rPr>
      </w:pPr>
      <w:r w:rsidRPr="00274EC3">
        <w:rPr>
          <w:rFonts w:ascii="Palatino Linotype" w:hAnsi="Palatino Linotype"/>
          <w:b/>
          <w:sz w:val="20"/>
          <w:szCs w:val="20"/>
        </w:rPr>
        <w:t>Que</w:t>
      </w:r>
      <w:r w:rsidR="00057D67" w:rsidRPr="00274EC3">
        <w:rPr>
          <w:rFonts w:ascii="Palatino Linotype" w:hAnsi="Palatino Linotype"/>
          <w:b/>
          <w:sz w:val="20"/>
          <w:szCs w:val="20"/>
        </w:rPr>
        <w:t>,</w:t>
      </w:r>
      <w:r w:rsidR="0051713F" w:rsidRPr="00274EC3">
        <w:rPr>
          <w:rFonts w:ascii="Palatino Linotype" w:hAnsi="Palatino Linotype"/>
          <w:sz w:val="20"/>
          <w:szCs w:val="20"/>
        </w:rPr>
        <w:tab/>
      </w:r>
      <w:r w:rsidRPr="00274EC3">
        <w:rPr>
          <w:rFonts w:ascii="Palatino Linotype" w:hAnsi="Palatino Linotype"/>
          <w:sz w:val="20"/>
          <w:szCs w:val="20"/>
        </w:rPr>
        <w:t>el artículo 227 de la Constitución de la República dispone que la administración pública constituye un servicio a la colectividad que se rige por los principios de eficacia, eficiencia, calidad, jerarquía, desconcentración, descentralización, coordinación, participación, planificación, transparencia y evaluación;</w:t>
      </w:r>
    </w:p>
    <w:p w14:paraId="2AB3B7A9" w14:textId="77777777" w:rsidR="00B76AD9" w:rsidRPr="00274EC3" w:rsidRDefault="00B76AD9" w:rsidP="00A672D5">
      <w:pPr>
        <w:pStyle w:val="Sinespaciado"/>
        <w:ind w:left="720" w:hanging="720"/>
        <w:jc w:val="both"/>
        <w:rPr>
          <w:rFonts w:ascii="Palatino Linotype" w:hAnsi="Palatino Linotype"/>
          <w:sz w:val="20"/>
          <w:szCs w:val="20"/>
        </w:rPr>
      </w:pPr>
    </w:p>
    <w:p w14:paraId="2704EC8E" w14:textId="277E4F6A" w:rsidR="00193DF1" w:rsidRPr="00274EC3" w:rsidRDefault="00193DF1">
      <w:pPr>
        <w:spacing w:after="0" w:line="240" w:lineRule="auto"/>
        <w:ind w:left="708" w:hanging="708"/>
        <w:jc w:val="both"/>
        <w:rPr>
          <w:rFonts w:ascii="Palatino Linotype" w:hAnsi="Palatino Linotype"/>
          <w:i/>
          <w:sz w:val="20"/>
          <w:szCs w:val="20"/>
        </w:rPr>
      </w:pPr>
      <w:r w:rsidRPr="00274EC3">
        <w:rPr>
          <w:rFonts w:ascii="Palatino Linotype" w:hAnsi="Palatino Linotype"/>
          <w:b/>
          <w:sz w:val="20"/>
          <w:szCs w:val="20"/>
        </w:rPr>
        <w:t>Que</w:t>
      </w:r>
      <w:r w:rsidR="00057D67" w:rsidRPr="00274EC3">
        <w:rPr>
          <w:rFonts w:ascii="Palatino Linotype" w:hAnsi="Palatino Linotype"/>
          <w:b/>
          <w:sz w:val="20"/>
          <w:szCs w:val="20"/>
        </w:rPr>
        <w:t>,</w:t>
      </w:r>
      <w:r w:rsidRPr="00274EC3">
        <w:rPr>
          <w:rFonts w:ascii="Palatino Linotype" w:hAnsi="Palatino Linotype"/>
          <w:sz w:val="20"/>
          <w:szCs w:val="20"/>
        </w:rPr>
        <w:tab/>
        <w:t>en el artículo 238 de la Constitución, establece que</w:t>
      </w:r>
      <w:r w:rsidR="00057D67" w:rsidRPr="00274EC3">
        <w:rPr>
          <w:rFonts w:ascii="Palatino Linotype" w:hAnsi="Palatino Linotype"/>
          <w:sz w:val="20"/>
          <w:szCs w:val="20"/>
        </w:rPr>
        <w:t>: “</w:t>
      </w:r>
      <w:r w:rsidR="00057D67" w:rsidRPr="00274EC3">
        <w:rPr>
          <w:rFonts w:ascii="Palatino Linotype" w:hAnsi="Palatino Linotype"/>
          <w:i/>
          <w:sz w:val="20"/>
          <w:szCs w:val="20"/>
        </w:rPr>
        <w:t>L</w:t>
      </w:r>
      <w:r w:rsidRPr="00274EC3">
        <w:rPr>
          <w:rFonts w:ascii="Palatino Linotype" w:hAnsi="Palatino Linotype"/>
          <w:i/>
          <w:sz w:val="20"/>
          <w:szCs w:val="20"/>
        </w:rPr>
        <w:t>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00057D67" w:rsidRPr="00274EC3">
        <w:rPr>
          <w:rFonts w:ascii="Palatino Linotype" w:hAnsi="Palatino Linotype"/>
          <w:i/>
          <w:sz w:val="20"/>
          <w:szCs w:val="20"/>
        </w:rPr>
        <w:t>”</w:t>
      </w:r>
      <w:r w:rsidRPr="00274EC3">
        <w:rPr>
          <w:rFonts w:ascii="Palatino Linotype" w:hAnsi="Palatino Linotype"/>
          <w:i/>
          <w:sz w:val="20"/>
          <w:szCs w:val="20"/>
        </w:rPr>
        <w:t>;</w:t>
      </w:r>
    </w:p>
    <w:p w14:paraId="15AF9ADB" w14:textId="77777777" w:rsidR="00193DF1" w:rsidRPr="00274EC3" w:rsidRDefault="00193DF1" w:rsidP="00A672D5">
      <w:pPr>
        <w:pStyle w:val="Sinespaciado"/>
        <w:ind w:left="720" w:hanging="720"/>
        <w:jc w:val="both"/>
        <w:rPr>
          <w:rFonts w:ascii="Palatino Linotype" w:hAnsi="Palatino Linotype"/>
          <w:b/>
          <w:sz w:val="20"/>
          <w:szCs w:val="20"/>
        </w:rPr>
      </w:pPr>
    </w:p>
    <w:p w14:paraId="5A4811EB" w14:textId="48785F84" w:rsidR="00193DF1" w:rsidRPr="00274EC3" w:rsidRDefault="00193DF1">
      <w:pPr>
        <w:spacing w:after="0" w:line="240" w:lineRule="auto"/>
        <w:ind w:left="708" w:hanging="708"/>
        <w:jc w:val="both"/>
        <w:rPr>
          <w:rFonts w:ascii="Palatino Linotype" w:hAnsi="Palatino Linotype"/>
          <w:i/>
          <w:sz w:val="20"/>
          <w:szCs w:val="20"/>
        </w:rPr>
      </w:pPr>
      <w:r w:rsidRPr="00274EC3">
        <w:rPr>
          <w:rFonts w:ascii="Palatino Linotype" w:hAnsi="Palatino Linotype"/>
          <w:b/>
          <w:sz w:val="20"/>
          <w:szCs w:val="20"/>
        </w:rPr>
        <w:t xml:space="preserve">Que, </w:t>
      </w:r>
      <w:r w:rsidRPr="00274EC3">
        <w:rPr>
          <w:rFonts w:ascii="Palatino Linotype" w:hAnsi="Palatino Linotype"/>
          <w:sz w:val="20"/>
          <w:szCs w:val="20"/>
        </w:rPr>
        <w:tab/>
        <w:t>en el artículo 240 de la Constitución, indica que: “</w:t>
      </w:r>
      <w:r w:rsidRPr="00274EC3">
        <w:rPr>
          <w:rFonts w:ascii="Palatino Linotype" w:hAnsi="Palatino Linotype"/>
          <w:i/>
          <w:sz w:val="20"/>
          <w:szCs w:val="20"/>
        </w:rPr>
        <w:t>Los gobiernos autónomos descentralizados de las regiones, distritos metropolitanos, provincias y cantones tendrán facultades legislativas en el ámbito de sus competencias y jurisdicciones territoriales. Las juntas parroquiales rurales tendrán facultades reglamentarias.”</w:t>
      </w:r>
    </w:p>
    <w:p w14:paraId="4CF521A5" w14:textId="086EEF23" w:rsidR="00082FCC" w:rsidRPr="00274EC3" w:rsidRDefault="00082FCC">
      <w:pPr>
        <w:spacing w:after="0" w:line="240" w:lineRule="auto"/>
        <w:ind w:left="708" w:hanging="708"/>
        <w:jc w:val="both"/>
        <w:rPr>
          <w:rFonts w:ascii="Palatino Linotype" w:hAnsi="Palatino Linotype"/>
          <w:i/>
          <w:sz w:val="20"/>
          <w:szCs w:val="20"/>
        </w:rPr>
      </w:pPr>
    </w:p>
    <w:p w14:paraId="22D8D6F3" w14:textId="3E93C019" w:rsidR="00082FCC" w:rsidRPr="00274EC3" w:rsidRDefault="00082FCC">
      <w:pPr>
        <w:spacing w:after="0" w:line="240" w:lineRule="auto"/>
        <w:ind w:left="708" w:hanging="708"/>
        <w:jc w:val="both"/>
        <w:rPr>
          <w:rFonts w:ascii="Palatino Linotype" w:hAnsi="Palatino Linotype"/>
          <w:i/>
          <w:sz w:val="20"/>
          <w:szCs w:val="20"/>
        </w:rPr>
      </w:pPr>
      <w:r w:rsidRPr="00274EC3">
        <w:rPr>
          <w:rFonts w:ascii="Palatino Linotype" w:hAnsi="Palatino Linotype"/>
          <w:b/>
          <w:sz w:val="20"/>
          <w:szCs w:val="20"/>
        </w:rPr>
        <w:t>Que,</w:t>
      </w:r>
      <w:r w:rsidRPr="00274EC3">
        <w:rPr>
          <w:rFonts w:ascii="Palatino Linotype" w:hAnsi="Palatino Linotype"/>
          <w:i/>
          <w:sz w:val="20"/>
          <w:szCs w:val="20"/>
        </w:rPr>
        <w:t xml:space="preserve"> </w:t>
      </w:r>
      <w:r w:rsidRPr="00274EC3">
        <w:rPr>
          <w:rFonts w:ascii="Palatino Linotype" w:hAnsi="Palatino Linotype"/>
          <w:i/>
          <w:sz w:val="20"/>
          <w:szCs w:val="20"/>
        </w:rPr>
        <w:tab/>
      </w:r>
      <w:r w:rsidRPr="00274EC3">
        <w:rPr>
          <w:rFonts w:ascii="Palatino Linotype" w:hAnsi="Palatino Linotype"/>
          <w:sz w:val="20"/>
          <w:szCs w:val="20"/>
        </w:rPr>
        <w:t>la Constitución de la República del Ecuador, en su artículo 264, numerales 1 y 2 dispone:</w:t>
      </w:r>
      <w:r w:rsidRPr="00274EC3">
        <w:rPr>
          <w:rFonts w:ascii="Palatino Linotype" w:hAnsi="Palatino Linotype"/>
          <w:i/>
          <w:sz w:val="20"/>
          <w:szCs w:val="20"/>
        </w:rPr>
        <w:t xml:space="preserve"> “Los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p>
    <w:p w14:paraId="19E44BDA" w14:textId="77777777" w:rsidR="00193DF1" w:rsidRPr="00274EC3" w:rsidRDefault="00193DF1">
      <w:pPr>
        <w:spacing w:after="0" w:line="240" w:lineRule="auto"/>
        <w:ind w:left="708" w:hanging="708"/>
        <w:jc w:val="both"/>
        <w:rPr>
          <w:rFonts w:ascii="Palatino Linotype" w:hAnsi="Palatino Linotype"/>
          <w:i/>
          <w:sz w:val="20"/>
          <w:szCs w:val="20"/>
        </w:rPr>
      </w:pPr>
      <w:r w:rsidRPr="00274EC3">
        <w:rPr>
          <w:rFonts w:ascii="Palatino Linotype" w:hAnsi="Palatino Linotype"/>
          <w:i/>
          <w:sz w:val="20"/>
          <w:szCs w:val="20"/>
        </w:rPr>
        <w:t xml:space="preserve"> </w:t>
      </w:r>
    </w:p>
    <w:p w14:paraId="663E97C0" w14:textId="6B228450" w:rsidR="00193DF1" w:rsidRPr="00274EC3" w:rsidRDefault="00193DF1">
      <w:pPr>
        <w:spacing w:after="0" w:line="240" w:lineRule="auto"/>
        <w:ind w:left="705" w:hanging="705"/>
        <w:jc w:val="both"/>
        <w:rPr>
          <w:rFonts w:ascii="Palatino Linotype" w:hAnsi="Palatino Linotype"/>
          <w:i/>
          <w:sz w:val="20"/>
          <w:szCs w:val="20"/>
        </w:rPr>
      </w:pPr>
      <w:r w:rsidRPr="00274EC3">
        <w:rPr>
          <w:rFonts w:ascii="Palatino Linotype" w:hAnsi="Palatino Linotype"/>
          <w:b/>
          <w:sz w:val="20"/>
          <w:szCs w:val="20"/>
        </w:rPr>
        <w:t>Que</w:t>
      </w:r>
      <w:r w:rsidR="00057D67" w:rsidRPr="00274EC3">
        <w:rPr>
          <w:rFonts w:ascii="Palatino Linotype" w:hAnsi="Palatino Linotype"/>
          <w:sz w:val="20"/>
          <w:szCs w:val="20"/>
        </w:rPr>
        <w:t>,</w:t>
      </w:r>
      <w:r w:rsidRPr="00274EC3">
        <w:rPr>
          <w:rFonts w:ascii="Palatino Linotype" w:hAnsi="Palatino Linotype"/>
          <w:sz w:val="20"/>
          <w:szCs w:val="20"/>
        </w:rPr>
        <w:tab/>
        <w:t>la Constitución de la República del Ecuador, en el artículo 266, determina que</w:t>
      </w:r>
      <w:r w:rsidR="00057D67" w:rsidRPr="00274EC3">
        <w:rPr>
          <w:rFonts w:ascii="Palatino Linotype" w:hAnsi="Palatino Linotype"/>
          <w:sz w:val="20"/>
          <w:szCs w:val="20"/>
        </w:rPr>
        <w:t>:</w:t>
      </w:r>
      <w:r w:rsidRPr="00274EC3">
        <w:rPr>
          <w:rFonts w:ascii="Palatino Linotype" w:hAnsi="Palatino Linotype"/>
          <w:sz w:val="20"/>
          <w:szCs w:val="20"/>
        </w:rPr>
        <w:t xml:space="preserve"> </w:t>
      </w:r>
      <w:r w:rsidR="00057D67" w:rsidRPr="00274EC3">
        <w:rPr>
          <w:rFonts w:ascii="Palatino Linotype" w:hAnsi="Palatino Linotype"/>
          <w:sz w:val="20"/>
          <w:szCs w:val="20"/>
        </w:rPr>
        <w:t>“</w:t>
      </w:r>
      <w:r w:rsidR="00057D67" w:rsidRPr="00274EC3">
        <w:rPr>
          <w:rFonts w:ascii="Palatino Linotype" w:hAnsi="Palatino Linotype"/>
          <w:i/>
          <w:sz w:val="20"/>
          <w:szCs w:val="20"/>
        </w:rPr>
        <w:t>L</w:t>
      </w:r>
      <w:r w:rsidRPr="00274EC3">
        <w:rPr>
          <w:rFonts w:ascii="Palatino Linotype" w:hAnsi="Palatino Linotype"/>
          <w:i/>
          <w:sz w:val="20"/>
          <w:szCs w:val="20"/>
        </w:rPr>
        <w:t>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00057D67" w:rsidRPr="00274EC3">
        <w:rPr>
          <w:rFonts w:ascii="Palatino Linotype" w:hAnsi="Palatino Linotype"/>
          <w:i/>
          <w:sz w:val="20"/>
          <w:szCs w:val="20"/>
        </w:rPr>
        <w:t>”</w:t>
      </w:r>
      <w:r w:rsidRPr="00274EC3">
        <w:rPr>
          <w:rFonts w:ascii="Palatino Linotype" w:hAnsi="Palatino Linotype"/>
          <w:i/>
          <w:sz w:val="20"/>
          <w:szCs w:val="20"/>
        </w:rPr>
        <w:t xml:space="preserve">; </w:t>
      </w:r>
    </w:p>
    <w:p w14:paraId="2A5E1A0C" w14:textId="77777777" w:rsidR="00F82319" w:rsidRPr="00274EC3" w:rsidRDefault="00F82319" w:rsidP="00A672D5">
      <w:pPr>
        <w:pStyle w:val="Sinespaciado"/>
        <w:ind w:left="720" w:hanging="720"/>
        <w:jc w:val="both"/>
        <w:rPr>
          <w:rFonts w:ascii="Palatino Linotype" w:hAnsi="Palatino Linotype"/>
          <w:sz w:val="20"/>
          <w:szCs w:val="20"/>
        </w:rPr>
      </w:pPr>
    </w:p>
    <w:p w14:paraId="3DBABE3C" w14:textId="3DAD403E" w:rsidR="00F82319" w:rsidRPr="00274EC3" w:rsidRDefault="00F82319" w:rsidP="00A672D5">
      <w:pPr>
        <w:pStyle w:val="Sinespaciado"/>
        <w:ind w:left="720" w:hanging="720"/>
        <w:jc w:val="both"/>
        <w:rPr>
          <w:rFonts w:ascii="Palatino Linotype" w:hAnsi="Palatino Linotype"/>
          <w:sz w:val="20"/>
          <w:szCs w:val="20"/>
        </w:rPr>
      </w:pPr>
      <w:r w:rsidRPr="00274EC3">
        <w:rPr>
          <w:rFonts w:ascii="Palatino Linotype" w:hAnsi="Palatino Linotype"/>
          <w:b/>
          <w:sz w:val="20"/>
          <w:szCs w:val="20"/>
        </w:rPr>
        <w:t>Que</w:t>
      </w:r>
      <w:r w:rsidR="00057D67" w:rsidRPr="00274EC3">
        <w:rPr>
          <w:rFonts w:ascii="Palatino Linotype" w:hAnsi="Palatino Linotype"/>
          <w:b/>
          <w:sz w:val="20"/>
          <w:szCs w:val="20"/>
        </w:rPr>
        <w:t>,</w:t>
      </w:r>
      <w:r w:rsidR="0051713F" w:rsidRPr="00274EC3">
        <w:rPr>
          <w:rFonts w:ascii="Palatino Linotype" w:hAnsi="Palatino Linotype"/>
          <w:sz w:val="20"/>
          <w:szCs w:val="20"/>
        </w:rPr>
        <w:tab/>
      </w:r>
      <w:r w:rsidRPr="00274EC3">
        <w:rPr>
          <w:rFonts w:ascii="Palatino Linotype" w:hAnsi="Palatino Linotype"/>
          <w:sz w:val="20"/>
          <w:szCs w:val="20"/>
        </w:rPr>
        <w:t>el artículo 314 de la Constitución de la República dispone que los servicios que brinde el Estado deben responder a los principios de obligatoriedad, generalidad, uniformidad, eficiencia, responsabilidad, universalidad, accesibilidad, regularidad, continuidad y calidad;</w:t>
      </w:r>
    </w:p>
    <w:p w14:paraId="3A865959" w14:textId="6D77A488" w:rsidR="00082FCC" w:rsidRPr="00274EC3" w:rsidRDefault="00082FCC" w:rsidP="00A672D5">
      <w:pPr>
        <w:pStyle w:val="Sinespaciado"/>
        <w:ind w:left="720" w:hanging="720"/>
        <w:jc w:val="both"/>
        <w:rPr>
          <w:rFonts w:ascii="Palatino Linotype" w:hAnsi="Palatino Linotype"/>
          <w:sz w:val="20"/>
          <w:szCs w:val="20"/>
        </w:rPr>
      </w:pPr>
    </w:p>
    <w:p w14:paraId="5389CA0C" w14:textId="00174CC8" w:rsidR="00082FCC" w:rsidRPr="00274EC3" w:rsidRDefault="00082FCC" w:rsidP="00082FCC">
      <w:pPr>
        <w:autoSpaceDE w:val="0"/>
        <w:autoSpaceDN w:val="0"/>
        <w:adjustRightInd w:val="0"/>
        <w:ind w:left="709" w:hanging="709"/>
        <w:jc w:val="both"/>
        <w:rPr>
          <w:rFonts w:ascii="Palatino Linotype" w:hAnsi="Palatino Linotype"/>
          <w:i/>
          <w:sz w:val="20"/>
          <w:szCs w:val="20"/>
          <w:lang w:val="es-EC"/>
        </w:rPr>
      </w:pPr>
      <w:r w:rsidRPr="00274EC3">
        <w:rPr>
          <w:rFonts w:ascii="Palatino Linotype" w:hAnsi="Palatino Linotype"/>
          <w:b/>
          <w:sz w:val="20"/>
          <w:szCs w:val="20"/>
          <w:lang w:val="es-EC"/>
        </w:rPr>
        <w:t>Que,</w:t>
      </w:r>
      <w:r w:rsidRPr="00274EC3">
        <w:rPr>
          <w:rFonts w:ascii="Palatino Linotype" w:hAnsi="Palatino Linotype"/>
          <w:sz w:val="20"/>
          <w:szCs w:val="20"/>
          <w:lang w:val="es-EC"/>
        </w:rPr>
        <w:t xml:space="preserve"> </w:t>
      </w:r>
      <w:r w:rsidRPr="00274EC3">
        <w:rPr>
          <w:rFonts w:ascii="Palatino Linotype" w:hAnsi="Palatino Linotype"/>
          <w:sz w:val="20"/>
          <w:szCs w:val="20"/>
          <w:lang w:val="es-EC"/>
        </w:rPr>
        <w:tab/>
        <w:t xml:space="preserve">el artículo 84, literal c) del Código Orgánico de Organización Territorial, Autonomía y Descentralización, en adelante "COOTAD", manifiesta: </w:t>
      </w:r>
      <w:r w:rsidRPr="00274EC3">
        <w:rPr>
          <w:rFonts w:ascii="Palatino Linotype" w:hAnsi="Palatino Linotype"/>
          <w:i/>
          <w:sz w:val="20"/>
          <w:szCs w:val="20"/>
          <w:lang w:val="es-EC"/>
        </w:rPr>
        <w:t xml:space="preserve">"Son funciones del gobierno del distrito autónomo metropolitano: ( ...)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 </w:t>
      </w:r>
    </w:p>
    <w:p w14:paraId="64414BB4" w14:textId="252452D6" w:rsidR="00193DF1" w:rsidRPr="00274EC3" w:rsidRDefault="00193DF1">
      <w:pPr>
        <w:spacing w:after="0" w:line="240" w:lineRule="auto"/>
        <w:ind w:left="705" w:hanging="705"/>
        <w:jc w:val="both"/>
        <w:rPr>
          <w:rFonts w:ascii="Palatino Linotype" w:hAnsi="Palatino Linotype"/>
          <w:i/>
          <w:sz w:val="20"/>
          <w:szCs w:val="20"/>
        </w:rPr>
      </w:pPr>
      <w:r w:rsidRPr="00274EC3">
        <w:rPr>
          <w:rFonts w:ascii="Palatino Linotype" w:hAnsi="Palatino Linotype"/>
          <w:b/>
          <w:sz w:val="20"/>
          <w:szCs w:val="20"/>
        </w:rPr>
        <w:t>Que</w:t>
      </w:r>
      <w:r w:rsidR="00057D67" w:rsidRPr="00274EC3">
        <w:rPr>
          <w:rFonts w:ascii="Palatino Linotype" w:hAnsi="Palatino Linotype"/>
          <w:b/>
          <w:sz w:val="20"/>
          <w:szCs w:val="20"/>
        </w:rPr>
        <w:t>,</w:t>
      </w:r>
      <w:r w:rsidRPr="00274EC3">
        <w:rPr>
          <w:rFonts w:ascii="Palatino Linotype" w:hAnsi="Palatino Linotype"/>
          <w:sz w:val="20"/>
          <w:szCs w:val="20"/>
        </w:rPr>
        <w:t xml:space="preserve"> </w:t>
      </w:r>
      <w:r w:rsidRPr="00274EC3">
        <w:rPr>
          <w:rFonts w:ascii="Palatino Linotype" w:hAnsi="Palatino Linotype"/>
          <w:sz w:val="20"/>
          <w:szCs w:val="20"/>
        </w:rPr>
        <w:tab/>
        <w:t xml:space="preserve">el Código Orgánico de Organización Territorial, Autonomía y Descentralización, en su artículo 86, manifiesta que: </w:t>
      </w:r>
      <w:r w:rsidRPr="00274EC3">
        <w:rPr>
          <w:rFonts w:ascii="Palatino Linotype" w:hAnsi="Palatino Linotype"/>
          <w:i/>
          <w:sz w:val="20"/>
          <w:szCs w:val="20"/>
        </w:rPr>
        <w:t xml:space="preserve">“El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p>
    <w:p w14:paraId="4020E9A0" w14:textId="77777777" w:rsidR="00F82319" w:rsidRPr="00274EC3" w:rsidRDefault="00F82319" w:rsidP="00A672D5">
      <w:pPr>
        <w:pStyle w:val="Sinespaciado"/>
        <w:ind w:left="720" w:hanging="720"/>
        <w:jc w:val="both"/>
        <w:rPr>
          <w:rFonts w:ascii="Palatino Linotype" w:hAnsi="Palatino Linotype"/>
          <w:sz w:val="20"/>
          <w:szCs w:val="20"/>
        </w:rPr>
      </w:pPr>
    </w:p>
    <w:p w14:paraId="49AF7332" w14:textId="15383CC5" w:rsidR="00F82319" w:rsidRPr="00274EC3" w:rsidRDefault="00F82319" w:rsidP="00A672D5">
      <w:pPr>
        <w:pStyle w:val="Sinespaciado"/>
        <w:ind w:left="720" w:hanging="720"/>
        <w:jc w:val="both"/>
        <w:rPr>
          <w:rFonts w:ascii="Palatino Linotype" w:hAnsi="Palatino Linotype"/>
          <w:sz w:val="20"/>
          <w:szCs w:val="20"/>
        </w:rPr>
      </w:pPr>
      <w:r w:rsidRPr="00274EC3">
        <w:rPr>
          <w:rFonts w:ascii="Palatino Linotype" w:hAnsi="Palatino Linotype"/>
          <w:b/>
          <w:sz w:val="20"/>
          <w:szCs w:val="20"/>
        </w:rPr>
        <w:t>Que</w:t>
      </w:r>
      <w:r w:rsidR="00057D67" w:rsidRPr="00274EC3">
        <w:rPr>
          <w:rFonts w:ascii="Palatino Linotype" w:hAnsi="Palatino Linotype"/>
          <w:b/>
          <w:sz w:val="20"/>
          <w:szCs w:val="20"/>
        </w:rPr>
        <w:t>,</w:t>
      </w:r>
      <w:r w:rsidR="0051713F" w:rsidRPr="00274EC3">
        <w:rPr>
          <w:rFonts w:ascii="Palatino Linotype" w:hAnsi="Palatino Linotype"/>
          <w:sz w:val="20"/>
          <w:szCs w:val="20"/>
        </w:rPr>
        <w:tab/>
      </w:r>
      <w:r w:rsidRPr="00274EC3">
        <w:rPr>
          <w:rFonts w:ascii="Palatino Linotype" w:hAnsi="Palatino Linotype"/>
          <w:sz w:val="20"/>
          <w:szCs w:val="20"/>
        </w:rPr>
        <w:t>la letra a) del art. 87 del Código Orgánico de Organización Territorial, Autonomía y Descentralización, es competencia de los Concejos Metropolitanos, ejercer la facultad normativa en materias de su competencia, mediante la expedición de ordenanza metropolitanas, acuerdos y resoluciones;</w:t>
      </w:r>
    </w:p>
    <w:p w14:paraId="6AE3175C" w14:textId="77777777" w:rsidR="00F82319" w:rsidRPr="00274EC3" w:rsidRDefault="00F82319" w:rsidP="00A672D5">
      <w:pPr>
        <w:pStyle w:val="Sinespaciado"/>
        <w:ind w:left="720" w:hanging="720"/>
        <w:jc w:val="both"/>
        <w:rPr>
          <w:rFonts w:ascii="Palatino Linotype" w:hAnsi="Palatino Linotype"/>
          <w:sz w:val="20"/>
          <w:szCs w:val="20"/>
        </w:rPr>
      </w:pPr>
    </w:p>
    <w:p w14:paraId="2504083A" w14:textId="0FFDB5FD" w:rsidR="00F82319" w:rsidRPr="00274EC3" w:rsidRDefault="0051713F" w:rsidP="00A672D5">
      <w:pPr>
        <w:pStyle w:val="Sinespaciado"/>
        <w:ind w:left="720" w:hanging="720"/>
        <w:jc w:val="both"/>
        <w:rPr>
          <w:rFonts w:ascii="Palatino Linotype" w:hAnsi="Palatino Linotype"/>
          <w:i/>
          <w:sz w:val="20"/>
          <w:szCs w:val="20"/>
        </w:rPr>
      </w:pPr>
      <w:r w:rsidRPr="00274EC3">
        <w:rPr>
          <w:rFonts w:ascii="Palatino Linotype" w:hAnsi="Palatino Linotype"/>
          <w:b/>
          <w:sz w:val="20"/>
          <w:szCs w:val="20"/>
        </w:rPr>
        <w:t>Que</w:t>
      </w:r>
      <w:r w:rsidR="00057D67" w:rsidRPr="00274EC3">
        <w:rPr>
          <w:rFonts w:ascii="Palatino Linotype" w:hAnsi="Palatino Linotype"/>
          <w:b/>
          <w:sz w:val="20"/>
          <w:szCs w:val="20"/>
        </w:rPr>
        <w:t>,</w:t>
      </w:r>
      <w:r w:rsidRPr="00274EC3">
        <w:rPr>
          <w:rFonts w:ascii="Palatino Linotype" w:hAnsi="Palatino Linotype"/>
          <w:b/>
          <w:sz w:val="20"/>
          <w:szCs w:val="20"/>
        </w:rPr>
        <w:tab/>
      </w:r>
      <w:r w:rsidR="004070BC" w:rsidRPr="00274EC3">
        <w:rPr>
          <w:rFonts w:ascii="Palatino Linotype" w:hAnsi="Palatino Linotype"/>
          <w:sz w:val="20"/>
          <w:szCs w:val="20"/>
        </w:rPr>
        <w:t xml:space="preserve">el artículo 326 Código Orgánico de Organización Territorial, Autonomía y Descentralización, determina que </w:t>
      </w:r>
      <w:r w:rsidR="004070BC" w:rsidRPr="00274EC3">
        <w:rPr>
          <w:rFonts w:ascii="Palatino Linotype" w:hAnsi="Palatino Linotype"/>
          <w:i/>
          <w:sz w:val="20"/>
          <w:szCs w:val="20"/>
        </w:rPr>
        <w:t>“Los órganos legislativos de los gobiernos autónomos descentralizados, conformarán comisiones de trabajo las que emitirán conclusiones y recomendaciones que serán consideradas como base para la discusión y aprobación de sus decisiones.”</w:t>
      </w:r>
      <w:r w:rsidR="00F82319" w:rsidRPr="00274EC3">
        <w:rPr>
          <w:rFonts w:ascii="Palatino Linotype" w:hAnsi="Palatino Linotype"/>
          <w:i/>
          <w:sz w:val="20"/>
          <w:szCs w:val="20"/>
        </w:rPr>
        <w:t xml:space="preserve"> </w:t>
      </w:r>
    </w:p>
    <w:p w14:paraId="133B59BE" w14:textId="02C5C4EF" w:rsidR="00082FCC" w:rsidRPr="00274EC3" w:rsidRDefault="00082FCC" w:rsidP="00A672D5">
      <w:pPr>
        <w:pStyle w:val="Sinespaciado"/>
        <w:ind w:left="720" w:hanging="720"/>
        <w:jc w:val="both"/>
        <w:rPr>
          <w:rFonts w:ascii="Palatino Linotype" w:hAnsi="Palatino Linotype"/>
          <w:i/>
          <w:sz w:val="20"/>
          <w:szCs w:val="20"/>
        </w:rPr>
      </w:pPr>
    </w:p>
    <w:p w14:paraId="330F9DCA" w14:textId="48881B2E" w:rsidR="00082FCC" w:rsidRPr="00274EC3" w:rsidRDefault="00082FCC" w:rsidP="00082FCC">
      <w:pPr>
        <w:autoSpaceDE w:val="0"/>
        <w:autoSpaceDN w:val="0"/>
        <w:adjustRightInd w:val="0"/>
        <w:ind w:left="709" w:hanging="709"/>
        <w:jc w:val="both"/>
        <w:rPr>
          <w:rFonts w:ascii="Palatino Linotype" w:hAnsi="Palatino Linotype"/>
          <w:i/>
          <w:sz w:val="20"/>
          <w:szCs w:val="20"/>
          <w:lang w:val="es-EC"/>
        </w:rPr>
      </w:pPr>
      <w:r w:rsidRPr="00274EC3">
        <w:rPr>
          <w:rFonts w:ascii="Palatino Linotype" w:hAnsi="Palatino Linotype"/>
          <w:b/>
          <w:sz w:val="20"/>
          <w:szCs w:val="20"/>
          <w:lang w:val="es-EC"/>
        </w:rPr>
        <w:t>Que,</w:t>
      </w:r>
      <w:r w:rsidRPr="00274EC3">
        <w:rPr>
          <w:rFonts w:ascii="Palatino Linotype" w:hAnsi="Palatino Linotype"/>
          <w:sz w:val="20"/>
          <w:szCs w:val="20"/>
          <w:lang w:val="es-EC"/>
        </w:rPr>
        <w:t xml:space="preserve"> </w:t>
      </w:r>
      <w:r w:rsidRPr="00274EC3">
        <w:rPr>
          <w:rFonts w:ascii="Palatino Linotype" w:hAnsi="Palatino Linotype"/>
          <w:sz w:val="20"/>
          <w:szCs w:val="20"/>
          <w:lang w:val="es-EC"/>
        </w:rPr>
        <w:tab/>
        <w:t>el artículo 472 del COOTAD señala que: “</w:t>
      </w:r>
      <w:r w:rsidRPr="00274EC3">
        <w:rPr>
          <w:rFonts w:ascii="Palatino Linotype" w:hAnsi="Palatino Linotype"/>
          <w:i/>
          <w:sz w:val="20"/>
          <w:szCs w:val="20"/>
          <w:lang w:val="es-EC"/>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p>
    <w:p w14:paraId="7597EC26" w14:textId="5611D6C4" w:rsidR="009729EC" w:rsidRPr="00274EC3" w:rsidRDefault="00082FCC" w:rsidP="00274EC3">
      <w:pPr>
        <w:autoSpaceDE w:val="0"/>
        <w:autoSpaceDN w:val="0"/>
        <w:adjustRightInd w:val="0"/>
        <w:ind w:left="709" w:hanging="709"/>
        <w:jc w:val="both"/>
        <w:rPr>
          <w:rFonts w:ascii="Palatino Linotype" w:hAnsi="Palatino Linotype"/>
          <w:sz w:val="20"/>
          <w:szCs w:val="20"/>
          <w:lang w:val="es-EC"/>
        </w:rPr>
      </w:pPr>
      <w:r w:rsidRPr="00274EC3">
        <w:rPr>
          <w:rFonts w:ascii="Palatino Linotype" w:hAnsi="Palatino Linotype"/>
          <w:b/>
          <w:sz w:val="20"/>
          <w:szCs w:val="20"/>
          <w:lang w:val="es-EC"/>
        </w:rPr>
        <w:t>Que,</w:t>
      </w:r>
      <w:r w:rsidRPr="00274EC3">
        <w:rPr>
          <w:rFonts w:ascii="Palatino Linotype" w:hAnsi="Palatino Linotype"/>
          <w:sz w:val="20"/>
          <w:szCs w:val="20"/>
          <w:lang w:val="es-EC"/>
        </w:rPr>
        <w:tab/>
        <w:t xml:space="preserve">el artículo 473 del COOTAD establece que: </w:t>
      </w:r>
      <w:r w:rsidRPr="00274EC3">
        <w:rPr>
          <w:rFonts w:ascii="Palatino Linotype" w:hAnsi="Palatino Linotype"/>
          <w:i/>
          <w:sz w:val="20"/>
          <w:szCs w:val="20"/>
          <w:lang w:val="es-EC"/>
        </w:rPr>
        <w:t>“</w:t>
      </w:r>
      <w:r w:rsidRPr="00274EC3">
        <w:rPr>
          <w:rFonts w:ascii="Palatino Linotype" w:hAnsi="Palatino Linotype" w:cs="CourierNewNormal"/>
          <w:i/>
          <w:sz w:val="20"/>
          <w:szCs w:val="20"/>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274EC3">
        <w:rPr>
          <w:rFonts w:ascii="Palatino Linotype" w:hAnsi="Palatino Linotype"/>
          <w:i/>
          <w:sz w:val="20"/>
          <w:szCs w:val="20"/>
          <w:lang w:val="es-EC"/>
        </w:rPr>
        <w:t>”</w:t>
      </w:r>
      <w:r w:rsidRPr="00274EC3">
        <w:rPr>
          <w:rFonts w:ascii="Palatino Linotype" w:hAnsi="Palatino Linotype"/>
          <w:sz w:val="20"/>
          <w:szCs w:val="20"/>
          <w:lang w:val="es-EC"/>
        </w:rPr>
        <w:t>;</w:t>
      </w:r>
    </w:p>
    <w:p w14:paraId="1F57DEF1" w14:textId="452FE062" w:rsidR="00082FCC" w:rsidRPr="00274EC3" w:rsidRDefault="00082FCC" w:rsidP="00082FCC">
      <w:pPr>
        <w:autoSpaceDE w:val="0"/>
        <w:autoSpaceDN w:val="0"/>
        <w:adjustRightInd w:val="0"/>
        <w:ind w:left="709" w:hanging="709"/>
        <w:jc w:val="both"/>
        <w:rPr>
          <w:rFonts w:ascii="Palatino Linotype" w:hAnsi="Palatino Linotype"/>
          <w:b/>
          <w:sz w:val="20"/>
          <w:szCs w:val="20"/>
        </w:rPr>
      </w:pPr>
      <w:r w:rsidRPr="00274EC3">
        <w:rPr>
          <w:rFonts w:ascii="Palatino Linotype" w:hAnsi="Palatino Linotype"/>
          <w:b/>
          <w:sz w:val="20"/>
          <w:szCs w:val="20"/>
          <w:lang w:val="es-EC"/>
        </w:rPr>
        <w:t>Que,</w:t>
      </w:r>
      <w:r w:rsidRPr="00274EC3">
        <w:rPr>
          <w:rFonts w:ascii="Palatino Linotype" w:hAnsi="Palatino Linotype"/>
          <w:sz w:val="20"/>
          <w:szCs w:val="20"/>
          <w:lang w:val="es-EC"/>
        </w:rPr>
        <w:tab/>
        <w:t>la Ley de Régimen para el Distrito Metropolitano de Quito, en su artículo 2 numeral 1, determina que el Municipio del Distrito 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p>
    <w:p w14:paraId="40FB183D" w14:textId="180F55B6" w:rsidR="00193DF1" w:rsidRPr="00274EC3" w:rsidRDefault="00193DF1">
      <w:pPr>
        <w:spacing w:after="0" w:line="240" w:lineRule="auto"/>
        <w:ind w:left="705" w:hanging="705"/>
        <w:jc w:val="both"/>
        <w:rPr>
          <w:rFonts w:ascii="Palatino Linotype" w:hAnsi="Palatino Linotype"/>
          <w:i/>
          <w:sz w:val="20"/>
          <w:szCs w:val="20"/>
        </w:rPr>
      </w:pPr>
      <w:r w:rsidRPr="00274EC3">
        <w:rPr>
          <w:rFonts w:ascii="Palatino Linotype" w:hAnsi="Palatino Linotype"/>
          <w:b/>
          <w:sz w:val="20"/>
          <w:szCs w:val="20"/>
        </w:rPr>
        <w:t>Que,</w:t>
      </w:r>
      <w:r w:rsidRPr="00274EC3">
        <w:rPr>
          <w:rFonts w:ascii="Palatino Linotype" w:hAnsi="Palatino Linotype"/>
          <w:sz w:val="20"/>
          <w:szCs w:val="20"/>
        </w:rPr>
        <w:t xml:space="preserve"> </w:t>
      </w:r>
      <w:r w:rsidRPr="00274EC3">
        <w:rPr>
          <w:rFonts w:ascii="Palatino Linotype" w:hAnsi="Palatino Linotype"/>
          <w:sz w:val="20"/>
          <w:szCs w:val="20"/>
        </w:rPr>
        <w:tab/>
        <w:t xml:space="preserve">la Ley de Régimen del Distrito Metropolitano de Quito con carácter de orgánica, en su artículo 8, indica que: </w:t>
      </w:r>
      <w:r w:rsidRPr="00274EC3">
        <w:rPr>
          <w:rFonts w:ascii="Palatino Linotype" w:hAnsi="Palatino Linotype"/>
          <w:i/>
          <w:sz w:val="20"/>
          <w:szCs w:val="20"/>
        </w:rPr>
        <w:t>“Le corresponde especialmente, al Concejo Metropolitano: 5) regular su régimen de sesiones y dictar los demás reglamentos que se requieran para el funcionamiento del Concejo Metropolitano;”</w:t>
      </w:r>
    </w:p>
    <w:p w14:paraId="28DC04D2" w14:textId="77777777" w:rsidR="00193DF1" w:rsidRPr="00274EC3" w:rsidRDefault="00193DF1" w:rsidP="00A672D5">
      <w:pPr>
        <w:pStyle w:val="Sinespaciado"/>
        <w:ind w:left="720" w:hanging="720"/>
        <w:jc w:val="both"/>
        <w:rPr>
          <w:rFonts w:ascii="Palatino Linotype" w:hAnsi="Palatino Linotype"/>
          <w:sz w:val="20"/>
          <w:szCs w:val="20"/>
        </w:rPr>
      </w:pPr>
    </w:p>
    <w:p w14:paraId="1753BC7A" w14:textId="21BFC3A2" w:rsidR="00F82319" w:rsidRPr="00274EC3" w:rsidRDefault="00F82319" w:rsidP="00A672D5">
      <w:pPr>
        <w:pStyle w:val="Sinespaciado"/>
        <w:ind w:left="720" w:hanging="720"/>
        <w:jc w:val="both"/>
        <w:rPr>
          <w:rFonts w:ascii="Palatino Linotype" w:hAnsi="Palatino Linotype"/>
          <w:sz w:val="20"/>
          <w:szCs w:val="20"/>
        </w:rPr>
      </w:pPr>
      <w:r w:rsidRPr="00274EC3">
        <w:rPr>
          <w:rFonts w:ascii="Palatino Linotype" w:hAnsi="Palatino Linotype"/>
          <w:b/>
          <w:sz w:val="20"/>
          <w:szCs w:val="20"/>
        </w:rPr>
        <w:t>Que</w:t>
      </w:r>
      <w:r w:rsidR="00057D67" w:rsidRPr="00274EC3">
        <w:rPr>
          <w:rFonts w:ascii="Palatino Linotype" w:hAnsi="Palatino Linotype"/>
          <w:b/>
          <w:sz w:val="20"/>
          <w:szCs w:val="20"/>
        </w:rPr>
        <w:t>,</w:t>
      </w:r>
      <w:r w:rsidR="0051713F" w:rsidRPr="00274EC3">
        <w:rPr>
          <w:rFonts w:ascii="Palatino Linotype" w:hAnsi="Palatino Linotype"/>
          <w:sz w:val="20"/>
          <w:szCs w:val="20"/>
        </w:rPr>
        <w:tab/>
      </w:r>
      <w:r w:rsidR="00D478E7" w:rsidRPr="00274EC3">
        <w:rPr>
          <w:rFonts w:ascii="Palatino Linotype" w:hAnsi="Palatino Linotype"/>
          <w:sz w:val="20"/>
          <w:szCs w:val="20"/>
        </w:rPr>
        <w:t xml:space="preserve">el Código Orgánico Administrativo en su ámbito material regula la relación </w:t>
      </w:r>
      <w:proofErr w:type="gramStart"/>
      <w:r w:rsidR="00D478E7" w:rsidRPr="00274EC3">
        <w:rPr>
          <w:rFonts w:ascii="Palatino Linotype" w:hAnsi="Palatino Linotype"/>
          <w:sz w:val="20"/>
          <w:szCs w:val="20"/>
        </w:rPr>
        <w:t>jurídico</w:t>
      </w:r>
      <w:proofErr w:type="gramEnd"/>
      <w:r w:rsidR="00D478E7" w:rsidRPr="00274EC3">
        <w:rPr>
          <w:rFonts w:ascii="Palatino Linotype" w:hAnsi="Palatino Linotype"/>
          <w:sz w:val="20"/>
          <w:szCs w:val="20"/>
        </w:rPr>
        <w:t xml:space="preserve"> administrativa entre las personas y las administraciones públicas, así como la actividad jurídica de l</w:t>
      </w:r>
      <w:r w:rsidR="004070BC" w:rsidRPr="00274EC3">
        <w:rPr>
          <w:rFonts w:ascii="Palatino Linotype" w:hAnsi="Palatino Linotype"/>
          <w:sz w:val="20"/>
          <w:szCs w:val="20"/>
        </w:rPr>
        <w:t xml:space="preserve">as administraciones públicas; </w:t>
      </w:r>
    </w:p>
    <w:p w14:paraId="02724F98" w14:textId="77777777" w:rsidR="00F82319" w:rsidRPr="00274EC3" w:rsidRDefault="00F82319" w:rsidP="00A672D5">
      <w:pPr>
        <w:pStyle w:val="Sinespaciado"/>
        <w:ind w:left="720" w:hanging="720"/>
        <w:jc w:val="both"/>
        <w:rPr>
          <w:rFonts w:ascii="Palatino Linotype" w:hAnsi="Palatino Linotype"/>
          <w:sz w:val="20"/>
          <w:szCs w:val="20"/>
        </w:rPr>
      </w:pPr>
    </w:p>
    <w:p w14:paraId="4B0B2D05" w14:textId="76DF4239" w:rsidR="00082FCC" w:rsidRPr="00274EC3" w:rsidRDefault="00082FCC" w:rsidP="00082FCC">
      <w:pPr>
        <w:autoSpaceDE w:val="0"/>
        <w:autoSpaceDN w:val="0"/>
        <w:adjustRightInd w:val="0"/>
        <w:ind w:left="709" w:hanging="709"/>
        <w:jc w:val="both"/>
        <w:rPr>
          <w:rFonts w:ascii="Palatino Linotype" w:hAnsi="Palatino Linotype"/>
          <w:sz w:val="20"/>
          <w:szCs w:val="20"/>
          <w:lang w:val="es-EC"/>
        </w:rPr>
      </w:pPr>
      <w:r w:rsidRPr="00274EC3">
        <w:rPr>
          <w:rFonts w:ascii="Palatino Linotype" w:hAnsi="Palatino Linotype"/>
          <w:b/>
          <w:sz w:val="20"/>
          <w:szCs w:val="20"/>
          <w:lang w:val="es-EC"/>
        </w:rPr>
        <w:t>Que,</w:t>
      </w:r>
      <w:r w:rsidRPr="00274EC3">
        <w:rPr>
          <w:rFonts w:ascii="Palatino Linotype" w:hAnsi="Palatino Linotype"/>
          <w:sz w:val="20"/>
          <w:szCs w:val="20"/>
          <w:lang w:val="es-EC"/>
        </w:rPr>
        <w:tab/>
        <w:t xml:space="preserve">el artículo 2156 del Código Municipal para el Distrito Metropolitano de Quito, en adelante, “Código Municipal”, señala que las asignaciones de zonificación para habilitación del suelo y edificación son: </w:t>
      </w:r>
      <w:r w:rsidRPr="00274EC3">
        <w:rPr>
          <w:rFonts w:ascii="Palatino Linotype" w:hAnsi="Palatino Linotype"/>
          <w:i/>
          <w:sz w:val="20"/>
          <w:szCs w:val="20"/>
          <w:lang w:val="es-EC"/>
        </w:rPr>
        <w:t>“a. Para habilitación del suelo: el tamaño mínimo de lote, expresado en metros cuadrados; el frente mínimo del lote, expresado en metros lineales”</w:t>
      </w:r>
      <w:r w:rsidRPr="00274EC3">
        <w:rPr>
          <w:rFonts w:ascii="Palatino Linotype" w:hAnsi="Palatino Linotype"/>
          <w:sz w:val="20"/>
          <w:szCs w:val="20"/>
          <w:lang w:val="es-EC"/>
        </w:rPr>
        <w:t>;</w:t>
      </w:r>
    </w:p>
    <w:p w14:paraId="3410C7F4" w14:textId="353D9853" w:rsidR="00082FCC" w:rsidRPr="00274EC3" w:rsidRDefault="00082FCC" w:rsidP="00082FCC">
      <w:pPr>
        <w:autoSpaceDE w:val="0"/>
        <w:autoSpaceDN w:val="0"/>
        <w:adjustRightInd w:val="0"/>
        <w:ind w:left="709" w:hanging="709"/>
        <w:jc w:val="both"/>
        <w:rPr>
          <w:rFonts w:ascii="Palatino Linotype" w:hAnsi="Palatino Linotype"/>
          <w:sz w:val="20"/>
          <w:szCs w:val="20"/>
          <w:lang w:val="es-EC"/>
        </w:rPr>
      </w:pPr>
      <w:r w:rsidRPr="00274EC3">
        <w:rPr>
          <w:rFonts w:ascii="Palatino Linotype" w:hAnsi="Palatino Linotype"/>
          <w:b/>
          <w:sz w:val="20"/>
          <w:szCs w:val="20"/>
          <w:lang w:val="es-EC"/>
        </w:rPr>
        <w:lastRenderedPageBreak/>
        <w:t xml:space="preserve">Que, </w:t>
      </w:r>
      <w:r w:rsidRPr="00274EC3">
        <w:rPr>
          <w:rFonts w:ascii="Palatino Linotype" w:hAnsi="Palatino Linotype"/>
          <w:b/>
          <w:sz w:val="20"/>
          <w:szCs w:val="20"/>
          <w:lang w:val="es-EC"/>
        </w:rPr>
        <w:tab/>
      </w:r>
      <w:r w:rsidRPr="00274EC3">
        <w:rPr>
          <w:rFonts w:ascii="Palatino Linotype" w:hAnsi="Palatino Linotype"/>
          <w:sz w:val="20"/>
          <w:szCs w:val="20"/>
          <w:lang w:val="es-EC"/>
        </w:rPr>
        <w:t xml:space="preserve">el artículo 2157 del Código Municipal establece: </w:t>
      </w:r>
      <w:r w:rsidRPr="00274EC3">
        <w:rPr>
          <w:rFonts w:ascii="Palatino Linotype" w:hAnsi="Palatino Linotype"/>
          <w:i/>
          <w:sz w:val="20"/>
          <w:szCs w:val="20"/>
          <w:lang w:val="es-EC"/>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 (...)";</w:t>
      </w:r>
    </w:p>
    <w:p w14:paraId="0BC12592" w14:textId="5BE35A00" w:rsidR="00082FCC" w:rsidRPr="00274EC3" w:rsidRDefault="00082FCC" w:rsidP="00274EC3">
      <w:pPr>
        <w:autoSpaceDE w:val="0"/>
        <w:autoSpaceDN w:val="0"/>
        <w:adjustRightInd w:val="0"/>
        <w:ind w:left="709" w:hanging="709"/>
        <w:jc w:val="both"/>
        <w:rPr>
          <w:rFonts w:ascii="Palatino Linotype" w:hAnsi="Palatino Linotype"/>
          <w:sz w:val="20"/>
          <w:szCs w:val="20"/>
        </w:rPr>
      </w:pPr>
      <w:r w:rsidRPr="00274EC3">
        <w:rPr>
          <w:rFonts w:ascii="Palatino Linotype" w:hAnsi="Palatino Linotype"/>
          <w:b/>
          <w:sz w:val="20"/>
          <w:szCs w:val="20"/>
          <w:lang w:val="es-EC"/>
        </w:rPr>
        <w:t>Que,</w:t>
      </w:r>
      <w:r w:rsidRPr="00274EC3">
        <w:rPr>
          <w:rFonts w:ascii="Palatino Linotype" w:hAnsi="Palatino Linotype"/>
          <w:sz w:val="20"/>
          <w:szCs w:val="20"/>
          <w:lang w:val="es-EC"/>
        </w:rPr>
        <w:t xml:space="preserve"> </w:t>
      </w:r>
      <w:r w:rsidRPr="00274EC3">
        <w:rPr>
          <w:rFonts w:ascii="Palatino Linotype" w:hAnsi="Palatino Linotype"/>
          <w:sz w:val="20"/>
          <w:szCs w:val="20"/>
          <w:lang w:val="es-EC"/>
        </w:rPr>
        <w:tab/>
        <w:t xml:space="preserve">el Código Municipal en su artículo 2162, numeral 1 y 5, determina que: </w:t>
      </w:r>
      <w:r w:rsidRPr="00274EC3">
        <w:rPr>
          <w:rFonts w:ascii="Palatino Linotype" w:hAnsi="Palatino Linotype"/>
          <w:i/>
          <w:sz w:val="20"/>
          <w:szCs w:val="20"/>
          <w:lang w:val="es-EC"/>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274EC3">
        <w:rPr>
          <w:rFonts w:ascii="Palatino Linotype" w:hAnsi="Palatino Linotype"/>
          <w:i/>
          <w:sz w:val="20"/>
          <w:szCs w:val="20"/>
        </w:rPr>
        <w:t>Se considera, además, como subdivisión a las habilitaciones originadas por partición judicial que pueden generarse en suelo urbano y rural. Éstas deberán sujetarse a la zonificación y normativa vigentes”</w:t>
      </w:r>
      <w:r w:rsidRPr="00274EC3">
        <w:rPr>
          <w:rFonts w:ascii="Palatino Linotype" w:hAnsi="Palatino Linotype"/>
          <w:sz w:val="20"/>
          <w:szCs w:val="20"/>
        </w:rPr>
        <w:t xml:space="preserve">; </w:t>
      </w:r>
    </w:p>
    <w:p w14:paraId="07013D3A" w14:textId="1DF0A44A" w:rsidR="00082FCC" w:rsidRPr="00274EC3" w:rsidRDefault="00082FCC" w:rsidP="00082FCC">
      <w:pPr>
        <w:autoSpaceDE w:val="0"/>
        <w:autoSpaceDN w:val="0"/>
        <w:adjustRightInd w:val="0"/>
        <w:ind w:left="709" w:hanging="709"/>
        <w:jc w:val="both"/>
        <w:rPr>
          <w:rFonts w:ascii="Palatino Linotype" w:hAnsi="Palatino Linotype"/>
          <w:i/>
          <w:sz w:val="20"/>
          <w:szCs w:val="20"/>
          <w:lang w:val="es-EC"/>
        </w:rPr>
      </w:pPr>
      <w:r w:rsidRPr="00274EC3">
        <w:rPr>
          <w:rFonts w:ascii="Palatino Linotype" w:hAnsi="Palatino Linotype"/>
          <w:b/>
          <w:sz w:val="20"/>
          <w:szCs w:val="20"/>
          <w:lang w:val="es-EC"/>
        </w:rPr>
        <w:t>Que,</w:t>
      </w:r>
      <w:r w:rsidRPr="00274EC3">
        <w:rPr>
          <w:rFonts w:ascii="Palatino Linotype" w:hAnsi="Palatino Linotype"/>
          <w:sz w:val="20"/>
          <w:szCs w:val="20"/>
          <w:lang w:val="es-EC"/>
        </w:rPr>
        <w:t xml:space="preserve"> </w:t>
      </w:r>
      <w:r w:rsidRPr="00274EC3">
        <w:rPr>
          <w:rFonts w:ascii="Palatino Linotype" w:hAnsi="Palatino Linotype"/>
          <w:sz w:val="20"/>
          <w:szCs w:val="20"/>
          <w:lang w:val="es-EC"/>
        </w:rPr>
        <w:tab/>
        <w:t>el Código Municipal en su artículo 2164, sobre las dimensiones y áreas mínimas de lotes, establece:</w:t>
      </w:r>
      <w:r w:rsidRPr="00274EC3">
        <w:rPr>
          <w:rFonts w:ascii="Palatino Linotype" w:hAnsi="Palatino Linotype" w:cs="Arial"/>
          <w:i/>
          <w:iCs/>
          <w:sz w:val="20"/>
          <w:szCs w:val="20"/>
        </w:rPr>
        <w:t xml:space="preserve"> </w:t>
      </w:r>
      <w:r w:rsidRPr="00274EC3">
        <w:rPr>
          <w:rFonts w:ascii="Palatino Linotype" w:hAnsi="Palatino Linotype"/>
          <w:i/>
          <w:sz w:val="20"/>
          <w:szCs w:val="20"/>
          <w:lang w:val="es-EC"/>
        </w:rPr>
        <w:t>"Las habilitaciones del suelo observarán las dimensiones y las superficies de los lotes, y grados o porcentajes de pendientes establecidas en el PUOS, y demás instrumentos de planificación, de conformidad con el ordenamiento jurídico metropolitano”;</w:t>
      </w:r>
    </w:p>
    <w:p w14:paraId="5596821C" w14:textId="40660363" w:rsidR="00082FCC" w:rsidRPr="00274EC3" w:rsidRDefault="00082FCC" w:rsidP="00082FCC">
      <w:pPr>
        <w:autoSpaceDE w:val="0"/>
        <w:autoSpaceDN w:val="0"/>
        <w:adjustRightInd w:val="0"/>
        <w:ind w:left="709" w:hanging="709"/>
        <w:jc w:val="both"/>
        <w:rPr>
          <w:rFonts w:ascii="Palatino Linotype" w:hAnsi="Palatino Linotype"/>
          <w:sz w:val="20"/>
          <w:szCs w:val="20"/>
          <w:lang w:val="es-EC"/>
        </w:rPr>
      </w:pPr>
      <w:r w:rsidRPr="00274EC3">
        <w:rPr>
          <w:rFonts w:ascii="Palatino Linotype" w:hAnsi="Palatino Linotype"/>
          <w:b/>
          <w:sz w:val="20"/>
          <w:szCs w:val="20"/>
          <w:lang w:val="es-EC"/>
        </w:rPr>
        <w:t>Que,</w:t>
      </w:r>
      <w:r w:rsidRPr="00274EC3">
        <w:rPr>
          <w:rFonts w:ascii="Palatino Linotype" w:hAnsi="Palatino Linotype"/>
          <w:b/>
          <w:sz w:val="20"/>
          <w:szCs w:val="20"/>
          <w:lang w:val="es-EC"/>
        </w:rPr>
        <w:tab/>
      </w:r>
      <w:r w:rsidRPr="00274EC3">
        <w:rPr>
          <w:rFonts w:ascii="Palatino Linotype" w:hAnsi="Palatino Linotype"/>
          <w:sz w:val="20"/>
          <w:szCs w:val="20"/>
          <w:lang w:val="es-EC"/>
        </w:rPr>
        <w:t>Mediante Oficio No. 12897 de 22 de abril de 2013, el Procurador General del Estado, ante una consulta planteada por el Gobierno Autónomo Descentralizado Municipal del Cantón Cañar, respecto los bienes inmuebles de una sucesión hereditaria que se desea dividir, deben o no, sujetarse a las reglas de los lotes mínimos, establecidos en el Plan de Desarrollo y Ordenamiento Territorial del Cantón, se pronunció en el siguiente sentido:</w:t>
      </w:r>
    </w:p>
    <w:p w14:paraId="48432A34" w14:textId="77777777" w:rsidR="00082FCC" w:rsidRPr="00274EC3" w:rsidRDefault="00082FCC" w:rsidP="00082FCC">
      <w:pPr>
        <w:autoSpaceDE w:val="0"/>
        <w:autoSpaceDN w:val="0"/>
        <w:adjustRightInd w:val="0"/>
        <w:ind w:left="709" w:hanging="1"/>
        <w:jc w:val="both"/>
        <w:rPr>
          <w:rFonts w:ascii="Palatino Linotype" w:hAnsi="Palatino Linotype"/>
          <w:i/>
          <w:sz w:val="20"/>
          <w:szCs w:val="20"/>
          <w:lang w:val="es-EC"/>
        </w:rPr>
      </w:pPr>
      <w:r w:rsidRPr="00274EC3">
        <w:rPr>
          <w:rFonts w:ascii="Palatino Linotype" w:hAnsi="Palatino Linotype"/>
          <w:i/>
          <w:sz w:val="20"/>
          <w:szCs w:val="20"/>
          <w:lang w:val="es-EC"/>
        </w:rPr>
        <w:t>“Del artículo 473 del COOTAD, en concordancia con los artículos 470 y 472 del mismo Código, citados en este pronunciamiento, se desprende que el informe favorable del respectivo concejo municipal para que proceda la partición, obedece a razones de ordenamiento territorial y planificación urbanística, y constituye una formalidad habilitante para practicar la partición judicial o extrajudicial de inmuebles ubicados en áreas urbanas. En atención a los términos de su consulta se concluye que, la partición de bienes inmuebles de una sucesión está sujeta al informe municipal previo que prescribe el artículo 473 del COOTAD, informe que obedece a razones de ordenamiento territorial y planificación urbanística; en consecuencia, a la partición de inmuebles le son aplicables las reglas de lotes mínimos establecidos en el Plan de Ordenamiento Territorial del respectivo cantón, según prescribe el artículo 472 de ese Código”.</w:t>
      </w:r>
    </w:p>
    <w:p w14:paraId="1D9FBE63" w14:textId="2638A7F1" w:rsidR="00082FCC" w:rsidRPr="00274EC3" w:rsidRDefault="00082FCC" w:rsidP="00082FCC">
      <w:pPr>
        <w:pStyle w:val="Sinespaciado"/>
        <w:jc w:val="both"/>
        <w:rPr>
          <w:rFonts w:ascii="Palatino Linotype" w:hAnsi="Palatino Linotype"/>
          <w:b/>
          <w:sz w:val="20"/>
          <w:szCs w:val="20"/>
        </w:rPr>
      </w:pPr>
    </w:p>
    <w:p w14:paraId="4DB6A1AA" w14:textId="1872ACD8" w:rsidR="00107E2A" w:rsidRPr="00274EC3" w:rsidRDefault="00907D2F" w:rsidP="00193DF1">
      <w:pPr>
        <w:pStyle w:val="Sinespaciado"/>
        <w:jc w:val="both"/>
        <w:rPr>
          <w:rFonts w:ascii="Palatino Linotype" w:hAnsi="Palatino Linotype"/>
          <w:sz w:val="20"/>
          <w:szCs w:val="20"/>
        </w:rPr>
      </w:pPr>
      <w:r w:rsidRPr="00274EC3">
        <w:rPr>
          <w:rFonts w:ascii="Palatino Linotype" w:eastAsia="Century Gothic" w:hAnsi="Palatino Linotype" w:cs="Century Gothic"/>
          <w:b/>
          <w:bCs/>
          <w:sz w:val="20"/>
          <w:szCs w:val="20"/>
        </w:rPr>
        <w:t>En</w:t>
      </w:r>
      <w:r w:rsidRPr="00274EC3">
        <w:rPr>
          <w:rFonts w:ascii="Palatino Linotype" w:eastAsia="Century Gothic" w:hAnsi="Palatino Linotype" w:cs="Century Gothic"/>
          <w:b/>
          <w:bCs/>
          <w:spacing w:val="3"/>
          <w:sz w:val="20"/>
          <w:szCs w:val="20"/>
        </w:rPr>
        <w:t xml:space="preserve"> </w:t>
      </w:r>
      <w:r w:rsidRPr="00274EC3">
        <w:rPr>
          <w:rFonts w:ascii="Palatino Linotype" w:eastAsia="Century Gothic" w:hAnsi="Palatino Linotype" w:cs="Century Gothic"/>
          <w:b/>
          <w:bCs/>
          <w:sz w:val="20"/>
          <w:szCs w:val="20"/>
        </w:rPr>
        <w:t>eje</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z w:val="20"/>
          <w:szCs w:val="20"/>
        </w:rPr>
        <w:t>c</w:t>
      </w:r>
      <w:r w:rsidRPr="00274EC3">
        <w:rPr>
          <w:rFonts w:ascii="Palatino Linotype" w:eastAsia="Century Gothic" w:hAnsi="Palatino Linotype" w:cs="Century Gothic"/>
          <w:b/>
          <w:bCs/>
          <w:spacing w:val="-2"/>
          <w:sz w:val="20"/>
          <w:szCs w:val="20"/>
        </w:rPr>
        <w:t>i</w:t>
      </w:r>
      <w:r w:rsidRPr="00274EC3">
        <w:rPr>
          <w:rFonts w:ascii="Palatino Linotype" w:eastAsia="Century Gothic" w:hAnsi="Palatino Linotype" w:cs="Century Gothic"/>
          <w:b/>
          <w:bCs/>
          <w:sz w:val="20"/>
          <w:szCs w:val="20"/>
        </w:rPr>
        <w:t>cio</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z w:val="20"/>
          <w:szCs w:val="20"/>
        </w:rPr>
        <w:t>de</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z w:val="20"/>
          <w:szCs w:val="20"/>
        </w:rPr>
        <w:t>las a</w:t>
      </w:r>
      <w:r w:rsidRPr="00274EC3">
        <w:rPr>
          <w:rFonts w:ascii="Palatino Linotype" w:eastAsia="Century Gothic" w:hAnsi="Palatino Linotype" w:cs="Century Gothic"/>
          <w:b/>
          <w:bCs/>
          <w:spacing w:val="-2"/>
          <w:sz w:val="20"/>
          <w:szCs w:val="20"/>
        </w:rPr>
        <w:t>t</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z w:val="20"/>
          <w:szCs w:val="20"/>
        </w:rPr>
        <w:t>ibuciones que</w:t>
      </w:r>
      <w:r w:rsidRPr="00274EC3">
        <w:rPr>
          <w:rFonts w:ascii="Palatino Linotype" w:eastAsia="Century Gothic" w:hAnsi="Palatino Linotype" w:cs="Century Gothic"/>
          <w:b/>
          <w:bCs/>
          <w:spacing w:val="4"/>
          <w:sz w:val="20"/>
          <w:szCs w:val="20"/>
        </w:rPr>
        <w:t xml:space="preserve"> </w:t>
      </w:r>
      <w:r w:rsidRPr="00274EC3">
        <w:rPr>
          <w:rFonts w:ascii="Palatino Linotype" w:eastAsia="Century Gothic" w:hAnsi="Palatino Linotype" w:cs="Century Gothic"/>
          <w:b/>
          <w:bCs/>
          <w:sz w:val="20"/>
          <w:szCs w:val="20"/>
        </w:rPr>
        <w:t>conf</w:t>
      </w:r>
      <w:r w:rsidRPr="00274EC3">
        <w:rPr>
          <w:rFonts w:ascii="Palatino Linotype" w:eastAsia="Century Gothic" w:hAnsi="Palatino Linotype" w:cs="Century Gothic"/>
          <w:b/>
          <w:bCs/>
          <w:spacing w:val="-3"/>
          <w:sz w:val="20"/>
          <w:szCs w:val="20"/>
        </w:rPr>
        <w:t>i</w:t>
      </w:r>
      <w:r w:rsidRPr="00274EC3">
        <w:rPr>
          <w:rFonts w:ascii="Palatino Linotype" w:eastAsia="Century Gothic" w:hAnsi="Palatino Linotype" w:cs="Century Gothic"/>
          <w:b/>
          <w:bCs/>
          <w:spacing w:val="-2"/>
          <w:sz w:val="20"/>
          <w:szCs w:val="20"/>
        </w:rPr>
        <w:t>e</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pacing w:val="1"/>
          <w:sz w:val="20"/>
          <w:szCs w:val="20"/>
        </w:rPr>
        <w:t>e</w:t>
      </w:r>
      <w:r w:rsidRPr="00274EC3">
        <w:rPr>
          <w:rFonts w:ascii="Palatino Linotype" w:eastAsia="Century Gothic" w:hAnsi="Palatino Linotype" w:cs="Century Gothic"/>
          <w:b/>
          <w:bCs/>
          <w:sz w:val="20"/>
          <w:szCs w:val="20"/>
        </w:rPr>
        <w:t>n</w:t>
      </w:r>
      <w:r w:rsidRPr="00274EC3">
        <w:rPr>
          <w:rFonts w:ascii="Palatino Linotype" w:eastAsia="Century Gothic" w:hAnsi="Palatino Linotype" w:cs="Century Gothic"/>
          <w:b/>
          <w:bCs/>
          <w:spacing w:val="3"/>
          <w:sz w:val="20"/>
          <w:szCs w:val="20"/>
        </w:rPr>
        <w:t xml:space="preserve"> </w:t>
      </w:r>
      <w:r w:rsidRPr="00274EC3">
        <w:rPr>
          <w:rFonts w:ascii="Palatino Linotype" w:eastAsia="Century Gothic" w:hAnsi="Palatino Linotype" w:cs="Century Gothic"/>
          <w:b/>
          <w:bCs/>
          <w:sz w:val="20"/>
          <w:szCs w:val="20"/>
        </w:rPr>
        <w:t>los</w:t>
      </w:r>
      <w:r w:rsidRPr="00274EC3">
        <w:rPr>
          <w:rFonts w:ascii="Palatino Linotype" w:eastAsia="Century Gothic" w:hAnsi="Palatino Linotype" w:cs="Century Gothic"/>
          <w:b/>
          <w:bCs/>
          <w:spacing w:val="2"/>
          <w:sz w:val="20"/>
          <w:szCs w:val="20"/>
        </w:rPr>
        <w:t xml:space="preserve"> </w:t>
      </w:r>
      <w:r w:rsidRPr="00274EC3">
        <w:rPr>
          <w:rFonts w:ascii="Palatino Linotype" w:eastAsia="Century Gothic" w:hAnsi="Palatino Linotype" w:cs="Century Gothic"/>
          <w:b/>
          <w:bCs/>
          <w:sz w:val="20"/>
          <w:szCs w:val="20"/>
        </w:rPr>
        <w:t>a</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pacing w:val="1"/>
          <w:sz w:val="20"/>
          <w:szCs w:val="20"/>
        </w:rPr>
        <w:t>t</w:t>
      </w:r>
      <w:r w:rsidRPr="00274EC3">
        <w:rPr>
          <w:rFonts w:ascii="Palatino Linotype" w:eastAsia="Century Gothic" w:hAnsi="Palatino Linotype" w:cs="Century Gothic"/>
          <w:b/>
          <w:bCs/>
          <w:spacing w:val="-3"/>
          <w:sz w:val="20"/>
          <w:szCs w:val="20"/>
        </w:rPr>
        <w:t>í</w:t>
      </w:r>
      <w:r w:rsidRPr="00274EC3">
        <w:rPr>
          <w:rFonts w:ascii="Palatino Linotype" w:eastAsia="Century Gothic" w:hAnsi="Palatino Linotype" w:cs="Century Gothic"/>
          <w:b/>
          <w:bCs/>
          <w:sz w:val="20"/>
          <w:szCs w:val="20"/>
        </w:rPr>
        <w:t xml:space="preserve">culos </w:t>
      </w:r>
      <w:r w:rsidRPr="00274EC3">
        <w:rPr>
          <w:rFonts w:ascii="Palatino Linotype" w:eastAsia="Century Gothic" w:hAnsi="Palatino Linotype" w:cs="Century Gothic"/>
          <w:b/>
          <w:bCs/>
          <w:spacing w:val="1"/>
          <w:sz w:val="20"/>
          <w:szCs w:val="20"/>
        </w:rPr>
        <w:t>8</w:t>
      </w:r>
      <w:r w:rsidRPr="00274EC3">
        <w:rPr>
          <w:rFonts w:ascii="Palatino Linotype" w:eastAsia="Century Gothic" w:hAnsi="Palatino Linotype" w:cs="Century Gothic"/>
          <w:b/>
          <w:bCs/>
          <w:spacing w:val="-1"/>
          <w:sz w:val="20"/>
          <w:szCs w:val="20"/>
        </w:rPr>
        <w:t>7</w:t>
      </w:r>
      <w:r w:rsidR="002F05A8" w:rsidRPr="00274EC3">
        <w:rPr>
          <w:rFonts w:ascii="Palatino Linotype" w:eastAsia="Century Gothic" w:hAnsi="Palatino Linotype" w:cs="Century Gothic"/>
          <w:b/>
          <w:bCs/>
          <w:sz w:val="20"/>
          <w:szCs w:val="20"/>
        </w:rPr>
        <w:t xml:space="preserve"> </w:t>
      </w:r>
      <w:r w:rsidRPr="00274EC3">
        <w:rPr>
          <w:rFonts w:ascii="Palatino Linotype" w:eastAsia="Century Gothic" w:hAnsi="Palatino Linotype" w:cs="Century Gothic"/>
          <w:b/>
          <w:bCs/>
          <w:sz w:val="20"/>
          <w:szCs w:val="20"/>
        </w:rPr>
        <w:t>l</w:t>
      </w:r>
      <w:r w:rsidRPr="00274EC3">
        <w:rPr>
          <w:rFonts w:ascii="Palatino Linotype" w:eastAsia="Century Gothic" w:hAnsi="Palatino Linotype" w:cs="Century Gothic"/>
          <w:b/>
          <w:bCs/>
          <w:spacing w:val="-3"/>
          <w:sz w:val="20"/>
          <w:szCs w:val="20"/>
        </w:rPr>
        <w:t>i</w:t>
      </w:r>
      <w:r w:rsidRPr="00274EC3">
        <w:rPr>
          <w:rFonts w:ascii="Palatino Linotype" w:eastAsia="Century Gothic" w:hAnsi="Palatino Linotype" w:cs="Century Gothic"/>
          <w:b/>
          <w:bCs/>
          <w:spacing w:val="1"/>
          <w:sz w:val="20"/>
          <w:szCs w:val="20"/>
        </w:rPr>
        <w:t>t</w:t>
      </w:r>
      <w:r w:rsidRPr="00274EC3">
        <w:rPr>
          <w:rFonts w:ascii="Palatino Linotype" w:eastAsia="Century Gothic" w:hAnsi="Palatino Linotype" w:cs="Century Gothic"/>
          <w:b/>
          <w:bCs/>
          <w:sz w:val="20"/>
          <w:szCs w:val="20"/>
        </w:rPr>
        <w:t>e</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z w:val="20"/>
          <w:szCs w:val="20"/>
        </w:rPr>
        <w:t>al</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z w:val="20"/>
          <w:szCs w:val="20"/>
        </w:rPr>
        <w:t>a)</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pacing w:val="4"/>
          <w:sz w:val="20"/>
          <w:szCs w:val="20"/>
        </w:rPr>
        <w:t>d</w:t>
      </w:r>
      <w:r w:rsidRPr="00274EC3">
        <w:rPr>
          <w:rFonts w:ascii="Palatino Linotype" w:eastAsia="Century Gothic" w:hAnsi="Palatino Linotype" w:cs="Century Gothic"/>
          <w:b/>
          <w:bCs/>
          <w:sz w:val="20"/>
          <w:szCs w:val="20"/>
        </w:rPr>
        <w:t>el C</w:t>
      </w:r>
      <w:r w:rsidRPr="00274EC3">
        <w:rPr>
          <w:rFonts w:ascii="Palatino Linotype" w:eastAsia="Century Gothic" w:hAnsi="Palatino Linotype" w:cs="Century Gothic"/>
          <w:b/>
          <w:bCs/>
          <w:spacing w:val="1"/>
          <w:sz w:val="20"/>
          <w:szCs w:val="20"/>
        </w:rPr>
        <w:t>ó</w:t>
      </w:r>
      <w:r w:rsidRPr="00274EC3">
        <w:rPr>
          <w:rFonts w:ascii="Palatino Linotype" w:eastAsia="Century Gothic" w:hAnsi="Palatino Linotype" w:cs="Century Gothic"/>
          <w:b/>
          <w:bCs/>
          <w:sz w:val="20"/>
          <w:szCs w:val="20"/>
        </w:rPr>
        <w:t>d</w:t>
      </w:r>
      <w:r w:rsidRPr="00274EC3">
        <w:rPr>
          <w:rFonts w:ascii="Palatino Linotype" w:eastAsia="Century Gothic" w:hAnsi="Palatino Linotype" w:cs="Century Gothic"/>
          <w:b/>
          <w:bCs/>
          <w:spacing w:val="-3"/>
          <w:sz w:val="20"/>
          <w:szCs w:val="20"/>
        </w:rPr>
        <w:t>i</w:t>
      </w:r>
      <w:r w:rsidRPr="00274EC3">
        <w:rPr>
          <w:rFonts w:ascii="Palatino Linotype" w:eastAsia="Century Gothic" w:hAnsi="Palatino Linotype" w:cs="Century Gothic"/>
          <w:b/>
          <w:bCs/>
          <w:sz w:val="20"/>
          <w:szCs w:val="20"/>
        </w:rPr>
        <w:t>go</w:t>
      </w:r>
      <w:r w:rsidR="00193DF1" w:rsidRPr="00274EC3">
        <w:rPr>
          <w:rFonts w:ascii="Palatino Linotype" w:eastAsia="Century Gothic" w:hAnsi="Palatino Linotype" w:cs="Century Gothic"/>
          <w:b/>
          <w:bCs/>
          <w:spacing w:val="35"/>
          <w:sz w:val="20"/>
          <w:szCs w:val="20"/>
        </w:rPr>
        <w:t xml:space="preserve"> </w:t>
      </w:r>
      <w:r w:rsidRPr="00274EC3">
        <w:rPr>
          <w:rFonts w:ascii="Palatino Linotype" w:eastAsia="Century Gothic" w:hAnsi="Palatino Linotype" w:cs="Century Gothic"/>
          <w:b/>
          <w:bCs/>
          <w:spacing w:val="-1"/>
          <w:sz w:val="20"/>
          <w:szCs w:val="20"/>
        </w:rPr>
        <w:t>Or</w:t>
      </w:r>
      <w:r w:rsidRPr="00274EC3">
        <w:rPr>
          <w:rFonts w:ascii="Palatino Linotype" w:eastAsia="Century Gothic" w:hAnsi="Palatino Linotype" w:cs="Century Gothic"/>
          <w:b/>
          <w:bCs/>
          <w:spacing w:val="-2"/>
          <w:sz w:val="20"/>
          <w:szCs w:val="20"/>
        </w:rPr>
        <w:t>g</w:t>
      </w:r>
      <w:r w:rsidRPr="00274EC3">
        <w:rPr>
          <w:rFonts w:ascii="Palatino Linotype" w:eastAsia="Century Gothic" w:hAnsi="Palatino Linotype" w:cs="Century Gothic"/>
          <w:b/>
          <w:bCs/>
          <w:sz w:val="20"/>
          <w:szCs w:val="20"/>
        </w:rPr>
        <w:t>án</w:t>
      </w:r>
      <w:r w:rsidRPr="00274EC3">
        <w:rPr>
          <w:rFonts w:ascii="Palatino Linotype" w:eastAsia="Century Gothic" w:hAnsi="Palatino Linotype" w:cs="Century Gothic"/>
          <w:b/>
          <w:bCs/>
          <w:spacing w:val="-1"/>
          <w:sz w:val="20"/>
          <w:szCs w:val="20"/>
        </w:rPr>
        <w:t>i</w:t>
      </w:r>
      <w:r w:rsidRPr="00274EC3">
        <w:rPr>
          <w:rFonts w:ascii="Palatino Linotype" w:eastAsia="Century Gothic" w:hAnsi="Palatino Linotype" w:cs="Century Gothic"/>
          <w:b/>
          <w:bCs/>
          <w:spacing w:val="-2"/>
          <w:sz w:val="20"/>
          <w:szCs w:val="20"/>
        </w:rPr>
        <w:t>c</w:t>
      </w:r>
      <w:r w:rsidRPr="00274EC3">
        <w:rPr>
          <w:rFonts w:ascii="Palatino Linotype" w:eastAsia="Century Gothic" w:hAnsi="Palatino Linotype" w:cs="Century Gothic"/>
          <w:b/>
          <w:bCs/>
          <w:sz w:val="20"/>
          <w:szCs w:val="20"/>
        </w:rPr>
        <w:t>o</w:t>
      </w:r>
      <w:r w:rsidR="00193DF1" w:rsidRPr="00274EC3">
        <w:rPr>
          <w:rFonts w:ascii="Palatino Linotype" w:eastAsia="Century Gothic" w:hAnsi="Palatino Linotype" w:cs="Century Gothic"/>
          <w:b/>
          <w:bCs/>
          <w:spacing w:val="35"/>
          <w:sz w:val="20"/>
          <w:szCs w:val="20"/>
        </w:rPr>
        <w:t xml:space="preserve"> </w:t>
      </w:r>
      <w:r w:rsidRPr="00274EC3">
        <w:rPr>
          <w:rFonts w:ascii="Palatino Linotype" w:eastAsia="Century Gothic" w:hAnsi="Palatino Linotype" w:cs="Century Gothic"/>
          <w:b/>
          <w:bCs/>
          <w:sz w:val="20"/>
          <w:szCs w:val="20"/>
        </w:rPr>
        <w:t>de</w:t>
      </w:r>
      <w:r w:rsidRPr="00274EC3">
        <w:rPr>
          <w:rFonts w:ascii="Palatino Linotype" w:eastAsia="Century Gothic" w:hAnsi="Palatino Linotype" w:cs="Century Gothic"/>
          <w:b/>
          <w:bCs/>
          <w:spacing w:val="32"/>
          <w:sz w:val="20"/>
          <w:szCs w:val="20"/>
        </w:rPr>
        <w:t xml:space="preserve"> </w:t>
      </w:r>
      <w:r w:rsidRPr="00274EC3">
        <w:rPr>
          <w:rFonts w:ascii="Palatino Linotype" w:eastAsia="Century Gothic" w:hAnsi="Palatino Linotype" w:cs="Century Gothic"/>
          <w:b/>
          <w:bCs/>
          <w:spacing w:val="-1"/>
          <w:sz w:val="20"/>
          <w:szCs w:val="20"/>
        </w:rPr>
        <w:t>Or</w:t>
      </w:r>
      <w:r w:rsidRPr="00274EC3">
        <w:rPr>
          <w:rFonts w:ascii="Palatino Linotype" w:eastAsia="Century Gothic" w:hAnsi="Palatino Linotype" w:cs="Century Gothic"/>
          <w:b/>
          <w:bCs/>
          <w:sz w:val="20"/>
          <w:szCs w:val="20"/>
        </w:rPr>
        <w:t>gan</w:t>
      </w:r>
      <w:r w:rsidRPr="00274EC3">
        <w:rPr>
          <w:rFonts w:ascii="Palatino Linotype" w:eastAsia="Century Gothic" w:hAnsi="Palatino Linotype" w:cs="Century Gothic"/>
          <w:b/>
          <w:bCs/>
          <w:spacing w:val="-1"/>
          <w:sz w:val="20"/>
          <w:szCs w:val="20"/>
        </w:rPr>
        <w:t>iz</w:t>
      </w:r>
      <w:r w:rsidRPr="00274EC3">
        <w:rPr>
          <w:rFonts w:ascii="Palatino Linotype" w:eastAsia="Century Gothic" w:hAnsi="Palatino Linotype" w:cs="Century Gothic"/>
          <w:b/>
          <w:bCs/>
          <w:sz w:val="20"/>
          <w:szCs w:val="20"/>
        </w:rPr>
        <w:t>ac</w:t>
      </w:r>
      <w:r w:rsidRPr="00274EC3">
        <w:rPr>
          <w:rFonts w:ascii="Palatino Linotype" w:eastAsia="Century Gothic" w:hAnsi="Palatino Linotype" w:cs="Century Gothic"/>
          <w:b/>
          <w:bCs/>
          <w:spacing w:val="-2"/>
          <w:sz w:val="20"/>
          <w:szCs w:val="20"/>
        </w:rPr>
        <w:t>i</w:t>
      </w:r>
      <w:r w:rsidRPr="00274EC3">
        <w:rPr>
          <w:rFonts w:ascii="Palatino Linotype" w:eastAsia="Century Gothic" w:hAnsi="Palatino Linotype" w:cs="Century Gothic"/>
          <w:b/>
          <w:bCs/>
          <w:sz w:val="20"/>
          <w:szCs w:val="20"/>
        </w:rPr>
        <w:t>ón</w:t>
      </w:r>
      <w:r w:rsidRPr="00274EC3">
        <w:rPr>
          <w:rFonts w:ascii="Palatino Linotype" w:eastAsia="Century Gothic" w:hAnsi="Palatino Linotype" w:cs="Century Gothic"/>
          <w:b/>
          <w:bCs/>
          <w:spacing w:val="34"/>
          <w:sz w:val="20"/>
          <w:szCs w:val="20"/>
        </w:rPr>
        <w:t xml:space="preserve"> </w:t>
      </w:r>
      <w:r w:rsidRPr="00274EC3">
        <w:rPr>
          <w:rFonts w:ascii="Palatino Linotype" w:eastAsia="Century Gothic" w:hAnsi="Palatino Linotype" w:cs="Century Gothic"/>
          <w:b/>
          <w:bCs/>
          <w:spacing w:val="-2"/>
          <w:sz w:val="20"/>
          <w:szCs w:val="20"/>
        </w:rPr>
        <w:t>T</w:t>
      </w:r>
      <w:r w:rsidRPr="00274EC3">
        <w:rPr>
          <w:rFonts w:ascii="Palatino Linotype" w:eastAsia="Century Gothic" w:hAnsi="Palatino Linotype" w:cs="Century Gothic"/>
          <w:b/>
          <w:bCs/>
          <w:sz w:val="20"/>
          <w:szCs w:val="20"/>
        </w:rPr>
        <w:t>e</w:t>
      </w:r>
      <w:r w:rsidRPr="00274EC3">
        <w:rPr>
          <w:rFonts w:ascii="Palatino Linotype" w:eastAsia="Century Gothic" w:hAnsi="Palatino Linotype" w:cs="Century Gothic"/>
          <w:b/>
          <w:bCs/>
          <w:spacing w:val="-1"/>
          <w:sz w:val="20"/>
          <w:szCs w:val="20"/>
        </w:rPr>
        <w:t>rr</w:t>
      </w:r>
      <w:r w:rsidRPr="00274EC3">
        <w:rPr>
          <w:rFonts w:ascii="Palatino Linotype" w:eastAsia="Century Gothic" w:hAnsi="Palatino Linotype" w:cs="Century Gothic"/>
          <w:b/>
          <w:bCs/>
          <w:sz w:val="20"/>
          <w:szCs w:val="20"/>
        </w:rPr>
        <w:t>i</w:t>
      </w:r>
      <w:r w:rsidRPr="00274EC3">
        <w:rPr>
          <w:rFonts w:ascii="Palatino Linotype" w:eastAsia="Century Gothic" w:hAnsi="Palatino Linotype" w:cs="Century Gothic"/>
          <w:b/>
          <w:bCs/>
          <w:spacing w:val="1"/>
          <w:sz w:val="20"/>
          <w:szCs w:val="20"/>
        </w:rPr>
        <w:t>t</w:t>
      </w:r>
      <w:r w:rsidRPr="00274EC3">
        <w:rPr>
          <w:rFonts w:ascii="Palatino Linotype" w:eastAsia="Century Gothic" w:hAnsi="Palatino Linotype" w:cs="Century Gothic"/>
          <w:b/>
          <w:bCs/>
          <w:sz w:val="20"/>
          <w:szCs w:val="20"/>
        </w:rPr>
        <w:t>o</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z w:val="20"/>
          <w:szCs w:val="20"/>
        </w:rPr>
        <w:t>i</w:t>
      </w:r>
      <w:r w:rsidRPr="00274EC3">
        <w:rPr>
          <w:rFonts w:ascii="Palatino Linotype" w:eastAsia="Century Gothic" w:hAnsi="Palatino Linotype" w:cs="Century Gothic"/>
          <w:b/>
          <w:bCs/>
          <w:spacing w:val="-2"/>
          <w:sz w:val="20"/>
          <w:szCs w:val="20"/>
        </w:rPr>
        <w:t>a</w:t>
      </w:r>
      <w:r w:rsidRPr="00274EC3">
        <w:rPr>
          <w:rFonts w:ascii="Palatino Linotype" w:eastAsia="Century Gothic" w:hAnsi="Palatino Linotype" w:cs="Century Gothic"/>
          <w:b/>
          <w:bCs/>
          <w:sz w:val="20"/>
          <w:szCs w:val="20"/>
        </w:rPr>
        <w:t>l,</w:t>
      </w:r>
      <w:r w:rsidRPr="00274EC3">
        <w:rPr>
          <w:rFonts w:ascii="Palatino Linotype" w:eastAsia="Century Gothic" w:hAnsi="Palatino Linotype" w:cs="Century Gothic"/>
          <w:b/>
          <w:bCs/>
          <w:spacing w:val="35"/>
          <w:sz w:val="20"/>
          <w:szCs w:val="20"/>
        </w:rPr>
        <w:t xml:space="preserve"> </w:t>
      </w:r>
      <w:r w:rsidRPr="00274EC3">
        <w:rPr>
          <w:rFonts w:ascii="Palatino Linotype" w:eastAsia="Century Gothic" w:hAnsi="Palatino Linotype" w:cs="Century Gothic"/>
          <w:b/>
          <w:bCs/>
          <w:sz w:val="20"/>
          <w:szCs w:val="20"/>
        </w:rPr>
        <w:t>A</w:t>
      </w:r>
      <w:r w:rsidRPr="00274EC3">
        <w:rPr>
          <w:rFonts w:ascii="Palatino Linotype" w:eastAsia="Century Gothic" w:hAnsi="Palatino Linotype" w:cs="Century Gothic"/>
          <w:b/>
          <w:bCs/>
          <w:spacing w:val="-1"/>
          <w:sz w:val="20"/>
          <w:szCs w:val="20"/>
        </w:rPr>
        <w:t>u</w:t>
      </w:r>
      <w:r w:rsidRPr="00274EC3">
        <w:rPr>
          <w:rFonts w:ascii="Palatino Linotype" w:eastAsia="Century Gothic" w:hAnsi="Palatino Linotype" w:cs="Century Gothic"/>
          <w:b/>
          <w:bCs/>
          <w:spacing w:val="1"/>
          <w:sz w:val="20"/>
          <w:szCs w:val="20"/>
        </w:rPr>
        <w:t>t</w:t>
      </w:r>
      <w:r w:rsidRPr="00274EC3">
        <w:rPr>
          <w:rFonts w:ascii="Palatino Linotype" w:eastAsia="Century Gothic" w:hAnsi="Palatino Linotype" w:cs="Century Gothic"/>
          <w:b/>
          <w:bCs/>
          <w:sz w:val="20"/>
          <w:szCs w:val="20"/>
        </w:rPr>
        <w:t>o</w:t>
      </w:r>
      <w:r w:rsidRPr="00274EC3">
        <w:rPr>
          <w:rFonts w:ascii="Palatino Linotype" w:eastAsia="Century Gothic" w:hAnsi="Palatino Linotype" w:cs="Century Gothic"/>
          <w:b/>
          <w:bCs/>
          <w:spacing w:val="-3"/>
          <w:sz w:val="20"/>
          <w:szCs w:val="20"/>
        </w:rPr>
        <w:t>n</w:t>
      </w:r>
      <w:r w:rsidRPr="00274EC3">
        <w:rPr>
          <w:rFonts w:ascii="Palatino Linotype" w:eastAsia="Century Gothic" w:hAnsi="Palatino Linotype" w:cs="Century Gothic"/>
          <w:b/>
          <w:bCs/>
          <w:sz w:val="20"/>
          <w:szCs w:val="20"/>
        </w:rPr>
        <w:t>o</w:t>
      </w:r>
      <w:r w:rsidRPr="00274EC3">
        <w:rPr>
          <w:rFonts w:ascii="Palatino Linotype" w:eastAsia="Century Gothic" w:hAnsi="Palatino Linotype" w:cs="Century Gothic"/>
          <w:b/>
          <w:bCs/>
          <w:spacing w:val="-1"/>
          <w:sz w:val="20"/>
          <w:szCs w:val="20"/>
        </w:rPr>
        <w:t>m</w:t>
      </w:r>
      <w:r w:rsidRPr="00274EC3">
        <w:rPr>
          <w:rFonts w:ascii="Palatino Linotype" w:eastAsia="Century Gothic" w:hAnsi="Palatino Linotype" w:cs="Century Gothic"/>
          <w:b/>
          <w:bCs/>
          <w:sz w:val="20"/>
          <w:szCs w:val="20"/>
        </w:rPr>
        <w:t>ía</w:t>
      </w:r>
      <w:r w:rsidRPr="00274EC3">
        <w:rPr>
          <w:rFonts w:ascii="Palatino Linotype" w:eastAsia="Century Gothic" w:hAnsi="Palatino Linotype" w:cs="Century Gothic"/>
          <w:b/>
          <w:bCs/>
          <w:spacing w:val="35"/>
          <w:sz w:val="20"/>
          <w:szCs w:val="20"/>
        </w:rPr>
        <w:t xml:space="preserve"> </w:t>
      </w:r>
      <w:r w:rsidRPr="00274EC3">
        <w:rPr>
          <w:rFonts w:ascii="Palatino Linotype" w:eastAsia="Century Gothic" w:hAnsi="Palatino Linotype" w:cs="Century Gothic"/>
          <w:b/>
          <w:bCs/>
          <w:sz w:val="20"/>
          <w:szCs w:val="20"/>
        </w:rPr>
        <w:t>y</w:t>
      </w:r>
      <w:r w:rsidRPr="00274EC3">
        <w:rPr>
          <w:rFonts w:ascii="Palatino Linotype" w:eastAsia="Century Gothic" w:hAnsi="Palatino Linotype" w:cs="Century Gothic"/>
          <w:b/>
          <w:bCs/>
          <w:spacing w:val="34"/>
          <w:sz w:val="20"/>
          <w:szCs w:val="20"/>
        </w:rPr>
        <w:t xml:space="preserve"> </w:t>
      </w:r>
      <w:r w:rsidRPr="00274EC3">
        <w:rPr>
          <w:rFonts w:ascii="Palatino Linotype" w:eastAsia="Century Gothic" w:hAnsi="Palatino Linotype" w:cs="Century Gothic"/>
          <w:b/>
          <w:bCs/>
          <w:spacing w:val="-1"/>
          <w:sz w:val="20"/>
          <w:szCs w:val="20"/>
        </w:rPr>
        <w:t>D</w:t>
      </w:r>
      <w:r w:rsidRPr="00274EC3">
        <w:rPr>
          <w:rFonts w:ascii="Palatino Linotype" w:eastAsia="Century Gothic" w:hAnsi="Palatino Linotype" w:cs="Century Gothic"/>
          <w:b/>
          <w:bCs/>
          <w:sz w:val="20"/>
          <w:szCs w:val="20"/>
        </w:rPr>
        <w:t>e</w:t>
      </w:r>
      <w:r w:rsidRPr="00274EC3">
        <w:rPr>
          <w:rFonts w:ascii="Palatino Linotype" w:eastAsia="Century Gothic" w:hAnsi="Palatino Linotype" w:cs="Century Gothic"/>
          <w:b/>
          <w:bCs/>
          <w:spacing w:val="-1"/>
          <w:sz w:val="20"/>
          <w:szCs w:val="20"/>
        </w:rPr>
        <w:t>s</w:t>
      </w:r>
      <w:r w:rsidRPr="00274EC3">
        <w:rPr>
          <w:rFonts w:ascii="Palatino Linotype" w:eastAsia="Century Gothic" w:hAnsi="Palatino Linotype" w:cs="Century Gothic"/>
          <w:b/>
          <w:bCs/>
          <w:spacing w:val="-2"/>
          <w:sz w:val="20"/>
          <w:szCs w:val="20"/>
        </w:rPr>
        <w:t>ce</w:t>
      </w:r>
      <w:r w:rsidRPr="00274EC3">
        <w:rPr>
          <w:rFonts w:ascii="Palatino Linotype" w:eastAsia="Century Gothic" w:hAnsi="Palatino Linotype" w:cs="Century Gothic"/>
          <w:b/>
          <w:bCs/>
          <w:sz w:val="20"/>
          <w:szCs w:val="20"/>
        </w:rPr>
        <w:t>ntrali</w:t>
      </w:r>
      <w:r w:rsidRPr="00274EC3">
        <w:rPr>
          <w:rFonts w:ascii="Palatino Linotype" w:eastAsia="Century Gothic" w:hAnsi="Palatino Linotype" w:cs="Century Gothic"/>
          <w:b/>
          <w:bCs/>
          <w:spacing w:val="-1"/>
          <w:sz w:val="20"/>
          <w:szCs w:val="20"/>
        </w:rPr>
        <w:t>z</w:t>
      </w:r>
      <w:r w:rsidRPr="00274EC3">
        <w:rPr>
          <w:rFonts w:ascii="Palatino Linotype" w:eastAsia="Century Gothic" w:hAnsi="Palatino Linotype" w:cs="Century Gothic"/>
          <w:b/>
          <w:bCs/>
          <w:sz w:val="20"/>
          <w:szCs w:val="20"/>
        </w:rPr>
        <w:t>ac</w:t>
      </w:r>
      <w:r w:rsidRPr="00274EC3">
        <w:rPr>
          <w:rFonts w:ascii="Palatino Linotype" w:eastAsia="Century Gothic" w:hAnsi="Palatino Linotype" w:cs="Century Gothic"/>
          <w:b/>
          <w:bCs/>
          <w:spacing w:val="-2"/>
          <w:sz w:val="20"/>
          <w:szCs w:val="20"/>
        </w:rPr>
        <w:t>i</w:t>
      </w:r>
      <w:r w:rsidRPr="00274EC3">
        <w:rPr>
          <w:rFonts w:ascii="Palatino Linotype" w:eastAsia="Century Gothic" w:hAnsi="Palatino Linotype" w:cs="Century Gothic"/>
          <w:b/>
          <w:bCs/>
          <w:sz w:val="20"/>
          <w:szCs w:val="20"/>
        </w:rPr>
        <w:t>ó</w:t>
      </w:r>
      <w:r w:rsidRPr="00274EC3">
        <w:rPr>
          <w:rFonts w:ascii="Palatino Linotype" w:eastAsia="Century Gothic" w:hAnsi="Palatino Linotype" w:cs="Century Gothic"/>
          <w:b/>
          <w:bCs/>
          <w:spacing w:val="6"/>
          <w:sz w:val="20"/>
          <w:szCs w:val="20"/>
        </w:rPr>
        <w:t>n</w:t>
      </w:r>
      <w:r w:rsidRPr="00274EC3">
        <w:rPr>
          <w:rFonts w:ascii="Palatino Linotype" w:eastAsia="Century Gothic" w:hAnsi="Palatino Linotype" w:cs="Century Gothic"/>
          <w:b/>
          <w:bCs/>
          <w:sz w:val="20"/>
          <w:szCs w:val="20"/>
        </w:rPr>
        <w:t xml:space="preserve">; </w:t>
      </w:r>
      <w:r w:rsidRPr="00274EC3">
        <w:rPr>
          <w:rFonts w:ascii="Palatino Linotype" w:eastAsia="Century Gothic" w:hAnsi="Palatino Linotype" w:cs="Century Gothic"/>
          <w:b/>
          <w:bCs/>
          <w:spacing w:val="-1"/>
          <w:sz w:val="20"/>
          <w:szCs w:val="20"/>
        </w:rPr>
        <w:t>y</w:t>
      </w:r>
      <w:r w:rsidRPr="00274EC3">
        <w:rPr>
          <w:rFonts w:ascii="Palatino Linotype" w:eastAsia="Century Gothic" w:hAnsi="Palatino Linotype" w:cs="Century Gothic"/>
          <w:b/>
          <w:bCs/>
          <w:sz w:val="20"/>
          <w:szCs w:val="20"/>
        </w:rPr>
        <w:t>,</w:t>
      </w:r>
      <w:r w:rsidRPr="00274EC3">
        <w:rPr>
          <w:rFonts w:ascii="Palatino Linotype" w:eastAsia="Century Gothic" w:hAnsi="Palatino Linotype" w:cs="Century Gothic"/>
          <w:b/>
          <w:bCs/>
          <w:spacing w:val="1"/>
          <w:sz w:val="20"/>
          <w:szCs w:val="20"/>
        </w:rPr>
        <w:t xml:space="preserve"> </w:t>
      </w:r>
      <w:r w:rsidR="002F05A8" w:rsidRPr="00274EC3">
        <w:rPr>
          <w:rFonts w:ascii="Palatino Linotype" w:eastAsia="Century Gothic" w:hAnsi="Palatino Linotype" w:cs="Century Gothic"/>
          <w:b/>
          <w:bCs/>
          <w:spacing w:val="1"/>
          <w:sz w:val="20"/>
          <w:szCs w:val="20"/>
        </w:rPr>
        <w:t xml:space="preserve">artículo </w:t>
      </w:r>
      <w:r w:rsidRPr="00274EC3">
        <w:rPr>
          <w:rFonts w:ascii="Palatino Linotype" w:eastAsia="Century Gothic" w:hAnsi="Palatino Linotype" w:cs="Century Gothic"/>
          <w:b/>
          <w:bCs/>
          <w:sz w:val="20"/>
          <w:szCs w:val="20"/>
        </w:rPr>
        <w:t>8</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pacing w:val="1"/>
          <w:sz w:val="20"/>
          <w:szCs w:val="20"/>
        </w:rPr>
        <w:t>d</w:t>
      </w:r>
      <w:r w:rsidRPr="00274EC3">
        <w:rPr>
          <w:rFonts w:ascii="Palatino Linotype" w:eastAsia="Century Gothic" w:hAnsi="Palatino Linotype" w:cs="Century Gothic"/>
          <w:b/>
          <w:bCs/>
          <w:sz w:val="20"/>
          <w:szCs w:val="20"/>
        </w:rPr>
        <w:t xml:space="preserve">ela </w:t>
      </w:r>
      <w:r w:rsidRPr="00274EC3">
        <w:rPr>
          <w:rFonts w:ascii="Palatino Linotype" w:eastAsia="Century Gothic" w:hAnsi="Palatino Linotype" w:cs="Century Gothic"/>
          <w:b/>
          <w:bCs/>
          <w:spacing w:val="-1"/>
          <w:sz w:val="20"/>
          <w:szCs w:val="20"/>
        </w:rPr>
        <w:t>L</w:t>
      </w:r>
      <w:r w:rsidRPr="00274EC3">
        <w:rPr>
          <w:rFonts w:ascii="Palatino Linotype" w:eastAsia="Century Gothic" w:hAnsi="Palatino Linotype" w:cs="Century Gothic"/>
          <w:b/>
          <w:bCs/>
          <w:sz w:val="20"/>
          <w:szCs w:val="20"/>
        </w:rPr>
        <w:t>ey O</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z w:val="20"/>
          <w:szCs w:val="20"/>
        </w:rPr>
        <w:t>g</w:t>
      </w:r>
      <w:r w:rsidRPr="00274EC3">
        <w:rPr>
          <w:rFonts w:ascii="Palatino Linotype" w:eastAsia="Century Gothic" w:hAnsi="Palatino Linotype" w:cs="Century Gothic"/>
          <w:b/>
          <w:bCs/>
          <w:spacing w:val="-2"/>
          <w:sz w:val="20"/>
          <w:szCs w:val="20"/>
        </w:rPr>
        <w:t>á</w:t>
      </w:r>
      <w:r w:rsidRPr="00274EC3">
        <w:rPr>
          <w:rFonts w:ascii="Palatino Linotype" w:eastAsia="Century Gothic" w:hAnsi="Palatino Linotype" w:cs="Century Gothic"/>
          <w:b/>
          <w:bCs/>
          <w:sz w:val="20"/>
          <w:szCs w:val="20"/>
        </w:rPr>
        <w:t>n</w:t>
      </w:r>
      <w:r w:rsidRPr="00274EC3">
        <w:rPr>
          <w:rFonts w:ascii="Palatino Linotype" w:eastAsia="Century Gothic" w:hAnsi="Palatino Linotype" w:cs="Century Gothic"/>
          <w:b/>
          <w:bCs/>
          <w:spacing w:val="-1"/>
          <w:sz w:val="20"/>
          <w:szCs w:val="20"/>
        </w:rPr>
        <w:t>i</w:t>
      </w:r>
      <w:r w:rsidRPr="00274EC3">
        <w:rPr>
          <w:rFonts w:ascii="Palatino Linotype" w:eastAsia="Century Gothic" w:hAnsi="Palatino Linotype" w:cs="Century Gothic"/>
          <w:b/>
          <w:bCs/>
          <w:sz w:val="20"/>
          <w:szCs w:val="20"/>
        </w:rPr>
        <w:t>ca</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z w:val="20"/>
          <w:szCs w:val="20"/>
        </w:rPr>
        <w:t>de</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pacing w:val="-2"/>
          <w:sz w:val="20"/>
          <w:szCs w:val="20"/>
        </w:rPr>
        <w:t>é</w:t>
      </w:r>
      <w:r w:rsidRPr="00274EC3">
        <w:rPr>
          <w:rFonts w:ascii="Palatino Linotype" w:eastAsia="Century Gothic" w:hAnsi="Palatino Linotype" w:cs="Century Gothic"/>
          <w:b/>
          <w:bCs/>
          <w:sz w:val="20"/>
          <w:szCs w:val="20"/>
        </w:rPr>
        <w:t>gi</w:t>
      </w:r>
      <w:r w:rsidRPr="00274EC3">
        <w:rPr>
          <w:rFonts w:ascii="Palatino Linotype" w:eastAsia="Century Gothic" w:hAnsi="Palatino Linotype" w:cs="Century Gothic"/>
          <w:b/>
          <w:bCs/>
          <w:spacing w:val="-1"/>
          <w:sz w:val="20"/>
          <w:szCs w:val="20"/>
        </w:rPr>
        <w:t>m</w:t>
      </w:r>
      <w:r w:rsidRPr="00274EC3">
        <w:rPr>
          <w:rFonts w:ascii="Palatino Linotype" w:eastAsia="Century Gothic" w:hAnsi="Palatino Linotype" w:cs="Century Gothic"/>
          <w:b/>
          <w:bCs/>
          <w:sz w:val="20"/>
          <w:szCs w:val="20"/>
        </w:rPr>
        <w:t>en</w:t>
      </w:r>
      <w:r w:rsidRPr="00274EC3">
        <w:rPr>
          <w:rFonts w:ascii="Palatino Linotype" w:eastAsia="Century Gothic" w:hAnsi="Palatino Linotype" w:cs="Century Gothic"/>
          <w:b/>
          <w:bCs/>
          <w:spacing w:val="-2"/>
          <w:sz w:val="20"/>
          <w:szCs w:val="20"/>
        </w:rPr>
        <w:t xml:space="preserve"> </w:t>
      </w:r>
      <w:r w:rsidRPr="00274EC3">
        <w:rPr>
          <w:rFonts w:ascii="Palatino Linotype" w:eastAsia="Century Gothic" w:hAnsi="Palatino Linotype" w:cs="Century Gothic"/>
          <w:b/>
          <w:bCs/>
          <w:sz w:val="20"/>
          <w:szCs w:val="20"/>
        </w:rPr>
        <w:t>pa</w:t>
      </w:r>
      <w:r w:rsidRPr="00274EC3">
        <w:rPr>
          <w:rFonts w:ascii="Palatino Linotype" w:eastAsia="Century Gothic" w:hAnsi="Palatino Linotype" w:cs="Century Gothic"/>
          <w:b/>
          <w:bCs/>
          <w:spacing w:val="-3"/>
          <w:sz w:val="20"/>
          <w:szCs w:val="20"/>
        </w:rPr>
        <w:t>r</w:t>
      </w:r>
      <w:r w:rsidRPr="00274EC3">
        <w:rPr>
          <w:rFonts w:ascii="Palatino Linotype" w:eastAsia="Century Gothic" w:hAnsi="Palatino Linotype" w:cs="Century Gothic"/>
          <w:b/>
          <w:bCs/>
          <w:sz w:val="20"/>
          <w:szCs w:val="20"/>
        </w:rPr>
        <w:t>a</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z w:val="20"/>
          <w:szCs w:val="20"/>
        </w:rPr>
        <w:t>el</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pacing w:val="-1"/>
          <w:sz w:val="20"/>
          <w:szCs w:val="20"/>
        </w:rPr>
        <w:t>D</w:t>
      </w:r>
      <w:r w:rsidRPr="00274EC3">
        <w:rPr>
          <w:rFonts w:ascii="Palatino Linotype" w:eastAsia="Century Gothic" w:hAnsi="Palatino Linotype" w:cs="Century Gothic"/>
          <w:b/>
          <w:bCs/>
          <w:sz w:val="20"/>
          <w:szCs w:val="20"/>
        </w:rPr>
        <w:t>i</w:t>
      </w:r>
      <w:r w:rsidRPr="00274EC3">
        <w:rPr>
          <w:rFonts w:ascii="Palatino Linotype" w:eastAsia="Century Gothic" w:hAnsi="Palatino Linotype" w:cs="Century Gothic"/>
          <w:b/>
          <w:bCs/>
          <w:spacing w:val="-1"/>
          <w:sz w:val="20"/>
          <w:szCs w:val="20"/>
        </w:rPr>
        <w:t>s</w:t>
      </w:r>
      <w:r w:rsidRPr="00274EC3">
        <w:rPr>
          <w:rFonts w:ascii="Palatino Linotype" w:eastAsia="Century Gothic" w:hAnsi="Palatino Linotype" w:cs="Century Gothic"/>
          <w:b/>
          <w:bCs/>
          <w:spacing w:val="4"/>
          <w:sz w:val="20"/>
          <w:szCs w:val="20"/>
        </w:rPr>
        <w:t>t</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z w:val="20"/>
          <w:szCs w:val="20"/>
        </w:rPr>
        <w:t>i</w:t>
      </w:r>
      <w:r w:rsidRPr="00274EC3">
        <w:rPr>
          <w:rFonts w:ascii="Palatino Linotype" w:eastAsia="Century Gothic" w:hAnsi="Palatino Linotype" w:cs="Century Gothic"/>
          <w:b/>
          <w:bCs/>
          <w:spacing w:val="1"/>
          <w:sz w:val="20"/>
          <w:szCs w:val="20"/>
        </w:rPr>
        <w:t>t</w:t>
      </w:r>
      <w:r w:rsidRPr="00274EC3">
        <w:rPr>
          <w:rFonts w:ascii="Palatino Linotype" w:eastAsia="Century Gothic" w:hAnsi="Palatino Linotype" w:cs="Century Gothic"/>
          <w:b/>
          <w:bCs/>
          <w:sz w:val="20"/>
          <w:szCs w:val="20"/>
        </w:rPr>
        <w:t>o</w:t>
      </w:r>
      <w:r w:rsidRPr="00274EC3">
        <w:rPr>
          <w:rFonts w:ascii="Palatino Linotype" w:eastAsia="Century Gothic" w:hAnsi="Palatino Linotype" w:cs="Century Gothic"/>
          <w:b/>
          <w:bCs/>
          <w:spacing w:val="-2"/>
          <w:sz w:val="20"/>
          <w:szCs w:val="20"/>
        </w:rPr>
        <w:t xml:space="preserve"> </w:t>
      </w:r>
      <w:r w:rsidRPr="00274EC3">
        <w:rPr>
          <w:rFonts w:ascii="Palatino Linotype" w:eastAsia="Century Gothic" w:hAnsi="Palatino Linotype" w:cs="Century Gothic"/>
          <w:b/>
          <w:bCs/>
          <w:spacing w:val="1"/>
          <w:sz w:val="20"/>
          <w:szCs w:val="20"/>
        </w:rPr>
        <w:t>M</w:t>
      </w:r>
      <w:r w:rsidRPr="00274EC3">
        <w:rPr>
          <w:rFonts w:ascii="Palatino Linotype" w:eastAsia="Century Gothic" w:hAnsi="Palatino Linotype" w:cs="Century Gothic"/>
          <w:b/>
          <w:bCs/>
          <w:spacing w:val="-2"/>
          <w:sz w:val="20"/>
          <w:szCs w:val="20"/>
        </w:rPr>
        <w:t>e</w:t>
      </w:r>
      <w:r w:rsidRPr="00274EC3">
        <w:rPr>
          <w:rFonts w:ascii="Palatino Linotype" w:eastAsia="Century Gothic" w:hAnsi="Palatino Linotype" w:cs="Century Gothic"/>
          <w:b/>
          <w:bCs/>
          <w:spacing w:val="1"/>
          <w:sz w:val="20"/>
          <w:szCs w:val="20"/>
        </w:rPr>
        <w:t>t</w:t>
      </w:r>
      <w:r w:rsidRPr="00274EC3">
        <w:rPr>
          <w:rFonts w:ascii="Palatino Linotype" w:eastAsia="Century Gothic" w:hAnsi="Palatino Linotype" w:cs="Century Gothic"/>
          <w:b/>
          <w:bCs/>
          <w:spacing w:val="-1"/>
          <w:sz w:val="20"/>
          <w:szCs w:val="20"/>
        </w:rPr>
        <w:t>r</w:t>
      </w:r>
      <w:r w:rsidRPr="00274EC3">
        <w:rPr>
          <w:rFonts w:ascii="Palatino Linotype" w:eastAsia="Century Gothic" w:hAnsi="Palatino Linotype" w:cs="Century Gothic"/>
          <w:b/>
          <w:bCs/>
          <w:sz w:val="20"/>
          <w:szCs w:val="20"/>
        </w:rPr>
        <w:t>o</w:t>
      </w:r>
      <w:r w:rsidRPr="00274EC3">
        <w:rPr>
          <w:rFonts w:ascii="Palatino Linotype" w:eastAsia="Century Gothic" w:hAnsi="Palatino Linotype" w:cs="Century Gothic"/>
          <w:b/>
          <w:bCs/>
          <w:spacing w:val="-2"/>
          <w:sz w:val="20"/>
          <w:szCs w:val="20"/>
        </w:rPr>
        <w:t>p</w:t>
      </w:r>
      <w:r w:rsidRPr="00274EC3">
        <w:rPr>
          <w:rFonts w:ascii="Palatino Linotype" w:eastAsia="Century Gothic" w:hAnsi="Palatino Linotype" w:cs="Century Gothic"/>
          <w:b/>
          <w:bCs/>
          <w:sz w:val="20"/>
          <w:szCs w:val="20"/>
        </w:rPr>
        <w:t>oli</w:t>
      </w:r>
      <w:r w:rsidRPr="00274EC3">
        <w:rPr>
          <w:rFonts w:ascii="Palatino Linotype" w:eastAsia="Century Gothic" w:hAnsi="Palatino Linotype" w:cs="Century Gothic"/>
          <w:b/>
          <w:bCs/>
          <w:spacing w:val="-1"/>
          <w:sz w:val="20"/>
          <w:szCs w:val="20"/>
        </w:rPr>
        <w:t>t</w:t>
      </w:r>
      <w:r w:rsidRPr="00274EC3">
        <w:rPr>
          <w:rFonts w:ascii="Palatino Linotype" w:eastAsia="Century Gothic" w:hAnsi="Palatino Linotype" w:cs="Century Gothic"/>
          <w:b/>
          <w:bCs/>
          <w:sz w:val="20"/>
          <w:szCs w:val="20"/>
        </w:rPr>
        <w:t>a</w:t>
      </w:r>
      <w:r w:rsidRPr="00274EC3">
        <w:rPr>
          <w:rFonts w:ascii="Palatino Linotype" w:eastAsia="Century Gothic" w:hAnsi="Palatino Linotype" w:cs="Century Gothic"/>
          <w:b/>
          <w:bCs/>
          <w:spacing w:val="-3"/>
          <w:sz w:val="20"/>
          <w:szCs w:val="20"/>
        </w:rPr>
        <w:t>n</w:t>
      </w:r>
      <w:r w:rsidRPr="00274EC3">
        <w:rPr>
          <w:rFonts w:ascii="Palatino Linotype" w:eastAsia="Century Gothic" w:hAnsi="Palatino Linotype" w:cs="Century Gothic"/>
          <w:b/>
          <w:bCs/>
          <w:sz w:val="20"/>
          <w:szCs w:val="20"/>
        </w:rPr>
        <w:t>o</w:t>
      </w:r>
      <w:r w:rsidRPr="00274EC3">
        <w:rPr>
          <w:rFonts w:ascii="Palatino Linotype" w:eastAsia="Century Gothic" w:hAnsi="Palatino Linotype" w:cs="Century Gothic"/>
          <w:b/>
          <w:bCs/>
          <w:spacing w:val="1"/>
          <w:sz w:val="20"/>
          <w:szCs w:val="20"/>
        </w:rPr>
        <w:t xml:space="preserve"> </w:t>
      </w:r>
      <w:r w:rsidRPr="00274EC3">
        <w:rPr>
          <w:rFonts w:ascii="Palatino Linotype" w:eastAsia="Century Gothic" w:hAnsi="Palatino Linotype" w:cs="Century Gothic"/>
          <w:b/>
          <w:bCs/>
          <w:sz w:val="20"/>
          <w:szCs w:val="20"/>
        </w:rPr>
        <w:t>de</w:t>
      </w:r>
      <w:r w:rsidRPr="00274EC3">
        <w:rPr>
          <w:rFonts w:ascii="Palatino Linotype" w:eastAsia="Century Gothic" w:hAnsi="Palatino Linotype" w:cs="Century Gothic"/>
          <w:b/>
          <w:bCs/>
          <w:spacing w:val="-2"/>
          <w:sz w:val="20"/>
          <w:szCs w:val="20"/>
        </w:rPr>
        <w:t xml:space="preserve"> </w:t>
      </w:r>
      <w:r w:rsidRPr="00274EC3">
        <w:rPr>
          <w:rFonts w:ascii="Palatino Linotype" w:eastAsia="Century Gothic" w:hAnsi="Palatino Linotype" w:cs="Century Gothic"/>
          <w:b/>
          <w:bCs/>
          <w:sz w:val="20"/>
          <w:szCs w:val="20"/>
        </w:rPr>
        <w:t>Qu</w:t>
      </w:r>
      <w:r w:rsidRPr="00274EC3">
        <w:rPr>
          <w:rFonts w:ascii="Palatino Linotype" w:eastAsia="Century Gothic" w:hAnsi="Palatino Linotype" w:cs="Century Gothic"/>
          <w:b/>
          <w:bCs/>
          <w:spacing w:val="-1"/>
          <w:sz w:val="20"/>
          <w:szCs w:val="20"/>
        </w:rPr>
        <w:t>i</w:t>
      </w:r>
      <w:r w:rsidRPr="00274EC3">
        <w:rPr>
          <w:rFonts w:ascii="Palatino Linotype" w:eastAsia="Century Gothic" w:hAnsi="Palatino Linotype" w:cs="Century Gothic"/>
          <w:b/>
          <w:bCs/>
          <w:spacing w:val="-2"/>
          <w:sz w:val="20"/>
          <w:szCs w:val="20"/>
        </w:rPr>
        <w:t>t</w:t>
      </w:r>
      <w:r w:rsidRPr="00274EC3">
        <w:rPr>
          <w:rFonts w:ascii="Palatino Linotype" w:eastAsia="Century Gothic" w:hAnsi="Palatino Linotype" w:cs="Century Gothic"/>
          <w:b/>
          <w:bCs/>
          <w:spacing w:val="3"/>
          <w:sz w:val="20"/>
          <w:szCs w:val="20"/>
        </w:rPr>
        <w:t>o</w:t>
      </w:r>
      <w:r w:rsidR="00193DF1" w:rsidRPr="00274EC3">
        <w:rPr>
          <w:rFonts w:ascii="Palatino Linotype" w:eastAsia="Century Gothic" w:hAnsi="Palatino Linotype" w:cs="Century Gothic"/>
          <w:b/>
          <w:bCs/>
          <w:spacing w:val="3"/>
          <w:sz w:val="20"/>
          <w:szCs w:val="20"/>
        </w:rPr>
        <w:t>,</w:t>
      </w:r>
      <w:r w:rsidR="00FB2C26" w:rsidRPr="00274EC3">
        <w:rPr>
          <w:rFonts w:ascii="Palatino Linotype" w:hAnsi="Palatino Linotype"/>
          <w:sz w:val="20"/>
          <w:szCs w:val="20"/>
        </w:rPr>
        <w:t xml:space="preserve"> </w:t>
      </w:r>
    </w:p>
    <w:p w14:paraId="7264D9BC" w14:textId="7566E16B" w:rsidR="00107E2A" w:rsidRPr="00274EC3" w:rsidRDefault="00107E2A" w:rsidP="0018018F">
      <w:pPr>
        <w:spacing w:after="0"/>
        <w:rPr>
          <w:rFonts w:ascii="Palatino Linotype" w:hAnsi="Palatino Linotype"/>
          <w:sz w:val="20"/>
          <w:szCs w:val="20"/>
          <w:lang w:val="es-EC"/>
        </w:rPr>
      </w:pPr>
    </w:p>
    <w:p w14:paraId="368AF676" w14:textId="77777777" w:rsidR="00F35EAC" w:rsidRPr="00274EC3" w:rsidRDefault="00F35EAC" w:rsidP="0018018F">
      <w:pPr>
        <w:spacing w:after="0"/>
        <w:ind w:right="58"/>
        <w:jc w:val="center"/>
        <w:rPr>
          <w:rFonts w:ascii="Palatino Linotype" w:eastAsia="Century Gothic" w:hAnsi="Palatino Linotype" w:cs="Century Gothic"/>
          <w:b/>
          <w:bCs/>
          <w:sz w:val="20"/>
          <w:szCs w:val="20"/>
          <w:lang w:val="es-EC"/>
        </w:rPr>
      </w:pPr>
      <w:r w:rsidRPr="00274EC3">
        <w:rPr>
          <w:rFonts w:ascii="Palatino Linotype" w:eastAsia="Century Gothic" w:hAnsi="Palatino Linotype" w:cs="Century Gothic"/>
          <w:b/>
          <w:bCs/>
          <w:sz w:val="20"/>
          <w:szCs w:val="20"/>
          <w:lang w:val="es-EC"/>
        </w:rPr>
        <w:t>EXPIDE LA SIGUIENTE:</w:t>
      </w:r>
    </w:p>
    <w:p w14:paraId="1052FFCB" w14:textId="7DD5EAFE" w:rsidR="000F7A6D" w:rsidRPr="00274EC3" w:rsidRDefault="002D3CCE" w:rsidP="002D3CCE">
      <w:pPr>
        <w:spacing w:after="0"/>
        <w:jc w:val="center"/>
        <w:rPr>
          <w:rFonts w:ascii="Palatino Linotype" w:eastAsia="Century Gothic" w:hAnsi="Palatino Linotype" w:cs="Century Gothic"/>
          <w:b/>
          <w:bCs/>
          <w:sz w:val="20"/>
          <w:szCs w:val="20"/>
          <w:lang w:val="es-EC"/>
        </w:rPr>
      </w:pPr>
      <w:r w:rsidRPr="00274EC3">
        <w:rPr>
          <w:rFonts w:ascii="Palatino Linotype" w:eastAsia="Century Gothic" w:hAnsi="Palatino Linotype" w:cs="Century Gothic"/>
          <w:b/>
          <w:bCs/>
          <w:sz w:val="20"/>
          <w:szCs w:val="20"/>
          <w:lang w:val="es-EC"/>
        </w:rPr>
        <w:t xml:space="preserve">ORDENANZA METROPOLITANA </w:t>
      </w:r>
      <w:r w:rsidR="00831A88" w:rsidRPr="00274EC3">
        <w:rPr>
          <w:rFonts w:ascii="Palatino Linotype" w:eastAsia="Century Gothic" w:hAnsi="Palatino Linotype" w:cs="Century Gothic"/>
          <w:b/>
          <w:bCs/>
          <w:sz w:val="20"/>
          <w:szCs w:val="20"/>
          <w:lang w:val="es-EC"/>
        </w:rPr>
        <w:t>REFORMATORIA A LA ORDENANZA No</w:t>
      </w:r>
      <w:r w:rsidRPr="00274EC3">
        <w:rPr>
          <w:rFonts w:ascii="Palatino Linotype" w:eastAsia="Century Gothic" w:hAnsi="Palatino Linotype" w:cs="Century Gothic"/>
          <w:b/>
          <w:bCs/>
          <w:sz w:val="20"/>
          <w:szCs w:val="20"/>
          <w:lang w:val="es-EC"/>
        </w:rPr>
        <w:t>. 001 QUE CONTIENE EL CÓDIGO MUNICIPAL PARA EL DIS</w:t>
      </w:r>
      <w:r w:rsidR="00D4066E">
        <w:rPr>
          <w:rFonts w:ascii="Palatino Linotype" w:eastAsia="Century Gothic" w:hAnsi="Palatino Linotype" w:cs="Century Gothic"/>
          <w:b/>
          <w:bCs/>
          <w:sz w:val="20"/>
          <w:szCs w:val="20"/>
          <w:lang w:val="es-EC"/>
        </w:rPr>
        <w:t xml:space="preserve">TRITO METROPOLIANO DE QUITO, DEL </w:t>
      </w:r>
      <w:r w:rsidR="00614C10">
        <w:rPr>
          <w:rFonts w:ascii="Palatino Linotype" w:eastAsia="Century Gothic" w:hAnsi="Palatino Linotype" w:cs="Century Gothic"/>
          <w:b/>
          <w:bCs/>
          <w:sz w:val="20"/>
          <w:szCs w:val="20"/>
          <w:lang w:val="es-EC"/>
        </w:rPr>
        <w:t xml:space="preserve">PROCEDIMIENTO PARA LA EMISIÓN DE </w:t>
      </w:r>
      <w:r w:rsidR="00D4066E">
        <w:rPr>
          <w:rFonts w:ascii="Palatino Linotype" w:eastAsia="Century Gothic" w:hAnsi="Palatino Linotype" w:cs="Century Gothic"/>
          <w:b/>
          <w:bCs/>
          <w:sz w:val="20"/>
          <w:szCs w:val="20"/>
          <w:lang w:val="es-EC"/>
        </w:rPr>
        <w:t xml:space="preserve">INFORME DE </w:t>
      </w:r>
      <w:r w:rsidR="00082FCC" w:rsidRPr="00274EC3">
        <w:rPr>
          <w:rFonts w:ascii="Palatino Linotype" w:eastAsia="Century Gothic" w:hAnsi="Palatino Linotype" w:cs="Century Gothic"/>
          <w:b/>
          <w:bCs/>
          <w:sz w:val="20"/>
          <w:szCs w:val="20"/>
          <w:lang w:val="es-EC"/>
        </w:rPr>
        <w:t>PARTICIONES JUDICIALES</w:t>
      </w:r>
      <w:r w:rsidR="00D4066E">
        <w:rPr>
          <w:rFonts w:ascii="Palatino Linotype" w:eastAsia="Century Gothic" w:hAnsi="Palatino Linotype" w:cs="Century Gothic"/>
          <w:b/>
          <w:bCs/>
          <w:sz w:val="20"/>
          <w:szCs w:val="20"/>
          <w:lang w:val="es-EC"/>
        </w:rPr>
        <w:t xml:space="preserve"> Y EXTRAJUDICIALES</w:t>
      </w:r>
      <w:r w:rsidR="00614C10">
        <w:rPr>
          <w:rFonts w:ascii="Palatino Linotype" w:eastAsia="Century Gothic" w:hAnsi="Palatino Linotype" w:cs="Century Gothic"/>
          <w:b/>
          <w:bCs/>
          <w:sz w:val="20"/>
          <w:szCs w:val="20"/>
          <w:lang w:val="es-EC"/>
        </w:rPr>
        <w:t xml:space="preserve"> DE BIENES INMUEBLES EN EL DISTRITO METROPOLITANO DE QUITO</w:t>
      </w:r>
    </w:p>
    <w:p w14:paraId="47911DF1" w14:textId="65CA47F0" w:rsidR="00082FCC" w:rsidRPr="00274EC3" w:rsidRDefault="00082FCC" w:rsidP="00082FCC">
      <w:pPr>
        <w:spacing w:after="0"/>
        <w:jc w:val="both"/>
        <w:rPr>
          <w:rFonts w:ascii="Palatino Linotype" w:eastAsia="Century Gothic" w:hAnsi="Palatino Linotype" w:cs="Century Gothic"/>
          <w:b/>
          <w:bCs/>
          <w:sz w:val="20"/>
          <w:szCs w:val="20"/>
          <w:lang w:val="es-EC"/>
        </w:rPr>
      </w:pPr>
    </w:p>
    <w:p w14:paraId="570FFB9F" w14:textId="77777777" w:rsidR="00274EC3" w:rsidRPr="00274EC3" w:rsidRDefault="00274EC3" w:rsidP="00274EC3">
      <w:pPr>
        <w:pStyle w:val="Sinespaciado"/>
        <w:rPr>
          <w:rFonts w:ascii="Palatino Linotype" w:hAnsi="Palatino Linotype"/>
          <w:sz w:val="20"/>
          <w:szCs w:val="20"/>
        </w:rPr>
      </w:pPr>
    </w:p>
    <w:p w14:paraId="1B34F94D" w14:textId="4378A1EE" w:rsidR="00274EC3" w:rsidRPr="00274EC3" w:rsidRDefault="00274EC3" w:rsidP="00274EC3">
      <w:pPr>
        <w:pStyle w:val="Sinespaciado"/>
        <w:jc w:val="both"/>
        <w:rPr>
          <w:rFonts w:ascii="Palatino Linotype" w:hAnsi="Palatino Linotype"/>
          <w:sz w:val="20"/>
          <w:szCs w:val="20"/>
        </w:rPr>
      </w:pPr>
      <w:r w:rsidRPr="00274EC3">
        <w:rPr>
          <w:rFonts w:ascii="Palatino Linotype" w:hAnsi="Palatino Linotype"/>
          <w:b/>
          <w:sz w:val="20"/>
          <w:szCs w:val="20"/>
        </w:rPr>
        <w:t>Artículo 1</w:t>
      </w:r>
      <w:r w:rsidRPr="00274EC3">
        <w:rPr>
          <w:rFonts w:ascii="Palatino Linotype" w:hAnsi="Palatino Linotype"/>
          <w:sz w:val="20"/>
          <w:szCs w:val="20"/>
        </w:rPr>
        <w:t>.-</w:t>
      </w:r>
      <w:r w:rsidR="00494570">
        <w:rPr>
          <w:rFonts w:ascii="Palatino Linotype" w:hAnsi="Palatino Linotype"/>
          <w:sz w:val="20"/>
          <w:szCs w:val="20"/>
        </w:rPr>
        <w:t>Incorporese</w:t>
      </w:r>
      <w:r w:rsidRPr="00274EC3">
        <w:rPr>
          <w:rFonts w:ascii="Palatino Linotype" w:hAnsi="Palatino Linotype"/>
          <w:sz w:val="20"/>
          <w:szCs w:val="20"/>
        </w:rPr>
        <w:t xml:space="preserve"> </w:t>
      </w:r>
      <w:r w:rsidR="00494570">
        <w:rPr>
          <w:rFonts w:ascii="Palatino Linotype" w:hAnsi="Palatino Linotype"/>
          <w:sz w:val="20"/>
          <w:szCs w:val="20"/>
        </w:rPr>
        <w:t xml:space="preserve">del Título </w:t>
      </w:r>
      <w:r w:rsidR="00D4066E">
        <w:rPr>
          <w:rFonts w:ascii="Palatino Linotype" w:hAnsi="Palatino Linotype"/>
          <w:sz w:val="20"/>
          <w:szCs w:val="20"/>
        </w:rPr>
        <w:t>V</w:t>
      </w:r>
      <w:r w:rsidR="00494570">
        <w:rPr>
          <w:rFonts w:ascii="Palatino Linotype" w:hAnsi="Palatino Linotype"/>
          <w:sz w:val="20"/>
          <w:szCs w:val="20"/>
        </w:rPr>
        <w:t>I, del Libro IV.1</w:t>
      </w:r>
      <w:r w:rsidRPr="00274EC3">
        <w:rPr>
          <w:rFonts w:ascii="Palatino Linotype" w:hAnsi="Palatino Linotype"/>
          <w:sz w:val="20"/>
          <w:szCs w:val="20"/>
        </w:rPr>
        <w:t xml:space="preserve"> del Código Municipal, por el siguiente: </w:t>
      </w:r>
    </w:p>
    <w:p w14:paraId="5A4CC016" w14:textId="77777777" w:rsidR="00274EC3" w:rsidRPr="00274EC3" w:rsidRDefault="00274EC3" w:rsidP="00274EC3">
      <w:pPr>
        <w:pStyle w:val="Sinespaciado"/>
        <w:jc w:val="center"/>
        <w:rPr>
          <w:rFonts w:ascii="Palatino Linotype" w:hAnsi="Palatino Linotype"/>
          <w:b/>
          <w:sz w:val="20"/>
          <w:szCs w:val="20"/>
        </w:rPr>
      </w:pPr>
    </w:p>
    <w:p w14:paraId="30A556CD" w14:textId="18294E85" w:rsidR="00614C10" w:rsidRDefault="00614C10" w:rsidP="00274EC3">
      <w:pPr>
        <w:pStyle w:val="Sinespaciado"/>
        <w:jc w:val="center"/>
        <w:rPr>
          <w:rFonts w:ascii="Palatino Linotype" w:hAnsi="Palatino Linotype"/>
          <w:b/>
          <w:sz w:val="20"/>
          <w:szCs w:val="20"/>
        </w:rPr>
      </w:pPr>
      <w:r w:rsidRPr="00614C10">
        <w:rPr>
          <w:rFonts w:ascii="Palatino Linotype" w:hAnsi="Palatino Linotype"/>
          <w:b/>
          <w:sz w:val="20"/>
          <w:szCs w:val="20"/>
        </w:rPr>
        <w:t>TÍTULO VI</w:t>
      </w:r>
    </w:p>
    <w:p w14:paraId="03B5F95F" w14:textId="77777777" w:rsidR="00DB6D01" w:rsidRPr="00614C10" w:rsidRDefault="00DB6D01" w:rsidP="00274EC3">
      <w:pPr>
        <w:pStyle w:val="Sinespaciado"/>
        <w:jc w:val="center"/>
        <w:rPr>
          <w:rFonts w:ascii="Palatino Linotype" w:hAnsi="Palatino Linotype"/>
          <w:b/>
          <w:sz w:val="20"/>
          <w:szCs w:val="20"/>
        </w:rPr>
      </w:pPr>
    </w:p>
    <w:p w14:paraId="6CADEB40" w14:textId="77777777" w:rsidR="00DB6D01" w:rsidRPr="00274EC3" w:rsidRDefault="00DB6D01" w:rsidP="00DB6D01">
      <w:pPr>
        <w:spacing w:after="0"/>
        <w:jc w:val="center"/>
        <w:rPr>
          <w:rFonts w:ascii="Palatino Linotype" w:eastAsia="Century Gothic" w:hAnsi="Palatino Linotype" w:cs="Century Gothic"/>
          <w:b/>
          <w:bCs/>
          <w:sz w:val="20"/>
          <w:szCs w:val="20"/>
          <w:lang w:val="es-EC"/>
        </w:rPr>
      </w:pPr>
      <w:r>
        <w:rPr>
          <w:rFonts w:ascii="Palatino Linotype" w:eastAsia="Century Gothic" w:hAnsi="Palatino Linotype" w:cs="Century Gothic"/>
          <w:b/>
          <w:bCs/>
          <w:sz w:val="20"/>
          <w:szCs w:val="20"/>
          <w:lang w:val="es-EC"/>
        </w:rPr>
        <w:t xml:space="preserve">DEL PROCEDIMIENTO PARA LA EMISIÓN DE INFORME DE </w:t>
      </w:r>
      <w:r w:rsidRPr="00274EC3">
        <w:rPr>
          <w:rFonts w:ascii="Palatino Linotype" w:eastAsia="Century Gothic" w:hAnsi="Palatino Linotype" w:cs="Century Gothic"/>
          <w:b/>
          <w:bCs/>
          <w:sz w:val="20"/>
          <w:szCs w:val="20"/>
          <w:lang w:val="es-EC"/>
        </w:rPr>
        <w:t>PARTICIONES JUDICIALES</w:t>
      </w:r>
      <w:r>
        <w:rPr>
          <w:rFonts w:ascii="Palatino Linotype" w:eastAsia="Century Gothic" w:hAnsi="Palatino Linotype" w:cs="Century Gothic"/>
          <w:b/>
          <w:bCs/>
          <w:sz w:val="20"/>
          <w:szCs w:val="20"/>
          <w:lang w:val="es-EC"/>
        </w:rPr>
        <w:t xml:space="preserve"> Y EXTRAJUDICIALES DE BIENES INMUEBLES EN EL DISTRITO METROPOLITANO DE QUITO</w:t>
      </w:r>
    </w:p>
    <w:p w14:paraId="28CD8197" w14:textId="77777777" w:rsidR="00274EC3" w:rsidRPr="00274EC3" w:rsidRDefault="00274EC3" w:rsidP="00274EC3">
      <w:pPr>
        <w:pStyle w:val="Sinespaciado"/>
        <w:jc w:val="center"/>
        <w:rPr>
          <w:rFonts w:ascii="Palatino Linotype" w:hAnsi="Palatino Linotype"/>
          <w:sz w:val="20"/>
          <w:szCs w:val="20"/>
        </w:rPr>
      </w:pPr>
    </w:p>
    <w:p w14:paraId="58D4BE61" w14:textId="6C80164B" w:rsidR="00DB6D01" w:rsidRPr="00DB6D01" w:rsidRDefault="00DB6D01" w:rsidP="00274EC3">
      <w:pPr>
        <w:pStyle w:val="Sinespaciado"/>
        <w:jc w:val="both"/>
        <w:rPr>
          <w:rFonts w:ascii="Palatino Linotype" w:hAnsi="Palatino Linotype"/>
          <w:sz w:val="20"/>
          <w:szCs w:val="20"/>
        </w:rPr>
      </w:pPr>
      <w:r w:rsidRPr="00274EC3">
        <w:rPr>
          <w:rFonts w:ascii="Palatino Linotype" w:hAnsi="Palatino Linotype"/>
          <w:b/>
          <w:sz w:val="20"/>
          <w:szCs w:val="20"/>
        </w:rPr>
        <w:t xml:space="preserve">Artículo […] </w:t>
      </w:r>
      <w:r>
        <w:rPr>
          <w:rFonts w:ascii="Palatino Linotype" w:hAnsi="Palatino Linotype"/>
          <w:b/>
          <w:sz w:val="20"/>
          <w:szCs w:val="20"/>
        </w:rPr>
        <w:t>Ámbito</w:t>
      </w:r>
      <w:r w:rsidRPr="00274EC3">
        <w:rPr>
          <w:rFonts w:ascii="Palatino Linotype" w:hAnsi="Palatino Linotype"/>
          <w:b/>
          <w:sz w:val="20"/>
          <w:szCs w:val="20"/>
        </w:rPr>
        <w:t xml:space="preserve">. </w:t>
      </w:r>
      <w:r>
        <w:rPr>
          <w:rFonts w:ascii="Palatino Linotype" w:hAnsi="Palatino Linotype"/>
          <w:b/>
          <w:sz w:val="20"/>
          <w:szCs w:val="20"/>
        </w:rPr>
        <w:t>–</w:t>
      </w:r>
      <w:r w:rsidRPr="00274EC3">
        <w:rPr>
          <w:rFonts w:ascii="Palatino Linotype" w:hAnsi="Palatino Linotype"/>
          <w:b/>
          <w:sz w:val="20"/>
          <w:szCs w:val="20"/>
        </w:rPr>
        <w:t xml:space="preserve"> </w:t>
      </w:r>
      <w:r>
        <w:rPr>
          <w:rFonts w:ascii="Palatino Linotype" w:hAnsi="Palatino Linotype"/>
          <w:sz w:val="20"/>
          <w:szCs w:val="20"/>
        </w:rPr>
        <w:t>El presente Título regula todo el procedimiento en las diligencias judiciales y extrajudiciales de partición de los bienes inmuebles del Distrito Metropolitano de Quito.</w:t>
      </w:r>
    </w:p>
    <w:p w14:paraId="301FE940" w14:textId="77777777" w:rsidR="00DB6D01" w:rsidRDefault="00DB6D01" w:rsidP="00274EC3">
      <w:pPr>
        <w:pStyle w:val="Sinespaciado"/>
        <w:jc w:val="both"/>
        <w:rPr>
          <w:rFonts w:ascii="Palatino Linotype" w:hAnsi="Palatino Linotype"/>
          <w:b/>
          <w:sz w:val="20"/>
          <w:szCs w:val="20"/>
        </w:rPr>
      </w:pPr>
    </w:p>
    <w:p w14:paraId="0BFD8E9E" w14:textId="2D439A24" w:rsidR="00664331" w:rsidRPr="00761256" w:rsidRDefault="00274EC3" w:rsidP="00274EC3">
      <w:pPr>
        <w:pStyle w:val="Sinespaciado"/>
        <w:jc w:val="both"/>
        <w:rPr>
          <w:rFonts w:ascii="Palatino Linotype" w:hAnsi="Palatino Linotype"/>
          <w:sz w:val="20"/>
          <w:szCs w:val="20"/>
        </w:rPr>
      </w:pPr>
      <w:r w:rsidRPr="00274EC3">
        <w:rPr>
          <w:rFonts w:ascii="Palatino Linotype" w:hAnsi="Palatino Linotype"/>
          <w:b/>
          <w:sz w:val="20"/>
          <w:szCs w:val="20"/>
        </w:rPr>
        <w:t xml:space="preserve">Artículo […] </w:t>
      </w:r>
      <w:r w:rsidR="00DB6D01">
        <w:rPr>
          <w:rFonts w:ascii="Palatino Linotype" w:hAnsi="Palatino Linotype"/>
          <w:b/>
          <w:sz w:val="20"/>
          <w:szCs w:val="20"/>
        </w:rPr>
        <w:t>Objeto</w:t>
      </w:r>
      <w:r w:rsidR="00664331" w:rsidRPr="00274EC3">
        <w:rPr>
          <w:rFonts w:ascii="Palatino Linotype" w:hAnsi="Palatino Linotype"/>
          <w:b/>
          <w:sz w:val="20"/>
          <w:szCs w:val="20"/>
        </w:rPr>
        <w:t>. -</w:t>
      </w:r>
      <w:r w:rsidRPr="00274EC3">
        <w:rPr>
          <w:rFonts w:ascii="Palatino Linotype" w:hAnsi="Palatino Linotype"/>
          <w:b/>
          <w:sz w:val="20"/>
          <w:szCs w:val="20"/>
        </w:rPr>
        <w:t xml:space="preserve"> </w:t>
      </w:r>
      <w:r w:rsidR="00DB6D01" w:rsidRPr="00DB6D01">
        <w:rPr>
          <w:rFonts w:ascii="Palatino Linotype" w:hAnsi="Palatino Linotype"/>
          <w:sz w:val="20"/>
          <w:szCs w:val="20"/>
        </w:rPr>
        <w:t>E</w:t>
      </w:r>
      <w:r w:rsidR="00A9721F">
        <w:rPr>
          <w:rFonts w:ascii="Palatino Linotype" w:hAnsi="Palatino Linotype"/>
          <w:sz w:val="20"/>
          <w:szCs w:val="20"/>
        </w:rPr>
        <w:t>stablecer un</w:t>
      </w:r>
      <w:r w:rsidR="00DB6D01">
        <w:rPr>
          <w:rFonts w:ascii="Palatino Linotype" w:hAnsi="Palatino Linotype"/>
          <w:sz w:val="20"/>
          <w:szCs w:val="20"/>
        </w:rPr>
        <w:t xml:space="preserve"> </w:t>
      </w:r>
      <w:r w:rsidR="00A9721F">
        <w:rPr>
          <w:rFonts w:ascii="Palatino Linotype" w:hAnsi="Palatino Linotype"/>
          <w:sz w:val="20"/>
          <w:szCs w:val="20"/>
        </w:rPr>
        <w:t>proceso administrativo</w:t>
      </w:r>
      <w:r w:rsidR="00DB6D01">
        <w:rPr>
          <w:rFonts w:ascii="Palatino Linotype" w:hAnsi="Palatino Linotype"/>
          <w:sz w:val="20"/>
          <w:szCs w:val="20"/>
        </w:rPr>
        <w:t xml:space="preserve">, en beneficio de la ciudadanía, </w:t>
      </w:r>
      <w:r w:rsidR="00664331">
        <w:rPr>
          <w:rFonts w:ascii="Palatino Linotype" w:hAnsi="Palatino Linotype"/>
          <w:sz w:val="20"/>
          <w:szCs w:val="20"/>
        </w:rPr>
        <w:t xml:space="preserve">para la emisión de informe para particiones judiciales y extrajudiciales de conformidad con lo previsto en el artículo 473 del </w:t>
      </w:r>
      <w:r w:rsidR="00664331" w:rsidRPr="00664331">
        <w:rPr>
          <w:rFonts w:ascii="Palatino Linotype" w:hAnsi="Palatino Linotype"/>
          <w:sz w:val="20"/>
          <w:szCs w:val="20"/>
        </w:rPr>
        <w:t>Código Orgánico de Organización Territorial, Autonomía y Descentralización</w:t>
      </w:r>
      <w:r w:rsidR="00664331">
        <w:rPr>
          <w:rFonts w:ascii="Palatino Linotype" w:hAnsi="Palatino Linotype"/>
          <w:sz w:val="20"/>
          <w:szCs w:val="20"/>
        </w:rPr>
        <w:t>.</w:t>
      </w:r>
    </w:p>
    <w:p w14:paraId="1DD1C32B" w14:textId="77777777" w:rsidR="00274EC3" w:rsidRPr="00274EC3" w:rsidRDefault="00274EC3" w:rsidP="00274EC3">
      <w:pPr>
        <w:pStyle w:val="Sinespaciado"/>
        <w:jc w:val="both"/>
        <w:rPr>
          <w:rFonts w:ascii="Palatino Linotype" w:hAnsi="Palatino Linotype"/>
          <w:b/>
          <w:sz w:val="20"/>
          <w:szCs w:val="20"/>
        </w:rPr>
      </w:pPr>
    </w:p>
    <w:p w14:paraId="133900BF" w14:textId="56F45B3F" w:rsidR="00274EC3" w:rsidRPr="00274EC3" w:rsidRDefault="00DB6D01" w:rsidP="00F90209">
      <w:pPr>
        <w:pStyle w:val="Sinespaciado"/>
        <w:ind w:left="720" w:hanging="720"/>
        <w:jc w:val="center"/>
        <w:rPr>
          <w:rFonts w:ascii="Palatino Linotype" w:hAnsi="Palatino Linotype"/>
          <w:b/>
          <w:sz w:val="20"/>
          <w:szCs w:val="20"/>
        </w:rPr>
      </w:pPr>
      <w:r>
        <w:rPr>
          <w:rFonts w:ascii="Palatino Linotype" w:hAnsi="Palatino Linotype"/>
          <w:b/>
          <w:sz w:val="20"/>
          <w:szCs w:val="20"/>
        </w:rPr>
        <w:t>CAPÍTUL</w:t>
      </w:r>
      <w:bookmarkStart w:id="0" w:name="_GoBack"/>
      <w:bookmarkEnd w:id="0"/>
      <w:r>
        <w:rPr>
          <w:rFonts w:ascii="Palatino Linotype" w:hAnsi="Palatino Linotype"/>
          <w:b/>
          <w:sz w:val="20"/>
          <w:szCs w:val="20"/>
        </w:rPr>
        <w:t>O</w:t>
      </w:r>
      <w:r w:rsidR="00761256">
        <w:rPr>
          <w:rFonts w:ascii="Palatino Linotype" w:hAnsi="Palatino Linotype"/>
          <w:b/>
          <w:sz w:val="20"/>
          <w:szCs w:val="20"/>
        </w:rPr>
        <w:t xml:space="preserve"> I</w:t>
      </w:r>
    </w:p>
    <w:p w14:paraId="0CDE54BD" w14:textId="68FEE92B" w:rsidR="00274EC3" w:rsidRPr="00274EC3" w:rsidRDefault="00274EC3" w:rsidP="00274EC3">
      <w:pPr>
        <w:pStyle w:val="Sinespaciado"/>
        <w:jc w:val="center"/>
        <w:rPr>
          <w:rFonts w:ascii="Palatino Linotype" w:hAnsi="Palatino Linotype"/>
          <w:b/>
          <w:sz w:val="20"/>
          <w:szCs w:val="20"/>
        </w:rPr>
      </w:pPr>
      <w:r w:rsidRPr="00274EC3">
        <w:rPr>
          <w:rFonts w:ascii="Palatino Linotype" w:hAnsi="Palatino Linotype"/>
          <w:b/>
          <w:sz w:val="20"/>
          <w:szCs w:val="20"/>
        </w:rPr>
        <w:t xml:space="preserve">DEL PROCEDIMIENTO </w:t>
      </w:r>
    </w:p>
    <w:p w14:paraId="486596B9" w14:textId="77777777" w:rsidR="00274EC3" w:rsidRPr="00274EC3" w:rsidRDefault="00274EC3" w:rsidP="00274EC3">
      <w:pPr>
        <w:pStyle w:val="Sinespaciado"/>
        <w:jc w:val="both"/>
        <w:rPr>
          <w:rFonts w:ascii="Palatino Linotype" w:hAnsi="Palatino Linotype"/>
          <w:sz w:val="20"/>
          <w:szCs w:val="20"/>
        </w:rPr>
      </w:pPr>
    </w:p>
    <w:p w14:paraId="7C541CA8" w14:textId="76B81C41" w:rsidR="00274EC3" w:rsidRDefault="00274EC3" w:rsidP="00274EC3">
      <w:pPr>
        <w:pStyle w:val="Sinespaciado"/>
        <w:jc w:val="both"/>
        <w:rPr>
          <w:rFonts w:ascii="Palatino Linotype" w:hAnsi="Palatino Linotype"/>
          <w:sz w:val="20"/>
          <w:szCs w:val="20"/>
        </w:rPr>
      </w:pPr>
      <w:r w:rsidRPr="00274EC3">
        <w:rPr>
          <w:rFonts w:ascii="Palatino Linotype" w:hAnsi="Palatino Linotype"/>
          <w:b/>
          <w:sz w:val="20"/>
          <w:szCs w:val="20"/>
        </w:rPr>
        <w:t xml:space="preserve">Artículo […]. - Iniciativa del trámite. - </w:t>
      </w:r>
      <w:r w:rsidRPr="00274EC3">
        <w:rPr>
          <w:rFonts w:ascii="Palatino Linotype" w:hAnsi="Palatino Linotype"/>
          <w:sz w:val="20"/>
          <w:szCs w:val="20"/>
        </w:rPr>
        <w:t xml:space="preserve">El trámite </w:t>
      </w:r>
      <w:r w:rsidR="00761256">
        <w:rPr>
          <w:rFonts w:ascii="Palatino Linotype" w:hAnsi="Palatino Linotype"/>
          <w:sz w:val="20"/>
          <w:szCs w:val="20"/>
        </w:rPr>
        <w:t xml:space="preserve">en el caso de partición judicial de inmuebles, </w:t>
      </w:r>
      <w:r w:rsidRPr="00274EC3">
        <w:rPr>
          <w:rFonts w:ascii="Palatino Linotype" w:hAnsi="Palatino Linotype"/>
          <w:sz w:val="20"/>
          <w:szCs w:val="20"/>
        </w:rPr>
        <w:t xml:space="preserve">podrá ser </w:t>
      </w:r>
      <w:r w:rsidR="00761256">
        <w:rPr>
          <w:rFonts w:ascii="Palatino Linotype" w:hAnsi="Palatino Linotype"/>
          <w:sz w:val="20"/>
          <w:szCs w:val="20"/>
        </w:rPr>
        <w:t>por petición de juez competente y en el caso de partición extrajudicial, a petición del interesado.</w:t>
      </w:r>
    </w:p>
    <w:p w14:paraId="697F39E3" w14:textId="4FA45A25" w:rsidR="00761256" w:rsidRDefault="00761256" w:rsidP="00274EC3">
      <w:pPr>
        <w:pStyle w:val="Sinespaciado"/>
        <w:jc w:val="both"/>
        <w:rPr>
          <w:rFonts w:ascii="Palatino Linotype" w:hAnsi="Palatino Linotype"/>
          <w:sz w:val="20"/>
          <w:szCs w:val="20"/>
        </w:rPr>
      </w:pPr>
    </w:p>
    <w:p w14:paraId="0D3E6023" w14:textId="082592DA" w:rsidR="00274EC3" w:rsidRDefault="00274EC3" w:rsidP="00274EC3">
      <w:pPr>
        <w:pStyle w:val="Sinespaciado"/>
        <w:jc w:val="both"/>
        <w:rPr>
          <w:rFonts w:ascii="Palatino Linotype" w:hAnsi="Palatino Linotype"/>
          <w:strike/>
          <w:sz w:val="20"/>
          <w:szCs w:val="20"/>
        </w:rPr>
      </w:pPr>
      <w:r w:rsidRPr="00274EC3">
        <w:rPr>
          <w:rFonts w:ascii="Palatino Linotype" w:hAnsi="Palatino Linotype"/>
          <w:b/>
          <w:sz w:val="20"/>
          <w:szCs w:val="20"/>
        </w:rPr>
        <w:t xml:space="preserve">Artículo […]. - </w:t>
      </w:r>
      <w:r w:rsidR="00505993">
        <w:rPr>
          <w:rFonts w:ascii="Palatino Linotype" w:hAnsi="Palatino Linotype"/>
          <w:b/>
          <w:sz w:val="20"/>
          <w:szCs w:val="20"/>
        </w:rPr>
        <w:t>Requisitos</w:t>
      </w:r>
      <w:r w:rsidRPr="00274EC3">
        <w:rPr>
          <w:rFonts w:ascii="Palatino Linotype" w:hAnsi="Palatino Linotype"/>
          <w:b/>
          <w:sz w:val="20"/>
          <w:szCs w:val="20"/>
        </w:rPr>
        <w:t xml:space="preserve">. </w:t>
      </w:r>
      <w:r w:rsidR="00505993">
        <w:rPr>
          <w:rFonts w:ascii="Palatino Linotype" w:hAnsi="Palatino Linotype"/>
          <w:b/>
          <w:sz w:val="20"/>
          <w:szCs w:val="20"/>
        </w:rPr>
        <w:t>–</w:t>
      </w:r>
      <w:r w:rsidRPr="00274EC3">
        <w:rPr>
          <w:rFonts w:ascii="Palatino Linotype" w:hAnsi="Palatino Linotype"/>
          <w:b/>
          <w:sz w:val="20"/>
          <w:szCs w:val="20"/>
        </w:rPr>
        <w:t xml:space="preserve"> </w:t>
      </w:r>
      <w:r w:rsidR="00505993" w:rsidRPr="00505993">
        <w:rPr>
          <w:rFonts w:ascii="Palatino Linotype" w:hAnsi="Palatino Linotype"/>
          <w:sz w:val="20"/>
          <w:szCs w:val="20"/>
        </w:rPr>
        <w:t>La petición</w:t>
      </w:r>
      <w:r w:rsidR="00505993">
        <w:rPr>
          <w:rFonts w:ascii="Palatino Linotype" w:hAnsi="Palatino Linotype"/>
          <w:b/>
          <w:sz w:val="20"/>
          <w:szCs w:val="20"/>
        </w:rPr>
        <w:t xml:space="preserve"> </w:t>
      </w:r>
      <w:r w:rsidR="00505993">
        <w:rPr>
          <w:rFonts w:ascii="Palatino Linotype" w:hAnsi="Palatino Linotype"/>
          <w:sz w:val="20"/>
          <w:szCs w:val="20"/>
        </w:rPr>
        <w:t xml:space="preserve">se dirigirá y presentará </w:t>
      </w:r>
      <w:r w:rsidRPr="00274EC3">
        <w:rPr>
          <w:rFonts w:ascii="Palatino Linotype" w:hAnsi="Palatino Linotype"/>
          <w:sz w:val="20"/>
          <w:szCs w:val="20"/>
        </w:rPr>
        <w:t xml:space="preserve">a la Administración Zonal competente, </w:t>
      </w:r>
      <w:r w:rsidR="00505993">
        <w:rPr>
          <w:rFonts w:ascii="Palatino Linotype" w:hAnsi="Palatino Linotype"/>
          <w:sz w:val="20"/>
          <w:szCs w:val="20"/>
        </w:rPr>
        <w:t>donde se encuentre ubicado el bien inmueble y deberá ser acompañada de los siguientes requisitos:</w:t>
      </w:r>
    </w:p>
    <w:p w14:paraId="247F5D22" w14:textId="77777777" w:rsidR="00631569" w:rsidRPr="00631569" w:rsidRDefault="00631569" w:rsidP="00274EC3">
      <w:pPr>
        <w:pStyle w:val="Sinespaciado"/>
        <w:jc w:val="both"/>
        <w:rPr>
          <w:rFonts w:ascii="Palatino Linotype" w:hAnsi="Palatino Linotype"/>
          <w:strike/>
          <w:sz w:val="20"/>
          <w:szCs w:val="20"/>
        </w:rPr>
      </w:pPr>
    </w:p>
    <w:p w14:paraId="476F0353" w14:textId="10264574" w:rsidR="00A72D08" w:rsidRDefault="00A72D08" w:rsidP="00A72D08">
      <w:pPr>
        <w:pStyle w:val="Sinespaciado"/>
        <w:numPr>
          <w:ilvl w:val="0"/>
          <w:numId w:val="22"/>
        </w:numPr>
        <w:jc w:val="both"/>
        <w:rPr>
          <w:rFonts w:ascii="Palatino Linotype" w:hAnsi="Palatino Linotype"/>
          <w:sz w:val="20"/>
          <w:szCs w:val="20"/>
        </w:rPr>
      </w:pPr>
      <w:r>
        <w:rPr>
          <w:rFonts w:ascii="Palatino Linotype" w:hAnsi="Palatino Linotype"/>
          <w:sz w:val="20"/>
          <w:szCs w:val="20"/>
        </w:rPr>
        <w:t>En caso de partición judicial, s</w:t>
      </w:r>
      <w:r w:rsidRPr="00A72D08">
        <w:rPr>
          <w:rFonts w:ascii="Palatino Linotype" w:hAnsi="Palatino Linotype"/>
          <w:sz w:val="20"/>
          <w:szCs w:val="20"/>
        </w:rPr>
        <w:t>olicitud o disposición emitida por el señor Juez o Jueza de la causa.</w:t>
      </w:r>
    </w:p>
    <w:p w14:paraId="154FA1BB" w14:textId="0E5D9E60" w:rsidR="00274EC3" w:rsidRPr="00F37C11" w:rsidRDefault="00F37C11" w:rsidP="005F4DB3">
      <w:pPr>
        <w:pStyle w:val="Sinespaciado"/>
        <w:numPr>
          <w:ilvl w:val="0"/>
          <w:numId w:val="22"/>
        </w:numPr>
        <w:jc w:val="both"/>
        <w:rPr>
          <w:rFonts w:ascii="Palatino Linotype" w:hAnsi="Palatino Linotype"/>
          <w:sz w:val="20"/>
          <w:szCs w:val="20"/>
        </w:rPr>
      </w:pPr>
      <w:r w:rsidRPr="00F37C11">
        <w:rPr>
          <w:rFonts w:ascii="Palatino Linotype" w:hAnsi="Palatino Linotype"/>
          <w:sz w:val="20"/>
          <w:szCs w:val="20"/>
        </w:rPr>
        <w:t xml:space="preserve">En caso de partición extrajudicial, </w:t>
      </w:r>
      <w:r>
        <w:rPr>
          <w:rFonts w:ascii="Palatino Linotype" w:hAnsi="Palatino Linotype"/>
          <w:sz w:val="20"/>
          <w:szCs w:val="20"/>
        </w:rPr>
        <w:t>p</w:t>
      </w:r>
      <w:r w:rsidR="00505993" w:rsidRPr="00F37C11">
        <w:rPr>
          <w:rFonts w:ascii="Palatino Linotype" w:hAnsi="Palatino Linotype"/>
          <w:sz w:val="20"/>
          <w:szCs w:val="20"/>
        </w:rPr>
        <w:t>etición escrita, en el cual, se especificará el número de predio del bien inmueble objeto de la partición.</w:t>
      </w:r>
    </w:p>
    <w:p w14:paraId="7EF24225" w14:textId="77777777" w:rsidR="00274EC3" w:rsidRPr="00274EC3" w:rsidRDefault="00274EC3" w:rsidP="00274EC3">
      <w:pPr>
        <w:pStyle w:val="Sinespaciado"/>
        <w:numPr>
          <w:ilvl w:val="0"/>
          <w:numId w:val="22"/>
        </w:numPr>
        <w:jc w:val="both"/>
        <w:rPr>
          <w:rFonts w:ascii="Palatino Linotype" w:hAnsi="Palatino Linotype"/>
          <w:sz w:val="20"/>
          <w:szCs w:val="20"/>
        </w:rPr>
      </w:pPr>
      <w:r w:rsidRPr="00274EC3">
        <w:rPr>
          <w:rFonts w:ascii="Palatino Linotype" w:hAnsi="Palatino Linotype"/>
          <w:sz w:val="20"/>
          <w:szCs w:val="20"/>
        </w:rPr>
        <w:lastRenderedPageBreak/>
        <w:t xml:space="preserve">Copia del documento que acredite la existencia legal y de los estatutos en el caso que el solicitante sea una persona jurídica; y, </w:t>
      </w:r>
    </w:p>
    <w:p w14:paraId="2EE07682" w14:textId="318CF30E" w:rsidR="00274EC3" w:rsidRDefault="00274EC3" w:rsidP="00274EC3">
      <w:pPr>
        <w:pStyle w:val="Sinespaciado"/>
        <w:numPr>
          <w:ilvl w:val="0"/>
          <w:numId w:val="22"/>
        </w:numPr>
        <w:jc w:val="both"/>
        <w:rPr>
          <w:rFonts w:ascii="Palatino Linotype" w:hAnsi="Palatino Linotype"/>
          <w:sz w:val="20"/>
          <w:szCs w:val="20"/>
        </w:rPr>
      </w:pPr>
      <w:r w:rsidRPr="00274EC3">
        <w:rPr>
          <w:rFonts w:ascii="Palatino Linotype" w:hAnsi="Palatino Linotype"/>
          <w:sz w:val="20"/>
          <w:szCs w:val="20"/>
        </w:rPr>
        <w:t>Copia del nombramiento vigente del representante legal de la entidad pública o privada, emitido por la autoridad competente.</w:t>
      </w:r>
    </w:p>
    <w:p w14:paraId="07554013" w14:textId="77777777" w:rsidR="00AC0A0D" w:rsidRPr="00274EC3" w:rsidRDefault="00AC0A0D" w:rsidP="00AC0A0D">
      <w:pPr>
        <w:pStyle w:val="Sinespaciado"/>
        <w:ind w:left="1440"/>
        <w:jc w:val="both"/>
        <w:rPr>
          <w:rFonts w:ascii="Palatino Linotype" w:hAnsi="Palatino Linotype"/>
          <w:sz w:val="20"/>
          <w:szCs w:val="20"/>
        </w:rPr>
      </w:pPr>
    </w:p>
    <w:p w14:paraId="4672E707" w14:textId="32D55AC6" w:rsidR="00274EC3" w:rsidRPr="00274EC3" w:rsidRDefault="00274EC3" w:rsidP="00274EC3">
      <w:pPr>
        <w:pStyle w:val="Sinespaciado"/>
        <w:jc w:val="both"/>
        <w:rPr>
          <w:rFonts w:ascii="Palatino Linotype" w:hAnsi="Palatino Linotype"/>
          <w:sz w:val="20"/>
          <w:szCs w:val="20"/>
        </w:rPr>
      </w:pPr>
      <w:r w:rsidRPr="00274EC3">
        <w:rPr>
          <w:rFonts w:ascii="Palatino Linotype" w:hAnsi="Palatino Linotype"/>
          <w:b/>
          <w:sz w:val="20"/>
          <w:szCs w:val="20"/>
        </w:rPr>
        <w:t xml:space="preserve">Artículo […].- Procedimiento. - </w:t>
      </w:r>
      <w:r w:rsidRPr="00274EC3">
        <w:rPr>
          <w:rFonts w:ascii="Palatino Linotype" w:hAnsi="Palatino Linotype"/>
          <w:sz w:val="20"/>
          <w:szCs w:val="20"/>
        </w:rPr>
        <w:t xml:space="preserve">El trámite para la </w:t>
      </w:r>
      <w:r w:rsidR="00614C10">
        <w:rPr>
          <w:rFonts w:ascii="Palatino Linotype" w:hAnsi="Palatino Linotype"/>
          <w:sz w:val="20"/>
          <w:szCs w:val="20"/>
        </w:rPr>
        <w:t>emisión de informe de partición judicial o extrajudicial, será el siguiente:</w:t>
      </w:r>
    </w:p>
    <w:p w14:paraId="4115C911" w14:textId="77777777" w:rsidR="00274EC3" w:rsidRPr="00274EC3" w:rsidRDefault="00274EC3" w:rsidP="00274EC3">
      <w:pPr>
        <w:pStyle w:val="Sinespaciado"/>
        <w:jc w:val="both"/>
        <w:rPr>
          <w:rFonts w:ascii="Palatino Linotype" w:hAnsi="Palatino Linotype"/>
          <w:sz w:val="20"/>
          <w:szCs w:val="20"/>
        </w:rPr>
      </w:pPr>
    </w:p>
    <w:p w14:paraId="7BCF73A1" w14:textId="1273F7F2" w:rsidR="00274EC3" w:rsidRDefault="00614C10" w:rsidP="00274EC3">
      <w:pPr>
        <w:pStyle w:val="Sinespaciado"/>
        <w:numPr>
          <w:ilvl w:val="0"/>
          <w:numId w:val="29"/>
        </w:numPr>
        <w:jc w:val="both"/>
        <w:rPr>
          <w:rFonts w:ascii="Palatino Linotype" w:hAnsi="Palatino Linotype"/>
          <w:sz w:val="20"/>
          <w:szCs w:val="20"/>
        </w:rPr>
      </w:pPr>
      <w:r>
        <w:rPr>
          <w:rFonts w:ascii="Palatino Linotype" w:hAnsi="Palatino Linotype"/>
          <w:sz w:val="20"/>
          <w:szCs w:val="20"/>
        </w:rPr>
        <w:t xml:space="preserve">En el término máximo de </w:t>
      </w:r>
      <w:r w:rsidR="00631569">
        <w:rPr>
          <w:rFonts w:ascii="Palatino Linotype" w:hAnsi="Palatino Linotype"/>
          <w:sz w:val="20"/>
          <w:szCs w:val="20"/>
        </w:rPr>
        <w:t>cinco (5)</w:t>
      </w:r>
      <w:r w:rsidR="00274EC3" w:rsidRPr="00274EC3">
        <w:rPr>
          <w:rFonts w:ascii="Palatino Linotype" w:hAnsi="Palatino Linotype"/>
          <w:sz w:val="20"/>
          <w:szCs w:val="20"/>
        </w:rPr>
        <w:t xml:space="preserve"> días la Administración Zonal com</w:t>
      </w:r>
      <w:r w:rsidR="00631569">
        <w:rPr>
          <w:rFonts w:ascii="Palatino Linotype" w:hAnsi="Palatino Linotype"/>
          <w:sz w:val="20"/>
          <w:szCs w:val="20"/>
        </w:rPr>
        <w:t xml:space="preserve">petente, revisará la petición y, </w:t>
      </w:r>
      <w:r w:rsidR="00274EC3" w:rsidRPr="00274EC3">
        <w:rPr>
          <w:rFonts w:ascii="Palatino Linotype" w:hAnsi="Palatino Linotype"/>
          <w:sz w:val="20"/>
          <w:szCs w:val="20"/>
        </w:rPr>
        <w:t xml:space="preserve">de ser </w:t>
      </w:r>
      <w:r w:rsidR="00DB6D01">
        <w:rPr>
          <w:rFonts w:ascii="Palatino Linotype" w:hAnsi="Palatino Linotype"/>
          <w:sz w:val="20"/>
          <w:szCs w:val="20"/>
        </w:rPr>
        <w:t>favorable</w:t>
      </w:r>
      <w:r w:rsidR="00631569">
        <w:rPr>
          <w:rFonts w:ascii="Palatino Linotype" w:hAnsi="Palatino Linotype"/>
          <w:sz w:val="20"/>
          <w:szCs w:val="20"/>
        </w:rPr>
        <w:t>,</w:t>
      </w:r>
      <w:r w:rsidR="00DB6D01">
        <w:rPr>
          <w:rFonts w:ascii="Palatino Linotype" w:hAnsi="Palatino Linotype"/>
          <w:sz w:val="20"/>
          <w:szCs w:val="20"/>
        </w:rPr>
        <w:t xml:space="preserve"> </w:t>
      </w:r>
      <w:r w:rsidR="00274EC3" w:rsidRPr="00274EC3">
        <w:rPr>
          <w:rFonts w:ascii="Palatino Linotype" w:hAnsi="Palatino Linotype"/>
          <w:sz w:val="20"/>
          <w:szCs w:val="20"/>
        </w:rPr>
        <w:t>remitirá el expediente</w:t>
      </w:r>
      <w:r w:rsidR="009C4420">
        <w:rPr>
          <w:rFonts w:ascii="Palatino Linotype" w:hAnsi="Palatino Linotype"/>
          <w:sz w:val="20"/>
          <w:szCs w:val="20"/>
        </w:rPr>
        <w:t xml:space="preserve"> completo, </w:t>
      </w:r>
      <w:r w:rsidR="00274EC3" w:rsidRPr="00274EC3">
        <w:rPr>
          <w:rFonts w:ascii="Palatino Linotype" w:hAnsi="Palatino Linotype"/>
          <w:sz w:val="20"/>
          <w:szCs w:val="20"/>
        </w:rPr>
        <w:t>los informes establecidos en el presente Capitulo</w:t>
      </w:r>
      <w:r w:rsidR="009C4420">
        <w:rPr>
          <w:rFonts w:ascii="Palatino Linotype" w:hAnsi="Palatino Linotype"/>
          <w:sz w:val="20"/>
          <w:szCs w:val="20"/>
        </w:rPr>
        <w:t xml:space="preserve"> y el proyecto de resolución de Concejo Metropolitano</w:t>
      </w:r>
      <w:r w:rsidR="00274EC3" w:rsidRPr="00274EC3">
        <w:rPr>
          <w:rFonts w:ascii="Palatino Linotype" w:hAnsi="Palatino Linotype"/>
          <w:sz w:val="20"/>
          <w:szCs w:val="20"/>
        </w:rPr>
        <w:t xml:space="preserve"> a la </w:t>
      </w:r>
      <w:r>
        <w:rPr>
          <w:rFonts w:ascii="Palatino Linotype" w:hAnsi="Palatino Linotype"/>
          <w:sz w:val="20"/>
          <w:szCs w:val="20"/>
        </w:rPr>
        <w:t>Procuraduría Metropolitana.</w:t>
      </w:r>
    </w:p>
    <w:p w14:paraId="2D01E123" w14:textId="0602E70F" w:rsidR="00DB6D01" w:rsidRDefault="00DB6D01" w:rsidP="00DB6D01">
      <w:pPr>
        <w:pStyle w:val="Sinespaciado"/>
        <w:jc w:val="both"/>
        <w:rPr>
          <w:rFonts w:ascii="Palatino Linotype" w:hAnsi="Palatino Linotype"/>
          <w:sz w:val="20"/>
          <w:szCs w:val="20"/>
        </w:rPr>
      </w:pPr>
    </w:p>
    <w:p w14:paraId="3866E74B" w14:textId="480192E1" w:rsidR="00DB6D01" w:rsidRPr="00274EC3" w:rsidRDefault="00DB6D01" w:rsidP="00DB6D01">
      <w:pPr>
        <w:pStyle w:val="Sinespaciado"/>
        <w:ind w:left="720"/>
        <w:jc w:val="both"/>
        <w:rPr>
          <w:rFonts w:ascii="Palatino Linotype" w:hAnsi="Palatino Linotype"/>
          <w:sz w:val="20"/>
          <w:szCs w:val="20"/>
        </w:rPr>
      </w:pPr>
      <w:r>
        <w:rPr>
          <w:rFonts w:ascii="Palatino Linotype" w:hAnsi="Palatino Linotype"/>
          <w:sz w:val="20"/>
          <w:szCs w:val="20"/>
        </w:rPr>
        <w:t>E</w:t>
      </w:r>
      <w:r w:rsidR="00631569">
        <w:rPr>
          <w:rFonts w:ascii="Palatino Linotype" w:hAnsi="Palatino Linotype"/>
          <w:sz w:val="20"/>
          <w:szCs w:val="20"/>
        </w:rPr>
        <w:t>n el caso de que el informe sea desfavorable, la Administración Zonal</w:t>
      </w:r>
      <w:r w:rsidR="009C4420">
        <w:rPr>
          <w:rFonts w:ascii="Palatino Linotype" w:hAnsi="Palatino Linotype"/>
          <w:sz w:val="20"/>
          <w:szCs w:val="20"/>
        </w:rPr>
        <w:t xml:space="preserve"> competente</w:t>
      </w:r>
      <w:r w:rsidR="00631569">
        <w:rPr>
          <w:rFonts w:ascii="Palatino Linotype" w:hAnsi="Palatino Linotype"/>
          <w:sz w:val="20"/>
          <w:szCs w:val="20"/>
        </w:rPr>
        <w:t>, al amparo de los principios de eficiencia y eficacia administrativa, notificará al solicitante la nega</w:t>
      </w:r>
      <w:r w:rsidR="009C4420">
        <w:rPr>
          <w:rFonts w:ascii="Palatino Linotype" w:hAnsi="Palatino Linotype"/>
          <w:sz w:val="20"/>
          <w:szCs w:val="20"/>
        </w:rPr>
        <w:t xml:space="preserve">tiva </w:t>
      </w:r>
      <w:r w:rsidR="00631569">
        <w:rPr>
          <w:rFonts w:ascii="Palatino Linotype" w:hAnsi="Palatino Linotype"/>
          <w:sz w:val="20"/>
          <w:szCs w:val="20"/>
        </w:rPr>
        <w:t>mediante acto administrativo, sin necesidad de que el Concejo Metropolitano se pronuncie al respecto.</w:t>
      </w:r>
    </w:p>
    <w:p w14:paraId="6093DB40" w14:textId="77777777" w:rsidR="00274EC3" w:rsidRPr="00274EC3" w:rsidRDefault="00274EC3" w:rsidP="00274EC3">
      <w:pPr>
        <w:pStyle w:val="Sinespaciado"/>
        <w:ind w:left="720"/>
        <w:jc w:val="both"/>
        <w:rPr>
          <w:rFonts w:ascii="Palatino Linotype" w:hAnsi="Palatino Linotype"/>
          <w:sz w:val="20"/>
          <w:szCs w:val="20"/>
        </w:rPr>
      </w:pPr>
    </w:p>
    <w:p w14:paraId="76892AFE" w14:textId="45952F2A" w:rsidR="00274EC3" w:rsidRPr="00274EC3" w:rsidRDefault="00274EC3" w:rsidP="00274EC3">
      <w:pPr>
        <w:pStyle w:val="Sinespaciado"/>
        <w:numPr>
          <w:ilvl w:val="0"/>
          <w:numId w:val="29"/>
        </w:numPr>
        <w:jc w:val="both"/>
        <w:rPr>
          <w:rFonts w:ascii="Palatino Linotype" w:hAnsi="Palatino Linotype"/>
          <w:sz w:val="20"/>
          <w:szCs w:val="20"/>
        </w:rPr>
      </w:pPr>
      <w:r w:rsidRPr="00274EC3">
        <w:rPr>
          <w:rFonts w:ascii="Palatino Linotype" w:hAnsi="Palatino Linotype"/>
          <w:sz w:val="20"/>
          <w:szCs w:val="20"/>
        </w:rPr>
        <w:t>La Procuraduría Metropol</w:t>
      </w:r>
      <w:r w:rsidR="00631569">
        <w:rPr>
          <w:rFonts w:ascii="Palatino Linotype" w:hAnsi="Palatino Linotype"/>
          <w:sz w:val="20"/>
          <w:szCs w:val="20"/>
        </w:rPr>
        <w:t>itana en el término máximo de ocho (8)</w:t>
      </w:r>
      <w:r w:rsidRPr="00274EC3">
        <w:rPr>
          <w:rFonts w:ascii="Palatino Linotype" w:hAnsi="Palatino Linotype"/>
          <w:sz w:val="20"/>
          <w:szCs w:val="20"/>
        </w:rPr>
        <w:t xml:space="preserve"> días remitirá su informe legal junto con el expediente completo a la Comisión de </w:t>
      </w:r>
      <w:r w:rsidR="00631569">
        <w:rPr>
          <w:rFonts w:ascii="Palatino Linotype" w:hAnsi="Palatino Linotype"/>
          <w:sz w:val="20"/>
          <w:szCs w:val="20"/>
        </w:rPr>
        <w:t>Uso de Suelo</w:t>
      </w:r>
      <w:r w:rsidRPr="00274EC3">
        <w:rPr>
          <w:rFonts w:ascii="Palatino Linotype" w:hAnsi="Palatino Linotype"/>
          <w:sz w:val="20"/>
          <w:szCs w:val="20"/>
        </w:rPr>
        <w:t xml:space="preserve">. En caso de existir observaciones a los informes presentados solicitará </w:t>
      </w:r>
      <w:r w:rsidR="00631569">
        <w:rPr>
          <w:rFonts w:ascii="Palatino Linotype" w:hAnsi="Palatino Linotype"/>
          <w:sz w:val="20"/>
          <w:szCs w:val="20"/>
        </w:rPr>
        <w:t xml:space="preserve">a la Administración Zonal competente </w:t>
      </w:r>
      <w:r w:rsidRPr="00274EC3">
        <w:rPr>
          <w:rFonts w:ascii="Palatino Linotype" w:hAnsi="Palatino Linotype"/>
          <w:sz w:val="20"/>
          <w:szCs w:val="20"/>
        </w:rPr>
        <w:t>que estos sean aclarados o rectificados e</w:t>
      </w:r>
      <w:r w:rsidR="00631569">
        <w:rPr>
          <w:rFonts w:ascii="Palatino Linotype" w:hAnsi="Palatino Linotype"/>
          <w:sz w:val="20"/>
          <w:szCs w:val="20"/>
        </w:rPr>
        <w:t xml:space="preserve">n el término máximo de cinco (5) </w:t>
      </w:r>
      <w:r w:rsidRPr="00274EC3">
        <w:rPr>
          <w:rFonts w:ascii="Palatino Linotype" w:hAnsi="Palatino Linotype"/>
          <w:sz w:val="20"/>
          <w:szCs w:val="20"/>
        </w:rPr>
        <w:t>días.</w:t>
      </w:r>
    </w:p>
    <w:p w14:paraId="07435241" w14:textId="77777777" w:rsidR="00274EC3" w:rsidRPr="00274EC3" w:rsidRDefault="00274EC3" w:rsidP="00274EC3">
      <w:pPr>
        <w:pStyle w:val="Sinespaciado"/>
        <w:jc w:val="both"/>
        <w:rPr>
          <w:rFonts w:ascii="Palatino Linotype" w:hAnsi="Palatino Linotype"/>
          <w:sz w:val="20"/>
          <w:szCs w:val="20"/>
        </w:rPr>
      </w:pPr>
    </w:p>
    <w:p w14:paraId="5DC722FD" w14:textId="1745F98F" w:rsidR="00274EC3" w:rsidRDefault="00631569" w:rsidP="00A72D08">
      <w:pPr>
        <w:pStyle w:val="Sinespaciado"/>
        <w:numPr>
          <w:ilvl w:val="0"/>
          <w:numId w:val="29"/>
        </w:numPr>
        <w:jc w:val="both"/>
        <w:rPr>
          <w:rFonts w:ascii="Palatino Linotype" w:hAnsi="Palatino Linotype"/>
          <w:sz w:val="20"/>
          <w:szCs w:val="20"/>
        </w:rPr>
      </w:pPr>
      <w:r w:rsidRPr="00631569">
        <w:rPr>
          <w:rFonts w:ascii="Palatino Linotype" w:hAnsi="Palatino Linotype"/>
          <w:sz w:val="20"/>
          <w:szCs w:val="20"/>
        </w:rPr>
        <w:t>La</w:t>
      </w:r>
      <w:r w:rsidR="00274EC3" w:rsidRPr="00631569">
        <w:rPr>
          <w:rFonts w:ascii="Palatino Linotype" w:hAnsi="Palatino Linotype"/>
          <w:sz w:val="20"/>
          <w:szCs w:val="20"/>
        </w:rPr>
        <w:t xml:space="preserve"> Comisión </w:t>
      </w:r>
      <w:r w:rsidRPr="00631569">
        <w:rPr>
          <w:rFonts w:ascii="Palatino Linotype" w:hAnsi="Palatino Linotype"/>
          <w:sz w:val="20"/>
          <w:szCs w:val="20"/>
        </w:rPr>
        <w:t>de Uso de Suelo, en uso de sus atribuciones,</w:t>
      </w:r>
      <w:r w:rsidR="00274EC3" w:rsidRPr="00631569">
        <w:rPr>
          <w:rFonts w:ascii="Palatino Linotype" w:hAnsi="Palatino Linotype"/>
          <w:sz w:val="20"/>
          <w:szCs w:val="20"/>
        </w:rPr>
        <w:t xml:space="preserve"> analizará el expediente completo y emitirá dictamen</w:t>
      </w:r>
      <w:r>
        <w:rPr>
          <w:rFonts w:ascii="Palatino Linotype" w:hAnsi="Palatino Linotype"/>
          <w:sz w:val="20"/>
          <w:szCs w:val="20"/>
        </w:rPr>
        <w:t xml:space="preserve"> </w:t>
      </w:r>
      <w:r w:rsidR="00274EC3" w:rsidRPr="00631569">
        <w:rPr>
          <w:rFonts w:ascii="Palatino Linotype" w:hAnsi="Palatino Linotype"/>
          <w:sz w:val="20"/>
          <w:szCs w:val="20"/>
        </w:rPr>
        <w:t>para que el Concejo Metropolitano</w:t>
      </w:r>
      <w:r w:rsidR="004A08E5">
        <w:rPr>
          <w:rFonts w:ascii="Palatino Linotype" w:hAnsi="Palatino Linotype"/>
          <w:sz w:val="20"/>
          <w:szCs w:val="20"/>
        </w:rPr>
        <w:t xml:space="preserve"> se pronuncie al respecto en el término máximo de diez (10) días.</w:t>
      </w:r>
    </w:p>
    <w:p w14:paraId="1F29F263" w14:textId="1ABCD3D8" w:rsidR="00631569" w:rsidRPr="00631569" w:rsidRDefault="00631569" w:rsidP="00631569">
      <w:pPr>
        <w:pStyle w:val="Sinespaciado"/>
        <w:jc w:val="both"/>
        <w:rPr>
          <w:rFonts w:ascii="Palatino Linotype" w:hAnsi="Palatino Linotype"/>
          <w:sz w:val="20"/>
          <w:szCs w:val="20"/>
        </w:rPr>
      </w:pPr>
    </w:p>
    <w:p w14:paraId="3B963760" w14:textId="784A5E19" w:rsidR="00274EC3" w:rsidRDefault="00274EC3" w:rsidP="004A08E5">
      <w:pPr>
        <w:pStyle w:val="Sinespaciado"/>
        <w:numPr>
          <w:ilvl w:val="0"/>
          <w:numId w:val="29"/>
        </w:numPr>
        <w:jc w:val="both"/>
        <w:rPr>
          <w:rFonts w:ascii="Palatino Linotype" w:hAnsi="Palatino Linotype"/>
          <w:sz w:val="20"/>
          <w:szCs w:val="20"/>
        </w:rPr>
      </w:pPr>
      <w:r w:rsidRPr="00274EC3">
        <w:rPr>
          <w:rFonts w:ascii="Palatino Linotype" w:hAnsi="Palatino Linotype"/>
          <w:sz w:val="20"/>
          <w:szCs w:val="20"/>
        </w:rPr>
        <w:t>El Concejo Metropolitano de Quito</w:t>
      </w:r>
      <w:r w:rsidR="00631569">
        <w:rPr>
          <w:rFonts w:ascii="Palatino Linotype" w:hAnsi="Palatino Linotype"/>
          <w:sz w:val="20"/>
          <w:szCs w:val="20"/>
        </w:rPr>
        <w:t>, resolverá aprobar o negar la partición</w:t>
      </w:r>
      <w:r w:rsidRPr="00274EC3">
        <w:rPr>
          <w:rFonts w:ascii="Palatino Linotype" w:hAnsi="Palatino Linotype"/>
          <w:sz w:val="20"/>
          <w:szCs w:val="20"/>
        </w:rPr>
        <w:t xml:space="preserve"> </w:t>
      </w:r>
      <w:r w:rsidR="004A08E5">
        <w:rPr>
          <w:rFonts w:ascii="Palatino Linotype" w:hAnsi="Palatino Linotype"/>
          <w:sz w:val="20"/>
          <w:szCs w:val="20"/>
        </w:rPr>
        <w:t>judicial o extrajudicial en el término máximo de quince (15) días.</w:t>
      </w:r>
    </w:p>
    <w:p w14:paraId="6BD30889" w14:textId="77777777" w:rsidR="004A08E5" w:rsidRDefault="004A08E5" w:rsidP="004A08E5">
      <w:pPr>
        <w:pStyle w:val="Prrafodelista"/>
        <w:rPr>
          <w:rFonts w:ascii="Palatino Linotype" w:hAnsi="Palatino Linotype"/>
          <w:sz w:val="20"/>
          <w:szCs w:val="20"/>
        </w:rPr>
      </w:pPr>
    </w:p>
    <w:p w14:paraId="5808EC7A" w14:textId="7DBB5DCA" w:rsidR="004A08E5" w:rsidRPr="004A08E5" w:rsidRDefault="004A08E5" w:rsidP="004A08E5">
      <w:pPr>
        <w:pStyle w:val="Sinespaciado"/>
        <w:jc w:val="both"/>
        <w:rPr>
          <w:rFonts w:ascii="Palatino Linotype" w:hAnsi="Palatino Linotype"/>
          <w:sz w:val="20"/>
          <w:szCs w:val="20"/>
        </w:rPr>
      </w:pPr>
      <w:r>
        <w:rPr>
          <w:rFonts w:ascii="Palatino Linotype" w:hAnsi="Palatino Linotype"/>
          <w:sz w:val="20"/>
          <w:szCs w:val="20"/>
        </w:rPr>
        <w:t>En ningún caso este procedimiento podrá superar, desde la petición inicial, el término máximo de sesenta (60) días.</w:t>
      </w:r>
    </w:p>
    <w:p w14:paraId="0CD73432" w14:textId="77777777" w:rsidR="00274EC3" w:rsidRPr="00274EC3" w:rsidRDefault="00274EC3" w:rsidP="00274EC3">
      <w:pPr>
        <w:pStyle w:val="Sinespaciado"/>
        <w:ind w:firstLine="360"/>
        <w:jc w:val="both"/>
        <w:rPr>
          <w:rFonts w:ascii="Palatino Linotype" w:hAnsi="Palatino Linotype"/>
          <w:sz w:val="20"/>
          <w:szCs w:val="20"/>
        </w:rPr>
      </w:pPr>
    </w:p>
    <w:p w14:paraId="36FA1F3B" w14:textId="533A0635" w:rsidR="00274EC3" w:rsidRPr="00274EC3" w:rsidRDefault="004A08E5" w:rsidP="00274EC3">
      <w:pPr>
        <w:pStyle w:val="Sinespaciado"/>
        <w:jc w:val="center"/>
        <w:rPr>
          <w:rFonts w:ascii="Palatino Linotype" w:hAnsi="Palatino Linotype"/>
          <w:b/>
          <w:sz w:val="20"/>
          <w:szCs w:val="20"/>
        </w:rPr>
      </w:pPr>
      <w:r>
        <w:rPr>
          <w:rFonts w:ascii="Palatino Linotype" w:hAnsi="Palatino Linotype"/>
          <w:b/>
          <w:sz w:val="20"/>
          <w:szCs w:val="20"/>
        </w:rPr>
        <w:t>SECCION I</w:t>
      </w:r>
    </w:p>
    <w:p w14:paraId="348CF5B3" w14:textId="77777777" w:rsidR="00274EC3" w:rsidRPr="00274EC3" w:rsidRDefault="00274EC3" w:rsidP="00274EC3">
      <w:pPr>
        <w:pStyle w:val="Sinespaciado"/>
        <w:jc w:val="center"/>
        <w:rPr>
          <w:rFonts w:ascii="Palatino Linotype" w:hAnsi="Palatino Linotype"/>
          <w:b/>
          <w:sz w:val="20"/>
          <w:szCs w:val="20"/>
        </w:rPr>
      </w:pPr>
      <w:r w:rsidRPr="00274EC3">
        <w:rPr>
          <w:rFonts w:ascii="Palatino Linotype" w:hAnsi="Palatino Linotype"/>
          <w:b/>
          <w:sz w:val="20"/>
          <w:szCs w:val="20"/>
        </w:rPr>
        <w:t>DEL CONTENIDO DE LOS INFORMES</w:t>
      </w:r>
    </w:p>
    <w:p w14:paraId="1EBA90A6" w14:textId="77777777" w:rsidR="00274EC3" w:rsidRPr="00274EC3" w:rsidRDefault="00274EC3" w:rsidP="00274EC3">
      <w:pPr>
        <w:pStyle w:val="Sinespaciado"/>
        <w:jc w:val="both"/>
        <w:rPr>
          <w:rFonts w:ascii="Palatino Linotype" w:hAnsi="Palatino Linotype"/>
          <w:sz w:val="20"/>
          <w:szCs w:val="20"/>
        </w:rPr>
      </w:pPr>
    </w:p>
    <w:p w14:paraId="764BE1C1" w14:textId="2673AC9C" w:rsidR="00274EC3" w:rsidRPr="00274EC3" w:rsidRDefault="00274EC3" w:rsidP="00274EC3">
      <w:pPr>
        <w:pStyle w:val="Sinespaciado"/>
        <w:jc w:val="both"/>
        <w:rPr>
          <w:rFonts w:ascii="Palatino Linotype" w:hAnsi="Palatino Linotype"/>
          <w:sz w:val="20"/>
          <w:szCs w:val="20"/>
        </w:rPr>
      </w:pPr>
      <w:r w:rsidRPr="00274EC3">
        <w:rPr>
          <w:rFonts w:ascii="Palatino Linotype" w:hAnsi="Palatino Linotype"/>
          <w:b/>
          <w:sz w:val="20"/>
          <w:szCs w:val="20"/>
        </w:rPr>
        <w:t>Artículo […].- Informes de la Administración Zonal. -</w:t>
      </w:r>
      <w:r w:rsidRPr="00274EC3">
        <w:rPr>
          <w:rFonts w:ascii="Palatino Linotype" w:hAnsi="Palatino Linotype"/>
          <w:sz w:val="20"/>
          <w:szCs w:val="20"/>
        </w:rPr>
        <w:t xml:space="preserve"> La Administración Zonal correspondiente, emitirá un inform</w:t>
      </w:r>
      <w:r w:rsidR="009C4420">
        <w:rPr>
          <w:rFonts w:ascii="Palatino Linotype" w:hAnsi="Palatino Linotype"/>
          <w:sz w:val="20"/>
          <w:szCs w:val="20"/>
        </w:rPr>
        <w:t>e unificado que deberá contener, en el siguiente orden, lo siguiente:</w:t>
      </w:r>
    </w:p>
    <w:p w14:paraId="5820A4D2" w14:textId="77777777" w:rsidR="00274EC3" w:rsidRPr="00274EC3" w:rsidRDefault="00274EC3" w:rsidP="00274EC3">
      <w:pPr>
        <w:pStyle w:val="Sinespaciado"/>
        <w:jc w:val="both"/>
        <w:rPr>
          <w:rFonts w:ascii="Palatino Linotype" w:hAnsi="Palatino Linotype"/>
          <w:sz w:val="20"/>
          <w:szCs w:val="20"/>
        </w:rPr>
      </w:pPr>
    </w:p>
    <w:p w14:paraId="346B58E7" w14:textId="7C6CED96" w:rsidR="00274EC3" w:rsidRPr="004A08E5" w:rsidRDefault="004A08E5" w:rsidP="00A72D08">
      <w:pPr>
        <w:pStyle w:val="Sinespaciado"/>
        <w:numPr>
          <w:ilvl w:val="0"/>
          <w:numId w:val="21"/>
        </w:numPr>
        <w:jc w:val="both"/>
        <w:rPr>
          <w:rFonts w:ascii="Palatino Linotype" w:hAnsi="Palatino Linotype"/>
          <w:sz w:val="20"/>
          <w:szCs w:val="20"/>
        </w:rPr>
      </w:pPr>
      <w:r>
        <w:rPr>
          <w:rFonts w:ascii="Palatino Linotype" w:hAnsi="Palatino Linotype"/>
          <w:b/>
          <w:sz w:val="20"/>
          <w:szCs w:val="20"/>
        </w:rPr>
        <w:lastRenderedPageBreak/>
        <w:t xml:space="preserve">Informe técnico. - </w:t>
      </w:r>
      <w:r w:rsidRPr="004A08E5">
        <w:rPr>
          <w:rFonts w:ascii="Palatino Linotype" w:hAnsi="Palatino Linotype"/>
          <w:sz w:val="20"/>
          <w:szCs w:val="20"/>
        </w:rPr>
        <w:t>En este informe</w:t>
      </w:r>
      <w:r>
        <w:rPr>
          <w:rFonts w:ascii="Palatino Linotype" w:hAnsi="Palatino Linotype"/>
          <w:b/>
          <w:sz w:val="20"/>
          <w:szCs w:val="20"/>
        </w:rPr>
        <w:t xml:space="preserve"> </w:t>
      </w:r>
      <w:r w:rsidR="00274EC3" w:rsidRPr="004A08E5">
        <w:rPr>
          <w:rFonts w:ascii="Palatino Linotype" w:hAnsi="Palatino Linotype"/>
          <w:sz w:val="20"/>
          <w:szCs w:val="20"/>
        </w:rPr>
        <w:t xml:space="preserve">se detallará los datos técnicos </w:t>
      </w:r>
      <w:r>
        <w:rPr>
          <w:rFonts w:ascii="Palatino Linotype" w:hAnsi="Palatino Linotype"/>
          <w:sz w:val="20"/>
          <w:szCs w:val="20"/>
        </w:rPr>
        <w:t>del predio,</w:t>
      </w:r>
      <w:r w:rsidR="00274EC3" w:rsidRPr="004A08E5">
        <w:rPr>
          <w:rFonts w:ascii="Palatino Linotype" w:hAnsi="Palatino Linotype"/>
          <w:sz w:val="20"/>
          <w:szCs w:val="20"/>
        </w:rPr>
        <w:t xml:space="preserve"> nombres de </w:t>
      </w:r>
      <w:r>
        <w:rPr>
          <w:rFonts w:ascii="Palatino Linotype" w:hAnsi="Palatino Linotype"/>
          <w:sz w:val="20"/>
          <w:szCs w:val="20"/>
        </w:rPr>
        <w:t>propietarios</w:t>
      </w:r>
      <w:r w:rsidR="00274EC3" w:rsidRPr="004A08E5">
        <w:rPr>
          <w:rFonts w:ascii="Palatino Linotype" w:hAnsi="Palatino Linotype"/>
          <w:sz w:val="20"/>
          <w:szCs w:val="20"/>
        </w:rPr>
        <w:t xml:space="preserve"> que co</w:t>
      </w:r>
      <w:r>
        <w:rPr>
          <w:rFonts w:ascii="Palatino Linotype" w:hAnsi="Palatino Linotype"/>
          <w:sz w:val="20"/>
          <w:szCs w:val="20"/>
        </w:rPr>
        <w:t>nsten en el Catastro Municipal y contendrá la justificación de la procedencia o factibilidad técnica de partición.</w:t>
      </w:r>
    </w:p>
    <w:p w14:paraId="153E700F" w14:textId="0FDFB2AD" w:rsidR="00274EC3" w:rsidRPr="00274EC3" w:rsidRDefault="004A08E5" w:rsidP="00274EC3">
      <w:pPr>
        <w:pStyle w:val="Sinespaciado"/>
        <w:numPr>
          <w:ilvl w:val="0"/>
          <w:numId w:val="21"/>
        </w:numPr>
        <w:jc w:val="both"/>
        <w:rPr>
          <w:rFonts w:ascii="Palatino Linotype" w:hAnsi="Palatino Linotype"/>
          <w:sz w:val="20"/>
          <w:szCs w:val="20"/>
        </w:rPr>
      </w:pPr>
      <w:r>
        <w:rPr>
          <w:rFonts w:ascii="Palatino Linotype" w:hAnsi="Palatino Linotype"/>
          <w:b/>
          <w:sz w:val="20"/>
          <w:szCs w:val="20"/>
        </w:rPr>
        <w:t>Informe legal. –</w:t>
      </w:r>
      <w:r w:rsidRPr="004A08E5">
        <w:rPr>
          <w:rFonts w:ascii="Palatino Linotype" w:hAnsi="Palatino Linotype"/>
          <w:sz w:val="20"/>
          <w:szCs w:val="20"/>
        </w:rPr>
        <w:t>Este informe deberá contener</w:t>
      </w:r>
      <w:r w:rsidR="00274EC3" w:rsidRPr="00274EC3">
        <w:rPr>
          <w:rFonts w:ascii="Palatino Linotype" w:hAnsi="Palatino Linotype"/>
          <w:sz w:val="20"/>
          <w:szCs w:val="20"/>
        </w:rPr>
        <w:t xml:space="preserve"> </w:t>
      </w:r>
      <w:r>
        <w:rPr>
          <w:rFonts w:ascii="Palatino Linotype" w:hAnsi="Palatino Linotype"/>
          <w:sz w:val="20"/>
          <w:szCs w:val="20"/>
        </w:rPr>
        <w:t>la base legal que justifique el pronunciamiento.</w:t>
      </w:r>
    </w:p>
    <w:p w14:paraId="2E542873" w14:textId="77777777" w:rsidR="004A08E5" w:rsidRDefault="004A08E5" w:rsidP="004A08E5">
      <w:pPr>
        <w:pStyle w:val="Sinespaciado"/>
        <w:jc w:val="both"/>
        <w:rPr>
          <w:rFonts w:ascii="Palatino Linotype" w:hAnsi="Palatino Linotype"/>
          <w:sz w:val="20"/>
          <w:szCs w:val="20"/>
        </w:rPr>
      </w:pPr>
    </w:p>
    <w:p w14:paraId="175DB6A2" w14:textId="738E051A" w:rsidR="00274EC3" w:rsidRDefault="00274EC3" w:rsidP="004A08E5">
      <w:pPr>
        <w:pStyle w:val="Sinespaciado"/>
        <w:jc w:val="both"/>
        <w:rPr>
          <w:rFonts w:ascii="Palatino Linotype" w:hAnsi="Palatino Linotype"/>
          <w:sz w:val="20"/>
          <w:szCs w:val="20"/>
        </w:rPr>
      </w:pPr>
      <w:r w:rsidRPr="00274EC3">
        <w:rPr>
          <w:rFonts w:ascii="Palatino Linotype" w:hAnsi="Palatino Linotype"/>
          <w:sz w:val="20"/>
          <w:szCs w:val="20"/>
        </w:rPr>
        <w:t xml:space="preserve">El o la Administrador(a) Zonal en base en base de los informes señalados anteriormente, emitirá informe favorable o desfavorable para la </w:t>
      </w:r>
      <w:r w:rsidR="004A08E5">
        <w:rPr>
          <w:rFonts w:ascii="Palatino Linotype" w:hAnsi="Palatino Linotype"/>
          <w:sz w:val="20"/>
          <w:szCs w:val="20"/>
        </w:rPr>
        <w:t>partición del bien inmueble.</w:t>
      </w:r>
    </w:p>
    <w:p w14:paraId="426FA81E" w14:textId="1A7119D2" w:rsidR="00274EC3" w:rsidRPr="00274EC3" w:rsidRDefault="00274EC3" w:rsidP="00274EC3">
      <w:pPr>
        <w:pStyle w:val="Sinespaciado"/>
        <w:jc w:val="both"/>
        <w:rPr>
          <w:rFonts w:ascii="Palatino Linotype" w:hAnsi="Palatino Linotype"/>
          <w:sz w:val="20"/>
          <w:szCs w:val="20"/>
        </w:rPr>
      </w:pPr>
    </w:p>
    <w:p w14:paraId="3F0287EF" w14:textId="0A0544F0" w:rsidR="00274EC3" w:rsidRPr="00274EC3" w:rsidRDefault="00274EC3" w:rsidP="00274EC3">
      <w:pPr>
        <w:pStyle w:val="Sinespaciado"/>
        <w:jc w:val="both"/>
        <w:rPr>
          <w:rFonts w:ascii="Palatino Linotype" w:hAnsi="Palatino Linotype"/>
          <w:sz w:val="20"/>
          <w:szCs w:val="20"/>
        </w:rPr>
      </w:pPr>
      <w:r w:rsidRPr="00274EC3">
        <w:rPr>
          <w:rFonts w:ascii="Palatino Linotype" w:hAnsi="Palatino Linotype"/>
          <w:b/>
          <w:sz w:val="20"/>
          <w:szCs w:val="20"/>
        </w:rPr>
        <w:t xml:space="preserve">Artículo […].- Informe de Procuraduría Metropolitana.- </w:t>
      </w:r>
      <w:r w:rsidRPr="00274EC3">
        <w:rPr>
          <w:rFonts w:ascii="Palatino Linotype" w:hAnsi="Palatino Linotype"/>
          <w:sz w:val="20"/>
          <w:szCs w:val="20"/>
        </w:rPr>
        <w:t>La Procuraduría Metropolitana, una vez recibido el expediente, elaborará su informe jurídico debidamente motivado que contendrá la constancia de los informes descritos en los artículos precedentes</w:t>
      </w:r>
      <w:r w:rsidR="009C4420">
        <w:rPr>
          <w:rFonts w:ascii="Palatino Linotype" w:hAnsi="Palatino Linotype"/>
          <w:sz w:val="20"/>
          <w:szCs w:val="20"/>
        </w:rPr>
        <w:t xml:space="preserve">, el proyecto de resolución y concluirá, conforme el régimen jurídico aplicable, </w:t>
      </w:r>
      <w:r w:rsidRPr="00274EC3">
        <w:rPr>
          <w:rFonts w:ascii="Palatino Linotype" w:hAnsi="Palatino Linotype"/>
          <w:sz w:val="20"/>
          <w:szCs w:val="20"/>
        </w:rPr>
        <w:t>con un criterio favorable o desfavorable.</w:t>
      </w:r>
    </w:p>
    <w:p w14:paraId="5F25AFD1" w14:textId="77777777" w:rsidR="00274EC3" w:rsidRPr="00274EC3" w:rsidRDefault="00274EC3" w:rsidP="00274EC3">
      <w:pPr>
        <w:pStyle w:val="Sinespaciado"/>
        <w:jc w:val="both"/>
        <w:rPr>
          <w:rFonts w:ascii="Palatino Linotype" w:hAnsi="Palatino Linotype"/>
          <w:sz w:val="20"/>
          <w:szCs w:val="20"/>
        </w:rPr>
      </w:pPr>
    </w:p>
    <w:p w14:paraId="72A9A2AC" w14:textId="172B1376" w:rsidR="00082FCC" w:rsidRPr="00274EC3" w:rsidRDefault="00A72D08" w:rsidP="00082FCC">
      <w:pPr>
        <w:autoSpaceDE w:val="0"/>
        <w:autoSpaceDN w:val="0"/>
        <w:adjustRightInd w:val="0"/>
        <w:jc w:val="both"/>
        <w:rPr>
          <w:rFonts w:ascii="Palatino Linotype" w:hAnsi="Palatino Linotype"/>
          <w:b/>
          <w:sz w:val="20"/>
          <w:szCs w:val="20"/>
          <w:lang w:val="es-EC"/>
        </w:rPr>
      </w:pPr>
      <w:r>
        <w:rPr>
          <w:rFonts w:ascii="Palatino Linotype" w:hAnsi="Palatino Linotype"/>
          <w:b/>
          <w:sz w:val="20"/>
          <w:szCs w:val="20"/>
          <w:lang w:val="es-EC"/>
        </w:rPr>
        <w:t>Disposición transitoria única</w:t>
      </w:r>
    </w:p>
    <w:p w14:paraId="5894127A" w14:textId="1886CF99" w:rsidR="00082FCC" w:rsidRPr="009C4420" w:rsidRDefault="009C4420" w:rsidP="00082FCC">
      <w:pPr>
        <w:autoSpaceDE w:val="0"/>
        <w:autoSpaceDN w:val="0"/>
        <w:adjustRightInd w:val="0"/>
        <w:jc w:val="both"/>
        <w:rPr>
          <w:rFonts w:ascii="Palatino Linotype" w:hAnsi="Palatino Linotype"/>
          <w:sz w:val="20"/>
          <w:szCs w:val="20"/>
          <w:lang w:val="es-EC"/>
        </w:rPr>
      </w:pPr>
      <w:r w:rsidRPr="00274EC3">
        <w:rPr>
          <w:rFonts w:ascii="Palatino Linotype" w:hAnsi="Palatino Linotype"/>
          <w:b/>
          <w:sz w:val="20"/>
          <w:szCs w:val="20"/>
          <w:lang w:val="es-EC"/>
        </w:rPr>
        <w:t xml:space="preserve">Primera. </w:t>
      </w:r>
      <w:r>
        <w:rPr>
          <w:rFonts w:ascii="Palatino Linotype" w:hAnsi="Palatino Linotype"/>
          <w:b/>
          <w:sz w:val="20"/>
          <w:szCs w:val="20"/>
          <w:lang w:val="es-EC"/>
        </w:rPr>
        <w:t>–</w:t>
      </w:r>
      <w:r w:rsidR="00082FCC" w:rsidRPr="00274EC3">
        <w:rPr>
          <w:rFonts w:ascii="Palatino Linotype" w:hAnsi="Palatino Linotype"/>
          <w:b/>
          <w:sz w:val="20"/>
          <w:szCs w:val="20"/>
          <w:lang w:val="es-EC"/>
        </w:rPr>
        <w:t xml:space="preserve"> </w:t>
      </w:r>
      <w:r>
        <w:rPr>
          <w:rFonts w:ascii="Palatino Linotype" w:hAnsi="Palatino Linotype"/>
          <w:sz w:val="20"/>
          <w:szCs w:val="20"/>
          <w:lang w:val="es-EC"/>
        </w:rPr>
        <w:t>La Secretaría General del Concejo, en el término máximo de 30 días, remitirá t</w:t>
      </w:r>
      <w:r w:rsidR="00082FCC" w:rsidRPr="00274EC3">
        <w:rPr>
          <w:rFonts w:ascii="Palatino Linotype" w:hAnsi="Palatino Linotype"/>
          <w:sz w:val="20"/>
          <w:szCs w:val="20"/>
          <w:lang w:val="es-EC"/>
        </w:rPr>
        <w:t>odos los expedientes que se encuentran en conocimiento de la Comisión de Uso de Suelo, respecto de partición judicial y extrajudicial, deberán ser remitidos a las Administraciones Zonales correspondientes, para su conocimiento y resolución con carácter de urgente, debiendo cumplirse con los requisitos</w:t>
      </w:r>
      <w:r>
        <w:rPr>
          <w:rFonts w:ascii="Palatino Linotype" w:hAnsi="Palatino Linotype"/>
          <w:sz w:val="20"/>
          <w:szCs w:val="20"/>
          <w:lang w:val="es-EC"/>
        </w:rPr>
        <w:t>, tiempos</w:t>
      </w:r>
      <w:r w:rsidR="00082FCC" w:rsidRPr="00274EC3">
        <w:rPr>
          <w:rFonts w:ascii="Palatino Linotype" w:hAnsi="Palatino Linotype"/>
          <w:sz w:val="20"/>
          <w:szCs w:val="20"/>
          <w:lang w:val="es-EC"/>
        </w:rPr>
        <w:t xml:space="preserve"> y pro</w:t>
      </w:r>
      <w:r>
        <w:rPr>
          <w:rFonts w:ascii="Palatino Linotype" w:hAnsi="Palatino Linotype"/>
          <w:sz w:val="20"/>
          <w:szCs w:val="20"/>
          <w:lang w:val="es-EC"/>
        </w:rPr>
        <w:t xml:space="preserve">cedimientos aquí establecidos. </w:t>
      </w:r>
    </w:p>
    <w:p w14:paraId="024F2F8B" w14:textId="77777777" w:rsidR="00082FCC" w:rsidRPr="00274EC3" w:rsidRDefault="00082FCC" w:rsidP="00082FCC">
      <w:pPr>
        <w:autoSpaceDE w:val="0"/>
        <w:autoSpaceDN w:val="0"/>
        <w:adjustRightInd w:val="0"/>
        <w:jc w:val="both"/>
        <w:rPr>
          <w:rFonts w:ascii="Palatino Linotype" w:hAnsi="Palatino Linotype"/>
          <w:sz w:val="20"/>
          <w:szCs w:val="20"/>
          <w:lang w:val="es-EC"/>
        </w:rPr>
      </w:pPr>
      <w:r w:rsidRPr="00274EC3">
        <w:rPr>
          <w:rFonts w:ascii="Palatino Linotype" w:hAnsi="Palatino Linotype"/>
          <w:b/>
          <w:sz w:val="20"/>
          <w:szCs w:val="20"/>
          <w:lang w:val="es-EC"/>
        </w:rPr>
        <w:t>Disposición Final.-</w:t>
      </w:r>
      <w:r w:rsidRPr="00274EC3">
        <w:rPr>
          <w:rFonts w:ascii="Palatino Linotype" w:hAnsi="Palatino Linotype"/>
          <w:sz w:val="20"/>
          <w:szCs w:val="20"/>
          <w:lang w:val="es-EC"/>
        </w:rPr>
        <w:t xml:space="preserve"> La presente ordenanza entrará en vigencia a partir de su suscripción sin perjuicio de su publicación.</w:t>
      </w:r>
    </w:p>
    <w:p w14:paraId="32BD6B3C" w14:textId="44CF013D" w:rsidR="0012512F" w:rsidRPr="00274EC3" w:rsidRDefault="0012512F" w:rsidP="00082FCC">
      <w:pPr>
        <w:widowControl/>
        <w:autoSpaceDE w:val="0"/>
        <w:autoSpaceDN w:val="0"/>
        <w:adjustRightInd w:val="0"/>
        <w:spacing w:after="120"/>
        <w:jc w:val="both"/>
        <w:rPr>
          <w:rFonts w:ascii="Palatino Linotype" w:hAnsi="Palatino Linotype"/>
          <w:b/>
          <w:iCs/>
          <w:sz w:val="20"/>
          <w:szCs w:val="20"/>
          <w:lang w:val="es-EC"/>
        </w:rPr>
      </w:pPr>
    </w:p>
    <w:p w14:paraId="546F626B" w14:textId="77777777" w:rsidR="00082FCC" w:rsidRPr="00274EC3" w:rsidRDefault="00082FCC" w:rsidP="00082FCC">
      <w:pPr>
        <w:widowControl/>
        <w:autoSpaceDE w:val="0"/>
        <w:autoSpaceDN w:val="0"/>
        <w:adjustRightInd w:val="0"/>
        <w:spacing w:after="120"/>
        <w:jc w:val="both"/>
        <w:rPr>
          <w:rFonts w:ascii="Palatino Linotype" w:hAnsi="Palatino Linotype" w:cs="Times Roman"/>
          <w:iCs/>
          <w:color w:val="000000"/>
          <w:sz w:val="20"/>
          <w:szCs w:val="20"/>
        </w:rPr>
      </w:pPr>
    </w:p>
    <w:sectPr w:rsidR="00082FCC" w:rsidRPr="00274EC3" w:rsidSect="00C32971">
      <w:headerReference w:type="default" r:id="rId9"/>
      <w:footerReference w:type="default" r:id="rId10"/>
      <w:pgSz w:w="12240" w:h="15840"/>
      <w:pgMar w:top="1417" w:right="1701" w:bottom="1417" w:left="1701"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25616" w14:textId="77777777" w:rsidR="00BC4BF8" w:rsidRDefault="00BC4BF8">
      <w:pPr>
        <w:spacing w:after="0" w:line="240" w:lineRule="auto"/>
      </w:pPr>
      <w:r>
        <w:separator/>
      </w:r>
    </w:p>
  </w:endnote>
  <w:endnote w:type="continuationSeparator" w:id="0">
    <w:p w14:paraId="239EE91E" w14:textId="77777777" w:rsidR="00BC4BF8" w:rsidRDefault="00BC4BF8">
      <w:pPr>
        <w:spacing w:after="0" w:line="240" w:lineRule="auto"/>
      </w:pPr>
      <w:r>
        <w:continuationSeparator/>
      </w:r>
    </w:p>
  </w:endnote>
  <w:endnote w:type="continuationNotice" w:id="1">
    <w:p w14:paraId="2389B642" w14:textId="77777777" w:rsidR="00BC4BF8" w:rsidRDefault="00BC4B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altName w:val="Arial Narrow"/>
    <w:panose1 w:val="020B0604020202020204"/>
    <w:charset w:val="00"/>
    <w:family w:val="swiss"/>
    <w:pitch w:val="variable"/>
    <w:sig w:usb0="E0002EFF" w:usb1="C0007843" w:usb2="00000009" w:usb3="00000000" w:csb0="000001FF" w:csb1="00000000"/>
  </w:font>
  <w:font w:name="Times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370043"/>
      <w:docPartObj>
        <w:docPartGallery w:val="Page Numbers (Bottom of Page)"/>
        <w:docPartUnique/>
      </w:docPartObj>
    </w:sdtPr>
    <w:sdtEndPr>
      <w:rPr>
        <w:rFonts w:ascii="Palatino Linotype" w:hAnsi="Palatino Linotype"/>
        <w:b/>
        <w:sz w:val="20"/>
        <w:szCs w:val="20"/>
      </w:rPr>
    </w:sdtEndPr>
    <w:sdtContent>
      <w:sdt>
        <w:sdtPr>
          <w:id w:val="860082579"/>
          <w:docPartObj>
            <w:docPartGallery w:val="Page Numbers (Top of Page)"/>
            <w:docPartUnique/>
          </w:docPartObj>
        </w:sdtPr>
        <w:sdtEndPr>
          <w:rPr>
            <w:rFonts w:ascii="Palatino Linotype" w:hAnsi="Palatino Linotype"/>
            <w:b/>
            <w:sz w:val="20"/>
            <w:szCs w:val="20"/>
          </w:rPr>
        </w:sdtEndPr>
        <w:sdtContent>
          <w:p w14:paraId="006B35AB" w14:textId="5C6BE57E" w:rsidR="00A72D08" w:rsidRPr="00930889" w:rsidRDefault="00A72D08">
            <w:pPr>
              <w:pStyle w:val="Piedepgina"/>
              <w:jc w:val="right"/>
              <w:rPr>
                <w:rFonts w:ascii="Palatino Linotype" w:hAnsi="Palatino Linotype"/>
                <w:b/>
                <w:sz w:val="20"/>
                <w:szCs w:val="20"/>
              </w:rPr>
            </w:pPr>
            <w:r w:rsidRPr="00930889">
              <w:rPr>
                <w:rFonts w:ascii="Palatino Linotype" w:hAnsi="Palatino Linotype"/>
                <w:b/>
                <w:sz w:val="20"/>
                <w:szCs w:val="20"/>
              </w:rPr>
              <w:t xml:space="preserve">Página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Pr="00930889">
              <w:rPr>
                <w:rFonts w:ascii="Palatino Linotype" w:hAnsi="Palatino Linotype"/>
                <w:b/>
                <w:bCs/>
                <w:sz w:val="20"/>
                <w:szCs w:val="20"/>
              </w:rPr>
              <w:fldChar w:fldCharType="separate"/>
            </w:r>
            <w:r w:rsidR="00F90209">
              <w:rPr>
                <w:rFonts w:ascii="Palatino Linotype" w:hAnsi="Palatino Linotype"/>
                <w:b/>
                <w:bCs/>
                <w:noProof/>
                <w:sz w:val="20"/>
                <w:szCs w:val="20"/>
              </w:rPr>
              <w:t>8</w:t>
            </w:r>
            <w:r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Pr="00930889">
              <w:rPr>
                <w:rFonts w:ascii="Palatino Linotype" w:hAnsi="Palatino Linotype"/>
                <w:b/>
                <w:bCs/>
                <w:sz w:val="20"/>
                <w:szCs w:val="20"/>
              </w:rPr>
              <w:fldChar w:fldCharType="separate"/>
            </w:r>
            <w:r w:rsidR="00F90209">
              <w:rPr>
                <w:rFonts w:ascii="Palatino Linotype" w:hAnsi="Palatino Linotype"/>
                <w:b/>
                <w:bCs/>
                <w:noProof/>
                <w:sz w:val="20"/>
                <w:szCs w:val="20"/>
              </w:rPr>
              <w:t>9</w:t>
            </w:r>
            <w:r w:rsidRPr="00930889">
              <w:rPr>
                <w:rFonts w:ascii="Palatino Linotype" w:hAnsi="Palatino Linotype"/>
                <w:b/>
                <w:bCs/>
                <w:sz w:val="20"/>
                <w:szCs w:val="20"/>
              </w:rPr>
              <w:fldChar w:fldCharType="end"/>
            </w:r>
          </w:p>
        </w:sdtContent>
      </w:sdt>
    </w:sdtContent>
  </w:sdt>
  <w:p w14:paraId="65C653C8" w14:textId="77777777" w:rsidR="00A72D08" w:rsidRDefault="00A72D08">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B63A5" w14:textId="77777777" w:rsidR="00BC4BF8" w:rsidRDefault="00BC4BF8">
      <w:pPr>
        <w:spacing w:after="0" w:line="240" w:lineRule="auto"/>
      </w:pPr>
      <w:r>
        <w:separator/>
      </w:r>
    </w:p>
  </w:footnote>
  <w:footnote w:type="continuationSeparator" w:id="0">
    <w:p w14:paraId="521231C2" w14:textId="77777777" w:rsidR="00BC4BF8" w:rsidRDefault="00BC4BF8">
      <w:pPr>
        <w:spacing w:after="0" w:line="240" w:lineRule="auto"/>
      </w:pPr>
      <w:r>
        <w:continuationSeparator/>
      </w:r>
    </w:p>
  </w:footnote>
  <w:footnote w:type="continuationNotice" w:id="1">
    <w:p w14:paraId="22B108FE" w14:textId="77777777" w:rsidR="00BC4BF8" w:rsidRDefault="00BC4BF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9482E" w14:textId="3D04F62C" w:rsidR="00A72D08" w:rsidRDefault="00A72D08" w:rsidP="00930889">
    <w:pPr>
      <w:pStyle w:val="Ttulo1"/>
      <w:jc w:val="center"/>
      <w:rPr>
        <w:rFonts w:ascii="Palatino Linotype" w:hAnsi="Palatino Linotype"/>
        <w:b/>
        <w:bCs/>
        <w:color w:val="000000" w:themeColor="text1"/>
        <w:sz w:val="22"/>
        <w:szCs w:val="22"/>
      </w:rPr>
    </w:pPr>
    <w:r>
      <w:rPr>
        <w:rFonts w:ascii="Palatino Linotype" w:hAnsi="Palatino Linotype"/>
        <w:b/>
        <w:noProof/>
        <w:lang w:eastAsia="es-ES"/>
      </w:rPr>
      <w:drawing>
        <wp:anchor distT="0" distB="0" distL="114300" distR="114300" simplePos="0" relativeHeight="251659264" behindDoc="0" locked="0" layoutInCell="1" allowOverlap="1" wp14:anchorId="5173F3D4" wp14:editId="0264D8AB">
          <wp:simplePos x="0" y="0"/>
          <wp:positionH relativeFrom="column">
            <wp:posOffset>2453005</wp:posOffset>
          </wp:positionH>
          <wp:positionV relativeFrom="paragraph">
            <wp:posOffset>319405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4F4697F6" w14:textId="77777777" w:rsidR="00A72D08" w:rsidRDefault="00A72D08" w:rsidP="00C32971"/>
  <w:p w14:paraId="1A9E2107" w14:textId="77777777" w:rsidR="00A72D08" w:rsidRDefault="00A72D08" w:rsidP="00C32971"/>
  <w:p w14:paraId="3F65C423" w14:textId="77777777" w:rsidR="00A72D08" w:rsidRPr="00C32971" w:rsidRDefault="00A72D08" w:rsidP="00C32971"/>
  <w:p w14:paraId="46F2EB04" w14:textId="2ABE88DE" w:rsidR="00A72D08" w:rsidRPr="0018018F" w:rsidRDefault="00A72D08" w:rsidP="00930889">
    <w:pPr>
      <w:pStyle w:val="Ttulo1"/>
      <w:jc w:val="center"/>
      <w:rPr>
        <w:rFonts w:ascii="Palatino Linotype" w:hAnsi="Palatino Linotype"/>
        <w:b/>
        <w:bCs/>
        <w:color w:val="000000" w:themeColor="text1"/>
        <w:sz w:val="22"/>
        <w:szCs w:val="22"/>
      </w:rPr>
    </w:pPr>
    <w:r w:rsidRPr="0018018F">
      <w:rPr>
        <w:rFonts w:ascii="Palatino Linotype" w:hAnsi="Palatino Linotype"/>
        <w:b/>
        <w:bCs/>
        <w:color w:val="000000" w:themeColor="text1"/>
        <w:sz w:val="22"/>
        <w:szCs w:val="22"/>
      </w:rPr>
      <w:t xml:space="preserve">ORDENANZA METROPOLITANA No. </w:t>
    </w:r>
    <w:proofErr w:type="spellStart"/>
    <w:r>
      <w:rPr>
        <w:rFonts w:ascii="Palatino Linotype" w:hAnsi="Palatino Linotype"/>
        <w:b/>
        <w:bCs/>
        <w:color w:val="000000" w:themeColor="text1"/>
        <w:sz w:val="22"/>
        <w:szCs w:val="22"/>
      </w:rPr>
      <w:t>xxxxx</w:t>
    </w:r>
    <w:proofErr w:type="spellEnd"/>
  </w:p>
  <w:p w14:paraId="25976D13" w14:textId="63326227" w:rsidR="00A72D08" w:rsidRDefault="00A72D08">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51B"/>
    <w:multiLevelType w:val="hybridMultilevel"/>
    <w:tmpl w:val="8772A98E"/>
    <w:lvl w:ilvl="0" w:tplc="AE207364">
      <w:start w:val="1"/>
      <w:numFmt w:val="decimal"/>
      <w:lvlText w:val="%1."/>
      <w:lvlJc w:val="left"/>
      <w:pPr>
        <w:ind w:left="720" w:hanging="360"/>
      </w:pPr>
      <w:rPr>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486D2D"/>
    <w:multiLevelType w:val="hybridMultilevel"/>
    <w:tmpl w:val="B7D29E54"/>
    <w:lvl w:ilvl="0" w:tplc="996A0622">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
    <w:nsid w:val="08E74221"/>
    <w:multiLevelType w:val="hybridMultilevel"/>
    <w:tmpl w:val="A5D4377E"/>
    <w:lvl w:ilvl="0" w:tplc="58B23BC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95108C3"/>
    <w:multiLevelType w:val="multilevel"/>
    <w:tmpl w:val="C724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FD0051"/>
    <w:multiLevelType w:val="hybridMultilevel"/>
    <w:tmpl w:val="95F2E8CC"/>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nsid w:val="149A7B30"/>
    <w:multiLevelType w:val="hybridMultilevel"/>
    <w:tmpl w:val="DC1842D8"/>
    <w:lvl w:ilvl="0" w:tplc="C276ACE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A14D39"/>
    <w:multiLevelType w:val="hybridMultilevel"/>
    <w:tmpl w:val="AF2CCCBA"/>
    <w:lvl w:ilvl="0" w:tplc="300A0017">
      <w:start w:val="1"/>
      <w:numFmt w:val="lowerLetter"/>
      <w:lvlText w:val="%1)"/>
      <w:lvlJc w:val="left"/>
      <w:pPr>
        <w:ind w:left="2160" w:hanging="360"/>
      </w:pPr>
      <w:rPr>
        <w:rFonts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7">
    <w:nsid w:val="2625119B"/>
    <w:multiLevelType w:val="hybridMultilevel"/>
    <w:tmpl w:val="792648FA"/>
    <w:lvl w:ilvl="0" w:tplc="30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nsid w:val="2B7C01BB"/>
    <w:multiLevelType w:val="hybridMultilevel"/>
    <w:tmpl w:val="37C04960"/>
    <w:lvl w:ilvl="0" w:tplc="7F1A774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0527E7"/>
    <w:multiLevelType w:val="hybridMultilevel"/>
    <w:tmpl w:val="032E4AFC"/>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10">
    <w:nsid w:val="32EB2D9D"/>
    <w:multiLevelType w:val="hybridMultilevel"/>
    <w:tmpl w:val="A7DE9AB6"/>
    <w:lvl w:ilvl="0" w:tplc="6EF07A8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8170E17"/>
    <w:multiLevelType w:val="hybridMultilevel"/>
    <w:tmpl w:val="9D3EDBD4"/>
    <w:lvl w:ilvl="0" w:tplc="A1804EA6">
      <w:start w:val="1"/>
      <w:numFmt w:val="decimal"/>
      <w:lvlText w:val="%1."/>
      <w:lvlJc w:val="left"/>
      <w:pPr>
        <w:ind w:left="2884" w:hanging="435"/>
      </w:pPr>
      <w:rPr>
        <w:rFonts w:hint="default"/>
      </w:rPr>
    </w:lvl>
    <w:lvl w:ilvl="1" w:tplc="080A0019" w:tentative="1">
      <w:start w:val="1"/>
      <w:numFmt w:val="lowerLetter"/>
      <w:lvlText w:val="%2."/>
      <w:lvlJc w:val="left"/>
      <w:pPr>
        <w:ind w:left="3529" w:hanging="360"/>
      </w:pPr>
    </w:lvl>
    <w:lvl w:ilvl="2" w:tplc="080A001B" w:tentative="1">
      <w:start w:val="1"/>
      <w:numFmt w:val="lowerRoman"/>
      <w:lvlText w:val="%3."/>
      <w:lvlJc w:val="right"/>
      <w:pPr>
        <w:ind w:left="4249" w:hanging="180"/>
      </w:pPr>
    </w:lvl>
    <w:lvl w:ilvl="3" w:tplc="080A000F" w:tentative="1">
      <w:start w:val="1"/>
      <w:numFmt w:val="decimal"/>
      <w:lvlText w:val="%4."/>
      <w:lvlJc w:val="left"/>
      <w:pPr>
        <w:ind w:left="4969" w:hanging="360"/>
      </w:pPr>
    </w:lvl>
    <w:lvl w:ilvl="4" w:tplc="080A0019" w:tentative="1">
      <w:start w:val="1"/>
      <w:numFmt w:val="lowerLetter"/>
      <w:lvlText w:val="%5."/>
      <w:lvlJc w:val="left"/>
      <w:pPr>
        <w:ind w:left="5689" w:hanging="360"/>
      </w:pPr>
    </w:lvl>
    <w:lvl w:ilvl="5" w:tplc="080A001B" w:tentative="1">
      <w:start w:val="1"/>
      <w:numFmt w:val="lowerRoman"/>
      <w:lvlText w:val="%6."/>
      <w:lvlJc w:val="right"/>
      <w:pPr>
        <w:ind w:left="6409" w:hanging="180"/>
      </w:pPr>
    </w:lvl>
    <w:lvl w:ilvl="6" w:tplc="080A000F" w:tentative="1">
      <w:start w:val="1"/>
      <w:numFmt w:val="decimal"/>
      <w:lvlText w:val="%7."/>
      <w:lvlJc w:val="left"/>
      <w:pPr>
        <w:ind w:left="7129" w:hanging="360"/>
      </w:pPr>
    </w:lvl>
    <w:lvl w:ilvl="7" w:tplc="080A0019" w:tentative="1">
      <w:start w:val="1"/>
      <w:numFmt w:val="lowerLetter"/>
      <w:lvlText w:val="%8."/>
      <w:lvlJc w:val="left"/>
      <w:pPr>
        <w:ind w:left="7849" w:hanging="360"/>
      </w:pPr>
    </w:lvl>
    <w:lvl w:ilvl="8" w:tplc="080A001B" w:tentative="1">
      <w:start w:val="1"/>
      <w:numFmt w:val="lowerRoman"/>
      <w:lvlText w:val="%9."/>
      <w:lvlJc w:val="right"/>
      <w:pPr>
        <w:ind w:left="8569" w:hanging="180"/>
      </w:pPr>
    </w:lvl>
  </w:abstractNum>
  <w:abstractNum w:abstractNumId="12">
    <w:nsid w:val="38BB24F1"/>
    <w:multiLevelType w:val="hybridMultilevel"/>
    <w:tmpl w:val="BE706A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3DDB3454"/>
    <w:multiLevelType w:val="hybridMultilevel"/>
    <w:tmpl w:val="53E602A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405F3AFA"/>
    <w:multiLevelType w:val="hybridMultilevel"/>
    <w:tmpl w:val="7F1E0A3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446F0D57"/>
    <w:multiLevelType w:val="hybridMultilevel"/>
    <w:tmpl w:val="53E602A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45D30166"/>
    <w:multiLevelType w:val="hybridMultilevel"/>
    <w:tmpl w:val="8526826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510869B5"/>
    <w:multiLevelType w:val="hybridMultilevel"/>
    <w:tmpl w:val="554A7DFC"/>
    <w:lvl w:ilvl="0" w:tplc="B1FC8A9E">
      <w:start w:val="1"/>
      <w:numFmt w:val="decimal"/>
      <w:pStyle w:val="ArtDMQ"/>
      <w:suff w:val="space"/>
      <w:lvlText w:val="Artículo %1.-"/>
      <w:lvlJc w:val="left"/>
      <w:pPr>
        <w:ind w:left="0" w:firstLine="0"/>
      </w:pPr>
      <w:rPr>
        <w:rFonts w:hint="default"/>
        <w:b/>
        <w:i w:val="0"/>
        <w:strike w:val="0"/>
      </w:rPr>
    </w:lvl>
    <w:lvl w:ilvl="1" w:tplc="300A000F">
      <w:start w:val="1"/>
      <w:numFmt w:val="decimal"/>
      <w:lvlText w:val="%2."/>
      <w:lvlJc w:val="left"/>
      <w:pPr>
        <w:ind w:left="1080" w:hanging="360"/>
      </w:pPr>
    </w:lvl>
    <w:lvl w:ilvl="2" w:tplc="300A0001">
      <w:start w:val="1"/>
      <w:numFmt w:val="bullet"/>
      <w:lvlText w:val=""/>
      <w:lvlJc w:val="left"/>
      <w:pPr>
        <w:ind w:left="1800" w:hanging="180"/>
      </w:pPr>
      <w:rPr>
        <w:rFonts w:ascii="Symbol" w:hAnsi="Symbol"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8">
    <w:nsid w:val="582C5462"/>
    <w:multiLevelType w:val="hybridMultilevel"/>
    <w:tmpl w:val="5CA47646"/>
    <w:lvl w:ilvl="0" w:tplc="300A0017">
      <w:start w:val="1"/>
      <w:numFmt w:val="lowerLetter"/>
      <w:lvlText w:val="%1)"/>
      <w:lvlJc w:val="left"/>
      <w:pPr>
        <w:ind w:left="142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5DB353B8"/>
    <w:multiLevelType w:val="hybridMultilevel"/>
    <w:tmpl w:val="2A7EA9A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5E5A7BA5"/>
    <w:multiLevelType w:val="hybridMultilevel"/>
    <w:tmpl w:val="DC86B7AE"/>
    <w:lvl w:ilvl="0" w:tplc="D2E093AC">
      <w:start w:val="1"/>
      <w:numFmt w:val="decimal"/>
      <w:lvlText w:val="%1."/>
      <w:lvlJc w:val="left"/>
      <w:pPr>
        <w:ind w:left="1440" w:hanging="360"/>
      </w:pPr>
      <w:rPr>
        <w:rFonts w:eastAsia="Times New Roman"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1">
    <w:nsid w:val="61AB30B8"/>
    <w:multiLevelType w:val="hybridMultilevel"/>
    <w:tmpl w:val="839A19C0"/>
    <w:lvl w:ilvl="0" w:tplc="300A0017">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2">
    <w:nsid w:val="66D53CC3"/>
    <w:multiLevelType w:val="hybridMultilevel"/>
    <w:tmpl w:val="4A0AB78A"/>
    <w:lvl w:ilvl="0" w:tplc="996A0622">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3">
    <w:nsid w:val="69F23DD2"/>
    <w:multiLevelType w:val="hybridMultilevel"/>
    <w:tmpl w:val="B120AEBA"/>
    <w:lvl w:ilvl="0" w:tplc="996A0622">
      <w:start w:val="1"/>
      <w:numFmt w:val="decimal"/>
      <w:lvlText w:val="%1."/>
      <w:lvlJc w:val="left"/>
      <w:pPr>
        <w:ind w:left="1440" w:hanging="360"/>
      </w:pPr>
      <w:rPr>
        <w:rFonts w:hint="default"/>
      </w:rPr>
    </w:lvl>
    <w:lvl w:ilvl="1" w:tplc="040A0019" w:tentative="1">
      <w:start w:val="1"/>
      <w:numFmt w:val="lowerLetter"/>
      <w:lvlText w:val="%2."/>
      <w:lvlJc w:val="left"/>
      <w:pPr>
        <w:ind w:left="1953" w:hanging="360"/>
      </w:pPr>
    </w:lvl>
    <w:lvl w:ilvl="2" w:tplc="040A001B" w:tentative="1">
      <w:start w:val="1"/>
      <w:numFmt w:val="lowerRoman"/>
      <w:lvlText w:val="%3."/>
      <w:lvlJc w:val="right"/>
      <w:pPr>
        <w:ind w:left="2673" w:hanging="180"/>
      </w:pPr>
    </w:lvl>
    <w:lvl w:ilvl="3" w:tplc="040A000F" w:tentative="1">
      <w:start w:val="1"/>
      <w:numFmt w:val="decimal"/>
      <w:lvlText w:val="%4."/>
      <w:lvlJc w:val="left"/>
      <w:pPr>
        <w:ind w:left="3393" w:hanging="360"/>
      </w:pPr>
    </w:lvl>
    <w:lvl w:ilvl="4" w:tplc="040A0019" w:tentative="1">
      <w:start w:val="1"/>
      <w:numFmt w:val="lowerLetter"/>
      <w:lvlText w:val="%5."/>
      <w:lvlJc w:val="left"/>
      <w:pPr>
        <w:ind w:left="4113" w:hanging="360"/>
      </w:pPr>
    </w:lvl>
    <w:lvl w:ilvl="5" w:tplc="040A001B" w:tentative="1">
      <w:start w:val="1"/>
      <w:numFmt w:val="lowerRoman"/>
      <w:lvlText w:val="%6."/>
      <w:lvlJc w:val="right"/>
      <w:pPr>
        <w:ind w:left="4833" w:hanging="180"/>
      </w:pPr>
    </w:lvl>
    <w:lvl w:ilvl="6" w:tplc="040A000F" w:tentative="1">
      <w:start w:val="1"/>
      <w:numFmt w:val="decimal"/>
      <w:lvlText w:val="%7."/>
      <w:lvlJc w:val="left"/>
      <w:pPr>
        <w:ind w:left="5553" w:hanging="360"/>
      </w:pPr>
    </w:lvl>
    <w:lvl w:ilvl="7" w:tplc="040A0019" w:tentative="1">
      <w:start w:val="1"/>
      <w:numFmt w:val="lowerLetter"/>
      <w:lvlText w:val="%8."/>
      <w:lvlJc w:val="left"/>
      <w:pPr>
        <w:ind w:left="6273" w:hanging="360"/>
      </w:pPr>
    </w:lvl>
    <w:lvl w:ilvl="8" w:tplc="040A001B" w:tentative="1">
      <w:start w:val="1"/>
      <w:numFmt w:val="lowerRoman"/>
      <w:lvlText w:val="%9."/>
      <w:lvlJc w:val="right"/>
      <w:pPr>
        <w:ind w:left="6993" w:hanging="180"/>
      </w:pPr>
    </w:lvl>
  </w:abstractNum>
  <w:abstractNum w:abstractNumId="24">
    <w:nsid w:val="6E3E0761"/>
    <w:multiLevelType w:val="hybridMultilevel"/>
    <w:tmpl w:val="1BEEF34E"/>
    <w:lvl w:ilvl="0" w:tplc="A470E3F0">
      <w:start w:val="1"/>
      <w:numFmt w:val="decimal"/>
      <w:lvlText w:val="%1."/>
      <w:lvlJc w:val="left"/>
      <w:pPr>
        <w:ind w:left="720" w:hanging="360"/>
      </w:pPr>
      <w:rPr>
        <w:rFonts w:ascii="Century Gothic" w:eastAsia="Century Gothic" w:hAnsi="Century Gothic" w:cs="Century Gothic"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7275524C"/>
    <w:multiLevelType w:val="hybridMultilevel"/>
    <w:tmpl w:val="0386ACD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6">
    <w:nsid w:val="74D730B0"/>
    <w:multiLevelType w:val="hybridMultilevel"/>
    <w:tmpl w:val="0CD21DE2"/>
    <w:lvl w:ilvl="0" w:tplc="580A0017">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7">
    <w:nsid w:val="765E38F9"/>
    <w:multiLevelType w:val="hybridMultilevel"/>
    <w:tmpl w:val="A196661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77CA532F"/>
    <w:multiLevelType w:val="hybridMultilevel"/>
    <w:tmpl w:val="B130EDE4"/>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nsid w:val="78094390"/>
    <w:multiLevelType w:val="hybridMultilevel"/>
    <w:tmpl w:val="AD788510"/>
    <w:lvl w:ilvl="0" w:tplc="7F5C5378">
      <w:start w:val="1"/>
      <w:numFmt w:val="decimal"/>
      <w:lvlText w:val="%1."/>
      <w:lvlJc w:val="left"/>
      <w:pPr>
        <w:ind w:left="1447" w:hanging="88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num w:numId="1">
    <w:abstractNumId w:val="24"/>
  </w:num>
  <w:num w:numId="2">
    <w:abstractNumId w:val="5"/>
  </w:num>
  <w:num w:numId="3">
    <w:abstractNumId w:val="8"/>
  </w:num>
  <w:num w:numId="4">
    <w:abstractNumId w:val="11"/>
  </w:num>
  <w:num w:numId="5">
    <w:abstractNumId w:val="23"/>
  </w:num>
  <w:num w:numId="6">
    <w:abstractNumId w:val="22"/>
  </w:num>
  <w:num w:numId="7">
    <w:abstractNumId w:val="1"/>
  </w:num>
  <w:num w:numId="8">
    <w:abstractNumId w:val="29"/>
  </w:num>
  <w:num w:numId="9">
    <w:abstractNumId w:val="0"/>
  </w:num>
  <w:num w:numId="10">
    <w:abstractNumId w:val="9"/>
  </w:num>
  <w:num w:numId="11">
    <w:abstractNumId w:val="6"/>
  </w:num>
  <w:num w:numId="12">
    <w:abstractNumId w:val="20"/>
  </w:num>
  <w:num w:numId="13">
    <w:abstractNumId w:val="12"/>
  </w:num>
  <w:num w:numId="14">
    <w:abstractNumId w:val="4"/>
  </w:num>
  <w:num w:numId="15">
    <w:abstractNumId w:val="3"/>
  </w:num>
  <w:num w:numId="16">
    <w:abstractNumId w:val="17"/>
  </w:num>
  <w:num w:numId="17">
    <w:abstractNumId w:val="25"/>
  </w:num>
  <w:num w:numId="18">
    <w:abstractNumId w:val="18"/>
  </w:num>
  <w:num w:numId="19">
    <w:abstractNumId w:val="26"/>
  </w:num>
  <w:num w:numId="20">
    <w:abstractNumId w:val="14"/>
  </w:num>
  <w:num w:numId="21">
    <w:abstractNumId w:val="19"/>
  </w:num>
  <w:num w:numId="22">
    <w:abstractNumId w:val="21"/>
  </w:num>
  <w:num w:numId="23">
    <w:abstractNumId w:val="27"/>
  </w:num>
  <w:num w:numId="24">
    <w:abstractNumId w:val="15"/>
  </w:num>
  <w:num w:numId="25">
    <w:abstractNumId w:val="13"/>
  </w:num>
  <w:num w:numId="26">
    <w:abstractNumId w:val="10"/>
  </w:num>
  <w:num w:numId="27">
    <w:abstractNumId w:val="16"/>
  </w:num>
  <w:num w:numId="28">
    <w:abstractNumId w:val="2"/>
  </w:num>
  <w:num w:numId="29">
    <w:abstractNumId w:val="2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2A"/>
    <w:rsid w:val="00015D82"/>
    <w:rsid w:val="0002346D"/>
    <w:rsid w:val="0004157D"/>
    <w:rsid w:val="000420BC"/>
    <w:rsid w:val="00050045"/>
    <w:rsid w:val="00057D67"/>
    <w:rsid w:val="00064F91"/>
    <w:rsid w:val="0007373E"/>
    <w:rsid w:val="00082FCC"/>
    <w:rsid w:val="00084D03"/>
    <w:rsid w:val="000968CD"/>
    <w:rsid w:val="000A0E27"/>
    <w:rsid w:val="000A26D8"/>
    <w:rsid w:val="000B295B"/>
    <w:rsid w:val="000B3C5F"/>
    <w:rsid w:val="000C1AA7"/>
    <w:rsid w:val="000C535A"/>
    <w:rsid w:val="000C6D29"/>
    <w:rsid w:val="000D2CD3"/>
    <w:rsid w:val="000F6E80"/>
    <w:rsid w:val="000F7A6D"/>
    <w:rsid w:val="00103248"/>
    <w:rsid w:val="00107E2A"/>
    <w:rsid w:val="001247CD"/>
    <w:rsid w:val="00124DA3"/>
    <w:rsid w:val="0012512F"/>
    <w:rsid w:val="0016496F"/>
    <w:rsid w:val="001712A8"/>
    <w:rsid w:val="0018018F"/>
    <w:rsid w:val="00182300"/>
    <w:rsid w:val="00183672"/>
    <w:rsid w:val="00186CA0"/>
    <w:rsid w:val="001871CC"/>
    <w:rsid w:val="00191006"/>
    <w:rsid w:val="00192E88"/>
    <w:rsid w:val="00193DF1"/>
    <w:rsid w:val="001A1076"/>
    <w:rsid w:val="001A63FE"/>
    <w:rsid w:val="001B09FE"/>
    <w:rsid w:val="001D344E"/>
    <w:rsid w:val="001D77D9"/>
    <w:rsid w:val="001D7CD8"/>
    <w:rsid w:val="00205052"/>
    <w:rsid w:val="00212901"/>
    <w:rsid w:val="00213B54"/>
    <w:rsid w:val="00215CF9"/>
    <w:rsid w:val="002201FD"/>
    <w:rsid w:val="00225F13"/>
    <w:rsid w:val="002476EE"/>
    <w:rsid w:val="00271D1B"/>
    <w:rsid w:val="00274EC3"/>
    <w:rsid w:val="002800DB"/>
    <w:rsid w:val="00281D7C"/>
    <w:rsid w:val="002968EE"/>
    <w:rsid w:val="002A29C8"/>
    <w:rsid w:val="002A7F6F"/>
    <w:rsid w:val="002B0695"/>
    <w:rsid w:val="002B076C"/>
    <w:rsid w:val="002D3CCE"/>
    <w:rsid w:val="002E2648"/>
    <w:rsid w:val="002F05A8"/>
    <w:rsid w:val="002F4F33"/>
    <w:rsid w:val="002F7C07"/>
    <w:rsid w:val="00306493"/>
    <w:rsid w:val="00321B13"/>
    <w:rsid w:val="00323007"/>
    <w:rsid w:val="00340046"/>
    <w:rsid w:val="00347317"/>
    <w:rsid w:val="003560ED"/>
    <w:rsid w:val="00367324"/>
    <w:rsid w:val="00376CDD"/>
    <w:rsid w:val="0038127C"/>
    <w:rsid w:val="00392F92"/>
    <w:rsid w:val="00394F3C"/>
    <w:rsid w:val="003C3BC9"/>
    <w:rsid w:val="003D4EDB"/>
    <w:rsid w:val="003F2008"/>
    <w:rsid w:val="004003AA"/>
    <w:rsid w:val="004070BC"/>
    <w:rsid w:val="00417727"/>
    <w:rsid w:val="00424AD9"/>
    <w:rsid w:val="00431FAA"/>
    <w:rsid w:val="00443ABD"/>
    <w:rsid w:val="0045680F"/>
    <w:rsid w:val="00462A00"/>
    <w:rsid w:val="004651D0"/>
    <w:rsid w:val="00494570"/>
    <w:rsid w:val="004A08E5"/>
    <w:rsid w:val="004A334B"/>
    <w:rsid w:val="004A6FC8"/>
    <w:rsid w:val="004B116B"/>
    <w:rsid w:val="004E1304"/>
    <w:rsid w:val="004E6CED"/>
    <w:rsid w:val="004F0903"/>
    <w:rsid w:val="00505993"/>
    <w:rsid w:val="00512F26"/>
    <w:rsid w:val="005165C1"/>
    <w:rsid w:val="0051713F"/>
    <w:rsid w:val="005217A9"/>
    <w:rsid w:val="005304DC"/>
    <w:rsid w:val="00536568"/>
    <w:rsid w:val="00544B5A"/>
    <w:rsid w:val="00546B91"/>
    <w:rsid w:val="00560103"/>
    <w:rsid w:val="0057299C"/>
    <w:rsid w:val="00592194"/>
    <w:rsid w:val="005A07F3"/>
    <w:rsid w:val="005A41B7"/>
    <w:rsid w:val="005A5EDE"/>
    <w:rsid w:val="005B4E4A"/>
    <w:rsid w:val="005C5B69"/>
    <w:rsid w:val="005C7A6B"/>
    <w:rsid w:val="005E1E13"/>
    <w:rsid w:val="005E483D"/>
    <w:rsid w:val="005F1575"/>
    <w:rsid w:val="006125A3"/>
    <w:rsid w:val="00614C10"/>
    <w:rsid w:val="00626B74"/>
    <w:rsid w:val="00631569"/>
    <w:rsid w:val="00632D6A"/>
    <w:rsid w:val="00664331"/>
    <w:rsid w:val="0069170F"/>
    <w:rsid w:val="00697CD3"/>
    <w:rsid w:val="006A592B"/>
    <w:rsid w:val="006A6AB3"/>
    <w:rsid w:val="006A7205"/>
    <w:rsid w:val="006B182E"/>
    <w:rsid w:val="006C6B55"/>
    <w:rsid w:val="006C6E53"/>
    <w:rsid w:val="006D0996"/>
    <w:rsid w:val="006D5BEA"/>
    <w:rsid w:val="006D62FD"/>
    <w:rsid w:val="006E2FB8"/>
    <w:rsid w:val="006E62ED"/>
    <w:rsid w:val="006E7C4B"/>
    <w:rsid w:val="006F110C"/>
    <w:rsid w:val="00704A35"/>
    <w:rsid w:val="00704CB6"/>
    <w:rsid w:val="00704EA8"/>
    <w:rsid w:val="007202EA"/>
    <w:rsid w:val="00720C2F"/>
    <w:rsid w:val="00724512"/>
    <w:rsid w:val="00725B02"/>
    <w:rsid w:val="00726B47"/>
    <w:rsid w:val="007448F1"/>
    <w:rsid w:val="007466D5"/>
    <w:rsid w:val="007528DD"/>
    <w:rsid w:val="00757D1F"/>
    <w:rsid w:val="00761256"/>
    <w:rsid w:val="007A297D"/>
    <w:rsid w:val="007A7643"/>
    <w:rsid w:val="007B5555"/>
    <w:rsid w:val="007B5751"/>
    <w:rsid w:val="007D112D"/>
    <w:rsid w:val="007E1859"/>
    <w:rsid w:val="007F5768"/>
    <w:rsid w:val="00804291"/>
    <w:rsid w:val="008138B4"/>
    <w:rsid w:val="008157CE"/>
    <w:rsid w:val="008206AE"/>
    <w:rsid w:val="0082261B"/>
    <w:rsid w:val="00823A0F"/>
    <w:rsid w:val="0082510F"/>
    <w:rsid w:val="008276FF"/>
    <w:rsid w:val="00831A88"/>
    <w:rsid w:val="0083522A"/>
    <w:rsid w:val="00841070"/>
    <w:rsid w:val="00842262"/>
    <w:rsid w:val="00842D68"/>
    <w:rsid w:val="00844F34"/>
    <w:rsid w:val="008651F6"/>
    <w:rsid w:val="00867EB0"/>
    <w:rsid w:val="0087480C"/>
    <w:rsid w:val="00874BED"/>
    <w:rsid w:val="00881D7B"/>
    <w:rsid w:val="00884E6A"/>
    <w:rsid w:val="00887C03"/>
    <w:rsid w:val="00894EA8"/>
    <w:rsid w:val="008C7285"/>
    <w:rsid w:val="008D5789"/>
    <w:rsid w:val="008D5DE9"/>
    <w:rsid w:val="008E02A6"/>
    <w:rsid w:val="008E272F"/>
    <w:rsid w:val="008E3A9E"/>
    <w:rsid w:val="008E54D0"/>
    <w:rsid w:val="008F27B0"/>
    <w:rsid w:val="00900EE9"/>
    <w:rsid w:val="009017D2"/>
    <w:rsid w:val="00907D2F"/>
    <w:rsid w:val="009151C8"/>
    <w:rsid w:val="00930889"/>
    <w:rsid w:val="00941FF9"/>
    <w:rsid w:val="0094734F"/>
    <w:rsid w:val="009475B6"/>
    <w:rsid w:val="009615E8"/>
    <w:rsid w:val="00966306"/>
    <w:rsid w:val="009729C3"/>
    <w:rsid w:val="009729EC"/>
    <w:rsid w:val="00980828"/>
    <w:rsid w:val="00992411"/>
    <w:rsid w:val="009B49CD"/>
    <w:rsid w:val="009C4420"/>
    <w:rsid w:val="009C6DFF"/>
    <w:rsid w:val="009E6591"/>
    <w:rsid w:val="00A02922"/>
    <w:rsid w:val="00A136DC"/>
    <w:rsid w:val="00A14690"/>
    <w:rsid w:val="00A14AFC"/>
    <w:rsid w:val="00A16026"/>
    <w:rsid w:val="00A17596"/>
    <w:rsid w:val="00A233D0"/>
    <w:rsid w:val="00A27C12"/>
    <w:rsid w:val="00A308E8"/>
    <w:rsid w:val="00A626EA"/>
    <w:rsid w:val="00A65876"/>
    <w:rsid w:val="00A672D5"/>
    <w:rsid w:val="00A7198F"/>
    <w:rsid w:val="00A72D08"/>
    <w:rsid w:val="00A9721F"/>
    <w:rsid w:val="00AA6E34"/>
    <w:rsid w:val="00AA7A0B"/>
    <w:rsid w:val="00AB7BA5"/>
    <w:rsid w:val="00AC0A0D"/>
    <w:rsid w:val="00AD47F1"/>
    <w:rsid w:val="00AD4E40"/>
    <w:rsid w:val="00AE64CA"/>
    <w:rsid w:val="00AF2149"/>
    <w:rsid w:val="00AF476D"/>
    <w:rsid w:val="00B25423"/>
    <w:rsid w:val="00B37CA0"/>
    <w:rsid w:val="00B37F11"/>
    <w:rsid w:val="00B526AF"/>
    <w:rsid w:val="00B568A5"/>
    <w:rsid w:val="00B6052C"/>
    <w:rsid w:val="00B66A2B"/>
    <w:rsid w:val="00B753E8"/>
    <w:rsid w:val="00B76AD9"/>
    <w:rsid w:val="00B76E1A"/>
    <w:rsid w:val="00B8659A"/>
    <w:rsid w:val="00B9395D"/>
    <w:rsid w:val="00B94E23"/>
    <w:rsid w:val="00BA1F95"/>
    <w:rsid w:val="00BB5A7A"/>
    <w:rsid w:val="00BB639B"/>
    <w:rsid w:val="00BC3878"/>
    <w:rsid w:val="00BC448D"/>
    <w:rsid w:val="00BC4BF8"/>
    <w:rsid w:val="00BE013C"/>
    <w:rsid w:val="00BE4D97"/>
    <w:rsid w:val="00C01A18"/>
    <w:rsid w:val="00C03EA5"/>
    <w:rsid w:val="00C10630"/>
    <w:rsid w:val="00C32971"/>
    <w:rsid w:val="00C37ABB"/>
    <w:rsid w:val="00C4240C"/>
    <w:rsid w:val="00C61048"/>
    <w:rsid w:val="00C63FBB"/>
    <w:rsid w:val="00C83291"/>
    <w:rsid w:val="00C86E48"/>
    <w:rsid w:val="00C87A27"/>
    <w:rsid w:val="00C93A86"/>
    <w:rsid w:val="00CA5457"/>
    <w:rsid w:val="00CC04F4"/>
    <w:rsid w:val="00CC18E6"/>
    <w:rsid w:val="00CD75E5"/>
    <w:rsid w:val="00CD7D5B"/>
    <w:rsid w:val="00CE3252"/>
    <w:rsid w:val="00CF5746"/>
    <w:rsid w:val="00D0107D"/>
    <w:rsid w:val="00D05F84"/>
    <w:rsid w:val="00D26CFE"/>
    <w:rsid w:val="00D30AB4"/>
    <w:rsid w:val="00D4066E"/>
    <w:rsid w:val="00D4116C"/>
    <w:rsid w:val="00D47013"/>
    <w:rsid w:val="00D478E7"/>
    <w:rsid w:val="00D64792"/>
    <w:rsid w:val="00D84A99"/>
    <w:rsid w:val="00D853EF"/>
    <w:rsid w:val="00D874DC"/>
    <w:rsid w:val="00D90D84"/>
    <w:rsid w:val="00D9426C"/>
    <w:rsid w:val="00DB6D01"/>
    <w:rsid w:val="00DC2798"/>
    <w:rsid w:val="00DE026A"/>
    <w:rsid w:val="00DE3CFE"/>
    <w:rsid w:val="00DE4E05"/>
    <w:rsid w:val="00DE6F0A"/>
    <w:rsid w:val="00E17338"/>
    <w:rsid w:val="00E34375"/>
    <w:rsid w:val="00E51F39"/>
    <w:rsid w:val="00E556A6"/>
    <w:rsid w:val="00E67AF4"/>
    <w:rsid w:val="00E714C1"/>
    <w:rsid w:val="00E760E9"/>
    <w:rsid w:val="00ED7FFB"/>
    <w:rsid w:val="00EE7421"/>
    <w:rsid w:val="00EE75AF"/>
    <w:rsid w:val="00F01D13"/>
    <w:rsid w:val="00F15FE9"/>
    <w:rsid w:val="00F175BD"/>
    <w:rsid w:val="00F22DE5"/>
    <w:rsid w:val="00F24F1C"/>
    <w:rsid w:val="00F27A0E"/>
    <w:rsid w:val="00F30200"/>
    <w:rsid w:val="00F35028"/>
    <w:rsid w:val="00F35AC0"/>
    <w:rsid w:val="00F35EAC"/>
    <w:rsid w:val="00F35FE2"/>
    <w:rsid w:val="00F37C11"/>
    <w:rsid w:val="00F467DF"/>
    <w:rsid w:val="00F52657"/>
    <w:rsid w:val="00F52FC4"/>
    <w:rsid w:val="00F61F7D"/>
    <w:rsid w:val="00F77291"/>
    <w:rsid w:val="00F80A71"/>
    <w:rsid w:val="00F8107E"/>
    <w:rsid w:val="00F82319"/>
    <w:rsid w:val="00F90209"/>
    <w:rsid w:val="00F927F5"/>
    <w:rsid w:val="00F96308"/>
    <w:rsid w:val="00FB2C26"/>
    <w:rsid w:val="00FB7FB7"/>
    <w:rsid w:val="00FD4E3C"/>
    <w:rsid w:val="00FD634F"/>
    <w:rsid w:val="00FE4D08"/>
    <w:rsid w:val="00FF2AE1"/>
    <w:rsid w:val="00FF5A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D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pPr>
      <w:spacing w:line="240" w:lineRule="auto"/>
    </w:pPr>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spacing w:after="0" w:line="240" w:lineRule="auto"/>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spacing w:after="0" w:line="240" w:lineRule="auto"/>
    </w:pPr>
    <w:rPr>
      <w:lang w:val="es-ES"/>
    </w:rPr>
  </w:style>
  <w:style w:type="paragraph" w:styleId="NormalWeb">
    <w:name w:val="Normal (Web)"/>
    <w:basedOn w:val="Normal"/>
    <w:uiPriority w:val="99"/>
    <w:unhideWhenUsed/>
    <w:rsid w:val="001247CD"/>
    <w:pPr>
      <w:widowControl/>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spacing w:after="0" w:line="240" w:lineRule="auto"/>
    </w:pPr>
    <w:rPr>
      <w:rFonts w:eastAsia="Times New Roman"/>
      <w:lang w:val="es-EC" w:eastAsia="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16"/>
      </w:numPr>
      <w:autoSpaceDE w:val="0"/>
      <w:autoSpaceDN w:val="0"/>
      <w:adjustRightInd w:val="0"/>
      <w:spacing w:after="120"/>
      <w:contextualSpacing w:val="0"/>
      <w:jc w:val="both"/>
    </w:pPr>
    <w:rPr>
      <w:rFonts w:ascii="Palatino Linotype" w:eastAsia="Times New Roman" w:hAnsi="Palatino Linotype" w:cs="Times New Roman"/>
      <w:b/>
      <w:bCs/>
      <w:lang w:val="es-EC" w:eastAsia="es-EC"/>
    </w:rPr>
  </w:style>
  <w:style w:type="paragraph" w:styleId="Textonotapie">
    <w:name w:val="footnote text"/>
    <w:basedOn w:val="Normal"/>
    <w:link w:val="TextonotapieCar"/>
    <w:uiPriority w:val="99"/>
    <w:semiHidden/>
    <w:unhideWhenUsed/>
    <w:rsid w:val="00844F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spacing w:after="0" w:line="240" w:lineRule="auto"/>
    </w:pPr>
    <w:rPr>
      <w:rFonts w:ascii="Calibri" w:hAnsi="Calibri" w:cs="Calibri"/>
      <w:color w:val="000000"/>
      <w:sz w:val="24"/>
      <w:szCs w:val="24"/>
      <w:lang w:val="es-EC"/>
    </w:rPr>
  </w:style>
  <w:style w:type="character" w:customStyle="1" w:styleId="markedcontent">
    <w:name w:val="markedcontent"/>
    <w:basedOn w:val="Fuentedeprrafopredeter"/>
    <w:rsid w:val="00A672D5"/>
  </w:style>
  <w:style w:type="character" w:customStyle="1" w:styleId="hit">
    <w:name w:val="hit"/>
    <w:basedOn w:val="Fuentedeprrafopredeter"/>
    <w:rsid w:val="00274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pPr>
      <w:spacing w:line="240" w:lineRule="auto"/>
    </w:pPr>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spacing w:after="0" w:line="240" w:lineRule="auto"/>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spacing w:after="0" w:line="240" w:lineRule="auto"/>
    </w:pPr>
    <w:rPr>
      <w:lang w:val="es-ES"/>
    </w:rPr>
  </w:style>
  <w:style w:type="paragraph" w:styleId="NormalWeb">
    <w:name w:val="Normal (Web)"/>
    <w:basedOn w:val="Normal"/>
    <w:uiPriority w:val="99"/>
    <w:unhideWhenUsed/>
    <w:rsid w:val="001247CD"/>
    <w:pPr>
      <w:widowControl/>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spacing w:after="0" w:line="240" w:lineRule="auto"/>
    </w:pPr>
    <w:rPr>
      <w:rFonts w:eastAsia="Times New Roman"/>
      <w:lang w:val="es-EC" w:eastAsia="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16"/>
      </w:numPr>
      <w:autoSpaceDE w:val="0"/>
      <w:autoSpaceDN w:val="0"/>
      <w:adjustRightInd w:val="0"/>
      <w:spacing w:after="120"/>
      <w:contextualSpacing w:val="0"/>
      <w:jc w:val="both"/>
    </w:pPr>
    <w:rPr>
      <w:rFonts w:ascii="Palatino Linotype" w:eastAsia="Times New Roman" w:hAnsi="Palatino Linotype" w:cs="Times New Roman"/>
      <w:b/>
      <w:bCs/>
      <w:lang w:val="es-EC" w:eastAsia="es-EC"/>
    </w:rPr>
  </w:style>
  <w:style w:type="paragraph" w:styleId="Textonotapie">
    <w:name w:val="footnote text"/>
    <w:basedOn w:val="Normal"/>
    <w:link w:val="TextonotapieCar"/>
    <w:uiPriority w:val="99"/>
    <w:semiHidden/>
    <w:unhideWhenUsed/>
    <w:rsid w:val="00844F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spacing w:after="0" w:line="240" w:lineRule="auto"/>
    </w:pPr>
    <w:rPr>
      <w:rFonts w:ascii="Calibri" w:hAnsi="Calibri" w:cs="Calibri"/>
      <w:color w:val="000000"/>
      <w:sz w:val="24"/>
      <w:szCs w:val="24"/>
      <w:lang w:val="es-EC"/>
    </w:rPr>
  </w:style>
  <w:style w:type="character" w:customStyle="1" w:styleId="markedcontent">
    <w:name w:val="markedcontent"/>
    <w:basedOn w:val="Fuentedeprrafopredeter"/>
    <w:rsid w:val="00A672D5"/>
  </w:style>
  <w:style w:type="character" w:customStyle="1" w:styleId="hit">
    <w:name w:val="hit"/>
    <w:basedOn w:val="Fuentedeprrafopredeter"/>
    <w:rsid w:val="00274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426948">
      <w:bodyDiv w:val="1"/>
      <w:marLeft w:val="0"/>
      <w:marRight w:val="0"/>
      <w:marTop w:val="0"/>
      <w:marBottom w:val="0"/>
      <w:divBdr>
        <w:top w:val="none" w:sz="0" w:space="0" w:color="auto"/>
        <w:left w:val="none" w:sz="0" w:space="0" w:color="auto"/>
        <w:bottom w:val="none" w:sz="0" w:space="0" w:color="auto"/>
        <w:right w:val="none" w:sz="0" w:space="0" w:color="auto"/>
      </w:divBdr>
    </w:div>
    <w:div w:id="1287811653">
      <w:bodyDiv w:val="1"/>
      <w:marLeft w:val="0"/>
      <w:marRight w:val="0"/>
      <w:marTop w:val="0"/>
      <w:marBottom w:val="0"/>
      <w:divBdr>
        <w:top w:val="none" w:sz="0" w:space="0" w:color="auto"/>
        <w:left w:val="none" w:sz="0" w:space="0" w:color="auto"/>
        <w:bottom w:val="none" w:sz="0" w:space="0" w:color="auto"/>
        <w:right w:val="none" w:sz="0" w:space="0" w:color="auto"/>
      </w:divBdr>
    </w:div>
    <w:div w:id="135857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7F6DC-A112-42B3-8C85-A5124365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2996</Words>
  <Characters>16689</Characters>
  <Application>Microsoft Office Word</Application>
  <DocSecurity>0</DocSecurity>
  <Lines>388</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del Carmen Sandoval Campoverde</dc:creator>
  <cp:lastModifiedBy>Secretaria de Concejo</cp:lastModifiedBy>
  <cp:revision>4</cp:revision>
  <cp:lastPrinted>2020-05-17T16:55:00Z</cp:lastPrinted>
  <dcterms:created xsi:type="dcterms:W3CDTF">2021-10-22T21:14:00Z</dcterms:created>
  <dcterms:modified xsi:type="dcterms:W3CDTF">2021-11-16T22:24:00Z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