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6FDEE" w14:textId="77777777" w:rsidR="007B043A" w:rsidRPr="00F7554A" w:rsidRDefault="007B043A" w:rsidP="007B043A">
      <w:pPr>
        <w:spacing w:line="276" w:lineRule="auto"/>
        <w:jc w:val="center"/>
        <w:rPr>
          <w:rFonts w:ascii="Palatino Linotype" w:hAnsi="Palatino Linotype" w:cstheme="minorHAnsi"/>
          <w:b/>
          <w:sz w:val="22"/>
          <w:szCs w:val="22"/>
          <w:lang w:val="es-ES_tradnl"/>
        </w:rPr>
      </w:pPr>
      <w:bookmarkStart w:id="0" w:name="_GoBack"/>
      <w:bookmarkEnd w:id="0"/>
      <w:r w:rsidRPr="00F7554A">
        <w:rPr>
          <w:rFonts w:ascii="Palatino Linotype" w:hAnsi="Palatino Linotype" w:cstheme="minorHAnsi"/>
          <w:b/>
          <w:sz w:val="22"/>
          <w:szCs w:val="22"/>
          <w:lang w:val="es-ES_tradnl"/>
        </w:rPr>
        <w:t>RESOLUCIÓN No. …..  -2021</w:t>
      </w:r>
    </w:p>
    <w:p w14:paraId="610AEDA1" w14:textId="77777777" w:rsidR="007F0CB9" w:rsidRPr="00F7554A" w:rsidRDefault="007F0CB9" w:rsidP="007F0CB9">
      <w:pPr>
        <w:pStyle w:val="NormalWeb"/>
        <w:spacing w:before="0" w:beforeAutospacing="0" w:after="0" w:afterAutospacing="0"/>
        <w:rPr>
          <w:rFonts w:ascii="Palatino Linotype" w:hAnsi="Palatino Linotype" w:cstheme="minorHAnsi"/>
          <w:b/>
          <w:bCs/>
          <w:sz w:val="22"/>
          <w:szCs w:val="22"/>
          <w:lang w:val="es-ES"/>
        </w:rPr>
      </w:pPr>
    </w:p>
    <w:p w14:paraId="7E81FB70" w14:textId="77777777" w:rsidR="007F0CB9" w:rsidRPr="00F7554A" w:rsidRDefault="007F0CB9" w:rsidP="007F0CB9">
      <w:pPr>
        <w:pStyle w:val="NormalWeb"/>
        <w:spacing w:before="0" w:beforeAutospacing="0" w:after="0" w:afterAutospacing="0"/>
        <w:rPr>
          <w:rFonts w:ascii="Palatino Linotype" w:hAnsi="Palatino Linotype" w:cstheme="minorHAnsi"/>
          <w:sz w:val="22"/>
          <w:szCs w:val="22"/>
          <w:lang w:val="es-ES"/>
        </w:rPr>
      </w:pPr>
    </w:p>
    <w:p w14:paraId="5AE371EF" w14:textId="65127AF0" w:rsidR="00B3518B" w:rsidRPr="00F7554A" w:rsidRDefault="00B3518B" w:rsidP="007B043A">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CONSIDERANDO:</w:t>
      </w:r>
    </w:p>
    <w:p w14:paraId="6D44D7A5"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7441CE81" w14:textId="77777777" w:rsidR="0098273E" w:rsidRPr="00F7554A" w:rsidRDefault="0098273E" w:rsidP="0098273E">
      <w:pPr>
        <w:spacing w:line="276" w:lineRule="auto"/>
        <w:jc w:val="center"/>
        <w:rPr>
          <w:rFonts w:ascii="Palatino Linotype" w:hAnsi="Palatino Linotype" w:cs="Arial"/>
          <w:b/>
          <w:sz w:val="22"/>
          <w:szCs w:val="22"/>
          <w:lang w:val="es-ES_tradnl"/>
        </w:rPr>
      </w:pPr>
    </w:p>
    <w:p w14:paraId="1B9C19E9" w14:textId="77777777" w:rsidR="0098273E" w:rsidRPr="00EC5080" w:rsidRDefault="0098273E" w:rsidP="0098273E">
      <w:pPr>
        <w:pStyle w:val="Sinespaciado"/>
        <w:spacing w:line="276" w:lineRule="auto"/>
        <w:ind w:left="709" w:hanging="709"/>
        <w:jc w:val="both"/>
        <w:rPr>
          <w:rFonts w:ascii="Palatino Linotype" w:hAnsi="Palatino Linotype" w:cs="Times New Roman"/>
          <w:i/>
        </w:rPr>
      </w:pPr>
      <w:bookmarkStart w:id="1" w:name="_Hlk51575611"/>
      <w:r w:rsidRPr="00EC5080">
        <w:rPr>
          <w:rFonts w:ascii="Palatino Linotype" w:hAnsi="Palatino Linotype" w:cs="Times New Roman"/>
          <w:b/>
        </w:rPr>
        <w:t xml:space="preserve">Que, </w:t>
      </w:r>
      <w:r w:rsidRPr="00EC5080">
        <w:rPr>
          <w:rFonts w:ascii="Palatino Linotype" w:hAnsi="Palatino Linotype" w:cs="Times New Roman"/>
        </w:rPr>
        <w:t xml:space="preserve">el artículo 240 de la Constitución de la República del Ecuador, en adelante, “Constitución” establece que: </w:t>
      </w:r>
      <w:r w:rsidRPr="00EC5080">
        <w:rPr>
          <w:rFonts w:ascii="Palatino Linotype" w:hAnsi="Palatino Linotype" w:cs="Times New Roman"/>
          <w:i/>
        </w:rPr>
        <w:t xml:space="preserve">“Los gobiernos autónomos descentralizados de las regiones, distritos metropolitanos, provincias y cantones, tendrán facultades legislativas en el ámbito de sus competencias y jurisdicciones territoriales (…)”; </w:t>
      </w:r>
      <w:bookmarkEnd w:id="1"/>
    </w:p>
    <w:p w14:paraId="1687D6A2" w14:textId="77777777" w:rsidR="0098273E" w:rsidRPr="00F7554A" w:rsidRDefault="0098273E" w:rsidP="007F0CB9">
      <w:pPr>
        <w:pStyle w:val="NormalWeb"/>
        <w:spacing w:before="0" w:beforeAutospacing="0" w:after="0" w:afterAutospacing="0"/>
        <w:jc w:val="both"/>
        <w:rPr>
          <w:rFonts w:ascii="Palatino Linotype" w:hAnsi="Palatino Linotype" w:cstheme="minorHAnsi"/>
          <w:b/>
          <w:bCs/>
          <w:sz w:val="22"/>
          <w:szCs w:val="22"/>
          <w:lang w:val="es-EC"/>
        </w:rPr>
      </w:pPr>
    </w:p>
    <w:p w14:paraId="6296C8D2" w14:textId="6845CCC5" w:rsidR="00B3518B" w:rsidRPr="00F7554A" w:rsidRDefault="00B3518B" w:rsidP="00F7554A">
      <w:pPr>
        <w:pStyle w:val="NormalWeb"/>
        <w:spacing w:before="0" w:beforeAutospacing="0" w:after="0" w:afterAutospacing="0"/>
        <w:ind w:left="426" w:hanging="426"/>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artículo 241 de la Constitución señala que: </w:t>
      </w:r>
      <w:r w:rsidRPr="00F7554A">
        <w:rPr>
          <w:rFonts w:ascii="Palatino Linotype" w:hAnsi="Palatino Linotype" w:cstheme="minorHAnsi"/>
          <w:i/>
          <w:iCs/>
          <w:sz w:val="22"/>
          <w:szCs w:val="22"/>
          <w:lang w:val="es-ES"/>
        </w:rPr>
        <w:t xml:space="preserve">"La planificación garantizará el ordenamiento territorial y será́ obligatoria en todos los gobiernos autónomos descentralizados"; </w:t>
      </w:r>
    </w:p>
    <w:p w14:paraId="1713EACF"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4DA308D0" w14:textId="58CD7E8D" w:rsidR="00B3518B" w:rsidRPr="00F7554A" w:rsidRDefault="00B3518B" w:rsidP="0098273E">
      <w:pPr>
        <w:pStyle w:val="NormalWeb"/>
        <w:spacing w:before="0" w:beforeAutospacing="0" w:after="0" w:afterAutospacing="0"/>
        <w:ind w:left="567" w:hanging="567"/>
        <w:jc w:val="both"/>
        <w:rPr>
          <w:rFonts w:ascii="Palatino Linotype" w:hAnsi="Palatino Linotype" w:cstheme="minorHAnsi"/>
          <w:i/>
          <w:iCs/>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numeral 2 del artículo 264 de la Constitución</w:t>
      </w:r>
      <w:r w:rsidR="0098273E" w:rsidRPr="00F7554A">
        <w:rPr>
          <w:rFonts w:ascii="Palatino Linotype" w:hAnsi="Palatino Linotype" w:cstheme="minorHAnsi"/>
          <w:sz w:val="22"/>
          <w:szCs w:val="22"/>
          <w:lang w:val="es-ES"/>
        </w:rPr>
        <w:t xml:space="preserve"> determina </w:t>
      </w:r>
      <w:r w:rsidRPr="00F7554A">
        <w:rPr>
          <w:rFonts w:ascii="Palatino Linotype" w:hAnsi="Palatino Linotype" w:cstheme="minorHAnsi"/>
          <w:sz w:val="22"/>
          <w:szCs w:val="22"/>
          <w:lang w:val="es-ES"/>
        </w:rPr>
        <w:t xml:space="preserve"> como competencia exclusiva de los gobiernos municipales la de: </w:t>
      </w:r>
      <w:r w:rsidRPr="00F7554A">
        <w:rPr>
          <w:rFonts w:ascii="Palatino Linotype" w:hAnsi="Palatino Linotype" w:cstheme="minorHAnsi"/>
          <w:i/>
          <w:iCs/>
          <w:sz w:val="22"/>
          <w:szCs w:val="22"/>
          <w:lang w:val="es-ES"/>
        </w:rPr>
        <w:t xml:space="preserve">"Ejercer el control sobre el uso y ocupación del suelo en el cantón"; </w:t>
      </w:r>
    </w:p>
    <w:p w14:paraId="30C732D3" w14:textId="77777777" w:rsidR="007F0CB9" w:rsidRPr="00F7554A" w:rsidRDefault="007F0CB9" w:rsidP="007F0CB9">
      <w:pPr>
        <w:pStyle w:val="NormalWeb"/>
        <w:spacing w:before="0" w:beforeAutospacing="0" w:after="0" w:afterAutospacing="0"/>
        <w:jc w:val="both"/>
        <w:rPr>
          <w:rFonts w:ascii="Palatino Linotype" w:hAnsi="Palatino Linotype" w:cstheme="minorHAnsi"/>
          <w:sz w:val="22"/>
          <w:szCs w:val="22"/>
          <w:lang w:val="es-ES"/>
        </w:rPr>
      </w:pPr>
    </w:p>
    <w:p w14:paraId="0295FC51" w14:textId="6B12EEE5" w:rsidR="00B3518B" w:rsidRPr="00F7554A" w:rsidRDefault="00B3518B" w:rsidP="00F7554A">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007D618B">
        <w:rPr>
          <w:rFonts w:ascii="Palatino Linotype" w:hAnsi="Palatino Linotype" w:cstheme="minorHAnsi"/>
          <w:sz w:val="22"/>
          <w:szCs w:val="22"/>
          <w:lang w:val="es-ES"/>
        </w:rPr>
        <w:t xml:space="preserve"> el literal b) del artículo 55, en concordancia con el artículo 85 </w:t>
      </w:r>
      <w:r w:rsidRPr="00F7554A">
        <w:rPr>
          <w:rFonts w:ascii="Palatino Linotype" w:hAnsi="Palatino Linotype" w:cstheme="minorHAnsi"/>
          <w:sz w:val="22"/>
          <w:szCs w:val="22"/>
          <w:lang w:val="es-ES"/>
        </w:rPr>
        <w:t>del Código Orgánico de Organización Territorial, Autonomía y Descentralización</w:t>
      </w:r>
      <w:r w:rsidR="0098273E" w:rsidRPr="00F7554A">
        <w:rPr>
          <w:rFonts w:ascii="Palatino Linotype" w:hAnsi="Palatino Linotype" w:cstheme="minorHAnsi"/>
          <w:sz w:val="22"/>
          <w:szCs w:val="22"/>
          <w:lang w:val="es-ES"/>
        </w:rPr>
        <w:t>, en adelante</w:t>
      </w:r>
      <w:r w:rsidRPr="00F7554A">
        <w:rPr>
          <w:rFonts w:ascii="Palatino Linotype" w:hAnsi="Palatino Linotype" w:cstheme="minorHAnsi"/>
          <w:sz w:val="22"/>
          <w:szCs w:val="22"/>
          <w:lang w:val="es-ES"/>
        </w:rPr>
        <w:t xml:space="preserve"> COOTAD, señala como una competencia exclusiva del gobierno autónomo descentralizado municipal la de ejercer el control sobre el uso y ocupación del suelo en el cantón; </w:t>
      </w:r>
    </w:p>
    <w:p w14:paraId="3BC40BD6"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4EFD605A" w14:textId="44203C40" w:rsidR="00B3518B" w:rsidRPr="00F7554A" w:rsidRDefault="00B3518B" w:rsidP="0098273E">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0098273E" w:rsidRPr="00F7554A">
        <w:rPr>
          <w:rFonts w:ascii="Palatino Linotype" w:hAnsi="Palatino Linotype" w:cstheme="minorHAnsi"/>
          <w:sz w:val="22"/>
          <w:szCs w:val="22"/>
          <w:lang w:val="es-ES"/>
        </w:rPr>
        <w:t xml:space="preserve">  e</w:t>
      </w:r>
      <w:r w:rsidRPr="00F7554A">
        <w:rPr>
          <w:rFonts w:ascii="Palatino Linotype" w:hAnsi="Palatino Linotype" w:cstheme="minorHAnsi"/>
          <w:sz w:val="22"/>
          <w:szCs w:val="22"/>
          <w:lang w:val="es-ES"/>
        </w:rPr>
        <w:t xml:space="preserve">l literal c) del artículo 84 del </w:t>
      </w:r>
      <w:r w:rsidR="0098273E" w:rsidRPr="00F7554A">
        <w:rPr>
          <w:rFonts w:ascii="Palatino Linotype" w:hAnsi="Palatino Linotype" w:cstheme="minorHAnsi"/>
          <w:sz w:val="22"/>
          <w:szCs w:val="22"/>
          <w:lang w:val="es-ES"/>
        </w:rPr>
        <w:t>COOTAD</w:t>
      </w:r>
      <w:r w:rsidRPr="00F7554A">
        <w:rPr>
          <w:rFonts w:ascii="Palatino Linotype" w:hAnsi="Palatino Linotype" w:cstheme="minorHAnsi"/>
          <w:sz w:val="22"/>
          <w:szCs w:val="22"/>
          <w:lang w:val="es-ES"/>
        </w:rPr>
        <w:t xml:space="preserve">, entre las funciones del gobierno del distrito autónomo metropolitano, es la de establecer el uso del suelo y urbanístico, para lo cual determinará las condiciones de urbanización, parcelación, lotización, división o cualquier otra forma de fraccionamiento de conformidad con la planificación metropolitana, asegurando porcentajes para zonas verdes y áreas comunales; </w:t>
      </w:r>
    </w:p>
    <w:p w14:paraId="04B8386A"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69664DFD" w14:textId="5724EFAB" w:rsidR="00B3518B" w:rsidRPr="00F7554A" w:rsidRDefault="00B3518B" w:rsidP="0098273E">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w:t>
      </w:r>
      <w:r w:rsidR="0098273E" w:rsidRPr="00F7554A">
        <w:rPr>
          <w:rFonts w:ascii="Palatino Linotype" w:hAnsi="Palatino Linotype" w:cstheme="minorHAnsi"/>
          <w:sz w:val="22"/>
          <w:szCs w:val="22"/>
          <w:lang w:val="es-ES"/>
        </w:rPr>
        <w:t xml:space="preserve">el </w:t>
      </w:r>
      <w:r w:rsidRPr="00F7554A">
        <w:rPr>
          <w:rFonts w:ascii="Palatino Linotype" w:hAnsi="Palatino Linotype" w:cstheme="minorHAnsi"/>
          <w:sz w:val="22"/>
          <w:szCs w:val="22"/>
          <w:lang w:val="es-ES"/>
        </w:rPr>
        <w:t xml:space="preserve">literal a) del artículo 87 del </w:t>
      </w:r>
      <w:r w:rsidR="0098273E" w:rsidRPr="00F7554A">
        <w:rPr>
          <w:rFonts w:ascii="Palatino Linotype" w:hAnsi="Palatino Linotype" w:cstheme="minorHAnsi"/>
          <w:sz w:val="22"/>
          <w:szCs w:val="22"/>
          <w:lang w:val="es-ES"/>
        </w:rPr>
        <w:t>COOTAD</w:t>
      </w:r>
      <w:r w:rsidRPr="00F7554A">
        <w:rPr>
          <w:rFonts w:ascii="Palatino Linotype" w:hAnsi="Palatino Linotype" w:cstheme="minorHAnsi"/>
          <w:sz w:val="22"/>
          <w:szCs w:val="22"/>
          <w:lang w:val="es-ES"/>
        </w:rPr>
        <w:t xml:space="preserve"> entre las atribuciones del Concejo Metropolitano, le corresponde ejercer la facultad normativa en las materias de competencia del gobierno autónomo descentralizado metropolitano, mediante la expedición de ordenanzas metropolitanas, acuerdos y resoluciones; </w:t>
      </w:r>
    </w:p>
    <w:p w14:paraId="31DF6083"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14CAC5F8" w14:textId="2A58F5ED" w:rsidR="00B3518B" w:rsidRPr="00F7554A" w:rsidRDefault="00B3518B" w:rsidP="0098273E">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artículo 2 de la Ley Orgánica de Régimen para el Distrito Metropolitano de Quito establece como finalidad del Municipio: "</w:t>
      </w:r>
      <w:r w:rsidRPr="00F7554A">
        <w:rPr>
          <w:rFonts w:ascii="Palatino Linotype" w:hAnsi="Palatino Linotype" w:cstheme="minorHAnsi"/>
          <w:i/>
          <w:iCs/>
          <w:sz w:val="22"/>
          <w:szCs w:val="22"/>
          <w:lang w:val="es-ES"/>
        </w:rPr>
        <w:t>1.</w:t>
      </w:r>
      <w:r w:rsidRPr="00F7554A">
        <w:rPr>
          <w:rFonts w:ascii="Palatino Linotype" w:hAnsi="Palatino Linotype" w:cstheme="minorHAnsi"/>
          <w:sz w:val="22"/>
          <w:szCs w:val="22"/>
          <w:lang w:val="es-ES"/>
        </w:rPr>
        <w:t xml:space="preserve"> </w:t>
      </w:r>
      <w:r w:rsidRPr="00F7554A">
        <w:rPr>
          <w:rFonts w:ascii="Palatino Linotype" w:hAnsi="Palatino Linotype" w:cstheme="minorHAnsi"/>
          <w:i/>
          <w:iCs/>
          <w:sz w:val="22"/>
          <w:szCs w:val="22"/>
          <w:lang w:val="es-ES"/>
        </w:rPr>
        <w:t xml:space="preserve">Regular el Uso y la adecuada ocupación del suelo y ejercer control sobre el mismo con competencia exclusiva y privativa (...)"; </w:t>
      </w:r>
    </w:p>
    <w:p w14:paraId="7823F703"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42197384" w14:textId="3C1D9E88" w:rsidR="00B3518B" w:rsidRPr="00F7554A" w:rsidRDefault="00B3518B" w:rsidP="0098273E">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mediante Ordenanza Metropolitana No. 127 de fecha 25 de julio de 2016, fue aprobado el Plan de Uso y Ocupación del Suelo (PUOS) y sus anexos; </w:t>
      </w:r>
    </w:p>
    <w:p w14:paraId="18150B76"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1A1D7C91" w14:textId="661650C7" w:rsidR="007B043A" w:rsidRPr="00F7554A" w:rsidRDefault="00B3518B" w:rsidP="00F7554A">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lastRenderedPageBreak/>
        <w:t>Que,</w:t>
      </w:r>
      <w:r w:rsidRPr="00F7554A">
        <w:rPr>
          <w:rFonts w:ascii="Palatino Linotype" w:hAnsi="Palatino Linotype" w:cstheme="minorHAnsi"/>
          <w:sz w:val="22"/>
          <w:szCs w:val="22"/>
          <w:lang w:val="es-ES"/>
        </w:rPr>
        <w:t xml:space="preserve"> mediante Ordenanza Metropolitana No. 192, de 20 de diciembre de 2017, fue aprobada la Ordenanza Reformatoria de la Ordenanza Metropolitana No. 127, que contiene el Plan de Uso y Ocupación del Suelo (PUOS) y sus anexos; </w:t>
      </w:r>
    </w:p>
    <w:p w14:paraId="0125BD43" w14:textId="77777777" w:rsidR="007B043A" w:rsidRPr="00F7554A" w:rsidRDefault="007B043A" w:rsidP="007B043A">
      <w:pPr>
        <w:pStyle w:val="NormalWeb"/>
        <w:spacing w:before="0" w:beforeAutospacing="0" w:after="0" w:afterAutospacing="0"/>
        <w:jc w:val="both"/>
        <w:rPr>
          <w:rFonts w:ascii="Palatino Linotype" w:hAnsi="Palatino Linotype" w:cstheme="minorHAnsi"/>
          <w:sz w:val="22"/>
          <w:szCs w:val="22"/>
          <w:lang w:val="es-ES"/>
        </w:rPr>
      </w:pPr>
    </w:p>
    <w:p w14:paraId="78407CB2" w14:textId="73DA689A" w:rsidR="007B043A" w:rsidRPr="00F7554A" w:rsidRDefault="007B043A" w:rsidP="0098273E">
      <w:pPr>
        <w:spacing w:line="276" w:lineRule="auto"/>
        <w:ind w:left="567" w:hanging="567"/>
        <w:jc w:val="both"/>
        <w:rPr>
          <w:rFonts w:ascii="Palatino Linotype" w:hAnsi="Palatino Linotype" w:cstheme="minorHAnsi"/>
          <w:b/>
          <w:sz w:val="22"/>
          <w:szCs w:val="22"/>
          <w:lang w:val="es-ES_tradnl"/>
        </w:rPr>
      </w:pPr>
      <w:r w:rsidRPr="00F7554A">
        <w:rPr>
          <w:rFonts w:ascii="Palatino Linotype" w:hAnsi="Palatino Linotype" w:cstheme="minorHAnsi"/>
          <w:b/>
          <w:sz w:val="22"/>
          <w:szCs w:val="22"/>
          <w:lang w:val="es-ES_tradnl"/>
        </w:rPr>
        <w:t>Que,</w:t>
      </w:r>
      <w:r w:rsidRPr="00F7554A">
        <w:rPr>
          <w:rFonts w:ascii="Palatino Linotype" w:hAnsi="Palatino Linotype" w:cstheme="minorHAnsi"/>
          <w:sz w:val="22"/>
          <w:szCs w:val="22"/>
          <w:lang w:val="es-ES_tradnl"/>
        </w:rPr>
        <w:t xml:space="preserve"> </w:t>
      </w:r>
      <w:r w:rsidRPr="00F7554A">
        <w:rPr>
          <w:rFonts w:ascii="Palatino Linotype" w:eastAsia="Times New Roman" w:hAnsi="Palatino Linotype" w:cstheme="minorHAnsi"/>
          <w:sz w:val="22"/>
          <w:szCs w:val="22"/>
          <w:lang w:val="es-ES"/>
        </w:rPr>
        <w:t>mediante Ordenanza Metropolitana No. 210 de fecha 12 de abril de 2018, luego de su tratamiento en segundo debate, fue aprobada la Ordenanza Modificatoria de las Ordenanzas Metropolitanas Nro. 127, 192, 172, 432 y 060 que contiene el Plan de Uso y Ocupación del Suelo (PUOS) y sus anexos;</w:t>
      </w:r>
    </w:p>
    <w:p w14:paraId="21707AD2"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3C6C80FC" w14:textId="054148EB" w:rsidR="00B3518B" w:rsidRPr="00F7554A" w:rsidRDefault="00B3518B" w:rsidP="0098273E">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artículo 21 de la Ordenanza Metropolitana No. 210 agrega a continuación del literal g) del artículo... (66) de la Ordenanza Metropolitana No. 172 y su reforma contenida en la Ordenanza Metropolitana No. 432 que</w:t>
      </w:r>
      <w:r w:rsidR="0098273E" w:rsidRPr="00F7554A">
        <w:rPr>
          <w:rFonts w:ascii="Palatino Linotype" w:hAnsi="Palatino Linotype" w:cstheme="minorHAnsi"/>
          <w:sz w:val="22"/>
          <w:szCs w:val="22"/>
          <w:lang w:val="es-ES"/>
        </w:rPr>
        <w:t>:</w:t>
      </w:r>
      <w:r w:rsidRPr="00F7554A">
        <w:rPr>
          <w:rFonts w:ascii="Palatino Linotype" w:hAnsi="Palatino Linotype" w:cstheme="minorHAnsi"/>
          <w:sz w:val="22"/>
          <w:szCs w:val="22"/>
          <w:lang w:val="es-ES"/>
        </w:rPr>
        <w:t xml:space="preserve"> </w:t>
      </w:r>
      <w:r w:rsidRPr="00F7554A">
        <w:rPr>
          <w:rFonts w:ascii="Palatino Linotype" w:hAnsi="Palatino Linotype" w:cstheme="minorHAnsi"/>
          <w:i/>
          <w:iCs/>
          <w:position w:val="-2"/>
          <w:sz w:val="22"/>
          <w:szCs w:val="22"/>
          <w:lang w:val="es-ES"/>
        </w:rPr>
        <w:t>"</w:t>
      </w:r>
      <w:r w:rsidR="00DA4150" w:rsidRPr="00F7554A">
        <w:rPr>
          <w:rFonts w:ascii="Palatino Linotype" w:hAnsi="Palatino Linotype" w:cstheme="minorHAnsi"/>
          <w:i/>
          <w:iCs/>
          <w:position w:val="-2"/>
          <w:sz w:val="22"/>
          <w:szCs w:val="22"/>
          <w:lang w:val="es-ES"/>
        </w:rPr>
        <w:t>L</w:t>
      </w:r>
      <w:r w:rsidRPr="00F7554A">
        <w:rPr>
          <w:rFonts w:ascii="Palatino Linotype" w:hAnsi="Palatino Linotype" w:cstheme="minorHAnsi"/>
          <w:i/>
          <w:iCs/>
          <w:position w:val="-2"/>
          <w:sz w:val="22"/>
          <w:szCs w:val="22"/>
          <w:lang w:val="es-ES"/>
        </w:rPr>
        <w:t xml:space="preserve">os predios con zonificación </w:t>
      </w:r>
      <w:r w:rsidRPr="00F7554A">
        <w:rPr>
          <w:rFonts w:ascii="Palatino Linotype" w:hAnsi="Palatino Linotype" w:cstheme="minorHAnsi"/>
          <w:i/>
          <w:iCs/>
          <w:position w:val="2"/>
          <w:sz w:val="22"/>
          <w:szCs w:val="22"/>
          <w:lang w:val="es-ES"/>
        </w:rPr>
        <w:t>ZC, cuya superficie sea inferior a 10.000 m</w:t>
      </w:r>
      <w:r w:rsidRPr="00F7554A">
        <w:rPr>
          <w:rFonts w:ascii="Palatino Linotype" w:hAnsi="Palatino Linotype" w:cstheme="minorHAnsi"/>
          <w:i/>
          <w:iCs/>
          <w:sz w:val="22"/>
          <w:szCs w:val="22"/>
          <w:lang w:val="es-ES"/>
        </w:rPr>
        <w:t>2o inferior a 3.000 m</w:t>
      </w:r>
      <w:r w:rsidRPr="00F7554A">
        <w:rPr>
          <w:rFonts w:ascii="Palatino Linotype" w:hAnsi="Palatino Linotype" w:cstheme="minorHAnsi"/>
          <w:i/>
          <w:iCs/>
          <w:position w:val="-2"/>
          <w:sz w:val="22"/>
          <w:szCs w:val="22"/>
          <w:lang w:val="es-ES"/>
        </w:rPr>
        <w:t xml:space="preserve">2para predios ubicados </w:t>
      </w:r>
      <w:r w:rsidRPr="00F7554A">
        <w:rPr>
          <w:rFonts w:ascii="Palatino Linotype" w:hAnsi="Palatino Linotype" w:cstheme="minorHAnsi"/>
          <w:i/>
          <w:iCs/>
          <w:sz w:val="22"/>
          <w:szCs w:val="22"/>
          <w:lang w:val="es-ES"/>
        </w:rPr>
        <w:t xml:space="preserve">en áreas de centralidades debidamente establecidas en el PMDOT, podrán solicitar a la entidad encargada del Territorio, Hábitat y Vivienda la asignación de datos de zonificación mediante la presentación de un proyecto urbano - arquitectónico que establezca las condiciones de integración urbanística y vial al entorno.  El proyecto contendrá́ la propuesta de asignación de datos de uso y ocupación del suelo, derivado de un análisis urbanístico del entorno. Dichos datos serán asignados en concordancia con los requerimientos del proyecto y del entorno, siempre y cuando el proyecto prevea aportes urbanísticos en uno o varios de los siguientes aspectos, en función de las particularidades de cada caso: Áreas verdes, Equipamientos públicos o privados y/o espacio público y vías que aseguren o mejoren la conectividad del sector. Los coeficientes resultantes de la asignación de datos podrán ser objeto de redistribución sin superar el COS Total. En caso de que el proyecto prevea el fraccionamiento del suelo o requiera la apertura de nuevas vías, se garantizará que estas cesiones de suelo se hagan de forma gratuita y obligatoria a favor del municipio, observando los porcentajes de áreas verdes y equipamiento previstos en la normativa. La entidad encargada del Territorio, Hábitat y Vivienda emitirá un informe técnico del proyecto, el cual contendrá las asignaciones de zonificación propuestas para el predio. Este informe sustentará un proyecto de resolución que será remitido a la Comisión de Uso de Suelo previo a la aprobación por parte del Concejo Metropolitano. El término máximo para la elaboración, envío del informe a la Comisión de Uso de Suelo, resolución y asignación de datos, será de </w:t>
      </w:r>
      <w:r w:rsidR="00DA4150" w:rsidRPr="00F7554A">
        <w:rPr>
          <w:rFonts w:ascii="Palatino Linotype" w:hAnsi="Palatino Linotype" w:cstheme="minorHAnsi"/>
          <w:i/>
          <w:iCs/>
          <w:sz w:val="22"/>
          <w:szCs w:val="22"/>
          <w:lang w:val="es-ES"/>
        </w:rPr>
        <w:t>trei</w:t>
      </w:r>
      <w:r w:rsidRPr="00F7554A">
        <w:rPr>
          <w:rFonts w:ascii="Palatino Linotype" w:hAnsi="Palatino Linotype" w:cstheme="minorHAnsi"/>
          <w:i/>
          <w:iCs/>
          <w:sz w:val="22"/>
          <w:szCs w:val="22"/>
          <w:lang w:val="es-ES"/>
        </w:rPr>
        <w:t>nta (</w:t>
      </w:r>
      <w:r w:rsidR="00DA4150" w:rsidRPr="00F7554A">
        <w:rPr>
          <w:rFonts w:ascii="Palatino Linotype" w:hAnsi="Palatino Linotype" w:cstheme="minorHAnsi"/>
          <w:i/>
          <w:iCs/>
          <w:sz w:val="22"/>
          <w:szCs w:val="22"/>
          <w:lang w:val="es-ES"/>
        </w:rPr>
        <w:t>3</w:t>
      </w:r>
      <w:r w:rsidRPr="00F7554A">
        <w:rPr>
          <w:rFonts w:ascii="Palatino Linotype" w:hAnsi="Palatino Linotype" w:cstheme="minorHAnsi"/>
          <w:i/>
          <w:iCs/>
          <w:sz w:val="22"/>
          <w:szCs w:val="22"/>
          <w:lang w:val="es-ES"/>
        </w:rPr>
        <w:t>0) días contados a partir del ingreso de la solicitud a la entidad encargada del territorio, hábitat y vivienda</w:t>
      </w:r>
      <w:r w:rsidR="00DA4150" w:rsidRPr="00F7554A">
        <w:rPr>
          <w:rFonts w:ascii="Palatino Linotype" w:hAnsi="Palatino Linotype" w:cstheme="minorHAnsi"/>
          <w:i/>
          <w:iCs/>
          <w:sz w:val="22"/>
          <w:szCs w:val="22"/>
          <w:lang w:val="es-ES"/>
        </w:rPr>
        <w:t>. (…)</w:t>
      </w:r>
      <w:r w:rsidRPr="00F7554A">
        <w:rPr>
          <w:rFonts w:ascii="Palatino Linotype" w:hAnsi="Palatino Linotype" w:cstheme="minorHAnsi"/>
          <w:i/>
          <w:iCs/>
          <w:sz w:val="22"/>
          <w:szCs w:val="22"/>
          <w:lang w:val="es-ES"/>
        </w:rPr>
        <w:t xml:space="preserve">"; </w:t>
      </w:r>
    </w:p>
    <w:p w14:paraId="15D891EF" w14:textId="77777777" w:rsidR="007B043A" w:rsidRPr="00F7554A" w:rsidRDefault="007B043A" w:rsidP="007F0CB9">
      <w:pPr>
        <w:pStyle w:val="NormalWeb"/>
        <w:spacing w:before="0" w:beforeAutospacing="0" w:after="0" w:afterAutospacing="0"/>
        <w:jc w:val="both"/>
        <w:rPr>
          <w:rFonts w:ascii="Palatino Linotype" w:hAnsi="Palatino Linotype" w:cstheme="minorHAnsi"/>
          <w:b/>
          <w:bCs/>
          <w:sz w:val="22"/>
          <w:szCs w:val="22"/>
          <w:lang w:val="es-ES"/>
        </w:rPr>
      </w:pPr>
    </w:p>
    <w:p w14:paraId="299D2122" w14:textId="220008EA" w:rsidR="00B3518B" w:rsidRPr="00F7554A" w:rsidRDefault="00B3518B" w:rsidP="00DA4150">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mediante Ordenanza Metropolitana No. 001, de 29 de marzo de 2019, el Concejo Metropolitano de Quito, aprueba el Código Municipal para el Distrito Metropolitano de Quito, el cual en su artículo IV.1.66,</w:t>
      </w:r>
      <w:r w:rsidR="00DA4150" w:rsidRPr="00F7554A">
        <w:rPr>
          <w:rFonts w:ascii="Palatino Linotype" w:hAnsi="Palatino Linotype" w:cstheme="minorHAnsi"/>
          <w:sz w:val="22"/>
          <w:szCs w:val="22"/>
          <w:lang w:val="es-ES"/>
        </w:rPr>
        <w:t xml:space="preserve"> </w:t>
      </w:r>
      <w:r w:rsidR="00C3658F" w:rsidRPr="00F7554A">
        <w:rPr>
          <w:rFonts w:ascii="Palatino Linotype" w:hAnsi="Palatino Linotype" w:cstheme="minorHAnsi"/>
          <w:sz w:val="22"/>
          <w:szCs w:val="22"/>
          <w:lang w:val="es-ES"/>
        </w:rPr>
        <w:t xml:space="preserve">numeral 1), </w:t>
      </w:r>
      <w:r w:rsidR="00DA4150" w:rsidRPr="00F7554A">
        <w:rPr>
          <w:rFonts w:ascii="Palatino Linotype" w:hAnsi="Palatino Linotype" w:cstheme="minorHAnsi"/>
          <w:sz w:val="22"/>
          <w:szCs w:val="22"/>
          <w:lang w:val="es-ES"/>
        </w:rPr>
        <w:t>literal g)</w:t>
      </w:r>
      <w:r w:rsidRPr="00F7554A">
        <w:rPr>
          <w:rFonts w:ascii="Palatino Linotype" w:hAnsi="Palatino Linotype" w:cstheme="minorHAnsi"/>
          <w:sz w:val="22"/>
          <w:szCs w:val="22"/>
          <w:lang w:val="es-ES"/>
        </w:rPr>
        <w:t xml:space="preserve"> recoge el contenido del antiguo artículo 66 de la Ordenanza Metropolitana No. 172, referida en el numeral precedente; </w:t>
      </w:r>
    </w:p>
    <w:p w14:paraId="7C7C2880"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3781610C" w14:textId="77777777" w:rsidR="007B043A" w:rsidRPr="00F7554A" w:rsidRDefault="007B043A" w:rsidP="00DA4150">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mediante Ordenanza Metropolitana No. OT-001-2019-PUOS, de 5 de noviembre de 2019, fue aprobada la Ordenanza Reformatoria de la Ordenanza Metropolitana No. 127 y 192, que contiene el Plan de Uso y Ocupación del Suelo (PUOS) y sus anexos; </w:t>
      </w:r>
    </w:p>
    <w:p w14:paraId="01C6824C" w14:textId="77777777" w:rsidR="007B043A" w:rsidRPr="00F7554A" w:rsidRDefault="007B043A" w:rsidP="00DA4150">
      <w:pPr>
        <w:pStyle w:val="NormalWeb"/>
        <w:spacing w:before="0" w:beforeAutospacing="0" w:after="0" w:afterAutospacing="0"/>
        <w:ind w:left="567" w:hanging="567"/>
        <w:jc w:val="both"/>
        <w:rPr>
          <w:rFonts w:ascii="Palatino Linotype" w:hAnsi="Palatino Linotype" w:cstheme="minorHAnsi"/>
          <w:b/>
          <w:bCs/>
          <w:sz w:val="22"/>
          <w:szCs w:val="22"/>
          <w:lang w:val="es-ES"/>
        </w:rPr>
      </w:pPr>
    </w:p>
    <w:p w14:paraId="12CCDF99" w14:textId="728A6F64" w:rsidR="00B3518B" w:rsidRPr="00F7554A" w:rsidRDefault="00B3518B" w:rsidP="00DA4150">
      <w:pPr>
        <w:pStyle w:val="NormalWeb"/>
        <w:spacing w:before="0" w:beforeAutospacing="0" w:after="0" w:afterAutospacing="0"/>
        <w:ind w:left="567" w:hanging="567"/>
        <w:jc w:val="both"/>
        <w:rPr>
          <w:rFonts w:ascii="Palatino Linotype" w:hAnsi="Palatino Linotype" w:cstheme="minorHAnsi"/>
          <w:i/>
          <w:iCs/>
          <w:sz w:val="22"/>
          <w:szCs w:val="22"/>
          <w:lang w:val="es-ES"/>
        </w:rPr>
      </w:pPr>
      <w:r w:rsidRPr="00F7554A">
        <w:rPr>
          <w:rFonts w:ascii="Palatino Linotype" w:hAnsi="Palatino Linotype" w:cstheme="minorHAnsi"/>
          <w:b/>
          <w:bCs/>
          <w:sz w:val="22"/>
          <w:szCs w:val="22"/>
          <w:lang w:val="es-ES"/>
        </w:rPr>
        <w:lastRenderedPageBreak/>
        <w:t>Que,</w:t>
      </w:r>
      <w:r w:rsidRPr="00F7554A">
        <w:rPr>
          <w:rFonts w:ascii="Palatino Linotype" w:hAnsi="Palatino Linotype" w:cstheme="minorHAnsi"/>
          <w:sz w:val="22"/>
          <w:szCs w:val="22"/>
          <w:lang w:val="es-ES"/>
        </w:rPr>
        <w:t xml:space="preserve"> el artículo 14 de la Resolución No. C 074 sobre el Desarrollo y Organización de las Sesiones y Debates de la Facultad de Fiscalización, la Coordinación entre el </w:t>
      </w:r>
      <w:r w:rsidR="00A90B71" w:rsidRPr="00F7554A">
        <w:rPr>
          <w:rFonts w:ascii="Palatino Linotype" w:hAnsi="Palatino Linotype" w:cstheme="minorHAnsi"/>
          <w:sz w:val="22"/>
          <w:szCs w:val="22"/>
          <w:lang w:val="es-ES"/>
        </w:rPr>
        <w:t>C</w:t>
      </w:r>
      <w:r w:rsidRPr="00F7554A">
        <w:rPr>
          <w:rFonts w:ascii="Palatino Linotype" w:hAnsi="Palatino Linotype" w:cstheme="minorHAnsi"/>
          <w:sz w:val="22"/>
          <w:szCs w:val="22"/>
          <w:lang w:val="es-ES"/>
        </w:rPr>
        <w:t xml:space="preserve">oncejo y el Ejecutivo del Distrito Metropolitano De Quito y el Código de Ética de los Integrantes del Concejo Metropolitano, establece que </w:t>
      </w:r>
      <w:r w:rsidRPr="00F7554A">
        <w:rPr>
          <w:rFonts w:ascii="Palatino Linotype" w:hAnsi="Palatino Linotype" w:cstheme="minorHAnsi"/>
          <w:i/>
          <w:iCs/>
          <w:position w:val="-2"/>
          <w:sz w:val="22"/>
          <w:szCs w:val="22"/>
          <w:lang w:val="es-ES"/>
        </w:rPr>
        <w:t xml:space="preserve">"el Concejo </w:t>
      </w:r>
      <w:r w:rsidRPr="00F7554A">
        <w:rPr>
          <w:rFonts w:ascii="Palatino Linotype" w:hAnsi="Palatino Linotype" w:cstheme="minorHAnsi"/>
          <w:i/>
          <w:iCs/>
          <w:sz w:val="22"/>
          <w:szCs w:val="22"/>
          <w:lang w:val="es-ES"/>
        </w:rPr>
        <w:t xml:space="preserve">Metropolitano podrá expedir además, acuerdos y resoluciones sobre temas de carácter especial o específico, los que serán aprobados, por mayoría simple, en un solo debate y serán notificados a los interesados, sin perjuicio de disponer su publicación en cualquiera de los medios determinados, de existir mérito para ello"; </w:t>
      </w:r>
    </w:p>
    <w:p w14:paraId="43E047E3" w14:textId="0E32B359" w:rsidR="00577C2B" w:rsidRPr="00F7554A" w:rsidRDefault="00577C2B" w:rsidP="007F0CB9">
      <w:pPr>
        <w:pStyle w:val="NormalWeb"/>
        <w:spacing w:before="0" w:beforeAutospacing="0" w:after="0" w:afterAutospacing="0"/>
        <w:jc w:val="both"/>
        <w:rPr>
          <w:rFonts w:ascii="Palatino Linotype" w:hAnsi="Palatino Linotype" w:cstheme="minorHAnsi"/>
          <w:i/>
          <w:iCs/>
          <w:sz w:val="22"/>
          <w:szCs w:val="22"/>
          <w:lang w:val="es-ES"/>
        </w:rPr>
      </w:pPr>
    </w:p>
    <w:p w14:paraId="4A1715AE" w14:textId="0599A6DB" w:rsidR="00577C2B" w:rsidRPr="00F7554A" w:rsidRDefault="00577C2B" w:rsidP="00DA4150">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6 de septiembre de 2019, mediante Resolución Administrativa N</w:t>
      </w:r>
      <w:r w:rsidR="00C668D4"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 xml:space="preserve">o. STHV-031-2019 emitida por el Secretario de Territorio, Hábitat y Vivienda, se expidió la Norma Técnica para </w:t>
      </w:r>
      <w:r w:rsidR="00DA4150" w:rsidRPr="00F7554A">
        <w:rPr>
          <w:rFonts w:ascii="Palatino Linotype" w:hAnsi="Palatino Linotype" w:cstheme="minorHAnsi"/>
          <w:sz w:val="22"/>
          <w:szCs w:val="22"/>
          <w:lang w:val="es-ES"/>
        </w:rPr>
        <w:t xml:space="preserve">determinar </w:t>
      </w:r>
      <w:r w:rsidRPr="00F7554A">
        <w:rPr>
          <w:rFonts w:ascii="Palatino Linotype" w:hAnsi="Palatino Linotype" w:cstheme="minorHAnsi"/>
          <w:sz w:val="22"/>
          <w:szCs w:val="22"/>
          <w:lang w:val="es-ES"/>
        </w:rPr>
        <w:t xml:space="preserve">la </w:t>
      </w:r>
      <w:r w:rsidR="00DA4150" w:rsidRPr="00F7554A">
        <w:rPr>
          <w:rFonts w:ascii="Palatino Linotype" w:hAnsi="Palatino Linotype" w:cstheme="minorHAnsi"/>
          <w:sz w:val="22"/>
          <w:szCs w:val="22"/>
          <w:lang w:val="es-ES"/>
        </w:rPr>
        <w:t xml:space="preserve">asignación de uso de suelo y aprovechamiento de los lotes con zonificación </w:t>
      </w:r>
      <w:r w:rsidRPr="00F7554A">
        <w:rPr>
          <w:rFonts w:ascii="Palatino Linotype" w:hAnsi="Palatino Linotype" w:cstheme="minorHAnsi"/>
          <w:sz w:val="22"/>
          <w:szCs w:val="22"/>
          <w:lang w:val="es-ES"/>
        </w:rPr>
        <w:t xml:space="preserve">ZC </w:t>
      </w:r>
      <w:r w:rsidR="00C668D4" w:rsidRPr="00F7554A">
        <w:rPr>
          <w:rFonts w:ascii="Palatino Linotype" w:hAnsi="Palatino Linotype" w:cstheme="minorHAnsi"/>
          <w:sz w:val="22"/>
          <w:szCs w:val="22"/>
          <w:lang w:val="es-ES"/>
        </w:rPr>
        <w:t>m</w:t>
      </w:r>
      <w:r w:rsidRPr="00F7554A">
        <w:rPr>
          <w:rFonts w:ascii="Palatino Linotype" w:hAnsi="Palatino Linotype" w:cstheme="minorHAnsi"/>
          <w:sz w:val="22"/>
          <w:szCs w:val="22"/>
          <w:lang w:val="es-ES"/>
        </w:rPr>
        <w:t>ediante un Proyecto Urbano Arquitectónico</w:t>
      </w:r>
      <w:r w:rsidR="00C668D4" w:rsidRPr="00F7554A">
        <w:rPr>
          <w:rFonts w:ascii="Palatino Linotype" w:hAnsi="Palatino Linotype" w:cstheme="minorHAnsi"/>
          <w:sz w:val="22"/>
          <w:szCs w:val="22"/>
          <w:lang w:val="es-ES"/>
        </w:rPr>
        <w:t>;</w:t>
      </w:r>
    </w:p>
    <w:p w14:paraId="116D8CC9" w14:textId="16C7D545" w:rsidR="00A90B71" w:rsidRPr="00F7554A" w:rsidRDefault="00A90B71" w:rsidP="00EC5080">
      <w:pPr>
        <w:pStyle w:val="NormalWeb"/>
        <w:spacing w:before="0" w:beforeAutospacing="0" w:after="0" w:afterAutospacing="0"/>
        <w:ind w:left="567" w:hanging="567"/>
        <w:jc w:val="both"/>
        <w:rPr>
          <w:rFonts w:ascii="Palatino Linotype" w:hAnsi="Palatino Linotype" w:cstheme="minorHAnsi"/>
          <w:i/>
          <w:iCs/>
          <w:sz w:val="22"/>
          <w:szCs w:val="22"/>
          <w:lang w:val="es-ES"/>
        </w:rPr>
      </w:pPr>
    </w:p>
    <w:p w14:paraId="2D6FCF0E" w14:textId="72A2CF49" w:rsidR="00577C2B" w:rsidRPr="00F7554A" w:rsidRDefault="00577C2B" w:rsidP="00EC5080">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31 de agosto de 2020, mediante Resolución Administrativa N</w:t>
      </w:r>
      <w:r w:rsidR="00C668D4"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 xml:space="preserve">o. STHV-2020-054 emitida por el Secretario de Territorio, Hábitat y Vivienda, se reformó la Resolución Administrativa No. STHV-031-2019 en la que se establece la Norma Técnica </w:t>
      </w:r>
      <w:r w:rsidR="00DA4150" w:rsidRPr="00F7554A">
        <w:rPr>
          <w:rFonts w:ascii="Palatino Linotype" w:hAnsi="Palatino Linotype" w:cstheme="minorHAnsi"/>
          <w:sz w:val="22"/>
          <w:szCs w:val="22"/>
          <w:lang w:val="es-ES"/>
        </w:rPr>
        <w:t xml:space="preserve">para determinar la asignación de uso de suelo y aprovechamiento de los lotes con zonificación </w:t>
      </w:r>
      <w:r w:rsidRPr="00F7554A">
        <w:rPr>
          <w:rFonts w:ascii="Palatino Linotype" w:hAnsi="Palatino Linotype" w:cstheme="minorHAnsi"/>
          <w:sz w:val="22"/>
          <w:szCs w:val="22"/>
          <w:lang w:val="es-ES"/>
        </w:rPr>
        <w:t xml:space="preserve">ZC </w:t>
      </w:r>
      <w:r w:rsidR="00C668D4" w:rsidRPr="00F7554A">
        <w:rPr>
          <w:rFonts w:ascii="Palatino Linotype" w:hAnsi="Palatino Linotype" w:cstheme="minorHAnsi"/>
          <w:sz w:val="22"/>
          <w:szCs w:val="22"/>
          <w:lang w:val="es-ES"/>
        </w:rPr>
        <w:t>m</w:t>
      </w:r>
      <w:r w:rsidRPr="00F7554A">
        <w:rPr>
          <w:rFonts w:ascii="Palatino Linotype" w:hAnsi="Palatino Linotype" w:cstheme="minorHAnsi"/>
          <w:sz w:val="22"/>
          <w:szCs w:val="22"/>
          <w:lang w:val="es-ES"/>
        </w:rPr>
        <w:t>ediante un Proyecto Urbano Arquitectónico</w:t>
      </w:r>
      <w:r w:rsidR="00C668D4" w:rsidRPr="00F7554A">
        <w:rPr>
          <w:rFonts w:ascii="Palatino Linotype" w:hAnsi="Palatino Linotype" w:cstheme="minorHAnsi"/>
          <w:sz w:val="22"/>
          <w:szCs w:val="22"/>
          <w:lang w:val="es-ES"/>
        </w:rPr>
        <w:t>;</w:t>
      </w:r>
    </w:p>
    <w:p w14:paraId="784050B5" w14:textId="77777777" w:rsidR="007F0CB9" w:rsidRPr="00F7554A" w:rsidRDefault="007F0CB9">
      <w:pPr>
        <w:pStyle w:val="NormalWeb"/>
        <w:spacing w:before="0" w:beforeAutospacing="0" w:after="0" w:afterAutospacing="0"/>
        <w:ind w:left="567" w:hanging="567"/>
        <w:jc w:val="both"/>
        <w:rPr>
          <w:rFonts w:ascii="Palatino Linotype" w:hAnsi="Palatino Linotype" w:cstheme="minorHAnsi"/>
          <w:b/>
          <w:bCs/>
          <w:sz w:val="22"/>
          <w:szCs w:val="22"/>
          <w:lang w:val="es-ES"/>
        </w:rPr>
      </w:pPr>
    </w:p>
    <w:p w14:paraId="5BD027A5" w14:textId="5BD2AEFE" w:rsidR="007F0CB9" w:rsidRPr="00F7554A" w:rsidRDefault="00B3518B">
      <w:pPr>
        <w:pStyle w:val="NormalWeb"/>
        <w:spacing w:before="0" w:beforeAutospacing="0" w:after="0" w:afterAutospacing="0"/>
        <w:ind w:left="567" w:hanging="567"/>
        <w:jc w:val="both"/>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 xml:space="preserve">Que, </w:t>
      </w:r>
      <w:r w:rsidRPr="00F7554A">
        <w:rPr>
          <w:rFonts w:ascii="Palatino Linotype" w:hAnsi="Palatino Linotype" w:cstheme="minorHAnsi"/>
          <w:sz w:val="22"/>
          <w:szCs w:val="22"/>
          <w:lang w:val="es-ES"/>
        </w:rPr>
        <w:t xml:space="preserve">el </w:t>
      </w:r>
      <w:r w:rsidR="00A90B71" w:rsidRPr="00F7554A">
        <w:rPr>
          <w:rFonts w:ascii="Palatino Linotype" w:hAnsi="Palatino Linotype" w:cstheme="minorHAnsi"/>
          <w:sz w:val="22"/>
          <w:szCs w:val="22"/>
          <w:lang w:val="es-ES"/>
        </w:rPr>
        <w:t>4</w:t>
      </w:r>
      <w:r w:rsidRPr="00F7554A">
        <w:rPr>
          <w:rFonts w:ascii="Palatino Linotype" w:hAnsi="Palatino Linotype" w:cstheme="minorHAnsi"/>
          <w:sz w:val="22"/>
          <w:szCs w:val="22"/>
          <w:lang w:val="es-ES"/>
        </w:rPr>
        <w:t xml:space="preserve"> de septiembre de 20</w:t>
      </w:r>
      <w:r w:rsidR="00A90B71" w:rsidRPr="00F7554A">
        <w:rPr>
          <w:rFonts w:ascii="Palatino Linotype" w:hAnsi="Palatino Linotype" w:cstheme="minorHAnsi"/>
          <w:sz w:val="22"/>
          <w:szCs w:val="22"/>
          <w:lang w:val="es-ES"/>
        </w:rPr>
        <w:t>20</w:t>
      </w:r>
      <w:r w:rsidRPr="00F7554A">
        <w:rPr>
          <w:rFonts w:ascii="Palatino Linotype" w:hAnsi="Palatino Linotype" w:cstheme="minorHAnsi"/>
          <w:sz w:val="22"/>
          <w:szCs w:val="22"/>
          <w:lang w:val="es-ES"/>
        </w:rPr>
        <w:t xml:space="preserve">, </w:t>
      </w:r>
      <w:r w:rsidR="00A90B71" w:rsidRPr="00F7554A">
        <w:rPr>
          <w:rFonts w:ascii="Palatino Linotype" w:hAnsi="Palatino Linotype" w:cstheme="minorHAnsi"/>
          <w:sz w:val="22"/>
          <w:szCs w:val="22"/>
          <w:lang w:val="es-ES"/>
        </w:rPr>
        <w:t xml:space="preserve">el señor Carlos Montufar, </w:t>
      </w:r>
      <w:r w:rsidRPr="00F7554A">
        <w:rPr>
          <w:rFonts w:ascii="Palatino Linotype" w:hAnsi="Palatino Linotype" w:cstheme="minorHAnsi"/>
          <w:sz w:val="22"/>
          <w:szCs w:val="22"/>
          <w:lang w:val="es-ES"/>
        </w:rPr>
        <w:t>en</w:t>
      </w:r>
      <w:r w:rsidR="00A90B71" w:rsidRPr="00F7554A">
        <w:rPr>
          <w:rFonts w:ascii="Palatino Linotype" w:hAnsi="Palatino Linotype" w:cstheme="minorHAnsi"/>
          <w:sz w:val="22"/>
          <w:szCs w:val="22"/>
          <w:lang w:val="es-ES"/>
        </w:rPr>
        <w:t xml:space="preserve"> su</w:t>
      </w:r>
      <w:r w:rsidRPr="00F7554A">
        <w:rPr>
          <w:rFonts w:ascii="Palatino Linotype" w:hAnsi="Palatino Linotype" w:cstheme="minorHAnsi"/>
          <w:sz w:val="22"/>
          <w:szCs w:val="22"/>
          <w:lang w:val="es-ES"/>
        </w:rPr>
        <w:t xml:space="preserve"> calidad de</w:t>
      </w:r>
      <w:r w:rsidR="00A90B71" w:rsidRPr="00F7554A">
        <w:rPr>
          <w:rFonts w:ascii="Palatino Linotype" w:hAnsi="Palatino Linotype" w:cstheme="minorHAnsi"/>
          <w:sz w:val="22"/>
          <w:szCs w:val="22"/>
          <w:lang w:val="es-ES"/>
        </w:rPr>
        <w:t xml:space="preserve"> representante legal de la compañía TOMORAGUADUA S.A. </w:t>
      </w:r>
      <w:r w:rsidRPr="00F7554A">
        <w:rPr>
          <w:rFonts w:ascii="Palatino Linotype" w:hAnsi="Palatino Linotype" w:cstheme="minorHAnsi"/>
          <w:sz w:val="22"/>
          <w:szCs w:val="22"/>
          <w:lang w:val="es-ES"/>
        </w:rPr>
        <w:t xml:space="preserve">presenta la propuesta para la asignación de datos para el </w:t>
      </w:r>
      <w:r w:rsidR="00C668D4" w:rsidRPr="00F7554A">
        <w:rPr>
          <w:rFonts w:ascii="Palatino Linotype" w:hAnsi="Palatino Linotype" w:cstheme="minorHAnsi"/>
          <w:sz w:val="22"/>
          <w:szCs w:val="22"/>
          <w:lang w:val="es-ES"/>
        </w:rPr>
        <w:t xml:space="preserve">Proyecto Urbano Arquitectónico </w:t>
      </w:r>
      <w:r w:rsidR="00A90B71" w:rsidRPr="00F7554A">
        <w:rPr>
          <w:rFonts w:ascii="Palatino Linotype" w:hAnsi="Palatino Linotype" w:cstheme="minorHAnsi"/>
          <w:sz w:val="22"/>
          <w:szCs w:val="22"/>
          <w:lang w:val="es-ES"/>
        </w:rPr>
        <w:t>TOMORAGUADUA</w:t>
      </w:r>
      <w:r w:rsidRPr="00F7554A">
        <w:rPr>
          <w:rFonts w:ascii="Palatino Linotype" w:hAnsi="Palatino Linotype" w:cstheme="minorHAnsi"/>
          <w:sz w:val="22"/>
          <w:szCs w:val="22"/>
          <w:lang w:val="es-ES"/>
        </w:rPr>
        <w:t xml:space="preserve">; </w:t>
      </w:r>
    </w:p>
    <w:p w14:paraId="11E3056F" w14:textId="7FBDB8B5" w:rsidR="00504009" w:rsidRPr="00F7554A" w:rsidRDefault="00504009">
      <w:pPr>
        <w:pStyle w:val="NormalWeb"/>
        <w:ind w:left="567" w:hanging="567"/>
        <w:jc w:val="both"/>
        <w:rPr>
          <w:rFonts w:ascii="Palatino Linotype" w:hAnsi="Palatino Linotype" w:cstheme="minorHAnsi"/>
          <w:i/>
          <w:sz w:val="22"/>
          <w:szCs w:val="22"/>
          <w:lang w:val="es-ES"/>
        </w:rPr>
      </w:pPr>
      <w:r w:rsidRPr="00F7554A">
        <w:rPr>
          <w:rFonts w:ascii="Palatino Linotype" w:hAnsi="Palatino Linotype" w:cstheme="minorHAnsi"/>
          <w:b/>
          <w:sz w:val="22"/>
          <w:szCs w:val="22"/>
          <w:lang w:val="es-ES"/>
        </w:rPr>
        <w:t>Que,</w:t>
      </w:r>
      <w:r w:rsidRPr="00F7554A">
        <w:rPr>
          <w:rFonts w:ascii="Palatino Linotype" w:hAnsi="Palatino Linotype" w:cstheme="minorHAnsi"/>
          <w:sz w:val="22"/>
          <w:szCs w:val="22"/>
          <w:lang w:val="es-ES"/>
        </w:rPr>
        <w:t xml:space="preserve"> el 16 de septiembre de 2020 mediante </w:t>
      </w:r>
      <w:r w:rsidR="00C668D4" w:rsidRPr="00F7554A">
        <w:rPr>
          <w:rFonts w:ascii="Palatino Linotype" w:hAnsi="Palatino Linotype" w:cstheme="minorHAnsi"/>
          <w:sz w:val="22"/>
          <w:szCs w:val="22"/>
          <w:lang w:val="es-ES"/>
        </w:rPr>
        <w:t>o</w:t>
      </w:r>
      <w:r w:rsidRPr="00F7554A">
        <w:rPr>
          <w:rFonts w:ascii="Palatino Linotype" w:hAnsi="Palatino Linotype" w:cstheme="minorHAnsi"/>
          <w:sz w:val="22"/>
          <w:szCs w:val="22"/>
          <w:lang w:val="es-ES"/>
        </w:rPr>
        <w:t>ficio Nro. STHV-DMPPS-2020-0516-O la Secretaría de Territorio, Hábitat y Vivienda solicita al Director Metropolitano de Gestión de Riesgos se informe sobre el nivel de susceptibilidad a riesgo para este sector y predio</w:t>
      </w:r>
      <w:r w:rsidR="00C668D4" w:rsidRPr="00F7554A">
        <w:rPr>
          <w:rFonts w:ascii="Palatino Linotype" w:hAnsi="Palatino Linotype" w:cstheme="minorHAnsi"/>
          <w:i/>
          <w:sz w:val="22"/>
          <w:szCs w:val="22"/>
          <w:lang w:val="es-ES"/>
        </w:rPr>
        <w:t>;</w:t>
      </w:r>
    </w:p>
    <w:p w14:paraId="5C18F7E3" w14:textId="2C640778" w:rsidR="00B3518B" w:rsidRPr="00F7554A" w:rsidRDefault="00B3518B" w:rsidP="00F7554A">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position w:val="2"/>
          <w:sz w:val="22"/>
          <w:szCs w:val="22"/>
          <w:lang w:val="es-ES"/>
        </w:rPr>
        <w:t xml:space="preserve">Que, </w:t>
      </w:r>
      <w:r w:rsidRPr="00F7554A">
        <w:rPr>
          <w:rFonts w:ascii="Palatino Linotype" w:hAnsi="Palatino Linotype" w:cstheme="minorHAnsi"/>
          <w:sz w:val="22"/>
          <w:szCs w:val="22"/>
          <w:lang w:val="es-ES"/>
        </w:rPr>
        <w:t>el</w:t>
      </w:r>
      <w:r w:rsidR="00BB395D" w:rsidRPr="00F7554A">
        <w:rPr>
          <w:rFonts w:ascii="Palatino Linotype" w:hAnsi="Palatino Linotype" w:cstheme="minorHAnsi"/>
          <w:sz w:val="22"/>
          <w:szCs w:val="22"/>
          <w:lang w:val="es-ES"/>
        </w:rPr>
        <w:t xml:space="preserve"> 07 de octubre de 2020</w:t>
      </w:r>
      <w:r w:rsidR="00A90B71" w:rsidRPr="00F7554A">
        <w:rPr>
          <w:rFonts w:ascii="Palatino Linotype" w:hAnsi="Palatino Linotype" w:cstheme="minorHAnsi"/>
          <w:sz w:val="22"/>
          <w:szCs w:val="22"/>
          <w:lang w:val="es-ES"/>
        </w:rPr>
        <w:t>,</w:t>
      </w:r>
      <w:r w:rsidRPr="00F7554A">
        <w:rPr>
          <w:rFonts w:ascii="Palatino Linotype" w:hAnsi="Palatino Linotype" w:cstheme="minorHAnsi"/>
          <w:sz w:val="22"/>
          <w:szCs w:val="22"/>
          <w:lang w:val="es-ES"/>
        </w:rPr>
        <w:t xml:space="preserve"> mediante </w:t>
      </w:r>
      <w:r w:rsidR="00C668D4" w:rsidRPr="00F7554A">
        <w:rPr>
          <w:rFonts w:ascii="Palatino Linotype" w:hAnsi="Palatino Linotype" w:cstheme="minorHAnsi"/>
          <w:sz w:val="22"/>
          <w:szCs w:val="22"/>
          <w:lang w:val="es-ES"/>
        </w:rPr>
        <w:t>o</w:t>
      </w:r>
      <w:r w:rsidR="00BB395D" w:rsidRPr="00F7554A">
        <w:rPr>
          <w:rFonts w:ascii="Palatino Linotype" w:hAnsi="Palatino Linotype" w:cstheme="minorHAnsi"/>
          <w:sz w:val="22"/>
          <w:szCs w:val="22"/>
          <w:lang w:val="es-ES"/>
        </w:rPr>
        <w:t>ficio Nro. STHV-2020-0823-O</w:t>
      </w:r>
      <w:r w:rsidRPr="00F7554A">
        <w:rPr>
          <w:rFonts w:ascii="Palatino Linotype" w:hAnsi="Palatino Linotype" w:cstheme="minorHAnsi"/>
          <w:sz w:val="22"/>
          <w:szCs w:val="22"/>
          <w:lang w:val="es-ES"/>
        </w:rPr>
        <w:t>, la Secretaría de Territorio de Hábitat y Vivienda</w:t>
      </w:r>
      <w:r w:rsidR="00A90B71" w:rsidRPr="00F7554A">
        <w:rPr>
          <w:rFonts w:ascii="Palatino Linotype" w:hAnsi="Palatino Linotype" w:cstheme="minorHAnsi"/>
          <w:sz w:val="22"/>
          <w:szCs w:val="22"/>
          <w:lang w:val="es-ES"/>
        </w:rPr>
        <w:t xml:space="preserve"> solicita a la Secretaría de Movilidad y a la Empresa Pública Metropolitana de Movilidad y Obras Públicas (EPMMOP) que emitan criterio técnico sobre los aportes urbanísticos propuestos por el administrado, en el marco de sus competencias legales</w:t>
      </w:r>
      <w:r w:rsidR="00BB395D" w:rsidRPr="00F7554A">
        <w:rPr>
          <w:rFonts w:ascii="Palatino Linotype" w:hAnsi="Palatino Linotype" w:cstheme="minorHAnsi"/>
          <w:sz w:val="22"/>
          <w:szCs w:val="22"/>
          <w:lang w:val="es-ES"/>
        </w:rPr>
        <w:t xml:space="preserve"> para el proyecto PUA en predio 279520 de Cumbayá</w:t>
      </w:r>
      <w:r w:rsidR="00A90B71" w:rsidRPr="00F7554A">
        <w:rPr>
          <w:rFonts w:ascii="Palatino Linotype" w:hAnsi="Palatino Linotype" w:cstheme="minorHAnsi"/>
          <w:sz w:val="22"/>
          <w:szCs w:val="22"/>
          <w:lang w:val="es-ES"/>
        </w:rPr>
        <w:t xml:space="preserve">; </w:t>
      </w:r>
    </w:p>
    <w:p w14:paraId="699D3C27" w14:textId="77777777" w:rsidR="007F0CB9" w:rsidRPr="00F7554A" w:rsidRDefault="007F0CB9" w:rsidP="00F7554A">
      <w:pPr>
        <w:pStyle w:val="NormalWeb"/>
        <w:spacing w:before="0" w:beforeAutospacing="0" w:after="0" w:afterAutospacing="0"/>
        <w:ind w:left="567" w:hanging="567"/>
        <w:jc w:val="both"/>
        <w:rPr>
          <w:rFonts w:ascii="Palatino Linotype" w:hAnsi="Palatino Linotype" w:cstheme="minorHAnsi"/>
          <w:b/>
          <w:bCs/>
          <w:sz w:val="22"/>
          <w:szCs w:val="22"/>
          <w:lang w:val="es-ES"/>
        </w:rPr>
      </w:pPr>
    </w:p>
    <w:p w14:paraId="5DA5F33A" w14:textId="7E69C7F6" w:rsidR="00A90B71" w:rsidRPr="00F7554A" w:rsidRDefault="00B3518B" w:rsidP="00F7554A">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w:t>
      </w:r>
      <w:r w:rsidR="00A90B71" w:rsidRPr="00F7554A">
        <w:rPr>
          <w:rFonts w:ascii="Palatino Linotype" w:hAnsi="Palatino Linotype" w:cstheme="minorHAnsi"/>
          <w:sz w:val="22"/>
          <w:szCs w:val="22"/>
          <w:lang w:val="es-ES"/>
        </w:rPr>
        <w:t>el 20 de octubre de 2020, mediante oficio N</w:t>
      </w:r>
      <w:r w:rsidR="00C668D4" w:rsidRPr="00F7554A">
        <w:rPr>
          <w:rFonts w:ascii="Palatino Linotype" w:hAnsi="Palatino Linotype" w:cstheme="minorHAnsi"/>
          <w:sz w:val="22"/>
          <w:szCs w:val="22"/>
          <w:lang w:val="es-ES"/>
        </w:rPr>
        <w:t>r</w:t>
      </w:r>
      <w:r w:rsidR="00A90B71" w:rsidRPr="00F7554A">
        <w:rPr>
          <w:rFonts w:ascii="Palatino Linotype" w:hAnsi="Palatino Linotype" w:cstheme="minorHAnsi"/>
          <w:sz w:val="22"/>
          <w:szCs w:val="22"/>
          <w:lang w:val="es-ES"/>
        </w:rPr>
        <w:t xml:space="preserve">o. EPMMOP-GG-2549-2020-OF, la Empresa Pública Metropolitana de Movilidad y Obras Públicas (EPMMOP) emite su criterio técnico sobre la Estación Intermodal Permanente de Transporte Público de Cumbayá que forma parte de los aportes urbanísticos propuestos por el proyecto TOMORAGUADUA, pronunciándose favorablemente; </w:t>
      </w:r>
    </w:p>
    <w:p w14:paraId="4270D8F4" w14:textId="77777777" w:rsidR="00A90B71" w:rsidRPr="00F7554A" w:rsidRDefault="00A90B71" w:rsidP="00F7554A">
      <w:pPr>
        <w:pStyle w:val="NormalWeb"/>
        <w:spacing w:before="0" w:beforeAutospacing="0" w:after="0" w:afterAutospacing="0"/>
        <w:ind w:left="567" w:hanging="567"/>
        <w:jc w:val="both"/>
        <w:rPr>
          <w:rFonts w:ascii="Palatino Linotype" w:hAnsi="Palatino Linotype" w:cstheme="minorHAnsi"/>
          <w:b/>
          <w:bCs/>
          <w:sz w:val="22"/>
          <w:szCs w:val="22"/>
          <w:lang w:val="es-ES"/>
        </w:rPr>
      </w:pPr>
    </w:p>
    <w:p w14:paraId="534A7614" w14:textId="72227C58" w:rsidR="00290ECC" w:rsidRPr="00F7554A" w:rsidRDefault="00A90B71" w:rsidP="00F7554A">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Que,</w:t>
      </w:r>
      <w:r w:rsidRPr="00F7554A">
        <w:rPr>
          <w:rFonts w:ascii="Palatino Linotype" w:hAnsi="Palatino Linotype" w:cstheme="minorHAnsi"/>
          <w:sz w:val="22"/>
          <w:szCs w:val="22"/>
          <w:lang w:val="es-ES"/>
        </w:rPr>
        <w:t xml:space="preserve"> el 10 de noviembre de 20</w:t>
      </w:r>
      <w:r w:rsidR="009F2E9A" w:rsidRPr="00F7554A">
        <w:rPr>
          <w:rFonts w:ascii="Palatino Linotype" w:hAnsi="Palatino Linotype" w:cstheme="minorHAnsi"/>
          <w:sz w:val="22"/>
          <w:szCs w:val="22"/>
          <w:lang w:val="es-ES"/>
        </w:rPr>
        <w:t xml:space="preserve">20 mediante </w:t>
      </w:r>
      <w:r w:rsidR="00C668D4" w:rsidRPr="00F7554A">
        <w:rPr>
          <w:rFonts w:ascii="Palatino Linotype" w:hAnsi="Palatino Linotype" w:cstheme="minorHAnsi"/>
          <w:sz w:val="22"/>
          <w:szCs w:val="22"/>
          <w:lang w:val="es-ES"/>
        </w:rPr>
        <w:t>o</w:t>
      </w:r>
      <w:r w:rsidR="009F2E9A" w:rsidRPr="00F7554A">
        <w:rPr>
          <w:rFonts w:ascii="Palatino Linotype" w:hAnsi="Palatino Linotype" w:cstheme="minorHAnsi"/>
          <w:sz w:val="22"/>
          <w:szCs w:val="22"/>
          <w:lang w:val="es-ES"/>
        </w:rPr>
        <w:t xml:space="preserve">ficio Nro. SM-2020-2458, </w:t>
      </w:r>
      <w:r w:rsidRPr="00F7554A">
        <w:rPr>
          <w:rFonts w:ascii="Palatino Linotype" w:hAnsi="Palatino Linotype" w:cstheme="minorHAnsi"/>
          <w:sz w:val="22"/>
          <w:szCs w:val="22"/>
          <w:lang w:val="es-ES"/>
        </w:rPr>
        <w:t xml:space="preserve">la Secretaría de Movilidad emite el </w:t>
      </w:r>
      <w:r w:rsidR="00C668D4" w:rsidRPr="00F7554A">
        <w:rPr>
          <w:rFonts w:ascii="Palatino Linotype" w:hAnsi="Palatino Linotype" w:cstheme="minorHAnsi"/>
          <w:sz w:val="22"/>
          <w:szCs w:val="22"/>
          <w:lang w:val="es-ES"/>
        </w:rPr>
        <w:t xml:space="preserve">informe técnico </w:t>
      </w:r>
      <w:r w:rsidRPr="00F7554A">
        <w:rPr>
          <w:rFonts w:ascii="Palatino Linotype" w:hAnsi="Palatino Linotype" w:cstheme="minorHAnsi"/>
          <w:sz w:val="22"/>
          <w:szCs w:val="22"/>
          <w:lang w:val="es-ES"/>
        </w:rPr>
        <w:t>N</w:t>
      </w:r>
      <w:r w:rsidR="00C668D4"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 xml:space="preserve">o. IT-SM-DMPPM-153 en el que analiza la propuesta del administrado </w:t>
      </w:r>
      <w:r w:rsidR="00C668D4" w:rsidRPr="00F7554A">
        <w:rPr>
          <w:rFonts w:ascii="Palatino Linotype" w:hAnsi="Palatino Linotype" w:cstheme="minorHAnsi"/>
          <w:sz w:val="22"/>
          <w:szCs w:val="22"/>
          <w:lang w:val="es-ES"/>
        </w:rPr>
        <w:t>en relación con</w:t>
      </w:r>
      <w:r w:rsidRPr="00F7554A">
        <w:rPr>
          <w:rFonts w:ascii="Palatino Linotype" w:hAnsi="Palatino Linotype" w:cstheme="minorHAnsi"/>
          <w:sz w:val="22"/>
          <w:szCs w:val="22"/>
          <w:lang w:val="es-ES"/>
        </w:rPr>
        <w:t xml:space="preserve"> la propuesta de la Estación Intermodal Permanente de Transporte Público de Cumbayá y se pronuncia favorablemente; </w:t>
      </w:r>
    </w:p>
    <w:p w14:paraId="43127D58" w14:textId="357B1710" w:rsidR="00504009" w:rsidRPr="00F7554A" w:rsidRDefault="001D50E0" w:rsidP="00F7554A">
      <w:pPr>
        <w:pStyle w:val="NormalWeb"/>
        <w:ind w:left="567" w:hanging="567"/>
        <w:jc w:val="both"/>
        <w:rPr>
          <w:rFonts w:ascii="Palatino Linotype" w:hAnsi="Palatino Linotype" w:cstheme="minorHAnsi"/>
          <w:sz w:val="22"/>
          <w:szCs w:val="22"/>
          <w:lang w:val="es-ES"/>
        </w:rPr>
      </w:pPr>
      <w:r w:rsidRPr="00F7554A">
        <w:rPr>
          <w:rFonts w:ascii="Palatino Linotype" w:hAnsi="Palatino Linotype" w:cstheme="minorHAnsi"/>
          <w:b/>
          <w:sz w:val="22"/>
          <w:szCs w:val="22"/>
          <w:lang w:val="es-ES"/>
        </w:rPr>
        <w:lastRenderedPageBreak/>
        <w:t>Que</w:t>
      </w:r>
      <w:r w:rsidRPr="00F7554A">
        <w:rPr>
          <w:rFonts w:ascii="Palatino Linotype" w:hAnsi="Palatino Linotype" w:cstheme="minorHAnsi"/>
          <w:sz w:val="22"/>
          <w:szCs w:val="22"/>
          <w:lang w:val="es-ES"/>
        </w:rPr>
        <w:t xml:space="preserve">, el 19 de noviembre de 2020 mediante </w:t>
      </w:r>
      <w:r w:rsidR="00C668D4" w:rsidRPr="00F7554A">
        <w:rPr>
          <w:rFonts w:ascii="Palatino Linotype" w:hAnsi="Palatino Linotype" w:cstheme="minorHAnsi"/>
          <w:sz w:val="22"/>
          <w:szCs w:val="22"/>
          <w:lang w:val="es-ES"/>
        </w:rPr>
        <w:t>o</w:t>
      </w:r>
      <w:r w:rsidRPr="00F7554A">
        <w:rPr>
          <w:rFonts w:ascii="Palatino Linotype" w:hAnsi="Palatino Linotype" w:cstheme="minorHAnsi"/>
          <w:sz w:val="22"/>
          <w:szCs w:val="22"/>
          <w:lang w:val="es-ES"/>
        </w:rPr>
        <w:t>ficio Nro. GADDMQ-SGSG-2020-2276-OF, el Secretario General de Seguridad y Gobernabilidad</w:t>
      </w:r>
      <w:r w:rsidR="009D08CA" w:rsidRPr="00F7554A">
        <w:rPr>
          <w:rFonts w:ascii="Palatino Linotype" w:hAnsi="Palatino Linotype" w:cstheme="minorHAnsi"/>
          <w:sz w:val="22"/>
          <w:szCs w:val="22"/>
          <w:lang w:val="es-ES"/>
        </w:rPr>
        <w:t xml:space="preserve"> remite el informe técnico IT-ECR N</w:t>
      </w:r>
      <w:r w:rsidR="00C668D4" w:rsidRPr="00F7554A">
        <w:rPr>
          <w:rFonts w:ascii="Palatino Linotype" w:hAnsi="Palatino Linotype" w:cstheme="minorHAnsi"/>
          <w:sz w:val="22"/>
          <w:szCs w:val="22"/>
          <w:lang w:val="es-ES"/>
        </w:rPr>
        <w:t>r</w:t>
      </w:r>
      <w:r w:rsidR="009D08CA" w:rsidRPr="00F7554A">
        <w:rPr>
          <w:rFonts w:ascii="Palatino Linotype" w:hAnsi="Palatino Linotype" w:cstheme="minorHAnsi"/>
          <w:sz w:val="22"/>
          <w:szCs w:val="22"/>
          <w:lang w:val="es-ES"/>
        </w:rPr>
        <w:t>o. 179-AT-DMGR-2020</w:t>
      </w:r>
      <w:r w:rsidR="00504009" w:rsidRPr="00F7554A">
        <w:rPr>
          <w:rFonts w:ascii="Palatino Linotype" w:hAnsi="Palatino Linotype" w:cstheme="minorHAnsi"/>
          <w:sz w:val="22"/>
          <w:szCs w:val="22"/>
          <w:lang w:val="es-ES"/>
        </w:rPr>
        <w:t xml:space="preserve"> respecto a la solicitud realizada con </w:t>
      </w:r>
      <w:r w:rsidR="00C668D4" w:rsidRPr="00F7554A">
        <w:rPr>
          <w:rFonts w:ascii="Palatino Linotype" w:hAnsi="Palatino Linotype" w:cstheme="minorHAnsi"/>
          <w:sz w:val="22"/>
          <w:szCs w:val="22"/>
          <w:lang w:val="es-ES"/>
        </w:rPr>
        <w:t>o</w:t>
      </w:r>
      <w:r w:rsidR="00504009" w:rsidRPr="00F7554A">
        <w:rPr>
          <w:rFonts w:ascii="Palatino Linotype" w:hAnsi="Palatino Linotype" w:cstheme="minorHAnsi"/>
          <w:sz w:val="22"/>
          <w:szCs w:val="22"/>
          <w:lang w:val="es-ES"/>
        </w:rPr>
        <w:t>ficio Nro. STHV-DMPPS-2020-0516-O</w:t>
      </w:r>
      <w:r w:rsidR="00C668D4" w:rsidRPr="00F7554A">
        <w:rPr>
          <w:rFonts w:ascii="Palatino Linotype" w:hAnsi="Palatino Linotype" w:cstheme="minorHAnsi"/>
          <w:sz w:val="22"/>
          <w:szCs w:val="22"/>
          <w:lang w:val="es-ES"/>
        </w:rPr>
        <w:t>;</w:t>
      </w:r>
    </w:p>
    <w:p w14:paraId="0648148B" w14:textId="5A494437" w:rsidR="001D50E0" w:rsidRPr="00F7554A" w:rsidRDefault="00504009" w:rsidP="00F7554A">
      <w:pPr>
        <w:pStyle w:val="NormalWeb"/>
        <w:ind w:left="567" w:hanging="567"/>
        <w:jc w:val="both"/>
        <w:rPr>
          <w:rFonts w:ascii="Palatino Linotype" w:hAnsi="Palatino Linotype" w:cstheme="minorHAnsi"/>
          <w:sz w:val="22"/>
          <w:szCs w:val="22"/>
          <w:lang w:val="es-ES"/>
        </w:rPr>
      </w:pPr>
      <w:r w:rsidRPr="00F7554A">
        <w:rPr>
          <w:rFonts w:ascii="Palatino Linotype" w:hAnsi="Palatino Linotype" w:cstheme="minorHAnsi"/>
          <w:b/>
          <w:sz w:val="22"/>
          <w:szCs w:val="22"/>
          <w:lang w:val="es-ES"/>
        </w:rPr>
        <w:t>Que</w:t>
      </w:r>
      <w:r w:rsidRPr="00F7554A">
        <w:rPr>
          <w:rFonts w:ascii="Palatino Linotype" w:hAnsi="Palatino Linotype" w:cstheme="minorHAnsi"/>
          <w:sz w:val="22"/>
          <w:szCs w:val="22"/>
          <w:lang w:val="es-ES"/>
        </w:rPr>
        <w:t xml:space="preserve">, el 08 de diciembre de 2020 mediante </w:t>
      </w:r>
      <w:r w:rsidR="00C668D4" w:rsidRPr="00F7554A">
        <w:rPr>
          <w:rFonts w:ascii="Palatino Linotype" w:hAnsi="Palatino Linotype" w:cstheme="minorHAnsi"/>
          <w:sz w:val="22"/>
          <w:szCs w:val="22"/>
          <w:lang w:val="es-ES"/>
        </w:rPr>
        <w:t>o</w:t>
      </w:r>
      <w:r w:rsidRPr="00F7554A">
        <w:rPr>
          <w:rFonts w:ascii="Palatino Linotype" w:hAnsi="Palatino Linotype" w:cstheme="minorHAnsi"/>
          <w:sz w:val="22"/>
          <w:szCs w:val="22"/>
          <w:lang w:val="es-ES"/>
        </w:rPr>
        <w:t>ficio Nro. STHV-DMPPS-2020-0609-O, la Secretaría de Territorio, Hábitat y Vivienda solicita a la Secretaría General de Seguridad y Gobernabilidad que</w:t>
      </w:r>
      <w:r w:rsidR="00C668D4" w:rsidRPr="00F7554A">
        <w:rPr>
          <w:rFonts w:ascii="Palatino Linotype" w:hAnsi="Palatino Linotype" w:cstheme="minorHAnsi"/>
          <w:sz w:val="22"/>
          <w:szCs w:val="22"/>
          <w:lang w:val="es-ES"/>
        </w:rPr>
        <w:t>,</w:t>
      </w:r>
      <w:r w:rsidRPr="00F7554A">
        <w:rPr>
          <w:rFonts w:ascii="Palatino Linotype" w:hAnsi="Palatino Linotype" w:cstheme="minorHAnsi"/>
          <w:sz w:val="22"/>
          <w:szCs w:val="22"/>
          <w:lang w:val="es-ES"/>
        </w:rPr>
        <w:t xml:space="preserve"> con el fin de establecer asignación de uso de suelo y aprovechamiento para el Proyecto Urbano Arquitectónico (PUA-</w:t>
      </w:r>
      <w:proofErr w:type="spellStart"/>
      <w:r w:rsidRPr="00F7554A">
        <w:rPr>
          <w:rFonts w:ascii="Palatino Linotype" w:hAnsi="Palatino Linotype" w:cstheme="minorHAnsi"/>
          <w:sz w:val="22"/>
          <w:szCs w:val="22"/>
          <w:lang w:val="es-ES"/>
        </w:rPr>
        <w:t>Tomoraguadua</w:t>
      </w:r>
      <w:proofErr w:type="spellEnd"/>
      <w:r w:rsidRPr="00F7554A">
        <w:rPr>
          <w:rFonts w:ascii="Palatino Linotype" w:hAnsi="Palatino Linotype" w:cstheme="minorHAnsi"/>
          <w:sz w:val="22"/>
          <w:szCs w:val="22"/>
          <w:lang w:val="es-ES"/>
        </w:rPr>
        <w:t>) en el predio N</w:t>
      </w:r>
      <w:r w:rsidR="00C668D4"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 xml:space="preserve">o. 279520, se remite el proyecto presentado por el administrado y se solicita gentilmente se realice un alcance al </w:t>
      </w:r>
      <w:r w:rsidR="00C668D4" w:rsidRPr="00F7554A">
        <w:rPr>
          <w:rFonts w:ascii="Palatino Linotype" w:hAnsi="Palatino Linotype" w:cstheme="minorHAnsi"/>
          <w:sz w:val="22"/>
          <w:szCs w:val="22"/>
          <w:lang w:val="es-ES"/>
        </w:rPr>
        <w:t xml:space="preserve">informe técnico </w:t>
      </w:r>
      <w:r w:rsidRPr="00F7554A">
        <w:rPr>
          <w:rFonts w:ascii="Palatino Linotype" w:hAnsi="Palatino Linotype" w:cstheme="minorHAnsi"/>
          <w:sz w:val="22"/>
          <w:szCs w:val="22"/>
          <w:lang w:val="es-ES"/>
        </w:rPr>
        <w:t>IT-ECR N</w:t>
      </w:r>
      <w:r w:rsidR="00C668D4"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o. 179-AT-DMGR-2020, en el que conste con mayor detalle si el lote en el análisis se encuentra en una zona catalogada como de riesgo alto y muy alto de acuerdo a la Resolución STHV-031-2019</w:t>
      </w:r>
      <w:r w:rsidR="00C668D4" w:rsidRPr="00F7554A">
        <w:rPr>
          <w:rFonts w:ascii="Palatino Linotype" w:hAnsi="Palatino Linotype" w:cstheme="minorHAnsi"/>
          <w:sz w:val="22"/>
          <w:szCs w:val="22"/>
          <w:lang w:val="es-ES"/>
        </w:rPr>
        <w:t xml:space="preserve"> a</w:t>
      </w:r>
      <w:r w:rsidRPr="00F7554A">
        <w:rPr>
          <w:rFonts w:ascii="Palatino Linotype" w:hAnsi="Palatino Linotype" w:cstheme="minorHAnsi"/>
          <w:sz w:val="22"/>
          <w:szCs w:val="22"/>
          <w:lang w:val="es-ES"/>
        </w:rPr>
        <w:t xml:space="preserve">rtículo 8, </w:t>
      </w:r>
      <w:r w:rsidR="00C668D4" w:rsidRPr="00F7554A">
        <w:rPr>
          <w:rFonts w:ascii="Palatino Linotype" w:hAnsi="Palatino Linotype" w:cstheme="minorHAnsi"/>
          <w:sz w:val="22"/>
          <w:szCs w:val="22"/>
          <w:lang w:val="es-ES"/>
        </w:rPr>
        <w:t>c</w:t>
      </w:r>
      <w:r w:rsidRPr="00F7554A">
        <w:rPr>
          <w:rFonts w:ascii="Palatino Linotype" w:hAnsi="Palatino Linotype" w:cstheme="minorHAnsi"/>
          <w:sz w:val="22"/>
          <w:szCs w:val="22"/>
          <w:lang w:val="es-ES"/>
        </w:rPr>
        <w:t>aso 4, literal f que establece los criterios técnicos para la propuesta de asignación de uso de suelo y zonificación</w:t>
      </w:r>
      <w:r w:rsidR="00C668D4" w:rsidRPr="00F7554A">
        <w:rPr>
          <w:rFonts w:ascii="Palatino Linotype" w:hAnsi="Palatino Linotype" w:cstheme="minorHAnsi"/>
          <w:sz w:val="22"/>
          <w:szCs w:val="22"/>
          <w:lang w:val="es-ES"/>
        </w:rPr>
        <w:t>;</w:t>
      </w:r>
    </w:p>
    <w:p w14:paraId="2A9B8BC7" w14:textId="2586DB35" w:rsidR="00504009" w:rsidRPr="00F7554A" w:rsidRDefault="00504009" w:rsidP="00F7554A">
      <w:pPr>
        <w:pStyle w:val="NormalWeb"/>
        <w:ind w:left="567" w:hanging="567"/>
        <w:jc w:val="both"/>
        <w:rPr>
          <w:rFonts w:ascii="Palatino Linotype" w:hAnsi="Palatino Linotype" w:cstheme="minorHAnsi"/>
          <w:sz w:val="22"/>
          <w:szCs w:val="22"/>
          <w:lang w:val="es-ES"/>
        </w:rPr>
      </w:pPr>
      <w:r w:rsidRPr="00F7554A">
        <w:rPr>
          <w:rFonts w:ascii="Palatino Linotype" w:hAnsi="Palatino Linotype" w:cstheme="minorHAnsi"/>
          <w:b/>
          <w:sz w:val="22"/>
          <w:szCs w:val="22"/>
          <w:lang w:val="es-ES"/>
        </w:rPr>
        <w:t>Que</w:t>
      </w:r>
      <w:r w:rsidRPr="00F7554A">
        <w:rPr>
          <w:rFonts w:ascii="Palatino Linotype" w:hAnsi="Palatino Linotype" w:cstheme="minorHAnsi"/>
          <w:sz w:val="22"/>
          <w:szCs w:val="22"/>
          <w:lang w:val="es-ES"/>
        </w:rPr>
        <w:t xml:space="preserve">, el 09 de diciembre de 2020 mediante </w:t>
      </w:r>
      <w:r w:rsidR="00C668D4" w:rsidRPr="00F7554A">
        <w:rPr>
          <w:rFonts w:ascii="Palatino Linotype" w:hAnsi="Palatino Linotype" w:cstheme="minorHAnsi"/>
          <w:sz w:val="22"/>
          <w:szCs w:val="22"/>
          <w:lang w:val="es-ES"/>
        </w:rPr>
        <w:t>o</w:t>
      </w:r>
      <w:r w:rsidRPr="00F7554A">
        <w:rPr>
          <w:rFonts w:ascii="Palatino Linotype" w:hAnsi="Palatino Linotype" w:cstheme="minorHAnsi"/>
          <w:sz w:val="22"/>
          <w:szCs w:val="22"/>
          <w:lang w:val="es-ES"/>
        </w:rPr>
        <w:t xml:space="preserve">ficio Nro. GADDMQ-SGSG-2020-2438-OF, la Secretaría General de Seguridad y Gobernabilidad remite el informe técnico IT-ECR No. 190-AT-DMGR-2020 como respuesta a la solicitud realizada mediante </w:t>
      </w:r>
      <w:r w:rsidR="00C668D4" w:rsidRPr="00F7554A">
        <w:rPr>
          <w:rFonts w:ascii="Palatino Linotype" w:hAnsi="Palatino Linotype" w:cstheme="minorHAnsi"/>
          <w:sz w:val="22"/>
          <w:szCs w:val="22"/>
          <w:lang w:val="es-ES"/>
        </w:rPr>
        <w:t>o</w:t>
      </w:r>
      <w:r w:rsidRPr="00F7554A">
        <w:rPr>
          <w:rFonts w:ascii="Palatino Linotype" w:hAnsi="Palatino Linotype" w:cstheme="minorHAnsi"/>
          <w:sz w:val="22"/>
          <w:szCs w:val="22"/>
          <w:lang w:val="es-ES"/>
        </w:rPr>
        <w:t>ficio Nro. STHV-DMPPS-2020-0609-O</w:t>
      </w:r>
      <w:r w:rsidR="00C668D4" w:rsidRPr="00F7554A">
        <w:rPr>
          <w:rFonts w:ascii="Palatino Linotype" w:hAnsi="Palatino Linotype" w:cstheme="minorHAnsi"/>
          <w:sz w:val="22"/>
          <w:szCs w:val="22"/>
          <w:lang w:val="es-ES"/>
        </w:rPr>
        <w:t>;</w:t>
      </w:r>
    </w:p>
    <w:p w14:paraId="7D6D4756" w14:textId="0A673612" w:rsidR="00154585" w:rsidRPr="00F7554A" w:rsidRDefault="00154585" w:rsidP="00F7554A">
      <w:pPr>
        <w:pStyle w:val="NormalWeb"/>
        <w:ind w:left="567" w:hanging="567"/>
        <w:jc w:val="both"/>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 xml:space="preserve">Que, </w:t>
      </w:r>
      <w:r w:rsidRPr="00F7554A">
        <w:rPr>
          <w:rFonts w:ascii="Palatino Linotype" w:hAnsi="Palatino Linotype" w:cstheme="minorHAnsi"/>
          <w:bCs/>
          <w:sz w:val="22"/>
          <w:szCs w:val="22"/>
          <w:lang w:val="es-ES"/>
        </w:rPr>
        <w:t xml:space="preserve">el 21 de diciembre de 2020 mediante </w:t>
      </w:r>
      <w:r w:rsidR="00C668D4" w:rsidRPr="00F7554A">
        <w:rPr>
          <w:rFonts w:ascii="Palatino Linotype" w:hAnsi="Palatino Linotype" w:cstheme="minorHAnsi"/>
          <w:bCs/>
          <w:sz w:val="22"/>
          <w:szCs w:val="22"/>
          <w:lang w:val="es-ES"/>
        </w:rPr>
        <w:t>o</w:t>
      </w:r>
      <w:r w:rsidRPr="00F7554A">
        <w:rPr>
          <w:rFonts w:ascii="Palatino Linotype" w:hAnsi="Palatino Linotype" w:cstheme="minorHAnsi"/>
          <w:bCs/>
          <w:sz w:val="22"/>
          <w:szCs w:val="22"/>
          <w:lang w:val="es-ES"/>
        </w:rPr>
        <w:t xml:space="preserve">ficio Nro. STHV-2020-1091-O, la Secretaría de Territorio, Hábitat y Vivienda remite </w:t>
      </w:r>
      <w:r w:rsidR="00AC57EE" w:rsidRPr="00F7554A">
        <w:rPr>
          <w:rFonts w:ascii="Palatino Linotype" w:hAnsi="Palatino Linotype" w:cstheme="minorHAnsi"/>
          <w:bCs/>
          <w:sz w:val="22"/>
          <w:szCs w:val="22"/>
          <w:lang w:val="es-ES"/>
        </w:rPr>
        <w:t>al Señor Carlos Cristó</w:t>
      </w:r>
      <w:r w:rsidR="006C014B">
        <w:rPr>
          <w:rFonts w:ascii="Palatino Linotype" w:hAnsi="Palatino Linotype" w:cstheme="minorHAnsi"/>
          <w:bCs/>
          <w:sz w:val="22"/>
          <w:szCs w:val="22"/>
          <w:lang w:val="es-ES"/>
        </w:rPr>
        <w:t xml:space="preserve">bal </w:t>
      </w:r>
      <w:proofErr w:type="spellStart"/>
      <w:r w:rsidR="006C014B">
        <w:rPr>
          <w:rFonts w:ascii="Palatino Linotype" w:hAnsi="Palatino Linotype" w:cstheme="minorHAnsi"/>
          <w:bCs/>
          <w:sz w:val="22"/>
          <w:szCs w:val="22"/>
          <w:lang w:val="es-ES"/>
        </w:rPr>
        <w:t>Montú</w:t>
      </w:r>
      <w:r w:rsidR="005F600B" w:rsidRPr="00F7554A">
        <w:rPr>
          <w:rFonts w:ascii="Palatino Linotype" w:hAnsi="Palatino Linotype" w:cstheme="minorHAnsi"/>
          <w:bCs/>
          <w:sz w:val="22"/>
          <w:szCs w:val="22"/>
          <w:lang w:val="es-ES"/>
        </w:rPr>
        <w:t>far</w:t>
      </w:r>
      <w:proofErr w:type="spellEnd"/>
      <w:r w:rsidR="005F600B" w:rsidRPr="00F7554A">
        <w:rPr>
          <w:rFonts w:ascii="Palatino Linotype" w:hAnsi="Palatino Linotype" w:cstheme="minorHAnsi"/>
          <w:bCs/>
          <w:sz w:val="22"/>
          <w:szCs w:val="22"/>
          <w:lang w:val="es-ES"/>
        </w:rPr>
        <w:t xml:space="preserve"> </w:t>
      </w:r>
      <w:r w:rsidR="00AC57EE" w:rsidRPr="00F7554A">
        <w:rPr>
          <w:rFonts w:ascii="Palatino Linotype" w:hAnsi="Palatino Linotype" w:cstheme="minorHAnsi"/>
          <w:bCs/>
          <w:sz w:val="22"/>
          <w:szCs w:val="22"/>
          <w:lang w:val="es-ES"/>
        </w:rPr>
        <w:t xml:space="preserve">Gangotena, representante </w:t>
      </w:r>
      <w:r w:rsidR="00AC57EE" w:rsidRPr="00F7554A">
        <w:rPr>
          <w:rFonts w:ascii="Palatino Linotype" w:hAnsi="Palatino Linotype" w:cstheme="minorHAnsi"/>
          <w:sz w:val="22"/>
          <w:szCs w:val="22"/>
          <w:lang w:val="es-ES"/>
        </w:rPr>
        <w:t xml:space="preserve">legal de la compañía TOMORAGUADUA S.A., </w:t>
      </w:r>
      <w:r w:rsidRPr="00F7554A">
        <w:rPr>
          <w:rFonts w:ascii="Palatino Linotype" w:hAnsi="Palatino Linotype" w:cstheme="minorHAnsi"/>
          <w:bCs/>
          <w:sz w:val="22"/>
          <w:szCs w:val="22"/>
          <w:lang w:val="es-ES"/>
        </w:rPr>
        <w:t xml:space="preserve">el informe técnico del PUA, en el cual se establece la propuesta de los datos de usos de suelo y zonificación </w:t>
      </w:r>
      <w:r w:rsidR="00CB2B82" w:rsidRPr="00F7554A">
        <w:rPr>
          <w:rFonts w:ascii="Palatino Linotype" w:hAnsi="Palatino Linotype" w:cstheme="minorHAnsi"/>
          <w:bCs/>
          <w:sz w:val="22"/>
          <w:szCs w:val="22"/>
          <w:lang w:val="es-ES"/>
        </w:rPr>
        <w:t xml:space="preserve">determinados </w:t>
      </w:r>
      <w:r w:rsidRPr="00F7554A">
        <w:rPr>
          <w:rFonts w:ascii="Palatino Linotype" w:hAnsi="Palatino Linotype" w:cstheme="minorHAnsi"/>
          <w:bCs/>
          <w:sz w:val="22"/>
          <w:szCs w:val="22"/>
          <w:lang w:val="es-ES"/>
        </w:rPr>
        <w:t>para el predio N</w:t>
      </w:r>
      <w:r w:rsidR="00C668D4" w:rsidRPr="00F7554A">
        <w:rPr>
          <w:rFonts w:ascii="Palatino Linotype" w:hAnsi="Palatino Linotype" w:cstheme="minorHAnsi"/>
          <w:bCs/>
          <w:sz w:val="22"/>
          <w:szCs w:val="22"/>
          <w:lang w:val="es-ES"/>
        </w:rPr>
        <w:t>r</w:t>
      </w:r>
      <w:r w:rsidRPr="00F7554A">
        <w:rPr>
          <w:rFonts w:ascii="Palatino Linotype" w:hAnsi="Palatino Linotype" w:cstheme="minorHAnsi"/>
          <w:bCs/>
          <w:sz w:val="22"/>
          <w:szCs w:val="22"/>
          <w:lang w:val="es-ES"/>
        </w:rPr>
        <w:t>o. 279520, los cuales difieren del proyecto presentado por el administrado y requiere, previa remisión a la Comisión de Uso de Suelo y el Concejo Metropolitano, de su ratificación o, caso contrario, la discontinuación del proceso de asignación de datos</w:t>
      </w:r>
      <w:r w:rsidR="00C668D4" w:rsidRPr="00F7554A">
        <w:rPr>
          <w:rFonts w:ascii="Palatino Linotype" w:hAnsi="Palatino Linotype" w:cstheme="minorHAnsi"/>
          <w:bCs/>
          <w:sz w:val="22"/>
          <w:szCs w:val="22"/>
          <w:lang w:val="es-ES"/>
        </w:rPr>
        <w:t>;</w:t>
      </w:r>
      <w:r w:rsidRPr="00F7554A">
        <w:rPr>
          <w:rFonts w:ascii="Palatino Linotype" w:hAnsi="Palatino Linotype" w:cstheme="minorHAnsi"/>
          <w:b/>
          <w:bCs/>
          <w:sz w:val="22"/>
          <w:szCs w:val="22"/>
          <w:lang w:val="es-ES"/>
        </w:rPr>
        <w:t xml:space="preserve">  </w:t>
      </w:r>
    </w:p>
    <w:p w14:paraId="77AF571E" w14:textId="29432B73" w:rsidR="000817F0" w:rsidRDefault="002C54D0" w:rsidP="00F7554A">
      <w:pPr>
        <w:pStyle w:val="NormalWeb"/>
        <w:ind w:left="567" w:hanging="567"/>
        <w:jc w:val="both"/>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 xml:space="preserve">Que, </w:t>
      </w:r>
      <w:r w:rsidRPr="00F7554A">
        <w:rPr>
          <w:rFonts w:ascii="Palatino Linotype" w:hAnsi="Palatino Linotype" w:cstheme="minorHAnsi"/>
          <w:bCs/>
          <w:sz w:val="22"/>
          <w:szCs w:val="22"/>
          <w:lang w:val="es-ES"/>
        </w:rPr>
        <w:t xml:space="preserve">el 22 de diciembre de 2020 </w:t>
      </w:r>
      <w:r w:rsidR="006C014B">
        <w:rPr>
          <w:rFonts w:ascii="Palatino Linotype" w:hAnsi="Palatino Linotype" w:cstheme="minorHAnsi"/>
          <w:bCs/>
          <w:sz w:val="22"/>
          <w:szCs w:val="22"/>
          <w:lang w:val="es-ES"/>
        </w:rPr>
        <w:t xml:space="preserve"> el Señor Carlos Cristóbal </w:t>
      </w:r>
      <w:proofErr w:type="spellStart"/>
      <w:r w:rsidR="006C014B">
        <w:rPr>
          <w:rFonts w:ascii="Palatino Linotype" w:hAnsi="Palatino Linotype" w:cstheme="minorHAnsi"/>
          <w:bCs/>
          <w:sz w:val="22"/>
          <w:szCs w:val="22"/>
          <w:lang w:val="es-ES"/>
        </w:rPr>
        <w:t>Montú</w:t>
      </w:r>
      <w:r w:rsidRPr="00F7554A">
        <w:rPr>
          <w:rFonts w:ascii="Palatino Linotype" w:hAnsi="Palatino Linotype" w:cstheme="minorHAnsi"/>
          <w:bCs/>
          <w:sz w:val="22"/>
          <w:szCs w:val="22"/>
          <w:lang w:val="es-ES"/>
        </w:rPr>
        <w:t>far</w:t>
      </w:r>
      <w:proofErr w:type="spellEnd"/>
      <w:r w:rsidRPr="00F7554A">
        <w:rPr>
          <w:rFonts w:ascii="Palatino Linotype" w:hAnsi="Palatino Linotype" w:cstheme="minorHAnsi"/>
          <w:bCs/>
          <w:sz w:val="22"/>
          <w:szCs w:val="22"/>
          <w:lang w:val="es-ES"/>
        </w:rPr>
        <w:t xml:space="preserve"> Gangotena, representante </w:t>
      </w:r>
      <w:r w:rsidRPr="00F7554A">
        <w:rPr>
          <w:rFonts w:ascii="Palatino Linotype" w:hAnsi="Palatino Linotype" w:cstheme="minorHAnsi"/>
          <w:sz w:val="22"/>
          <w:szCs w:val="22"/>
          <w:lang w:val="es-ES"/>
        </w:rPr>
        <w:t xml:space="preserve">legal de la compañía TOMORAGUADUA S.A., envía a la Secretaría de Territorio, Hábitat y Vivienda su ratificación a la conformidad de acogerse a la propuesta de asignación </w:t>
      </w:r>
      <w:r w:rsidRPr="00F7554A">
        <w:rPr>
          <w:rFonts w:ascii="Palatino Linotype" w:hAnsi="Palatino Linotype" w:cstheme="minorHAnsi"/>
          <w:bCs/>
          <w:sz w:val="22"/>
          <w:szCs w:val="22"/>
          <w:lang w:val="es-ES"/>
        </w:rPr>
        <w:t>de datos de uso de suelo y zonificación de la Secretaría de Territorio, Hábitat y Vivienda, adjuntando un nuevo Dossier de Planos que recoge gráficamente la propuesta</w:t>
      </w:r>
      <w:r w:rsidR="00C668D4" w:rsidRPr="00F7554A">
        <w:rPr>
          <w:rFonts w:ascii="Palatino Linotype" w:hAnsi="Palatino Linotype" w:cstheme="minorHAnsi"/>
          <w:b/>
          <w:bCs/>
          <w:sz w:val="22"/>
          <w:szCs w:val="22"/>
          <w:lang w:val="es-ES"/>
        </w:rPr>
        <w:t>;</w:t>
      </w:r>
      <w:r w:rsidRPr="00F7554A">
        <w:rPr>
          <w:rFonts w:ascii="Palatino Linotype" w:hAnsi="Palatino Linotype" w:cstheme="minorHAnsi"/>
          <w:b/>
          <w:bCs/>
          <w:sz w:val="22"/>
          <w:szCs w:val="22"/>
          <w:lang w:val="es-ES"/>
        </w:rPr>
        <w:t xml:space="preserve">  </w:t>
      </w:r>
    </w:p>
    <w:p w14:paraId="1E86BC24" w14:textId="1CAE0619" w:rsidR="007C4149" w:rsidRPr="0025271D" w:rsidRDefault="00B3518B" w:rsidP="00F7554A">
      <w:pPr>
        <w:pStyle w:val="NormalWeb"/>
        <w:ind w:left="567" w:hanging="567"/>
        <w:jc w:val="both"/>
        <w:rPr>
          <w:rFonts w:ascii="Palatino Linotype" w:hAnsi="Palatino Linotype" w:cstheme="minorHAnsi"/>
          <w:sz w:val="22"/>
          <w:szCs w:val="22"/>
          <w:lang w:val="es-ES"/>
        </w:rPr>
      </w:pPr>
      <w:r w:rsidRPr="00F7554A">
        <w:rPr>
          <w:rFonts w:ascii="Palatino Linotype" w:hAnsi="Palatino Linotype" w:cstheme="minorHAnsi"/>
          <w:b/>
          <w:sz w:val="22"/>
          <w:szCs w:val="22"/>
          <w:lang w:val="es-ES"/>
        </w:rPr>
        <w:t xml:space="preserve">Que, </w:t>
      </w:r>
      <w:r w:rsidRPr="00F7554A">
        <w:rPr>
          <w:rFonts w:ascii="Palatino Linotype" w:hAnsi="Palatino Linotype" w:cstheme="minorHAnsi"/>
          <w:sz w:val="22"/>
          <w:szCs w:val="22"/>
          <w:lang w:val="es-ES"/>
        </w:rPr>
        <w:t xml:space="preserve">el </w:t>
      </w:r>
      <w:r w:rsidR="00154585" w:rsidRPr="00F7554A">
        <w:rPr>
          <w:rFonts w:ascii="Palatino Linotype" w:hAnsi="Palatino Linotype" w:cstheme="minorHAnsi"/>
          <w:sz w:val="22"/>
          <w:szCs w:val="22"/>
          <w:lang w:val="es-ES"/>
        </w:rPr>
        <w:t>28</w:t>
      </w:r>
      <w:r w:rsidRPr="00F7554A">
        <w:rPr>
          <w:rFonts w:ascii="Palatino Linotype" w:hAnsi="Palatino Linotype" w:cstheme="minorHAnsi"/>
          <w:sz w:val="22"/>
          <w:szCs w:val="22"/>
          <w:lang w:val="es-ES"/>
        </w:rPr>
        <w:t xml:space="preserve"> de </w:t>
      </w:r>
      <w:r w:rsidR="00A90B71" w:rsidRPr="00F7554A">
        <w:rPr>
          <w:rFonts w:ascii="Palatino Linotype" w:hAnsi="Palatino Linotype" w:cstheme="minorHAnsi"/>
          <w:sz w:val="22"/>
          <w:szCs w:val="22"/>
          <w:lang w:val="es-ES"/>
        </w:rPr>
        <w:t>diciembre</w:t>
      </w:r>
      <w:r w:rsidRPr="00F7554A">
        <w:rPr>
          <w:rFonts w:ascii="Palatino Linotype" w:hAnsi="Palatino Linotype" w:cstheme="minorHAnsi"/>
          <w:sz w:val="22"/>
          <w:szCs w:val="22"/>
          <w:lang w:val="es-ES"/>
        </w:rPr>
        <w:t xml:space="preserve"> de 20</w:t>
      </w:r>
      <w:r w:rsidR="00A90B71" w:rsidRPr="00F7554A">
        <w:rPr>
          <w:rFonts w:ascii="Palatino Linotype" w:hAnsi="Palatino Linotype" w:cstheme="minorHAnsi"/>
          <w:sz w:val="22"/>
          <w:szCs w:val="22"/>
          <w:lang w:val="es-ES"/>
        </w:rPr>
        <w:t>20, mediante oficio N</w:t>
      </w:r>
      <w:r w:rsidR="00C668D4" w:rsidRPr="00F7554A">
        <w:rPr>
          <w:rFonts w:ascii="Palatino Linotype" w:hAnsi="Palatino Linotype" w:cstheme="minorHAnsi"/>
          <w:sz w:val="22"/>
          <w:szCs w:val="22"/>
          <w:lang w:val="es-ES"/>
        </w:rPr>
        <w:t>r</w:t>
      </w:r>
      <w:r w:rsidR="00A90B71" w:rsidRPr="00F7554A">
        <w:rPr>
          <w:rFonts w:ascii="Palatino Linotype" w:hAnsi="Palatino Linotype" w:cstheme="minorHAnsi"/>
          <w:sz w:val="22"/>
          <w:szCs w:val="22"/>
          <w:lang w:val="es-ES"/>
        </w:rPr>
        <w:t xml:space="preserve">o. </w:t>
      </w:r>
      <w:r w:rsidR="00154585" w:rsidRPr="00F7554A">
        <w:rPr>
          <w:rFonts w:ascii="Palatino Linotype" w:hAnsi="Palatino Linotype" w:cstheme="minorHAnsi"/>
          <w:sz w:val="22"/>
          <w:szCs w:val="22"/>
          <w:lang w:val="es-ES"/>
        </w:rPr>
        <w:t>STHV-2020-1115-O,</w:t>
      </w:r>
      <w:r w:rsidR="00A90B71" w:rsidRPr="00F7554A">
        <w:rPr>
          <w:rFonts w:ascii="Palatino Linotype" w:hAnsi="Palatino Linotype" w:cstheme="minorHAnsi"/>
          <w:sz w:val="22"/>
          <w:szCs w:val="22"/>
          <w:lang w:val="es-ES"/>
        </w:rPr>
        <w:t xml:space="preserve"> la Secretaría de Territorio de Hábitat y Vivienda en base a sus competencias y a los </w:t>
      </w:r>
      <w:r w:rsidR="00154585" w:rsidRPr="00F7554A">
        <w:rPr>
          <w:rFonts w:ascii="Palatino Linotype" w:hAnsi="Palatino Linotype" w:cstheme="minorHAnsi"/>
          <w:sz w:val="22"/>
          <w:szCs w:val="22"/>
          <w:lang w:val="es-ES"/>
        </w:rPr>
        <w:t>informe</w:t>
      </w:r>
      <w:r w:rsidR="008E69AC" w:rsidRPr="00F7554A">
        <w:rPr>
          <w:rFonts w:ascii="Palatino Linotype" w:hAnsi="Palatino Linotype" w:cstheme="minorHAnsi"/>
          <w:sz w:val="22"/>
          <w:szCs w:val="22"/>
          <w:lang w:val="es-ES"/>
        </w:rPr>
        <w:t>s</w:t>
      </w:r>
      <w:r w:rsidR="00154585" w:rsidRPr="00F7554A">
        <w:rPr>
          <w:rFonts w:ascii="Palatino Linotype" w:hAnsi="Palatino Linotype" w:cstheme="minorHAnsi"/>
          <w:sz w:val="22"/>
          <w:szCs w:val="22"/>
          <w:lang w:val="es-ES"/>
        </w:rPr>
        <w:t xml:space="preserve"> de la Secretaría de Movilidad, </w:t>
      </w:r>
      <w:r w:rsidR="00A90B71" w:rsidRPr="00F7554A">
        <w:rPr>
          <w:rFonts w:ascii="Palatino Linotype" w:hAnsi="Palatino Linotype" w:cstheme="minorHAnsi"/>
          <w:sz w:val="22"/>
          <w:szCs w:val="22"/>
          <w:lang w:val="es-ES"/>
        </w:rPr>
        <w:t xml:space="preserve">de la EPMMOP, </w:t>
      </w:r>
      <w:r w:rsidR="00154585" w:rsidRPr="00F7554A">
        <w:rPr>
          <w:rFonts w:ascii="Palatino Linotype" w:hAnsi="Palatino Linotype" w:cstheme="minorHAnsi"/>
          <w:sz w:val="22"/>
          <w:szCs w:val="22"/>
          <w:lang w:val="es-ES"/>
        </w:rPr>
        <w:t>y de la Secretaría General de Seguridad y Gobernabilidad</w:t>
      </w:r>
      <w:r w:rsidR="008E69AC" w:rsidRPr="00F7554A">
        <w:rPr>
          <w:rFonts w:ascii="Palatino Linotype" w:hAnsi="Palatino Linotype" w:cstheme="minorHAnsi"/>
          <w:sz w:val="22"/>
          <w:szCs w:val="22"/>
          <w:lang w:val="es-ES"/>
        </w:rPr>
        <w:t>,</w:t>
      </w:r>
      <w:r w:rsidR="00154585" w:rsidRPr="00F7554A">
        <w:rPr>
          <w:rFonts w:ascii="Palatino Linotype" w:hAnsi="Palatino Linotype" w:cstheme="minorHAnsi"/>
          <w:sz w:val="22"/>
          <w:szCs w:val="22"/>
          <w:lang w:val="es-ES"/>
        </w:rPr>
        <w:t xml:space="preserve"> </w:t>
      </w:r>
      <w:r w:rsidR="00A90B71" w:rsidRPr="00F7554A">
        <w:rPr>
          <w:rFonts w:ascii="Palatino Linotype" w:hAnsi="Palatino Linotype" w:cstheme="minorHAnsi"/>
          <w:sz w:val="22"/>
          <w:szCs w:val="22"/>
          <w:lang w:val="es-ES"/>
        </w:rPr>
        <w:t xml:space="preserve">emite el informe técnico favorable a la propuesta de asignación de datos de uso de suelo y </w:t>
      </w:r>
      <w:r w:rsidR="00A90B71" w:rsidRPr="0025271D">
        <w:rPr>
          <w:rFonts w:ascii="Palatino Linotype" w:hAnsi="Palatino Linotype" w:cstheme="minorHAnsi"/>
          <w:sz w:val="22"/>
          <w:szCs w:val="22"/>
          <w:lang w:val="es-ES"/>
        </w:rPr>
        <w:t>zonificación para el predio N</w:t>
      </w:r>
      <w:r w:rsidR="00C668D4" w:rsidRPr="0025271D">
        <w:rPr>
          <w:rFonts w:ascii="Palatino Linotype" w:hAnsi="Palatino Linotype" w:cstheme="minorHAnsi"/>
          <w:sz w:val="22"/>
          <w:szCs w:val="22"/>
          <w:lang w:val="es-ES"/>
        </w:rPr>
        <w:t>r</w:t>
      </w:r>
      <w:r w:rsidR="00A90B71" w:rsidRPr="0025271D">
        <w:rPr>
          <w:rFonts w:ascii="Palatino Linotype" w:hAnsi="Palatino Linotype" w:cstheme="minorHAnsi"/>
          <w:sz w:val="22"/>
          <w:szCs w:val="22"/>
          <w:lang w:val="es-ES"/>
        </w:rPr>
        <w:t xml:space="preserve">o. 279520 de propiedad de TOMORAGUADUA S.A.; </w:t>
      </w:r>
    </w:p>
    <w:p w14:paraId="63075C50" w14:textId="7552D008" w:rsidR="007C4149" w:rsidRPr="007D618B" w:rsidRDefault="007C4149" w:rsidP="00F7554A">
      <w:pPr>
        <w:pStyle w:val="NormalWeb"/>
        <w:spacing w:before="0" w:beforeAutospacing="0" w:after="0" w:afterAutospacing="0"/>
        <w:ind w:left="567" w:hanging="567"/>
        <w:jc w:val="both"/>
        <w:rPr>
          <w:rFonts w:ascii="Palatino Linotype" w:hAnsi="Palatino Linotype" w:cstheme="minorHAnsi"/>
          <w:sz w:val="22"/>
          <w:szCs w:val="22"/>
          <w:lang w:val="es-EC"/>
        </w:rPr>
      </w:pPr>
      <w:r w:rsidRPr="0025271D">
        <w:rPr>
          <w:rFonts w:ascii="Palatino Linotype" w:hAnsi="Palatino Linotype" w:cstheme="minorHAnsi"/>
          <w:b/>
          <w:bCs/>
          <w:sz w:val="22"/>
          <w:szCs w:val="22"/>
          <w:lang w:val="es-ES"/>
        </w:rPr>
        <w:lastRenderedPageBreak/>
        <w:t>Que, c</w:t>
      </w:r>
      <w:r w:rsidRPr="007D618B">
        <w:rPr>
          <w:rFonts w:ascii="Palatino Linotype" w:hAnsi="Palatino Linotype" w:cstheme="minorHAnsi"/>
          <w:sz w:val="22"/>
          <w:szCs w:val="22"/>
          <w:lang w:val="es-EC"/>
        </w:rPr>
        <w:t>on oficio Nro. STHV-DMPPS-2021-0035-O de 26 de enero de 2021, la Secretaría de Territorio, Hábitat y Vivienda, remite al Director Metropolitano de Gestión de Riesgos, el informe técnico de la Secretaría de Territorio, Hábitat y Vivienda que determina la propuesta de datos de usos de suelo y zonificación asignados al predio No. 279520.</w:t>
      </w:r>
    </w:p>
    <w:p w14:paraId="060FF547" w14:textId="77777777" w:rsidR="00E91A2D" w:rsidRPr="0025271D" w:rsidRDefault="00E91A2D" w:rsidP="00F7554A">
      <w:pPr>
        <w:pStyle w:val="NormalWeb"/>
        <w:spacing w:before="0" w:beforeAutospacing="0" w:after="0" w:afterAutospacing="0"/>
        <w:ind w:left="567" w:hanging="567"/>
        <w:jc w:val="both"/>
        <w:rPr>
          <w:rFonts w:ascii="Palatino Linotype" w:hAnsi="Palatino Linotype" w:cstheme="minorHAnsi"/>
          <w:sz w:val="22"/>
          <w:szCs w:val="22"/>
          <w:lang w:val="es-ES"/>
        </w:rPr>
      </w:pPr>
    </w:p>
    <w:p w14:paraId="3E7CA565" w14:textId="37DAB16D" w:rsidR="00E91A2D" w:rsidRPr="0025271D" w:rsidRDefault="00E91A2D" w:rsidP="00E91A2D">
      <w:pPr>
        <w:pStyle w:val="NormalWeb"/>
        <w:spacing w:before="0" w:beforeAutospacing="0" w:after="0" w:afterAutospacing="0"/>
        <w:ind w:left="567" w:hanging="567"/>
        <w:jc w:val="both"/>
        <w:rPr>
          <w:rFonts w:ascii="Palatino Linotype" w:hAnsi="Palatino Linotype" w:cstheme="minorHAnsi"/>
          <w:bCs/>
          <w:position w:val="2"/>
          <w:sz w:val="22"/>
          <w:szCs w:val="22"/>
          <w:lang w:val="es-ES"/>
        </w:rPr>
      </w:pPr>
      <w:r w:rsidRPr="0025271D">
        <w:rPr>
          <w:rFonts w:ascii="Palatino Linotype" w:hAnsi="Palatino Linotype" w:cstheme="minorHAnsi"/>
          <w:b/>
          <w:bCs/>
          <w:position w:val="2"/>
          <w:sz w:val="22"/>
          <w:szCs w:val="22"/>
          <w:lang w:val="es-ES"/>
        </w:rPr>
        <w:t xml:space="preserve">Que, </w:t>
      </w:r>
      <w:r w:rsidRPr="0025271D">
        <w:rPr>
          <w:rFonts w:ascii="Palatino Linotype" w:hAnsi="Palatino Linotype" w:cstheme="minorHAnsi"/>
          <w:bCs/>
          <w:position w:val="2"/>
          <w:sz w:val="22"/>
          <w:szCs w:val="22"/>
          <w:lang w:val="es-ES"/>
        </w:rPr>
        <w:t>con oficio Nro. STHV-DMPPS-2021-0036-O de 26 de enero de 2021, la Secretaría de Territorio, Hábitat y Vivienda, solicita al promotor del proyecto se realice un alcance al ingreso del PUA donde se precise el monto de inversión del mismo, acogiendo la observación realizada en la Comisión de Uso de Suelo del día lunes 25 de enero de 2021.</w:t>
      </w:r>
    </w:p>
    <w:p w14:paraId="248A2F19" w14:textId="77777777" w:rsidR="00E91A2D" w:rsidRPr="0025271D" w:rsidRDefault="00E91A2D" w:rsidP="009107EE">
      <w:pPr>
        <w:pStyle w:val="NormalWeb"/>
        <w:spacing w:before="0" w:beforeAutospacing="0" w:after="0" w:afterAutospacing="0"/>
        <w:jc w:val="both"/>
        <w:rPr>
          <w:rFonts w:ascii="Palatino Linotype" w:hAnsi="Palatino Linotype" w:cstheme="minorHAnsi"/>
          <w:bCs/>
          <w:position w:val="2"/>
          <w:sz w:val="22"/>
          <w:szCs w:val="22"/>
          <w:lang w:val="es-ES"/>
        </w:rPr>
      </w:pPr>
    </w:p>
    <w:p w14:paraId="523ED77A" w14:textId="538C55BB" w:rsidR="004C29AA" w:rsidRPr="0025271D" w:rsidRDefault="004C29AA" w:rsidP="004C29AA">
      <w:pPr>
        <w:pStyle w:val="NormalWeb"/>
        <w:spacing w:before="0" w:beforeAutospacing="0" w:after="0" w:afterAutospacing="0"/>
        <w:ind w:left="567" w:hanging="567"/>
        <w:jc w:val="both"/>
        <w:rPr>
          <w:rFonts w:ascii="Palatino Linotype" w:hAnsi="Palatino Linotype" w:cstheme="minorHAnsi"/>
          <w:bCs/>
          <w:position w:val="2"/>
          <w:sz w:val="22"/>
          <w:szCs w:val="22"/>
          <w:lang w:val="es-ES"/>
        </w:rPr>
      </w:pPr>
      <w:r w:rsidRPr="0025271D">
        <w:rPr>
          <w:rFonts w:ascii="Palatino Linotype" w:hAnsi="Palatino Linotype" w:cstheme="minorHAnsi"/>
          <w:b/>
          <w:bCs/>
          <w:position w:val="2"/>
          <w:sz w:val="22"/>
          <w:szCs w:val="22"/>
          <w:lang w:val="es-ES"/>
        </w:rPr>
        <w:t xml:space="preserve">Que, </w:t>
      </w:r>
      <w:r w:rsidRPr="0025271D">
        <w:rPr>
          <w:rFonts w:ascii="Palatino Linotype" w:hAnsi="Palatino Linotype" w:cstheme="minorHAnsi"/>
          <w:bCs/>
          <w:position w:val="2"/>
          <w:sz w:val="22"/>
          <w:szCs w:val="22"/>
          <w:lang w:val="es-ES"/>
        </w:rPr>
        <w:t>Mediante oficio Nro. GADDMQ-SGSG-2021-0245-OF de 28 de enero de 2021, el Secretario General de Seguridad y Gobernabilidad remite respuesta al documento No. STHV-DMPPS-2021-0035-O de fecha 26 de enero de 2021, ratificando las conclusiones y recomendaciones descritas en el IT-ECR No. 190–AT-DMGR-2020, respecto al nivel de amenaza del predio No. 279520.</w:t>
      </w:r>
    </w:p>
    <w:p w14:paraId="508D758D" w14:textId="77777777" w:rsidR="009107EE" w:rsidRPr="0025271D" w:rsidRDefault="009107EE" w:rsidP="004C29AA">
      <w:pPr>
        <w:pStyle w:val="NormalWeb"/>
        <w:spacing w:before="0" w:beforeAutospacing="0" w:after="0" w:afterAutospacing="0"/>
        <w:ind w:left="567" w:hanging="567"/>
        <w:jc w:val="both"/>
        <w:rPr>
          <w:rFonts w:ascii="Palatino Linotype" w:hAnsi="Palatino Linotype" w:cstheme="minorHAnsi"/>
          <w:b/>
          <w:bCs/>
          <w:position w:val="2"/>
          <w:sz w:val="22"/>
          <w:szCs w:val="22"/>
          <w:lang w:val="es-ES"/>
        </w:rPr>
      </w:pPr>
    </w:p>
    <w:p w14:paraId="15C34ED1" w14:textId="7FE87796" w:rsidR="007F0CB9" w:rsidRPr="0025271D" w:rsidRDefault="009107EE" w:rsidP="00B70D83">
      <w:pPr>
        <w:pStyle w:val="NormalWeb"/>
        <w:spacing w:before="0" w:beforeAutospacing="0" w:after="0" w:afterAutospacing="0"/>
        <w:ind w:left="567" w:hanging="567"/>
        <w:jc w:val="both"/>
        <w:rPr>
          <w:rFonts w:ascii="Palatino Linotype" w:hAnsi="Palatino Linotype" w:cstheme="minorHAnsi"/>
          <w:bCs/>
          <w:position w:val="2"/>
          <w:sz w:val="22"/>
          <w:szCs w:val="22"/>
          <w:lang w:val="es-ES"/>
        </w:rPr>
      </w:pPr>
      <w:r w:rsidRPr="0025271D">
        <w:rPr>
          <w:rFonts w:ascii="Palatino Linotype" w:hAnsi="Palatino Linotype" w:cstheme="minorHAnsi"/>
          <w:b/>
          <w:bCs/>
          <w:position w:val="2"/>
          <w:sz w:val="22"/>
          <w:szCs w:val="22"/>
          <w:lang w:val="es-ES"/>
        </w:rPr>
        <w:t xml:space="preserve">Que, </w:t>
      </w:r>
      <w:r w:rsidRPr="0025271D">
        <w:rPr>
          <w:rFonts w:ascii="Palatino Linotype" w:hAnsi="Palatino Linotype" w:cstheme="minorHAnsi"/>
          <w:bCs/>
          <w:position w:val="2"/>
          <w:sz w:val="22"/>
          <w:szCs w:val="22"/>
          <w:lang w:val="es-ES"/>
        </w:rPr>
        <w:t>con documento de referencia Nro. STHV- 2021-0284</w:t>
      </w:r>
      <w:r w:rsidR="00B70D83" w:rsidRPr="0025271D">
        <w:rPr>
          <w:rFonts w:ascii="Palatino Linotype" w:hAnsi="Palatino Linotype" w:cstheme="minorHAnsi"/>
          <w:bCs/>
          <w:position w:val="2"/>
          <w:sz w:val="22"/>
          <w:szCs w:val="22"/>
          <w:lang w:val="es-ES"/>
        </w:rPr>
        <w:t>-E</w:t>
      </w:r>
      <w:r w:rsidRPr="0025271D">
        <w:rPr>
          <w:rFonts w:ascii="Palatino Linotype" w:hAnsi="Palatino Linotype" w:cstheme="minorHAnsi"/>
          <w:bCs/>
          <w:position w:val="2"/>
          <w:sz w:val="22"/>
          <w:szCs w:val="22"/>
          <w:lang w:val="es-ES"/>
        </w:rPr>
        <w:t xml:space="preserve"> de 29 de enero de 2021 y en respuesta al oficio Nro. STHV-DMPPS-2021-0036-O de 26 de enero de 2021, el promotor del PUA ingresa un documento que contiene el monto de inversión que se realizará por conceptos de aportes urbanísticos. </w:t>
      </w:r>
    </w:p>
    <w:p w14:paraId="295BBFBD" w14:textId="77777777" w:rsidR="00B70D83" w:rsidRPr="00B70D83" w:rsidRDefault="00B70D83" w:rsidP="00B70D83">
      <w:pPr>
        <w:pStyle w:val="NormalWeb"/>
        <w:spacing w:before="0" w:beforeAutospacing="0" w:after="0" w:afterAutospacing="0"/>
        <w:ind w:left="567" w:hanging="567"/>
        <w:jc w:val="both"/>
        <w:rPr>
          <w:rFonts w:ascii="Palatino Linotype" w:hAnsi="Palatino Linotype" w:cstheme="minorHAnsi"/>
          <w:bCs/>
          <w:position w:val="2"/>
          <w:sz w:val="22"/>
          <w:szCs w:val="22"/>
          <w:highlight w:val="yellow"/>
          <w:lang w:val="es-ES"/>
        </w:rPr>
      </w:pPr>
    </w:p>
    <w:p w14:paraId="733D47E8" w14:textId="05785074" w:rsidR="003C27AB" w:rsidRDefault="00B3518B" w:rsidP="003C27AB">
      <w:pPr>
        <w:pStyle w:val="NormalWeb"/>
        <w:spacing w:before="0" w:beforeAutospacing="0" w:after="0" w:afterAutospacing="0"/>
        <w:ind w:left="567" w:hanging="567"/>
        <w:jc w:val="both"/>
        <w:rPr>
          <w:rFonts w:ascii="Palatino Linotype" w:hAnsi="Palatino Linotype" w:cstheme="minorHAnsi"/>
          <w:sz w:val="22"/>
          <w:szCs w:val="22"/>
          <w:lang w:val="es-ES"/>
        </w:rPr>
      </w:pPr>
      <w:r w:rsidRPr="00F7554A">
        <w:rPr>
          <w:rFonts w:ascii="Palatino Linotype" w:hAnsi="Palatino Linotype" w:cstheme="minorHAnsi"/>
          <w:b/>
          <w:bCs/>
          <w:position w:val="2"/>
          <w:sz w:val="22"/>
          <w:szCs w:val="22"/>
          <w:lang w:val="es-ES"/>
        </w:rPr>
        <w:t xml:space="preserve">Que, </w:t>
      </w:r>
      <w:r w:rsidRPr="00F7554A">
        <w:rPr>
          <w:rFonts w:ascii="Palatino Linotype" w:hAnsi="Palatino Linotype" w:cstheme="minorHAnsi"/>
          <w:sz w:val="22"/>
          <w:szCs w:val="22"/>
          <w:lang w:val="es-ES"/>
        </w:rPr>
        <w:t>con oficio</w:t>
      </w:r>
      <w:r w:rsidR="00A90B71" w:rsidRPr="00F7554A">
        <w:rPr>
          <w:rFonts w:ascii="Palatino Linotype" w:hAnsi="Palatino Linotype" w:cstheme="minorHAnsi"/>
          <w:sz w:val="22"/>
          <w:szCs w:val="22"/>
          <w:lang w:val="es-ES"/>
        </w:rPr>
        <w:t xml:space="preserve"> </w:t>
      </w:r>
      <w:r w:rsidR="00A06A2F" w:rsidRPr="00A06A2F">
        <w:rPr>
          <w:rFonts w:ascii="Palatino Linotype" w:hAnsi="Palatino Linotype" w:cstheme="minorHAnsi"/>
          <w:sz w:val="22"/>
          <w:szCs w:val="22"/>
          <w:lang w:val="es-ES"/>
        </w:rPr>
        <w:t>Nro. GADDMQ-PM-2021-0395-O</w:t>
      </w:r>
      <w:r w:rsidR="00A06A2F">
        <w:rPr>
          <w:rFonts w:ascii="Palatino Linotype" w:hAnsi="Palatino Linotype" w:cstheme="minorHAnsi"/>
          <w:sz w:val="22"/>
          <w:szCs w:val="22"/>
          <w:lang w:val="es-ES"/>
        </w:rPr>
        <w:t xml:space="preserve"> de 29 de enero de 2021</w:t>
      </w:r>
      <w:r w:rsidRPr="00F7554A">
        <w:rPr>
          <w:rFonts w:ascii="Palatino Linotype" w:hAnsi="Palatino Linotype" w:cstheme="minorHAnsi"/>
          <w:sz w:val="22"/>
          <w:szCs w:val="22"/>
          <w:lang w:val="es-ES"/>
        </w:rPr>
        <w:t xml:space="preserve">, la Procuraduría Metropolitana emite criterio </w:t>
      </w:r>
      <w:r w:rsidR="00A06A2F">
        <w:rPr>
          <w:rFonts w:ascii="Palatino Linotype" w:hAnsi="Palatino Linotype" w:cstheme="minorHAnsi"/>
          <w:sz w:val="22"/>
          <w:szCs w:val="22"/>
          <w:lang w:val="es-ES"/>
        </w:rPr>
        <w:t xml:space="preserve">legal </w:t>
      </w:r>
      <w:r w:rsidRPr="00F7554A">
        <w:rPr>
          <w:rFonts w:ascii="Palatino Linotype" w:hAnsi="Palatino Linotype" w:cstheme="minorHAnsi"/>
          <w:sz w:val="22"/>
          <w:szCs w:val="22"/>
          <w:lang w:val="es-ES"/>
        </w:rPr>
        <w:t xml:space="preserve">favorable, </w:t>
      </w:r>
      <w:r w:rsidR="00A06A2F" w:rsidRPr="00A06A2F">
        <w:rPr>
          <w:rFonts w:ascii="Palatino Linotype" w:hAnsi="Palatino Linotype" w:cstheme="minorHAnsi"/>
          <w:sz w:val="22"/>
          <w:szCs w:val="22"/>
          <w:lang w:val="es-ES"/>
        </w:rPr>
        <w:t>de las asignaciones de zonificación contenidas y sustentadas en el informe técnico de la Secretaría de Territorio, Hábitat y Vivienda para el predio No. 279520 y conforme al  proyecto urbano arquitectónico INMOBILIARIA TOMORAGUADUA propuesto por el solicitante</w:t>
      </w:r>
      <w:r w:rsidR="00A06A2F">
        <w:rPr>
          <w:rFonts w:ascii="Palatino Linotype" w:hAnsi="Palatino Linotype" w:cstheme="minorHAnsi"/>
          <w:sz w:val="22"/>
          <w:szCs w:val="22"/>
          <w:lang w:val="es-ES"/>
        </w:rPr>
        <w:t>.</w:t>
      </w:r>
    </w:p>
    <w:p w14:paraId="7BED223E" w14:textId="5BAFF1E8" w:rsidR="00C668D4" w:rsidRPr="00F7554A" w:rsidRDefault="00C668D4" w:rsidP="00F7554A">
      <w:pPr>
        <w:pStyle w:val="NormalWeb"/>
        <w:shd w:val="clear" w:color="auto" w:fill="FFFFFF"/>
        <w:ind w:left="426" w:hanging="426"/>
        <w:rPr>
          <w:rFonts w:ascii="Palatino Linotype" w:hAnsi="Palatino Linotype"/>
          <w:sz w:val="22"/>
          <w:szCs w:val="22"/>
          <w:lang w:val="es-EC"/>
        </w:rPr>
      </w:pPr>
      <w:r w:rsidRPr="00F7554A">
        <w:rPr>
          <w:rFonts w:ascii="Palatino Linotype" w:hAnsi="Palatino Linotype" w:cs="Arial"/>
          <w:b/>
          <w:bCs/>
          <w:sz w:val="22"/>
          <w:szCs w:val="22"/>
          <w:lang w:val="es-ES_tradnl"/>
        </w:rPr>
        <w:t>Que</w:t>
      </w:r>
      <w:r w:rsidRPr="00F7554A">
        <w:rPr>
          <w:rFonts w:ascii="Palatino Linotype" w:hAnsi="Palatino Linotype" w:cs="Arial"/>
          <w:sz w:val="22"/>
          <w:szCs w:val="22"/>
          <w:lang w:val="es-ES_tradnl"/>
        </w:rPr>
        <w:t xml:space="preserve">, la Comisión de Uso de Suelo, en la sesión ordinaria Nro. </w:t>
      </w:r>
      <w:r w:rsidRPr="00EC5080">
        <w:rPr>
          <w:rFonts w:ascii="Palatino Linotype" w:hAnsi="Palatino Linotype" w:cs="Arial"/>
          <w:sz w:val="22"/>
          <w:szCs w:val="22"/>
          <w:lang w:val="es-ES_tradnl"/>
        </w:rPr>
        <w:t>….</w:t>
      </w:r>
      <w:r w:rsidRPr="00F7554A">
        <w:rPr>
          <w:rFonts w:ascii="Palatino Linotype" w:hAnsi="Palatino Linotype" w:cs="Arial"/>
          <w:sz w:val="22"/>
          <w:szCs w:val="22"/>
          <w:lang w:val="es-ES_tradnl"/>
        </w:rPr>
        <w:t xml:space="preserve">, resolvió </w:t>
      </w:r>
      <w:r w:rsidR="00A06A2F">
        <w:rPr>
          <w:rFonts w:ascii="Palatino Linotype" w:hAnsi="Palatino Linotype" w:cs="Arial"/>
          <w:sz w:val="22"/>
          <w:szCs w:val="22"/>
          <w:lang w:val="es-ES_tradnl"/>
        </w:rPr>
        <w:t>emit</w:t>
      </w:r>
      <w:r w:rsidRPr="00F7554A">
        <w:rPr>
          <w:rFonts w:ascii="Palatino Linotype" w:hAnsi="Palatino Linotype" w:cs="Arial"/>
          <w:sz w:val="22"/>
          <w:szCs w:val="22"/>
          <w:lang w:val="es-ES_tradnl"/>
        </w:rPr>
        <w:t>ir dictamen favorable para el conocimien</w:t>
      </w:r>
      <w:r w:rsidR="00C3658F" w:rsidRPr="00EC5080">
        <w:rPr>
          <w:rFonts w:ascii="Palatino Linotype" w:hAnsi="Palatino Linotype" w:cs="Arial"/>
          <w:sz w:val="22"/>
          <w:szCs w:val="22"/>
          <w:lang w:val="es-ES_tradnl"/>
        </w:rPr>
        <w:t>t</w:t>
      </w:r>
      <w:r w:rsidRPr="00F7554A">
        <w:rPr>
          <w:rFonts w:ascii="Palatino Linotype" w:hAnsi="Palatino Linotype" w:cs="Arial"/>
          <w:sz w:val="22"/>
          <w:szCs w:val="22"/>
          <w:lang w:val="es-ES_tradnl"/>
        </w:rPr>
        <w:t>o y aprobación de la presente resolución en el Concejo Metropolitano</w:t>
      </w:r>
    </w:p>
    <w:p w14:paraId="7A959DCC"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36CFFF2C" w14:textId="20165605" w:rsidR="00B3518B" w:rsidRPr="00F7554A" w:rsidRDefault="00B3518B" w:rsidP="007F0CB9">
      <w:pPr>
        <w:pStyle w:val="NormalWeb"/>
        <w:spacing w:before="0" w:beforeAutospacing="0" w:after="0" w:afterAutospacing="0"/>
        <w:jc w:val="both"/>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 xml:space="preserve">En ejercicio de las atribuciones que le confiere los numerales 1 y 2 del artículo 264 de la Constitución de la República; artículo 8, numerales 1 y 6 de la Ley Orgánica de Régimen del Distrito Metropolitano de Quito; y el artículo 87, literal a); del Código Orgánico de Organización Territorial, Autonomía y Descentralización; y, el numeral 4 del artículo 91, de la Ley Orgánica de Ordenamiento Territorial, Uso y Gestión del Suelo, </w:t>
      </w:r>
    </w:p>
    <w:p w14:paraId="456252BC" w14:textId="77777777" w:rsidR="007F0CB9" w:rsidRDefault="007F0CB9" w:rsidP="007F0CB9">
      <w:pPr>
        <w:pStyle w:val="NormalWeb"/>
        <w:spacing w:before="0" w:beforeAutospacing="0" w:after="0" w:afterAutospacing="0"/>
        <w:jc w:val="center"/>
        <w:rPr>
          <w:rFonts w:ascii="Palatino Linotype" w:hAnsi="Palatino Linotype" w:cstheme="minorHAnsi"/>
          <w:b/>
          <w:bCs/>
          <w:sz w:val="22"/>
          <w:szCs w:val="22"/>
          <w:lang w:val="es-ES"/>
        </w:rPr>
      </w:pPr>
    </w:p>
    <w:p w14:paraId="42532E3A" w14:textId="77777777" w:rsidR="003C27AB" w:rsidRPr="00F7554A" w:rsidRDefault="003C27AB" w:rsidP="007F0CB9">
      <w:pPr>
        <w:pStyle w:val="NormalWeb"/>
        <w:spacing w:before="0" w:beforeAutospacing="0" w:after="0" w:afterAutospacing="0"/>
        <w:jc w:val="center"/>
        <w:rPr>
          <w:rFonts w:ascii="Palatino Linotype" w:hAnsi="Palatino Linotype" w:cstheme="minorHAnsi"/>
          <w:b/>
          <w:bCs/>
          <w:sz w:val="22"/>
          <w:szCs w:val="22"/>
          <w:lang w:val="es-ES"/>
        </w:rPr>
      </w:pPr>
    </w:p>
    <w:p w14:paraId="647D1E43" w14:textId="58D38356" w:rsidR="00B3518B" w:rsidRPr="00F7554A" w:rsidRDefault="00B3518B" w:rsidP="007F0CB9">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EXPIDE LA SIGUIENTE:</w:t>
      </w:r>
    </w:p>
    <w:p w14:paraId="4BD3A054" w14:textId="77777777" w:rsidR="007F0CB9" w:rsidRPr="00F7554A" w:rsidRDefault="007F0CB9" w:rsidP="007F0CB9">
      <w:pPr>
        <w:pStyle w:val="NormalWeb"/>
        <w:spacing w:before="0" w:beforeAutospacing="0" w:after="0" w:afterAutospacing="0"/>
        <w:jc w:val="center"/>
        <w:rPr>
          <w:rFonts w:ascii="Palatino Linotype" w:hAnsi="Palatino Linotype" w:cstheme="minorHAnsi"/>
          <w:b/>
          <w:bCs/>
          <w:sz w:val="22"/>
          <w:szCs w:val="22"/>
          <w:lang w:val="es-ES"/>
        </w:rPr>
      </w:pPr>
    </w:p>
    <w:p w14:paraId="2EFEE408" w14:textId="2FB63909" w:rsidR="00B3518B" w:rsidRPr="00F7554A" w:rsidRDefault="00B3518B" w:rsidP="007F0CB9">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b/>
          <w:bCs/>
          <w:sz w:val="22"/>
          <w:szCs w:val="22"/>
          <w:lang w:val="es-ES"/>
        </w:rPr>
        <w:t>RESOLUCIÓN DE ASIGNACIÓN DE DATOS DE ZONIFICACIÓN AL LOTE CON PREDIO N</w:t>
      </w:r>
      <w:r w:rsidR="00A90B71" w:rsidRPr="00F7554A">
        <w:rPr>
          <w:rFonts w:ascii="Palatino Linotype" w:hAnsi="Palatino Linotype" w:cstheme="minorHAnsi"/>
          <w:b/>
          <w:bCs/>
          <w:sz w:val="22"/>
          <w:szCs w:val="22"/>
          <w:lang w:val="es-ES"/>
        </w:rPr>
        <w:t>O</w:t>
      </w:r>
      <w:r w:rsidRPr="00F7554A">
        <w:rPr>
          <w:rFonts w:ascii="Palatino Linotype" w:hAnsi="Palatino Linotype" w:cstheme="minorHAnsi"/>
          <w:b/>
          <w:bCs/>
          <w:sz w:val="22"/>
          <w:szCs w:val="22"/>
          <w:lang w:val="es-ES"/>
        </w:rPr>
        <w:t xml:space="preserve">. </w:t>
      </w:r>
      <w:r w:rsidR="00A90B71" w:rsidRPr="00F7554A">
        <w:rPr>
          <w:rFonts w:ascii="Palatino Linotype" w:hAnsi="Palatino Linotype" w:cstheme="minorHAnsi"/>
          <w:b/>
          <w:bCs/>
          <w:sz w:val="22"/>
          <w:szCs w:val="22"/>
          <w:lang w:val="es-ES"/>
        </w:rPr>
        <w:t>279520</w:t>
      </w:r>
    </w:p>
    <w:p w14:paraId="63404233" w14:textId="77777777" w:rsidR="007F0CB9" w:rsidRPr="00F7554A" w:rsidRDefault="007F0CB9" w:rsidP="007F0CB9">
      <w:pPr>
        <w:pStyle w:val="NormalWeb"/>
        <w:spacing w:before="0" w:beforeAutospacing="0" w:after="0" w:afterAutospacing="0"/>
        <w:rPr>
          <w:rFonts w:ascii="Palatino Linotype" w:hAnsi="Palatino Linotype" w:cstheme="minorHAnsi"/>
          <w:b/>
          <w:bCs/>
          <w:position w:val="2"/>
          <w:sz w:val="22"/>
          <w:szCs w:val="22"/>
          <w:lang w:val="es-ES"/>
        </w:rPr>
      </w:pPr>
    </w:p>
    <w:p w14:paraId="6D7F9966" w14:textId="0F0397EE" w:rsidR="00C3658F" w:rsidRPr="00F7554A" w:rsidRDefault="000817F0" w:rsidP="00D52D2D">
      <w:pPr>
        <w:jc w:val="both"/>
        <w:rPr>
          <w:rFonts w:ascii="Palatino Linotype" w:eastAsia="Times New Roman" w:hAnsi="Palatino Linotype" w:cs="Times New Roman"/>
          <w:sz w:val="22"/>
          <w:szCs w:val="22"/>
          <w:lang w:val="es-EC" w:eastAsia="es-ES_tradnl"/>
        </w:rPr>
      </w:pPr>
      <w:r w:rsidRPr="008B322B">
        <w:rPr>
          <w:rFonts w:ascii="Palatino Linotype" w:hAnsi="Palatino Linotype" w:cstheme="minorHAnsi"/>
          <w:b/>
          <w:bCs/>
          <w:position w:val="2"/>
          <w:sz w:val="22"/>
          <w:szCs w:val="22"/>
          <w:lang w:val="es-ES"/>
        </w:rPr>
        <w:t>Artículo único</w:t>
      </w:r>
      <w:r w:rsidR="00B3518B" w:rsidRPr="008B322B">
        <w:rPr>
          <w:rFonts w:ascii="Palatino Linotype" w:hAnsi="Palatino Linotype" w:cstheme="minorHAnsi"/>
          <w:b/>
          <w:bCs/>
          <w:position w:val="2"/>
          <w:sz w:val="22"/>
          <w:szCs w:val="22"/>
          <w:lang w:val="es-ES"/>
        </w:rPr>
        <w:t xml:space="preserve">.- </w:t>
      </w:r>
      <w:r w:rsidR="009E14A1" w:rsidRPr="008B322B">
        <w:rPr>
          <w:rFonts w:ascii="Palatino Linotype" w:hAnsi="Palatino Linotype" w:cstheme="minorHAnsi"/>
          <w:sz w:val="22"/>
          <w:szCs w:val="22"/>
          <w:lang w:val="es-ES"/>
        </w:rPr>
        <w:t>Aprobar</w:t>
      </w:r>
      <w:r w:rsidR="00B3518B" w:rsidRPr="008B322B">
        <w:rPr>
          <w:rFonts w:ascii="Palatino Linotype" w:hAnsi="Palatino Linotype" w:cstheme="minorHAnsi"/>
          <w:sz w:val="22"/>
          <w:szCs w:val="22"/>
          <w:lang w:val="es-ES"/>
        </w:rPr>
        <w:t xml:space="preserve"> las asignaciones de uso de suelo</w:t>
      </w:r>
      <w:r w:rsidR="00844625" w:rsidRPr="008B322B">
        <w:rPr>
          <w:rFonts w:ascii="Palatino Linotype" w:hAnsi="Palatino Linotype" w:cstheme="minorHAnsi"/>
          <w:sz w:val="22"/>
          <w:szCs w:val="22"/>
          <w:lang w:val="es-ES"/>
        </w:rPr>
        <w:t>,</w:t>
      </w:r>
      <w:r w:rsidR="00B3518B" w:rsidRPr="008B322B">
        <w:rPr>
          <w:rFonts w:ascii="Palatino Linotype" w:hAnsi="Palatino Linotype" w:cstheme="minorHAnsi"/>
          <w:sz w:val="22"/>
          <w:szCs w:val="22"/>
          <w:lang w:val="es-ES"/>
        </w:rPr>
        <w:t xml:space="preserve"> forma de ocupación y edificabilidad al predio N</w:t>
      </w:r>
      <w:r w:rsidR="00C3658F" w:rsidRPr="008B322B">
        <w:rPr>
          <w:rFonts w:ascii="Palatino Linotype" w:hAnsi="Palatino Linotype" w:cstheme="minorHAnsi"/>
          <w:sz w:val="22"/>
          <w:szCs w:val="22"/>
          <w:lang w:val="es-ES"/>
        </w:rPr>
        <w:t>r</w:t>
      </w:r>
      <w:r w:rsidR="00B3518B" w:rsidRPr="008B322B">
        <w:rPr>
          <w:rFonts w:ascii="Palatino Linotype" w:hAnsi="Palatino Linotype" w:cstheme="minorHAnsi"/>
          <w:sz w:val="22"/>
          <w:szCs w:val="22"/>
          <w:lang w:val="es-ES"/>
        </w:rPr>
        <w:t xml:space="preserve">o. </w:t>
      </w:r>
      <w:r w:rsidR="00A90B71" w:rsidRPr="008B322B">
        <w:rPr>
          <w:rFonts w:ascii="Palatino Linotype" w:hAnsi="Palatino Linotype" w:cstheme="minorHAnsi"/>
          <w:sz w:val="22"/>
          <w:szCs w:val="22"/>
          <w:lang w:val="es-ES"/>
        </w:rPr>
        <w:t>279520</w:t>
      </w:r>
      <w:r w:rsidR="00B3518B" w:rsidRPr="008B322B">
        <w:rPr>
          <w:rFonts w:ascii="Palatino Linotype" w:hAnsi="Palatino Linotype" w:cstheme="minorHAnsi"/>
          <w:sz w:val="22"/>
          <w:szCs w:val="22"/>
          <w:lang w:val="es-ES"/>
        </w:rPr>
        <w:t xml:space="preserve">, de acuerdo a lo establecido en el </w:t>
      </w:r>
      <w:r w:rsidR="00A90B71" w:rsidRPr="008B322B">
        <w:rPr>
          <w:rFonts w:ascii="Palatino Linotype" w:hAnsi="Palatino Linotype" w:cstheme="minorHAnsi"/>
          <w:sz w:val="22"/>
          <w:szCs w:val="22"/>
          <w:lang w:val="es-ES"/>
        </w:rPr>
        <w:t>C</w:t>
      </w:r>
      <w:r w:rsidR="00B3518B" w:rsidRPr="008B322B">
        <w:rPr>
          <w:rFonts w:ascii="Palatino Linotype" w:hAnsi="Palatino Linotype" w:cstheme="minorHAnsi"/>
          <w:sz w:val="22"/>
          <w:szCs w:val="22"/>
          <w:lang w:val="es-ES"/>
        </w:rPr>
        <w:t xml:space="preserve">uadro No. 1 y en </w:t>
      </w:r>
      <w:r w:rsidR="009F0E6D" w:rsidRPr="008B322B">
        <w:rPr>
          <w:rFonts w:ascii="Palatino Linotype" w:hAnsi="Palatino Linotype" w:cstheme="minorHAnsi"/>
          <w:sz w:val="22"/>
          <w:szCs w:val="22"/>
          <w:lang w:val="es-ES"/>
        </w:rPr>
        <w:t>el</w:t>
      </w:r>
      <w:r w:rsidR="00B3518B" w:rsidRPr="008B322B">
        <w:rPr>
          <w:rFonts w:ascii="Palatino Linotype" w:hAnsi="Palatino Linotype" w:cstheme="minorHAnsi"/>
          <w:sz w:val="22"/>
          <w:szCs w:val="22"/>
          <w:lang w:val="es-ES"/>
        </w:rPr>
        <w:t xml:space="preserve"> mapa de</w:t>
      </w:r>
      <w:r w:rsidR="009F0E6D" w:rsidRPr="008B322B">
        <w:rPr>
          <w:rFonts w:ascii="Palatino Linotype" w:hAnsi="Palatino Linotype" w:cstheme="minorHAnsi"/>
          <w:sz w:val="22"/>
          <w:szCs w:val="22"/>
          <w:lang w:val="es-ES"/>
        </w:rPr>
        <w:t>l</w:t>
      </w:r>
      <w:r w:rsidR="00B3518B" w:rsidRPr="008B322B">
        <w:rPr>
          <w:rFonts w:ascii="Palatino Linotype" w:hAnsi="Palatino Linotype" w:cstheme="minorHAnsi"/>
          <w:sz w:val="22"/>
          <w:szCs w:val="22"/>
          <w:lang w:val="es-ES"/>
        </w:rPr>
        <w:t xml:space="preserve"> anexo </w:t>
      </w:r>
      <w:r w:rsidR="009F0E6D" w:rsidRPr="008B322B">
        <w:rPr>
          <w:rFonts w:ascii="Palatino Linotype" w:hAnsi="Palatino Linotype" w:cstheme="minorHAnsi"/>
          <w:sz w:val="22"/>
          <w:szCs w:val="22"/>
          <w:lang w:val="es-ES"/>
        </w:rPr>
        <w:t>único</w:t>
      </w:r>
      <w:r w:rsidR="00B3518B" w:rsidRPr="008B322B">
        <w:rPr>
          <w:rFonts w:ascii="Palatino Linotype" w:hAnsi="Palatino Linotype" w:cstheme="minorHAnsi"/>
          <w:sz w:val="22"/>
          <w:szCs w:val="22"/>
          <w:lang w:val="es-ES"/>
        </w:rPr>
        <w:t xml:space="preserve"> de la presente </w:t>
      </w:r>
      <w:r w:rsidR="007F0CB9" w:rsidRPr="008B322B">
        <w:rPr>
          <w:rFonts w:ascii="Palatino Linotype" w:hAnsi="Palatino Linotype" w:cstheme="minorHAnsi"/>
          <w:sz w:val="22"/>
          <w:szCs w:val="22"/>
          <w:lang w:val="es-ES"/>
        </w:rPr>
        <w:t>R</w:t>
      </w:r>
      <w:r w:rsidR="00B3518B" w:rsidRPr="008B322B">
        <w:rPr>
          <w:rFonts w:ascii="Palatino Linotype" w:hAnsi="Palatino Linotype" w:cstheme="minorHAnsi"/>
          <w:sz w:val="22"/>
          <w:szCs w:val="22"/>
          <w:lang w:val="es-ES"/>
        </w:rPr>
        <w:t>esolución</w:t>
      </w:r>
      <w:r w:rsidR="00C3658F" w:rsidRPr="008B322B">
        <w:rPr>
          <w:rFonts w:ascii="Palatino Linotype" w:hAnsi="Palatino Linotype" w:cstheme="minorHAnsi"/>
          <w:sz w:val="22"/>
          <w:szCs w:val="22"/>
          <w:lang w:val="es-ES"/>
        </w:rPr>
        <w:t xml:space="preserve">, de conformidad con lo establecido en el literal g) del numeral 1) del artículo </w:t>
      </w:r>
      <w:r w:rsidR="00C3658F" w:rsidRPr="008B322B">
        <w:rPr>
          <w:rFonts w:ascii="Palatino Linotype" w:eastAsia="Times New Roman" w:hAnsi="Palatino Linotype" w:cs="Arial"/>
          <w:color w:val="000000"/>
          <w:sz w:val="22"/>
          <w:szCs w:val="22"/>
          <w:lang w:val="es-EC" w:eastAsia="es-ES_tradnl"/>
        </w:rPr>
        <w:t>Art. IV.1.66 del Código Municipal.</w:t>
      </w:r>
    </w:p>
    <w:p w14:paraId="6BC60EAB" w14:textId="7252DCA4" w:rsidR="00B3518B" w:rsidRPr="00F7554A" w:rsidRDefault="00B3518B" w:rsidP="00A90B71">
      <w:pPr>
        <w:pStyle w:val="NormalWeb"/>
        <w:spacing w:before="0" w:beforeAutospacing="0" w:after="0" w:afterAutospacing="0"/>
        <w:jc w:val="both"/>
        <w:rPr>
          <w:rFonts w:ascii="Palatino Linotype" w:hAnsi="Palatino Linotype" w:cstheme="minorHAnsi"/>
          <w:sz w:val="22"/>
          <w:szCs w:val="22"/>
          <w:lang w:val="es-ES"/>
        </w:rPr>
      </w:pPr>
    </w:p>
    <w:p w14:paraId="17983546" w14:textId="77777777" w:rsidR="007F0CB9" w:rsidRDefault="007F0CB9" w:rsidP="00A90B71">
      <w:pPr>
        <w:pStyle w:val="NormalWeb"/>
        <w:spacing w:before="0" w:beforeAutospacing="0" w:after="0" w:afterAutospacing="0"/>
        <w:jc w:val="both"/>
        <w:rPr>
          <w:rFonts w:ascii="Palatino Linotype" w:hAnsi="Palatino Linotype" w:cstheme="minorHAnsi"/>
          <w:sz w:val="22"/>
          <w:szCs w:val="22"/>
          <w:lang w:val="es-ES"/>
        </w:rPr>
      </w:pPr>
    </w:p>
    <w:p w14:paraId="0C214662" w14:textId="77777777" w:rsidR="003C27AB" w:rsidRDefault="003C27AB" w:rsidP="00A90B71">
      <w:pPr>
        <w:pStyle w:val="NormalWeb"/>
        <w:spacing w:before="0" w:beforeAutospacing="0" w:after="0" w:afterAutospacing="0"/>
        <w:jc w:val="both"/>
        <w:rPr>
          <w:rFonts w:ascii="Palatino Linotype" w:hAnsi="Palatino Linotype" w:cstheme="minorHAnsi"/>
          <w:sz w:val="22"/>
          <w:szCs w:val="22"/>
          <w:lang w:val="es-ES"/>
        </w:rPr>
      </w:pPr>
    </w:p>
    <w:p w14:paraId="7395D2DF" w14:textId="77777777" w:rsidR="003C27AB" w:rsidRPr="00F7554A" w:rsidRDefault="003C27AB" w:rsidP="00A90B71">
      <w:pPr>
        <w:pStyle w:val="NormalWeb"/>
        <w:spacing w:before="0" w:beforeAutospacing="0" w:after="0" w:afterAutospacing="0"/>
        <w:jc w:val="both"/>
        <w:rPr>
          <w:rFonts w:ascii="Palatino Linotype" w:hAnsi="Palatino Linotype" w:cstheme="minorHAnsi"/>
          <w:sz w:val="22"/>
          <w:szCs w:val="22"/>
          <w:lang w:val="es-ES"/>
        </w:rPr>
      </w:pPr>
    </w:p>
    <w:p w14:paraId="200AEEE9" w14:textId="1D40FEAF" w:rsidR="00B3518B" w:rsidRPr="00F7554A" w:rsidRDefault="00B3518B" w:rsidP="00A90B71">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 xml:space="preserve">Cuadro No. 1.- Clasificación, </w:t>
      </w:r>
      <w:r w:rsidR="00A90B71" w:rsidRPr="00F7554A">
        <w:rPr>
          <w:rFonts w:ascii="Palatino Linotype" w:hAnsi="Palatino Linotype" w:cstheme="minorHAnsi"/>
          <w:b/>
          <w:bCs/>
          <w:sz w:val="22"/>
          <w:szCs w:val="22"/>
          <w:lang w:val="es-ES"/>
        </w:rPr>
        <w:t>U</w:t>
      </w:r>
      <w:r w:rsidRPr="00F7554A">
        <w:rPr>
          <w:rFonts w:ascii="Palatino Linotype" w:hAnsi="Palatino Linotype" w:cstheme="minorHAnsi"/>
          <w:b/>
          <w:bCs/>
          <w:sz w:val="22"/>
          <w:szCs w:val="22"/>
          <w:lang w:val="es-ES"/>
        </w:rPr>
        <w:t xml:space="preserve">sos de </w:t>
      </w:r>
      <w:r w:rsidR="00A90B71" w:rsidRPr="00F7554A">
        <w:rPr>
          <w:rFonts w:ascii="Palatino Linotype" w:hAnsi="Palatino Linotype" w:cstheme="minorHAnsi"/>
          <w:b/>
          <w:bCs/>
          <w:sz w:val="22"/>
          <w:szCs w:val="22"/>
          <w:lang w:val="es-ES"/>
        </w:rPr>
        <w:t>S</w:t>
      </w:r>
      <w:r w:rsidRPr="00F7554A">
        <w:rPr>
          <w:rFonts w:ascii="Palatino Linotype" w:hAnsi="Palatino Linotype" w:cstheme="minorHAnsi"/>
          <w:b/>
          <w:bCs/>
          <w:sz w:val="22"/>
          <w:szCs w:val="22"/>
          <w:lang w:val="es-ES"/>
        </w:rPr>
        <w:t xml:space="preserve">uelo y </w:t>
      </w:r>
      <w:r w:rsidR="00A90B71" w:rsidRPr="00F7554A">
        <w:rPr>
          <w:rFonts w:ascii="Palatino Linotype" w:hAnsi="Palatino Linotype" w:cstheme="minorHAnsi"/>
          <w:b/>
          <w:bCs/>
          <w:sz w:val="22"/>
          <w:szCs w:val="22"/>
          <w:lang w:val="es-ES"/>
        </w:rPr>
        <w:t>F</w:t>
      </w:r>
      <w:r w:rsidRPr="00F7554A">
        <w:rPr>
          <w:rFonts w:ascii="Palatino Linotype" w:hAnsi="Palatino Linotype" w:cstheme="minorHAnsi"/>
          <w:b/>
          <w:bCs/>
          <w:sz w:val="22"/>
          <w:szCs w:val="22"/>
          <w:lang w:val="es-ES"/>
        </w:rPr>
        <w:t xml:space="preserve">orma de </w:t>
      </w:r>
      <w:r w:rsidR="00A90B71" w:rsidRPr="00F7554A">
        <w:rPr>
          <w:rFonts w:ascii="Palatino Linotype" w:hAnsi="Palatino Linotype" w:cstheme="minorHAnsi"/>
          <w:b/>
          <w:bCs/>
          <w:sz w:val="22"/>
          <w:szCs w:val="22"/>
          <w:lang w:val="es-ES"/>
        </w:rPr>
        <w:t>O</w:t>
      </w:r>
      <w:r w:rsidRPr="00F7554A">
        <w:rPr>
          <w:rFonts w:ascii="Palatino Linotype" w:hAnsi="Palatino Linotype" w:cstheme="minorHAnsi"/>
          <w:b/>
          <w:bCs/>
          <w:sz w:val="22"/>
          <w:szCs w:val="22"/>
          <w:lang w:val="es-ES"/>
        </w:rPr>
        <w:t>cupación</w:t>
      </w:r>
    </w:p>
    <w:p w14:paraId="61774E2C" w14:textId="38FEDC94" w:rsidR="00A90B71" w:rsidRPr="00F7554A" w:rsidRDefault="00A90B71" w:rsidP="00A90B71">
      <w:pPr>
        <w:pStyle w:val="NormalWeb"/>
        <w:spacing w:before="0" w:beforeAutospacing="0" w:after="0" w:afterAutospacing="0"/>
        <w:jc w:val="center"/>
        <w:rPr>
          <w:rFonts w:ascii="Palatino Linotype" w:hAnsi="Palatino Linotype" w:cstheme="minorHAnsi"/>
          <w:b/>
          <w:bCs/>
          <w:sz w:val="22"/>
          <w:szCs w:val="22"/>
          <w:lang w:val="es-ES"/>
        </w:rPr>
      </w:pPr>
    </w:p>
    <w:tbl>
      <w:tblPr>
        <w:tblStyle w:val="Tablaconcuadrcula"/>
        <w:tblW w:w="0" w:type="auto"/>
        <w:jc w:val="center"/>
        <w:tblLayout w:type="fixed"/>
        <w:tblLook w:val="04A0" w:firstRow="1" w:lastRow="0" w:firstColumn="1" w:lastColumn="0" w:noHBand="0" w:noVBand="1"/>
      </w:tblPr>
      <w:tblGrid>
        <w:gridCol w:w="988"/>
        <w:gridCol w:w="1275"/>
        <w:gridCol w:w="851"/>
        <w:gridCol w:w="567"/>
        <w:gridCol w:w="567"/>
        <w:gridCol w:w="567"/>
        <w:gridCol w:w="560"/>
        <w:gridCol w:w="826"/>
        <w:gridCol w:w="706"/>
        <w:gridCol w:w="710"/>
        <w:gridCol w:w="727"/>
        <w:gridCol w:w="727"/>
      </w:tblGrid>
      <w:tr w:rsidR="00A90B71" w:rsidRPr="00EC5080" w14:paraId="6BC14F41" w14:textId="77777777" w:rsidTr="00D52D2D">
        <w:trPr>
          <w:jc w:val="center"/>
        </w:trPr>
        <w:tc>
          <w:tcPr>
            <w:tcW w:w="988" w:type="dxa"/>
            <w:vMerge w:val="restart"/>
            <w:vAlign w:val="center"/>
          </w:tcPr>
          <w:p w14:paraId="3271F342" w14:textId="699179E1"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Zona</w:t>
            </w:r>
          </w:p>
        </w:tc>
        <w:tc>
          <w:tcPr>
            <w:tcW w:w="1275" w:type="dxa"/>
            <w:vMerge w:val="restart"/>
            <w:vAlign w:val="center"/>
          </w:tcPr>
          <w:p w14:paraId="588E021E" w14:textId="61C13B0F"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Uso de Suelo</w:t>
            </w:r>
          </w:p>
        </w:tc>
        <w:tc>
          <w:tcPr>
            <w:tcW w:w="1418" w:type="dxa"/>
            <w:gridSpan w:val="2"/>
            <w:vAlign w:val="center"/>
          </w:tcPr>
          <w:p w14:paraId="61ECBDE8" w14:textId="5238FBBB"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Altura máxima</w:t>
            </w:r>
          </w:p>
        </w:tc>
        <w:tc>
          <w:tcPr>
            <w:tcW w:w="1694" w:type="dxa"/>
            <w:gridSpan w:val="3"/>
            <w:vAlign w:val="center"/>
          </w:tcPr>
          <w:p w14:paraId="4D0C7DDC" w14:textId="3B17DB06"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Retiros</w:t>
            </w:r>
          </w:p>
        </w:tc>
        <w:tc>
          <w:tcPr>
            <w:tcW w:w="826" w:type="dxa"/>
            <w:vAlign w:val="center"/>
          </w:tcPr>
          <w:p w14:paraId="73454B18" w14:textId="05A5A915"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Distancia entre bloques</w:t>
            </w:r>
          </w:p>
        </w:tc>
        <w:tc>
          <w:tcPr>
            <w:tcW w:w="706" w:type="dxa"/>
            <w:vAlign w:val="center"/>
          </w:tcPr>
          <w:p w14:paraId="445EC052" w14:textId="4749D7A2"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COS - PB</w:t>
            </w:r>
          </w:p>
        </w:tc>
        <w:tc>
          <w:tcPr>
            <w:tcW w:w="710" w:type="dxa"/>
            <w:vAlign w:val="center"/>
          </w:tcPr>
          <w:p w14:paraId="7264B7A3" w14:textId="77777777"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COS Total</w:t>
            </w:r>
          </w:p>
          <w:p w14:paraId="0204D326" w14:textId="1D8AD6F2"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p>
        </w:tc>
        <w:tc>
          <w:tcPr>
            <w:tcW w:w="727" w:type="dxa"/>
            <w:vAlign w:val="center"/>
          </w:tcPr>
          <w:p w14:paraId="0E25059D" w14:textId="739BFD09"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Lote mínimo</w:t>
            </w:r>
          </w:p>
        </w:tc>
        <w:tc>
          <w:tcPr>
            <w:tcW w:w="727" w:type="dxa"/>
            <w:vAlign w:val="center"/>
          </w:tcPr>
          <w:p w14:paraId="3D552357" w14:textId="04417B01"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Frente mínimo</w:t>
            </w:r>
          </w:p>
        </w:tc>
      </w:tr>
      <w:tr w:rsidR="00A90B71" w:rsidRPr="00EC5080" w14:paraId="1EB6BDC9" w14:textId="77777777" w:rsidTr="00D52D2D">
        <w:trPr>
          <w:jc w:val="center"/>
        </w:trPr>
        <w:tc>
          <w:tcPr>
            <w:tcW w:w="988" w:type="dxa"/>
            <w:vMerge/>
            <w:vAlign w:val="center"/>
          </w:tcPr>
          <w:p w14:paraId="720A6A12" w14:textId="77777777"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p>
        </w:tc>
        <w:tc>
          <w:tcPr>
            <w:tcW w:w="1275" w:type="dxa"/>
            <w:vMerge/>
            <w:vAlign w:val="center"/>
          </w:tcPr>
          <w:p w14:paraId="14941F51" w14:textId="77777777"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p>
        </w:tc>
        <w:tc>
          <w:tcPr>
            <w:tcW w:w="851" w:type="dxa"/>
            <w:vAlign w:val="center"/>
          </w:tcPr>
          <w:p w14:paraId="118213C3" w14:textId="126A98E1"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Pisos</w:t>
            </w:r>
          </w:p>
        </w:tc>
        <w:tc>
          <w:tcPr>
            <w:tcW w:w="567" w:type="dxa"/>
            <w:vAlign w:val="center"/>
          </w:tcPr>
          <w:p w14:paraId="463CCF32" w14:textId="46CACD4B"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m</w:t>
            </w:r>
          </w:p>
        </w:tc>
        <w:tc>
          <w:tcPr>
            <w:tcW w:w="567" w:type="dxa"/>
            <w:vAlign w:val="center"/>
          </w:tcPr>
          <w:p w14:paraId="25E58336" w14:textId="1D3A45F4"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F</w:t>
            </w:r>
          </w:p>
        </w:tc>
        <w:tc>
          <w:tcPr>
            <w:tcW w:w="567" w:type="dxa"/>
            <w:vAlign w:val="center"/>
          </w:tcPr>
          <w:p w14:paraId="70E7847B" w14:textId="5F9A7423"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L</w:t>
            </w:r>
          </w:p>
        </w:tc>
        <w:tc>
          <w:tcPr>
            <w:tcW w:w="560" w:type="dxa"/>
            <w:vAlign w:val="center"/>
          </w:tcPr>
          <w:p w14:paraId="7CD26907" w14:textId="43663C08"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P</w:t>
            </w:r>
          </w:p>
        </w:tc>
        <w:tc>
          <w:tcPr>
            <w:tcW w:w="826" w:type="dxa"/>
            <w:vAlign w:val="center"/>
          </w:tcPr>
          <w:p w14:paraId="2F14259C" w14:textId="4419C62A"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m</w:t>
            </w:r>
          </w:p>
        </w:tc>
        <w:tc>
          <w:tcPr>
            <w:tcW w:w="706" w:type="dxa"/>
            <w:vAlign w:val="center"/>
          </w:tcPr>
          <w:p w14:paraId="32F39316" w14:textId="2BD40922"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w:t>
            </w:r>
          </w:p>
        </w:tc>
        <w:tc>
          <w:tcPr>
            <w:tcW w:w="710" w:type="dxa"/>
            <w:vAlign w:val="center"/>
          </w:tcPr>
          <w:p w14:paraId="455E7C6C" w14:textId="006F28F5"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w:t>
            </w:r>
          </w:p>
        </w:tc>
        <w:tc>
          <w:tcPr>
            <w:tcW w:w="727" w:type="dxa"/>
            <w:vAlign w:val="center"/>
          </w:tcPr>
          <w:p w14:paraId="54D8155F" w14:textId="70E9909C"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m2</w:t>
            </w:r>
          </w:p>
        </w:tc>
        <w:tc>
          <w:tcPr>
            <w:tcW w:w="727" w:type="dxa"/>
            <w:vAlign w:val="center"/>
          </w:tcPr>
          <w:p w14:paraId="00B8CB10" w14:textId="4B5D9500" w:rsidR="00A90B71" w:rsidRPr="00F7554A" w:rsidRDefault="00A90B71"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m</w:t>
            </w:r>
          </w:p>
        </w:tc>
      </w:tr>
      <w:tr w:rsidR="00A90B71" w:rsidRPr="00EC5080" w14:paraId="1AD4C984" w14:textId="77777777" w:rsidTr="00D52D2D">
        <w:trPr>
          <w:jc w:val="center"/>
        </w:trPr>
        <w:tc>
          <w:tcPr>
            <w:tcW w:w="988" w:type="dxa"/>
            <w:vAlign w:val="center"/>
          </w:tcPr>
          <w:p w14:paraId="203BC68B" w14:textId="77777777" w:rsidR="00A90B71" w:rsidRPr="00F7554A" w:rsidRDefault="005308D6"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A8</w:t>
            </w:r>
          </w:p>
          <w:p w14:paraId="639B9126" w14:textId="7E0BE5C9" w:rsidR="005308D6" w:rsidRPr="00F7554A" w:rsidRDefault="005308D6"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(A603-35)</w:t>
            </w:r>
          </w:p>
        </w:tc>
        <w:tc>
          <w:tcPr>
            <w:tcW w:w="1275" w:type="dxa"/>
            <w:vAlign w:val="center"/>
          </w:tcPr>
          <w:p w14:paraId="621C436E" w14:textId="421F25CD"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Residencial urbano 1</w:t>
            </w:r>
          </w:p>
        </w:tc>
        <w:tc>
          <w:tcPr>
            <w:tcW w:w="851" w:type="dxa"/>
            <w:vAlign w:val="center"/>
          </w:tcPr>
          <w:p w14:paraId="7153D0FD" w14:textId="2DC2B03D"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567" w:type="dxa"/>
            <w:vAlign w:val="center"/>
          </w:tcPr>
          <w:p w14:paraId="378567AE" w14:textId="2F1FEC75"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12</w:t>
            </w:r>
          </w:p>
        </w:tc>
        <w:tc>
          <w:tcPr>
            <w:tcW w:w="567" w:type="dxa"/>
            <w:vAlign w:val="center"/>
          </w:tcPr>
          <w:p w14:paraId="13E75C19" w14:textId="42190574"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5</w:t>
            </w:r>
          </w:p>
        </w:tc>
        <w:tc>
          <w:tcPr>
            <w:tcW w:w="567" w:type="dxa"/>
            <w:vAlign w:val="center"/>
          </w:tcPr>
          <w:p w14:paraId="2DC4F56A" w14:textId="3E9ECBC4"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560" w:type="dxa"/>
            <w:vAlign w:val="center"/>
          </w:tcPr>
          <w:p w14:paraId="78079E2C" w14:textId="6CFBE588"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826" w:type="dxa"/>
            <w:vAlign w:val="center"/>
          </w:tcPr>
          <w:p w14:paraId="574C06CD" w14:textId="57E46D80"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6</w:t>
            </w:r>
          </w:p>
        </w:tc>
        <w:tc>
          <w:tcPr>
            <w:tcW w:w="706" w:type="dxa"/>
            <w:vAlign w:val="center"/>
          </w:tcPr>
          <w:p w14:paraId="1AADDA64" w14:textId="56291D49"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35</w:t>
            </w:r>
          </w:p>
        </w:tc>
        <w:tc>
          <w:tcPr>
            <w:tcW w:w="710" w:type="dxa"/>
            <w:vAlign w:val="center"/>
          </w:tcPr>
          <w:p w14:paraId="1A9FE1BB" w14:textId="4F309690"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105</w:t>
            </w:r>
          </w:p>
        </w:tc>
        <w:tc>
          <w:tcPr>
            <w:tcW w:w="727" w:type="dxa"/>
            <w:vAlign w:val="center"/>
          </w:tcPr>
          <w:p w14:paraId="02A38DA4" w14:textId="6325045C"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600</w:t>
            </w:r>
          </w:p>
        </w:tc>
        <w:tc>
          <w:tcPr>
            <w:tcW w:w="727" w:type="dxa"/>
            <w:vAlign w:val="center"/>
          </w:tcPr>
          <w:p w14:paraId="577D83B9" w14:textId="5604CFFA"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15</w:t>
            </w:r>
          </w:p>
        </w:tc>
      </w:tr>
      <w:tr w:rsidR="00A90B71" w:rsidRPr="00EC5080" w14:paraId="67F161F2" w14:textId="77777777" w:rsidTr="00D52D2D">
        <w:trPr>
          <w:jc w:val="center"/>
        </w:trPr>
        <w:tc>
          <w:tcPr>
            <w:tcW w:w="988" w:type="dxa"/>
            <w:vAlign w:val="center"/>
          </w:tcPr>
          <w:p w14:paraId="7CC6D52C" w14:textId="77777777" w:rsidR="00A90B71" w:rsidRPr="00F7554A" w:rsidRDefault="005308D6"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A10</w:t>
            </w:r>
          </w:p>
          <w:p w14:paraId="70437E1A" w14:textId="135FC8CD" w:rsidR="005308D6" w:rsidRPr="00F7554A" w:rsidRDefault="005308D6" w:rsidP="005308D6">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(A604-50)</w:t>
            </w:r>
          </w:p>
        </w:tc>
        <w:tc>
          <w:tcPr>
            <w:tcW w:w="1275" w:type="dxa"/>
            <w:vAlign w:val="center"/>
          </w:tcPr>
          <w:p w14:paraId="6849B1A4" w14:textId="4611B64F" w:rsidR="00A90B71" w:rsidRPr="00F7554A" w:rsidRDefault="00E4123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Múltiple</w:t>
            </w:r>
          </w:p>
        </w:tc>
        <w:tc>
          <w:tcPr>
            <w:tcW w:w="851" w:type="dxa"/>
            <w:vAlign w:val="center"/>
          </w:tcPr>
          <w:p w14:paraId="6E30C6B4" w14:textId="76BF1CEB"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4</w:t>
            </w:r>
          </w:p>
        </w:tc>
        <w:tc>
          <w:tcPr>
            <w:tcW w:w="567" w:type="dxa"/>
            <w:vAlign w:val="center"/>
          </w:tcPr>
          <w:p w14:paraId="6043D755" w14:textId="57B87C1E"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16</w:t>
            </w:r>
          </w:p>
        </w:tc>
        <w:tc>
          <w:tcPr>
            <w:tcW w:w="567" w:type="dxa"/>
            <w:vAlign w:val="center"/>
          </w:tcPr>
          <w:p w14:paraId="25A8C01B" w14:textId="54F31346"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5</w:t>
            </w:r>
          </w:p>
        </w:tc>
        <w:tc>
          <w:tcPr>
            <w:tcW w:w="567" w:type="dxa"/>
            <w:vAlign w:val="center"/>
          </w:tcPr>
          <w:p w14:paraId="55DE98AF" w14:textId="16A18F9D"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560" w:type="dxa"/>
            <w:vAlign w:val="center"/>
          </w:tcPr>
          <w:p w14:paraId="57945959" w14:textId="4F0F4197"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826" w:type="dxa"/>
            <w:vAlign w:val="center"/>
          </w:tcPr>
          <w:p w14:paraId="71349B1F" w14:textId="7149A289"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6</w:t>
            </w:r>
          </w:p>
        </w:tc>
        <w:tc>
          <w:tcPr>
            <w:tcW w:w="706" w:type="dxa"/>
            <w:vAlign w:val="center"/>
          </w:tcPr>
          <w:p w14:paraId="0A2FF4C4" w14:textId="1E210575"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50</w:t>
            </w:r>
          </w:p>
        </w:tc>
        <w:tc>
          <w:tcPr>
            <w:tcW w:w="710" w:type="dxa"/>
            <w:vAlign w:val="center"/>
          </w:tcPr>
          <w:p w14:paraId="6CCDCA75" w14:textId="4A040CFE"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200</w:t>
            </w:r>
          </w:p>
        </w:tc>
        <w:tc>
          <w:tcPr>
            <w:tcW w:w="727" w:type="dxa"/>
            <w:vAlign w:val="center"/>
          </w:tcPr>
          <w:p w14:paraId="2DDCE0BE" w14:textId="4024EB88"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600</w:t>
            </w:r>
          </w:p>
        </w:tc>
        <w:tc>
          <w:tcPr>
            <w:tcW w:w="727" w:type="dxa"/>
            <w:vAlign w:val="center"/>
          </w:tcPr>
          <w:p w14:paraId="0DA6A4C8" w14:textId="7A880BD7" w:rsidR="00A90B71" w:rsidRPr="00F7554A" w:rsidRDefault="005308D6" w:rsidP="005308D6">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15</w:t>
            </w:r>
          </w:p>
        </w:tc>
      </w:tr>
      <w:tr w:rsidR="008E69AC" w:rsidRPr="00EC5080" w14:paraId="61AF51AF" w14:textId="77777777" w:rsidTr="00D52D2D">
        <w:trPr>
          <w:jc w:val="center"/>
        </w:trPr>
        <w:tc>
          <w:tcPr>
            <w:tcW w:w="988" w:type="dxa"/>
            <w:vAlign w:val="center"/>
          </w:tcPr>
          <w:p w14:paraId="787FAC75" w14:textId="77777777" w:rsidR="008E69AC" w:rsidRPr="00F7554A" w:rsidRDefault="008E69AC" w:rsidP="008E69AC">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D4</w:t>
            </w:r>
          </w:p>
          <w:p w14:paraId="0207295A" w14:textId="5507FB1D" w:rsidR="008E69AC" w:rsidRPr="00F7554A" w:rsidRDefault="008E69AC" w:rsidP="008E69AC">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(D303-80)</w:t>
            </w:r>
          </w:p>
        </w:tc>
        <w:tc>
          <w:tcPr>
            <w:tcW w:w="1275" w:type="dxa"/>
            <w:vAlign w:val="center"/>
          </w:tcPr>
          <w:p w14:paraId="67CA0CDA" w14:textId="2E39760E"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Equipamiento</w:t>
            </w:r>
          </w:p>
        </w:tc>
        <w:tc>
          <w:tcPr>
            <w:tcW w:w="851" w:type="dxa"/>
            <w:vAlign w:val="center"/>
          </w:tcPr>
          <w:p w14:paraId="4D5BF903" w14:textId="6D72CDDA"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567" w:type="dxa"/>
            <w:vAlign w:val="center"/>
          </w:tcPr>
          <w:p w14:paraId="5C6CD58F" w14:textId="68500B12"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12</w:t>
            </w:r>
          </w:p>
        </w:tc>
        <w:tc>
          <w:tcPr>
            <w:tcW w:w="567" w:type="dxa"/>
            <w:vAlign w:val="center"/>
          </w:tcPr>
          <w:p w14:paraId="5649B740" w14:textId="61C59A83"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567" w:type="dxa"/>
            <w:vAlign w:val="center"/>
          </w:tcPr>
          <w:p w14:paraId="6507E618" w14:textId="74C57FC9"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560" w:type="dxa"/>
            <w:vAlign w:val="center"/>
          </w:tcPr>
          <w:p w14:paraId="7B130A5F" w14:textId="57C426F2"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w:t>
            </w:r>
          </w:p>
        </w:tc>
        <w:tc>
          <w:tcPr>
            <w:tcW w:w="826" w:type="dxa"/>
            <w:vAlign w:val="center"/>
          </w:tcPr>
          <w:p w14:paraId="2481CEAE" w14:textId="1B170588"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6</w:t>
            </w:r>
          </w:p>
        </w:tc>
        <w:tc>
          <w:tcPr>
            <w:tcW w:w="706" w:type="dxa"/>
            <w:vAlign w:val="center"/>
          </w:tcPr>
          <w:p w14:paraId="22E2BFE8" w14:textId="5D3BF04C"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80</w:t>
            </w:r>
          </w:p>
        </w:tc>
        <w:tc>
          <w:tcPr>
            <w:tcW w:w="710" w:type="dxa"/>
            <w:vAlign w:val="center"/>
          </w:tcPr>
          <w:p w14:paraId="6FE8E0D3" w14:textId="5F7E6ECC"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240</w:t>
            </w:r>
          </w:p>
        </w:tc>
        <w:tc>
          <w:tcPr>
            <w:tcW w:w="727" w:type="dxa"/>
            <w:vAlign w:val="center"/>
          </w:tcPr>
          <w:p w14:paraId="5405EBAC" w14:textId="106D6420"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300</w:t>
            </w:r>
          </w:p>
        </w:tc>
        <w:tc>
          <w:tcPr>
            <w:tcW w:w="727" w:type="dxa"/>
            <w:vAlign w:val="center"/>
          </w:tcPr>
          <w:p w14:paraId="022F0A6B" w14:textId="4FA6D533"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10</w:t>
            </w:r>
          </w:p>
        </w:tc>
      </w:tr>
      <w:tr w:rsidR="008E69AC" w:rsidRPr="00EC5080" w14:paraId="1CCAAC9B" w14:textId="77777777" w:rsidTr="00D52D2D">
        <w:trPr>
          <w:jc w:val="center"/>
        </w:trPr>
        <w:tc>
          <w:tcPr>
            <w:tcW w:w="988" w:type="dxa"/>
            <w:vAlign w:val="center"/>
          </w:tcPr>
          <w:p w14:paraId="10E617C2" w14:textId="77777777" w:rsidR="008E69AC" w:rsidRPr="00F7554A" w:rsidRDefault="008E69AC" w:rsidP="008E69AC">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A31</w:t>
            </w:r>
          </w:p>
          <w:p w14:paraId="32477BCC" w14:textId="5A8698BC" w:rsidR="008E69AC" w:rsidRPr="00F7554A" w:rsidRDefault="008E69AC" w:rsidP="008E69AC">
            <w:pPr>
              <w:pStyle w:val="NormalWeb"/>
              <w:spacing w:before="0" w:beforeAutospacing="0" w:after="0" w:afterAutospacing="0"/>
              <w:jc w:val="center"/>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(PQ)</w:t>
            </w:r>
          </w:p>
        </w:tc>
        <w:tc>
          <w:tcPr>
            <w:tcW w:w="1275" w:type="dxa"/>
            <w:vAlign w:val="center"/>
          </w:tcPr>
          <w:p w14:paraId="7B6516C0" w14:textId="478E00D4"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Protección Ecológica</w:t>
            </w:r>
          </w:p>
        </w:tc>
        <w:tc>
          <w:tcPr>
            <w:tcW w:w="851" w:type="dxa"/>
            <w:vAlign w:val="center"/>
          </w:tcPr>
          <w:p w14:paraId="7026B530" w14:textId="5B7E7F56"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567" w:type="dxa"/>
            <w:vAlign w:val="center"/>
          </w:tcPr>
          <w:p w14:paraId="1801F2F1" w14:textId="1EE7EA6C"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567" w:type="dxa"/>
            <w:vAlign w:val="center"/>
          </w:tcPr>
          <w:p w14:paraId="1DD1CECF" w14:textId="0C373FFF"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567" w:type="dxa"/>
            <w:vAlign w:val="center"/>
          </w:tcPr>
          <w:p w14:paraId="14F7AB13" w14:textId="1754299B"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560" w:type="dxa"/>
            <w:vAlign w:val="center"/>
          </w:tcPr>
          <w:p w14:paraId="7C6AC380" w14:textId="12CCDA6E"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826" w:type="dxa"/>
            <w:vAlign w:val="center"/>
          </w:tcPr>
          <w:p w14:paraId="26DB1045" w14:textId="3A0BAE21"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706" w:type="dxa"/>
            <w:vAlign w:val="center"/>
          </w:tcPr>
          <w:p w14:paraId="3D0BE9D4" w14:textId="6D23F995"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710" w:type="dxa"/>
            <w:vAlign w:val="center"/>
          </w:tcPr>
          <w:p w14:paraId="0D163DCA" w14:textId="18733CE6"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727" w:type="dxa"/>
            <w:vAlign w:val="center"/>
          </w:tcPr>
          <w:p w14:paraId="294D24B5" w14:textId="17F4081E"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c>
          <w:tcPr>
            <w:tcW w:w="727" w:type="dxa"/>
            <w:vAlign w:val="center"/>
          </w:tcPr>
          <w:p w14:paraId="0F8601AF" w14:textId="07E82218" w:rsidR="008E69AC" w:rsidRPr="00F7554A" w:rsidRDefault="008E69AC" w:rsidP="008E69AC">
            <w:pPr>
              <w:pStyle w:val="NormalWeb"/>
              <w:spacing w:before="0" w:beforeAutospacing="0" w:after="0" w:afterAutospacing="0"/>
              <w:jc w:val="center"/>
              <w:rPr>
                <w:rFonts w:ascii="Palatino Linotype" w:hAnsi="Palatino Linotype" w:cstheme="minorHAnsi"/>
                <w:sz w:val="22"/>
                <w:szCs w:val="22"/>
                <w:lang w:val="es-ES"/>
              </w:rPr>
            </w:pPr>
            <w:r w:rsidRPr="00F7554A">
              <w:rPr>
                <w:rFonts w:ascii="Palatino Linotype" w:hAnsi="Palatino Linotype" w:cstheme="minorHAnsi"/>
                <w:sz w:val="22"/>
                <w:szCs w:val="22"/>
                <w:lang w:val="es-ES"/>
              </w:rPr>
              <w:t>0</w:t>
            </w:r>
          </w:p>
        </w:tc>
      </w:tr>
    </w:tbl>
    <w:p w14:paraId="2460F781" w14:textId="77777777" w:rsidR="00A90B71" w:rsidRDefault="00A90B71" w:rsidP="00A90B71">
      <w:pPr>
        <w:pStyle w:val="NormalWeb"/>
        <w:spacing w:before="0" w:beforeAutospacing="0" w:after="0" w:afterAutospacing="0"/>
        <w:jc w:val="center"/>
        <w:rPr>
          <w:rFonts w:ascii="Palatino Linotype" w:hAnsi="Palatino Linotype" w:cstheme="minorHAnsi"/>
          <w:b/>
          <w:bCs/>
          <w:sz w:val="22"/>
          <w:szCs w:val="22"/>
          <w:lang w:val="es-ES"/>
        </w:rPr>
      </w:pPr>
    </w:p>
    <w:p w14:paraId="44DC404B" w14:textId="77777777" w:rsidR="00B70D83" w:rsidRPr="00F7554A" w:rsidRDefault="00B70D83" w:rsidP="00A90B71">
      <w:pPr>
        <w:pStyle w:val="NormalWeb"/>
        <w:spacing w:before="0" w:beforeAutospacing="0" w:after="0" w:afterAutospacing="0"/>
        <w:jc w:val="center"/>
        <w:rPr>
          <w:rFonts w:ascii="Palatino Linotype" w:hAnsi="Palatino Linotype" w:cstheme="minorHAnsi"/>
          <w:b/>
          <w:bCs/>
          <w:sz w:val="22"/>
          <w:szCs w:val="22"/>
          <w:lang w:val="es-ES"/>
        </w:rPr>
      </w:pPr>
    </w:p>
    <w:p w14:paraId="64ED070D" w14:textId="77777777" w:rsidR="00A90B71" w:rsidRPr="00F7554A" w:rsidRDefault="00A90B71" w:rsidP="00A90B71">
      <w:pPr>
        <w:jc w:val="both"/>
        <w:rPr>
          <w:rFonts w:ascii="Palatino Linotype" w:eastAsia="Times New Roman" w:hAnsi="Palatino Linotype" w:cstheme="minorHAnsi"/>
          <w:sz w:val="22"/>
          <w:szCs w:val="22"/>
          <w:lang w:val="es-ES"/>
        </w:rPr>
      </w:pPr>
    </w:p>
    <w:p w14:paraId="2E0E5973" w14:textId="7AB301AC" w:rsidR="00B3518B" w:rsidRPr="00F7554A" w:rsidRDefault="007F0CB9" w:rsidP="007F0CB9">
      <w:pPr>
        <w:pStyle w:val="NormalWeb"/>
        <w:spacing w:before="0" w:beforeAutospacing="0" w:after="0" w:afterAutospacing="0"/>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 xml:space="preserve">Disposiciones </w:t>
      </w:r>
      <w:r w:rsidR="00B3518B" w:rsidRPr="00F7554A">
        <w:rPr>
          <w:rFonts w:ascii="Palatino Linotype" w:hAnsi="Palatino Linotype" w:cstheme="minorHAnsi"/>
          <w:b/>
          <w:bCs/>
          <w:sz w:val="22"/>
          <w:szCs w:val="22"/>
          <w:lang w:val="es-ES"/>
        </w:rPr>
        <w:t>Generale</w:t>
      </w:r>
      <w:r w:rsidRPr="00F7554A">
        <w:rPr>
          <w:rFonts w:ascii="Palatino Linotype" w:hAnsi="Palatino Linotype" w:cstheme="minorHAnsi"/>
          <w:b/>
          <w:bCs/>
          <w:sz w:val="22"/>
          <w:szCs w:val="22"/>
          <w:lang w:val="es-ES"/>
        </w:rPr>
        <w:t>s.-</w:t>
      </w:r>
    </w:p>
    <w:p w14:paraId="16823116"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position w:val="2"/>
          <w:sz w:val="22"/>
          <w:szCs w:val="22"/>
          <w:lang w:val="es-ES"/>
        </w:rPr>
      </w:pPr>
    </w:p>
    <w:p w14:paraId="28D179E5" w14:textId="6FE76747" w:rsidR="00B3518B" w:rsidRPr="00F7554A" w:rsidRDefault="00B3518B" w:rsidP="007F0CB9">
      <w:pPr>
        <w:pStyle w:val="NormalWeb"/>
        <w:spacing w:before="0" w:beforeAutospacing="0" w:after="0" w:afterAutospacing="0"/>
        <w:jc w:val="both"/>
        <w:rPr>
          <w:rFonts w:ascii="Palatino Linotype" w:hAnsi="Palatino Linotype" w:cstheme="minorHAnsi"/>
          <w:sz w:val="22"/>
          <w:szCs w:val="22"/>
          <w:lang w:val="es-ES"/>
        </w:rPr>
      </w:pPr>
      <w:r w:rsidRPr="00F7554A">
        <w:rPr>
          <w:rFonts w:ascii="Palatino Linotype" w:hAnsi="Palatino Linotype" w:cstheme="minorHAnsi"/>
          <w:b/>
          <w:bCs/>
          <w:position w:val="2"/>
          <w:sz w:val="22"/>
          <w:szCs w:val="22"/>
          <w:lang w:val="es-ES"/>
        </w:rPr>
        <w:t xml:space="preserve">Primera.- </w:t>
      </w:r>
      <w:r w:rsidR="00A90B71" w:rsidRPr="00F7554A">
        <w:rPr>
          <w:rFonts w:ascii="Palatino Linotype" w:hAnsi="Palatino Linotype" w:cstheme="minorHAnsi"/>
          <w:sz w:val="22"/>
          <w:szCs w:val="22"/>
          <w:lang w:val="es-ES"/>
        </w:rPr>
        <w:t>L</w:t>
      </w:r>
      <w:r w:rsidRPr="00F7554A">
        <w:rPr>
          <w:rFonts w:ascii="Palatino Linotype" w:hAnsi="Palatino Linotype" w:cstheme="minorHAnsi"/>
          <w:sz w:val="22"/>
          <w:szCs w:val="22"/>
          <w:lang w:val="es-ES"/>
        </w:rPr>
        <w:t>a Secretaría de Territorio, Hábitat y Vivienda asignará los datos de uso de suelo y zonificación para el lote con número de predio N</w:t>
      </w:r>
      <w:r w:rsidR="00C3658F"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 xml:space="preserve">o. </w:t>
      </w:r>
      <w:r w:rsidR="00A90B71" w:rsidRPr="00F7554A">
        <w:rPr>
          <w:rFonts w:ascii="Palatino Linotype" w:hAnsi="Palatino Linotype" w:cstheme="minorHAnsi"/>
          <w:sz w:val="22"/>
          <w:szCs w:val="22"/>
          <w:lang w:val="es-ES"/>
        </w:rPr>
        <w:t>279520</w:t>
      </w:r>
      <w:r w:rsidRPr="00F7554A">
        <w:rPr>
          <w:rFonts w:ascii="Palatino Linotype" w:hAnsi="Palatino Linotype" w:cstheme="minorHAnsi"/>
          <w:sz w:val="22"/>
          <w:szCs w:val="22"/>
          <w:lang w:val="es-ES"/>
        </w:rPr>
        <w:t xml:space="preserve"> una vez </w:t>
      </w:r>
      <w:r w:rsidR="00014288">
        <w:rPr>
          <w:rFonts w:ascii="Palatino Linotype" w:hAnsi="Palatino Linotype" w:cstheme="minorHAnsi"/>
          <w:sz w:val="22"/>
          <w:szCs w:val="22"/>
          <w:lang w:val="es-ES"/>
        </w:rPr>
        <w:t>aprobada</w:t>
      </w:r>
      <w:r w:rsidR="00014288" w:rsidRPr="00F7554A">
        <w:rPr>
          <w:rFonts w:ascii="Palatino Linotype" w:hAnsi="Palatino Linotype" w:cstheme="minorHAnsi"/>
          <w:sz w:val="22"/>
          <w:szCs w:val="22"/>
          <w:lang w:val="es-ES"/>
        </w:rPr>
        <w:t xml:space="preserve"> </w:t>
      </w:r>
      <w:r w:rsidRPr="00F7554A">
        <w:rPr>
          <w:rFonts w:ascii="Palatino Linotype" w:hAnsi="Palatino Linotype" w:cstheme="minorHAnsi"/>
          <w:sz w:val="22"/>
          <w:szCs w:val="22"/>
          <w:lang w:val="es-ES"/>
        </w:rPr>
        <w:t xml:space="preserve">la presente </w:t>
      </w:r>
      <w:r w:rsidR="00A90B71" w:rsidRPr="00F7554A">
        <w:rPr>
          <w:rFonts w:ascii="Palatino Linotype" w:hAnsi="Palatino Linotype" w:cstheme="minorHAnsi"/>
          <w:sz w:val="22"/>
          <w:szCs w:val="22"/>
          <w:lang w:val="es-ES"/>
        </w:rPr>
        <w:t>R</w:t>
      </w:r>
      <w:r w:rsidRPr="00F7554A">
        <w:rPr>
          <w:rFonts w:ascii="Palatino Linotype" w:hAnsi="Palatino Linotype" w:cstheme="minorHAnsi"/>
          <w:sz w:val="22"/>
          <w:szCs w:val="22"/>
          <w:lang w:val="es-ES"/>
        </w:rPr>
        <w:t xml:space="preserve">esolución. </w:t>
      </w:r>
    </w:p>
    <w:p w14:paraId="2C97C1F4"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position w:val="2"/>
          <w:sz w:val="22"/>
          <w:szCs w:val="22"/>
          <w:lang w:val="es-ES"/>
        </w:rPr>
      </w:pPr>
    </w:p>
    <w:p w14:paraId="073E110C" w14:textId="78397537" w:rsidR="00B3518B" w:rsidRPr="00F7554A" w:rsidRDefault="00B3518B" w:rsidP="007F0CB9">
      <w:pPr>
        <w:pStyle w:val="NormalWeb"/>
        <w:spacing w:before="0" w:beforeAutospacing="0" w:after="0" w:afterAutospacing="0"/>
        <w:jc w:val="both"/>
        <w:rPr>
          <w:rFonts w:ascii="Palatino Linotype" w:hAnsi="Palatino Linotype" w:cstheme="minorHAnsi"/>
          <w:sz w:val="22"/>
          <w:szCs w:val="22"/>
          <w:lang w:val="es-ES"/>
        </w:rPr>
      </w:pPr>
      <w:r w:rsidRPr="00F7554A">
        <w:rPr>
          <w:rFonts w:ascii="Palatino Linotype" w:hAnsi="Palatino Linotype" w:cstheme="minorHAnsi"/>
          <w:b/>
          <w:bCs/>
          <w:position w:val="2"/>
          <w:sz w:val="22"/>
          <w:szCs w:val="22"/>
          <w:lang w:val="es-ES"/>
        </w:rPr>
        <w:t xml:space="preserve">Segunda.- </w:t>
      </w:r>
      <w:r w:rsidR="00A90B71" w:rsidRPr="00F7554A">
        <w:rPr>
          <w:rFonts w:ascii="Palatino Linotype" w:hAnsi="Palatino Linotype" w:cstheme="minorHAnsi"/>
          <w:sz w:val="22"/>
          <w:szCs w:val="22"/>
          <w:lang w:val="es-ES"/>
        </w:rPr>
        <w:t>La Secretaría de Territorio, Hábitat y Vivienda incorporará una nota al Informe de Regulación Metropolitana (IRM) del o los predios en los que se implantará el proyecto TOMORAGUADUA, sobre el cumplimiento de las determinaciones establecidas en la presente Resolución.</w:t>
      </w:r>
    </w:p>
    <w:p w14:paraId="599B3795"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position w:val="2"/>
          <w:sz w:val="22"/>
          <w:szCs w:val="22"/>
          <w:lang w:val="es-ES"/>
        </w:rPr>
      </w:pPr>
    </w:p>
    <w:p w14:paraId="349ACEC9" w14:textId="45637F87" w:rsidR="00EC5080" w:rsidRPr="008B322B" w:rsidRDefault="00B3518B" w:rsidP="007F0CB9">
      <w:pPr>
        <w:pStyle w:val="NormalWeb"/>
        <w:spacing w:before="0" w:beforeAutospacing="0" w:after="0" w:afterAutospacing="0"/>
        <w:jc w:val="both"/>
        <w:rPr>
          <w:rFonts w:ascii="Palatino Linotype" w:hAnsi="Palatino Linotype" w:cstheme="minorHAnsi"/>
          <w:sz w:val="22"/>
          <w:szCs w:val="22"/>
          <w:lang w:val="es-ES"/>
        </w:rPr>
      </w:pPr>
      <w:r w:rsidRPr="00F7554A">
        <w:rPr>
          <w:rFonts w:ascii="Palatino Linotype" w:hAnsi="Palatino Linotype" w:cstheme="minorHAnsi"/>
          <w:b/>
          <w:bCs/>
          <w:position w:val="2"/>
          <w:sz w:val="22"/>
          <w:szCs w:val="22"/>
          <w:lang w:val="es-ES"/>
        </w:rPr>
        <w:lastRenderedPageBreak/>
        <w:t xml:space="preserve">Tercera.- </w:t>
      </w:r>
      <w:r w:rsidR="00A90B71" w:rsidRPr="00F7554A">
        <w:rPr>
          <w:rFonts w:ascii="Palatino Linotype" w:hAnsi="Palatino Linotype" w:cstheme="minorHAnsi"/>
          <w:sz w:val="22"/>
          <w:szCs w:val="22"/>
          <w:lang w:val="es-ES"/>
        </w:rPr>
        <w:t xml:space="preserve">Para la obtención del certificado de conformidad de planos de subdivisión, previo a la emisión de la licencia metropolitana urbanística de habilitación de suelo (LMU 10), el </w:t>
      </w:r>
      <w:r w:rsidR="00A90B71" w:rsidRPr="008B322B">
        <w:rPr>
          <w:rFonts w:ascii="Palatino Linotype" w:hAnsi="Palatino Linotype" w:cstheme="minorHAnsi"/>
          <w:sz w:val="22"/>
          <w:szCs w:val="22"/>
          <w:lang w:val="es-ES"/>
        </w:rPr>
        <w:t>administrado adjuntará al expediente de solicitud la presente Resolución, con la finalidad de que las entidades colaboradoras verifiquen la concordancia entre el proyecto de subdivisión y las condiciones</w:t>
      </w:r>
      <w:r w:rsidR="00B70D83" w:rsidRPr="008B322B">
        <w:rPr>
          <w:rFonts w:ascii="Palatino Linotype" w:hAnsi="Palatino Linotype" w:cstheme="minorHAnsi"/>
          <w:sz w:val="22"/>
          <w:szCs w:val="22"/>
          <w:lang w:val="es-ES"/>
        </w:rPr>
        <w:t xml:space="preserve"> urbanísticas aquí establecidas.</w:t>
      </w:r>
    </w:p>
    <w:p w14:paraId="6102D99E" w14:textId="77777777" w:rsidR="00B70D83" w:rsidRPr="008B322B" w:rsidRDefault="00B70D83" w:rsidP="007F0CB9">
      <w:pPr>
        <w:pStyle w:val="NormalWeb"/>
        <w:spacing w:before="0" w:beforeAutospacing="0" w:after="0" w:afterAutospacing="0"/>
        <w:jc w:val="both"/>
        <w:rPr>
          <w:rFonts w:ascii="Palatino Linotype" w:hAnsi="Palatino Linotype" w:cstheme="minorHAnsi"/>
          <w:sz w:val="22"/>
          <w:szCs w:val="22"/>
          <w:lang w:val="es-ES"/>
        </w:rPr>
      </w:pPr>
    </w:p>
    <w:p w14:paraId="276395F1" w14:textId="35C47C51" w:rsidR="00B70D83" w:rsidRPr="008B322B" w:rsidRDefault="00EC5080" w:rsidP="000817F0">
      <w:pPr>
        <w:spacing w:line="276" w:lineRule="auto"/>
        <w:jc w:val="both"/>
        <w:rPr>
          <w:lang w:val="es-EC"/>
        </w:rPr>
      </w:pPr>
      <w:r w:rsidRPr="008B322B">
        <w:rPr>
          <w:rFonts w:ascii="Palatino Linotype" w:hAnsi="Palatino Linotype" w:cstheme="minorHAnsi"/>
          <w:b/>
          <w:bCs/>
          <w:position w:val="2"/>
          <w:sz w:val="22"/>
          <w:szCs w:val="22"/>
          <w:lang w:val="es-ES"/>
        </w:rPr>
        <w:t xml:space="preserve">Cuarta.- </w:t>
      </w:r>
      <w:r w:rsidR="00B70D83" w:rsidRPr="008B322B">
        <w:rPr>
          <w:rFonts w:ascii="Palatino Linotype" w:hAnsi="Palatino Linotype" w:cstheme="minorHAnsi"/>
          <w:bCs/>
          <w:position w:val="2"/>
          <w:sz w:val="22"/>
          <w:szCs w:val="22"/>
          <w:lang w:val="es-ES"/>
        </w:rPr>
        <w:t xml:space="preserve">La </w:t>
      </w:r>
      <w:r w:rsidR="0060066A" w:rsidRPr="008B322B">
        <w:rPr>
          <w:rFonts w:ascii="Palatino Linotype" w:hAnsi="Palatino Linotype" w:cstheme="minorHAnsi"/>
          <w:bCs/>
          <w:position w:val="2"/>
          <w:sz w:val="22"/>
          <w:szCs w:val="22"/>
          <w:lang w:val="es-ES"/>
        </w:rPr>
        <w:t xml:space="preserve">presente resolución se sustenta en la </w:t>
      </w:r>
      <w:r w:rsidR="00B70D83" w:rsidRPr="008B322B">
        <w:rPr>
          <w:rFonts w:ascii="Palatino Linotype" w:hAnsi="Palatino Linotype" w:cstheme="minorHAnsi"/>
          <w:bCs/>
          <w:position w:val="2"/>
          <w:sz w:val="22"/>
          <w:szCs w:val="22"/>
          <w:lang w:val="es-ES"/>
        </w:rPr>
        <w:t xml:space="preserve">aplicación del Caso No. 3, de conformidad a lo establecido en el art. 8 de la Resolución No. STHV-2020-054 que reforma la resolución STHV-031-2019, </w:t>
      </w:r>
      <w:r w:rsidR="0060066A" w:rsidRPr="008B322B">
        <w:rPr>
          <w:rFonts w:ascii="Palatino Linotype" w:hAnsi="Palatino Linotype" w:cstheme="minorHAnsi"/>
          <w:bCs/>
          <w:position w:val="2"/>
          <w:sz w:val="22"/>
          <w:szCs w:val="22"/>
          <w:lang w:val="es-ES"/>
        </w:rPr>
        <w:t xml:space="preserve">que </w:t>
      </w:r>
      <w:r w:rsidR="00B70D83" w:rsidRPr="008B322B">
        <w:rPr>
          <w:rFonts w:ascii="Palatino Linotype" w:hAnsi="Palatino Linotype" w:cstheme="minorHAnsi"/>
          <w:bCs/>
          <w:position w:val="2"/>
          <w:sz w:val="22"/>
          <w:szCs w:val="22"/>
          <w:lang w:val="es-ES"/>
        </w:rPr>
        <w:t xml:space="preserve">supone dejar aportes urbanísticos </w:t>
      </w:r>
      <w:r w:rsidR="0060066A" w:rsidRPr="008B322B">
        <w:rPr>
          <w:rFonts w:ascii="Palatino Linotype" w:hAnsi="Palatino Linotype" w:cstheme="minorHAnsi"/>
          <w:bCs/>
          <w:position w:val="2"/>
          <w:sz w:val="22"/>
          <w:szCs w:val="22"/>
          <w:lang w:val="es-ES"/>
        </w:rPr>
        <w:t>por parte del promotor</w:t>
      </w:r>
      <w:r w:rsidR="00B70D83" w:rsidRPr="008B322B">
        <w:rPr>
          <w:rFonts w:ascii="Palatino Linotype" w:hAnsi="Palatino Linotype" w:cstheme="minorHAnsi"/>
          <w:bCs/>
          <w:position w:val="2"/>
          <w:sz w:val="22"/>
          <w:szCs w:val="22"/>
          <w:lang w:val="es-ES"/>
        </w:rPr>
        <w:t xml:space="preserve">, </w:t>
      </w:r>
      <w:r w:rsidR="0060066A" w:rsidRPr="008B322B">
        <w:rPr>
          <w:rFonts w:ascii="Palatino Linotype" w:hAnsi="Palatino Linotype" w:cstheme="minorHAnsi"/>
          <w:bCs/>
          <w:position w:val="2"/>
          <w:sz w:val="22"/>
          <w:szCs w:val="22"/>
          <w:lang w:val="es-ES"/>
        </w:rPr>
        <w:t xml:space="preserve">mismos que se detallan en el informe técnico </w:t>
      </w:r>
      <w:r w:rsidR="000817F0" w:rsidRPr="008B322B">
        <w:rPr>
          <w:rFonts w:ascii="Palatino Linotype" w:hAnsi="Palatino Linotype" w:cstheme="minorHAnsi"/>
          <w:bCs/>
          <w:position w:val="2"/>
          <w:sz w:val="22"/>
          <w:szCs w:val="22"/>
          <w:lang w:val="es-ES"/>
        </w:rPr>
        <w:t>IT-00</w:t>
      </w:r>
      <w:r w:rsidR="008B322B" w:rsidRPr="008B322B">
        <w:rPr>
          <w:rFonts w:ascii="Palatino Linotype" w:hAnsi="Palatino Linotype" w:cstheme="minorHAnsi"/>
          <w:bCs/>
          <w:position w:val="2"/>
          <w:sz w:val="22"/>
          <w:szCs w:val="22"/>
          <w:lang w:val="es-ES"/>
        </w:rPr>
        <w:t>4</w:t>
      </w:r>
      <w:r w:rsidR="000817F0" w:rsidRPr="008B322B">
        <w:rPr>
          <w:rFonts w:ascii="Palatino Linotype" w:hAnsi="Palatino Linotype" w:cstheme="minorHAnsi"/>
          <w:bCs/>
          <w:position w:val="2"/>
          <w:sz w:val="22"/>
          <w:szCs w:val="22"/>
          <w:lang w:val="es-ES"/>
        </w:rPr>
        <w:t>-DMPPS-STHV-2021</w:t>
      </w:r>
      <w:r w:rsidR="00736E2C">
        <w:rPr>
          <w:rFonts w:ascii="Palatino Linotype" w:hAnsi="Palatino Linotype" w:cstheme="minorHAnsi"/>
          <w:bCs/>
          <w:position w:val="2"/>
          <w:sz w:val="22"/>
          <w:szCs w:val="22"/>
          <w:lang w:val="es-ES"/>
        </w:rPr>
        <w:t xml:space="preserve"> </w:t>
      </w:r>
      <w:r w:rsidR="0060066A" w:rsidRPr="008B322B">
        <w:rPr>
          <w:rFonts w:ascii="Palatino Linotype" w:hAnsi="Palatino Linotype" w:cstheme="minorHAnsi"/>
          <w:bCs/>
          <w:position w:val="2"/>
          <w:sz w:val="22"/>
          <w:szCs w:val="22"/>
          <w:lang w:val="es-ES"/>
        </w:rPr>
        <w:t>de la Secretaría de Territorio, Hábitat y Vivienda.</w:t>
      </w:r>
    </w:p>
    <w:p w14:paraId="7732D260" w14:textId="77777777" w:rsidR="00844625" w:rsidRPr="008B322B" w:rsidRDefault="00844625" w:rsidP="007F0CB9">
      <w:pPr>
        <w:pStyle w:val="NormalWeb"/>
        <w:spacing w:before="0" w:beforeAutospacing="0" w:after="0" w:afterAutospacing="0"/>
        <w:jc w:val="both"/>
        <w:rPr>
          <w:rFonts w:ascii="Palatino Linotype" w:hAnsi="Palatino Linotype"/>
          <w:color w:val="000000"/>
          <w:sz w:val="22"/>
          <w:szCs w:val="22"/>
          <w:lang w:val="es-EC"/>
        </w:rPr>
      </w:pPr>
    </w:p>
    <w:p w14:paraId="4A728124" w14:textId="3CD4D699" w:rsidR="00B70D83" w:rsidRPr="008B322B" w:rsidRDefault="00B70D83" w:rsidP="007F0CB9">
      <w:pPr>
        <w:pStyle w:val="NormalWeb"/>
        <w:spacing w:before="0" w:beforeAutospacing="0" w:after="0" w:afterAutospacing="0"/>
        <w:jc w:val="both"/>
        <w:rPr>
          <w:rFonts w:ascii="Palatino Linotype" w:hAnsi="Palatino Linotype" w:cstheme="minorHAnsi"/>
          <w:sz w:val="22"/>
          <w:szCs w:val="22"/>
          <w:lang w:val="es-ES"/>
        </w:rPr>
      </w:pPr>
      <w:r w:rsidRPr="008B322B">
        <w:rPr>
          <w:rFonts w:ascii="Palatino Linotype" w:hAnsi="Palatino Linotype"/>
          <w:b/>
          <w:bCs/>
          <w:color w:val="000000"/>
          <w:sz w:val="22"/>
          <w:szCs w:val="22"/>
          <w:lang w:val="es-EC"/>
        </w:rPr>
        <w:t xml:space="preserve">Quinta.- </w:t>
      </w:r>
      <w:r w:rsidRPr="008B322B">
        <w:rPr>
          <w:rFonts w:ascii="Palatino Linotype" w:hAnsi="Palatino Linotype"/>
          <w:color w:val="000000"/>
          <w:sz w:val="22"/>
          <w:szCs w:val="22"/>
          <w:lang w:val="es-EC"/>
        </w:rPr>
        <w:t xml:space="preserve">La presente resolución aprueba </w:t>
      </w:r>
      <w:r w:rsidRPr="008B322B">
        <w:rPr>
          <w:rFonts w:ascii="Palatino Linotype" w:hAnsi="Palatino Linotype" w:cstheme="minorHAnsi"/>
          <w:sz w:val="22"/>
          <w:szCs w:val="22"/>
          <w:lang w:val="es-ES"/>
        </w:rPr>
        <w:t>las asignaciones de uso de suelo, forma de ocupación y edificabilidad del predio Nro. 279520 a través de un Proyecto Urbano Arquitectónico que incluye aportes urbanísticos por parte del promotor, que deberán desarrollarse de acuerdo a lo establecido en el informe técnico de la Secretaría de Territorio, Hábitat y Vivienda.</w:t>
      </w:r>
    </w:p>
    <w:p w14:paraId="4C397264" w14:textId="52E632C1" w:rsidR="007D618B" w:rsidRPr="008B322B" w:rsidRDefault="007D618B" w:rsidP="007F0CB9">
      <w:pPr>
        <w:pStyle w:val="NormalWeb"/>
        <w:spacing w:before="0" w:beforeAutospacing="0" w:after="0" w:afterAutospacing="0"/>
        <w:jc w:val="both"/>
        <w:rPr>
          <w:rFonts w:ascii="Palatino Linotype" w:hAnsi="Palatino Linotype" w:cstheme="minorHAnsi"/>
          <w:sz w:val="22"/>
          <w:szCs w:val="22"/>
          <w:lang w:val="es-ES"/>
        </w:rPr>
      </w:pPr>
    </w:p>
    <w:p w14:paraId="6435FA71" w14:textId="0FA3BEFA" w:rsidR="007D618B" w:rsidRPr="008B322B" w:rsidRDefault="003D757D" w:rsidP="003D757D">
      <w:pPr>
        <w:pStyle w:val="NormalWeb"/>
        <w:spacing w:before="0" w:beforeAutospacing="0" w:after="0" w:afterAutospacing="0"/>
        <w:jc w:val="both"/>
        <w:rPr>
          <w:rFonts w:ascii="Palatino Linotype" w:hAnsi="Palatino Linotype" w:cstheme="minorHAnsi"/>
          <w:sz w:val="22"/>
          <w:szCs w:val="22"/>
          <w:lang w:val="es-ES"/>
        </w:rPr>
      </w:pPr>
      <w:r w:rsidRPr="006C014B">
        <w:rPr>
          <w:rFonts w:ascii="Palatino Linotype" w:hAnsi="Palatino Linotype" w:cstheme="minorHAnsi"/>
          <w:b/>
          <w:sz w:val="22"/>
          <w:szCs w:val="22"/>
          <w:lang w:val="es-ES"/>
        </w:rPr>
        <w:t>Sext</w:t>
      </w:r>
      <w:r w:rsidR="007D618B" w:rsidRPr="006C014B">
        <w:rPr>
          <w:rFonts w:ascii="Palatino Linotype" w:hAnsi="Palatino Linotype" w:cstheme="minorHAnsi"/>
          <w:b/>
          <w:sz w:val="22"/>
          <w:szCs w:val="22"/>
          <w:lang w:val="es-ES"/>
        </w:rPr>
        <w:t>a.-</w:t>
      </w:r>
      <w:r w:rsidR="007D618B" w:rsidRPr="006C014B">
        <w:rPr>
          <w:rFonts w:ascii="Palatino Linotype" w:hAnsi="Palatino Linotype" w:cstheme="minorHAnsi"/>
          <w:sz w:val="22"/>
          <w:szCs w:val="22"/>
          <w:lang w:val="es-ES"/>
        </w:rPr>
        <w:t xml:space="preserve"> </w:t>
      </w:r>
      <w:r w:rsidR="005C687A">
        <w:rPr>
          <w:rFonts w:ascii="Palatino Linotype" w:hAnsi="Palatino Linotype" w:cstheme="minorHAnsi"/>
          <w:sz w:val="22"/>
          <w:szCs w:val="22"/>
          <w:lang w:val="es-ES"/>
        </w:rPr>
        <w:t>Posterior a la aprobación de la presente resolución se deberán realizar las gestiones correspondientes con la finalidad de lograr la</w:t>
      </w:r>
      <w:r w:rsidR="007D618B" w:rsidRPr="006C014B">
        <w:rPr>
          <w:rFonts w:ascii="Palatino Linotype" w:hAnsi="Palatino Linotype" w:cstheme="minorHAnsi"/>
          <w:sz w:val="22"/>
          <w:szCs w:val="22"/>
          <w:lang w:val="es-ES"/>
        </w:rPr>
        <w:t xml:space="preserve"> permuta entre los predios </w:t>
      </w:r>
      <w:r w:rsidRPr="006C014B">
        <w:rPr>
          <w:rFonts w:ascii="Palatino Linotype" w:hAnsi="Palatino Linotype" w:cstheme="minorHAnsi"/>
          <w:sz w:val="22"/>
          <w:szCs w:val="22"/>
          <w:lang w:val="es-ES"/>
        </w:rPr>
        <w:t xml:space="preserve">No. 279520 </w:t>
      </w:r>
      <w:r w:rsidR="000F01E2" w:rsidRPr="006C014B">
        <w:rPr>
          <w:rFonts w:ascii="Palatino Linotype" w:hAnsi="Palatino Linotype" w:cstheme="minorHAnsi"/>
          <w:sz w:val="22"/>
          <w:szCs w:val="22"/>
          <w:lang w:val="es-ES"/>
        </w:rPr>
        <w:t>de propiedad del promotor</w:t>
      </w:r>
      <w:r w:rsidRPr="006C014B">
        <w:rPr>
          <w:rFonts w:ascii="Palatino Linotype" w:hAnsi="Palatino Linotype" w:cstheme="minorHAnsi"/>
          <w:sz w:val="22"/>
          <w:szCs w:val="22"/>
          <w:lang w:val="es-ES"/>
        </w:rPr>
        <w:t xml:space="preserve"> y No. 3697579</w:t>
      </w:r>
      <w:r w:rsidR="000F01E2" w:rsidRPr="006C014B">
        <w:rPr>
          <w:rFonts w:ascii="Palatino Linotype" w:hAnsi="Palatino Linotype" w:cstheme="minorHAnsi"/>
          <w:sz w:val="22"/>
          <w:szCs w:val="22"/>
          <w:lang w:val="es-ES"/>
        </w:rPr>
        <w:t xml:space="preserve"> de propiedad del GAD del Distrito Metropolitano de Quito.</w:t>
      </w:r>
      <w:r w:rsidR="000F01E2" w:rsidRPr="008B322B">
        <w:rPr>
          <w:rFonts w:ascii="Palatino Linotype" w:hAnsi="Palatino Linotype" w:cstheme="minorHAnsi"/>
          <w:sz w:val="22"/>
          <w:szCs w:val="22"/>
          <w:lang w:val="es-ES"/>
        </w:rPr>
        <w:t xml:space="preserve"> </w:t>
      </w:r>
    </w:p>
    <w:p w14:paraId="74B03E68" w14:textId="77777777" w:rsidR="00B70D83" w:rsidRPr="008B322B" w:rsidRDefault="00B70D83" w:rsidP="007F0CB9">
      <w:pPr>
        <w:pStyle w:val="NormalWeb"/>
        <w:spacing w:before="0" w:beforeAutospacing="0" w:after="0" w:afterAutospacing="0"/>
        <w:jc w:val="both"/>
        <w:rPr>
          <w:rFonts w:ascii="Palatino Linotype" w:hAnsi="Palatino Linotype"/>
          <w:color w:val="000000"/>
          <w:sz w:val="22"/>
          <w:szCs w:val="22"/>
          <w:lang w:val="es-EC"/>
        </w:rPr>
      </w:pPr>
    </w:p>
    <w:p w14:paraId="4E666CDB" w14:textId="6D1565F4" w:rsidR="00844625" w:rsidRPr="009A4F74" w:rsidRDefault="003D757D" w:rsidP="00844625">
      <w:pPr>
        <w:pStyle w:val="NormalWeb"/>
        <w:spacing w:before="0" w:beforeAutospacing="0" w:after="0" w:afterAutospacing="0"/>
        <w:jc w:val="both"/>
        <w:rPr>
          <w:rFonts w:ascii="Palatino Linotype" w:hAnsi="Palatino Linotype" w:cstheme="minorHAnsi"/>
          <w:sz w:val="22"/>
          <w:szCs w:val="22"/>
          <w:lang w:val="es-ES"/>
        </w:rPr>
      </w:pPr>
      <w:r w:rsidRPr="008B322B">
        <w:rPr>
          <w:rFonts w:ascii="Palatino Linotype" w:hAnsi="Palatino Linotype"/>
          <w:b/>
          <w:bCs/>
          <w:color w:val="000000"/>
          <w:sz w:val="22"/>
          <w:szCs w:val="22"/>
          <w:lang w:val="es-EC"/>
        </w:rPr>
        <w:t>Séptima</w:t>
      </w:r>
      <w:r w:rsidR="00844625" w:rsidRPr="008B322B">
        <w:rPr>
          <w:rFonts w:ascii="Palatino Linotype" w:hAnsi="Palatino Linotype"/>
          <w:b/>
          <w:bCs/>
          <w:color w:val="000000"/>
          <w:sz w:val="22"/>
          <w:szCs w:val="22"/>
          <w:lang w:val="es-EC"/>
        </w:rPr>
        <w:t xml:space="preserve">.- </w:t>
      </w:r>
      <w:r w:rsidR="00844625" w:rsidRPr="008B322B">
        <w:rPr>
          <w:rFonts w:ascii="Palatino Linotype" w:hAnsi="Palatino Linotype"/>
          <w:color w:val="000000"/>
          <w:sz w:val="22"/>
          <w:szCs w:val="22"/>
          <w:lang w:val="es-EC"/>
        </w:rPr>
        <w:t>La presente resolución se aprueba en base a los informes que son de exclusiva</w:t>
      </w:r>
      <w:r w:rsidR="00844625" w:rsidRPr="009A4F74">
        <w:rPr>
          <w:rFonts w:ascii="Palatino Linotype" w:hAnsi="Palatino Linotype"/>
          <w:color w:val="000000"/>
          <w:sz w:val="22"/>
          <w:szCs w:val="22"/>
          <w:lang w:val="es-EC"/>
        </w:rPr>
        <w:t xml:space="preserve"> responsabilidad de los funcionarios que lo suscriben y realizan</w:t>
      </w:r>
      <w:r w:rsidR="007D618B">
        <w:rPr>
          <w:rFonts w:ascii="Palatino Linotype" w:hAnsi="Palatino Linotype"/>
          <w:color w:val="000000"/>
          <w:sz w:val="22"/>
          <w:szCs w:val="22"/>
          <w:lang w:val="es-EC"/>
        </w:rPr>
        <w:t>.</w:t>
      </w:r>
    </w:p>
    <w:p w14:paraId="73BDAB6D" w14:textId="77777777" w:rsidR="00844625" w:rsidRPr="00F7554A" w:rsidRDefault="00844625" w:rsidP="007F0CB9">
      <w:pPr>
        <w:pStyle w:val="NormalWeb"/>
        <w:spacing w:before="0" w:beforeAutospacing="0" w:after="0" w:afterAutospacing="0"/>
        <w:jc w:val="both"/>
        <w:rPr>
          <w:rFonts w:ascii="Palatino Linotype" w:hAnsi="Palatino Linotype" w:cstheme="minorHAnsi"/>
          <w:sz w:val="22"/>
          <w:szCs w:val="22"/>
          <w:lang w:val="es-ES"/>
        </w:rPr>
      </w:pPr>
    </w:p>
    <w:p w14:paraId="5682CDA0" w14:textId="77777777" w:rsidR="007F0CB9"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p>
    <w:p w14:paraId="353829D0" w14:textId="1E9BB531" w:rsidR="00B3518B" w:rsidRPr="00F7554A" w:rsidRDefault="007F0CB9" w:rsidP="007F0CB9">
      <w:pPr>
        <w:pStyle w:val="NormalWeb"/>
        <w:spacing w:before="0" w:beforeAutospacing="0" w:after="0" w:afterAutospacing="0"/>
        <w:jc w:val="both"/>
        <w:rPr>
          <w:rFonts w:ascii="Palatino Linotype" w:hAnsi="Palatino Linotype" w:cstheme="minorHAnsi"/>
          <w:b/>
          <w:bCs/>
          <w:sz w:val="22"/>
          <w:szCs w:val="22"/>
          <w:lang w:val="es-ES"/>
        </w:rPr>
      </w:pPr>
      <w:r w:rsidRPr="00F7554A">
        <w:rPr>
          <w:rFonts w:ascii="Palatino Linotype" w:hAnsi="Palatino Linotype" w:cstheme="minorHAnsi"/>
          <w:b/>
          <w:bCs/>
          <w:sz w:val="22"/>
          <w:szCs w:val="22"/>
          <w:lang w:val="es-ES"/>
        </w:rPr>
        <w:t xml:space="preserve">Disposiciones </w:t>
      </w:r>
      <w:r w:rsidR="00B3518B" w:rsidRPr="00F7554A">
        <w:rPr>
          <w:rFonts w:ascii="Palatino Linotype" w:hAnsi="Palatino Linotype" w:cstheme="minorHAnsi"/>
          <w:b/>
          <w:bCs/>
          <w:sz w:val="22"/>
          <w:szCs w:val="22"/>
          <w:lang w:val="es-ES"/>
        </w:rPr>
        <w:t>Transitorias</w:t>
      </w:r>
      <w:r w:rsidRPr="00F7554A">
        <w:rPr>
          <w:rFonts w:ascii="Palatino Linotype" w:hAnsi="Palatino Linotype" w:cstheme="minorHAnsi"/>
          <w:b/>
          <w:bCs/>
          <w:sz w:val="22"/>
          <w:szCs w:val="22"/>
          <w:lang w:val="es-ES"/>
        </w:rPr>
        <w:t>.-</w:t>
      </w:r>
    </w:p>
    <w:p w14:paraId="6043CDA6" w14:textId="77777777" w:rsidR="007F0CB9" w:rsidRPr="00F7554A" w:rsidRDefault="007F0CB9" w:rsidP="007F0CB9">
      <w:pPr>
        <w:jc w:val="both"/>
        <w:rPr>
          <w:rFonts w:ascii="Palatino Linotype" w:eastAsia="Times New Roman" w:hAnsi="Palatino Linotype" w:cstheme="minorHAnsi"/>
          <w:b/>
          <w:bCs/>
          <w:position w:val="2"/>
          <w:sz w:val="22"/>
          <w:szCs w:val="22"/>
          <w:lang w:val="es-ES"/>
        </w:rPr>
      </w:pPr>
    </w:p>
    <w:p w14:paraId="4E44136E" w14:textId="008CCF37" w:rsidR="00B3518B" w:rsidRPr="00F7554A" w:rsidRDefault="00B3518B" w:rsidP="007F0CB9">
      <w:pPr>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 xml:space="preserve">Primera.- </w:t>
      </w:r>
      <w:r w:rsidRPr="00F7554A">
        <w:rPr>
          <w:rFonts w:ascii="Palatino Linotype" w:eastAsia="Times New Roman" w:hAnsi="Palatino Linotype" w:cstheme="minorHAnsi"/>
          <w:sz w:val="22"/>
          <w:szCs w:val="22"/>
          <w:lang w:val="es-ES"/>
        </w:rPr>
        <w:t xml:space="preserve">El propietario </w:t>
      </w:r>
      <w:r w:rsidR="002860C4" w:rsidRPr="00F7554A">
        <w:rPr>
          <w:rFonts w:ascii="Palatino Linotype" w:eastAsia="Times New Roman" w:hAnsi="Palatino Linotype" w:cstheme="minorHAnsi"/>
          <w:sz w:val="22"/>
          <w:szCs w:val="22"/>
          <w:lang w:val="es-ES"/>
        </w:rPr>
        <w:t xml:space="preserve">del </w:t>
      </w:r>
      <w:r w:rsidRPr="00F7554A">
        <w:rPr>
          <w:rFonts w:ascii="Palatino Linotype" w:eastAsia="Times New Roman" w:hAnsi="Palatino Linotype" w:cstheme="minorHAnsi"/>
          <w:sz w:val="22"/>
          <w:szCs w:val="22"/>
          <w:lang w:val="es-ES"/>
        </w:rPr>
        <w:t>predio N</w:t>
      </w:r>
      <w:r w:rsidR="00EC5080" w:rsidRPr="00F7554A">
        <w:rPr>
          <w:rFonts w:ascii="Palatino Linotype" w:eastAsia="Times New Roman" w:hAnsi="Palatino Linotype" w:cstheme="minorHAnsi"/>
          <w:sz w:val="22"/>
          <w:szCs w:val="22"/>
          <w:lang w:val="es-ES"/>
        </w:rPr>
        <w:t>r</w:t>
      </w:r>
      <w:r w:rsidRPr="00F7554A">
        <w:rPr>
          <w:rFonts w:ascii="Palatino Linotype" w:eastAsia="Times New Roman" w:hAnsi="Palatino Linotype" w:cstheme="minorHAnsi"/>
          <w:sz w:val="22"/>
          <w:szCs w:val="22"/>
          <w:lang w:val="es-ES"/>
        </w:rPr>
        <w:t xml:space="preserve">o. </w:t>
      </w:r>
      <w:r w:rsidR="00A90B71" w:rsidRPr="00F7554A">
        <w:rPr>
          <w:rFonts w:ascii="Palatino Linotype" w:hAnsi="Palatino Linotype" w:cstheme="minorHAnsi"/>
          <w:sz w:val="22"/>
          <w:szCs w:val="22"/>
          <w:lang w:val="es-ES"/>
        </w:rPr>
        <w:t>279520</w:t>
      </w:r>
      <w:r w:rsidR="002860C4" w:rsidRPr="00F7554A">
        <w:rPr>
          <w:rFonts w:ascii="Palatino Linotype" w:hAnsi="Palatino Linotype" w:cstheme="minorHAnsi"/>
          <w:sz w:val="22"/>
          <w:szCs w:val="22"/>
          <w:lang w:val="es-ES"/>
        </w:rPr>
        <w:t>,</w:t>
      </w:r>
      <w:r w:rsidRPr="00F7554A">
        <w:rPr>
          <w:rFonts w:ascii="Palatino Linotype" w:eastAsia="Times New Roman" w:hAnsi="Palatino Linotype" w:cstheme="minorHAnsi"/>
          <w:sz w:val="22"/>
          <w:szCs w:val="22"/>
          <w:lang w:val="es-ES"/>
        </w:rPr>
        <w:t xml:space="preserve"> en un plazo de hasta tres (3) </w:t>
      </w:r>
      <w:r w:rsidR="007F0CB9" w:rsidRPr="00F7554A">
        <w:rPr>
          <w:rFonts w:ascii="Palatino Linotype" w:eastAsia="Times New Roman" w:hAnsi="Palatino Linotype" w:cstheme="minorHAnsi"/>
          <w:sz w:val="22"/>
          <w:szCs w:val="22"/>
          <w:lang w:val="es-ES"/>
        </w:rPr>
        <w:t>años</w:t>
      </w:r>
      <w:r w:rsidRPr="00F7554A">
        <w:rPr>
          <w:rFonts w:ascii="Palatino Linotype" w:eastAsia="Times New Roman" w:hAnsi="Palatino Linotype" w:cstheme="minorHAnsi"/>
          <w:sz w:val="22"/>
          <w:szCs w:val="22"/>
          <w:lang w:val="es-ES"/>
        </w:rPr>
        <w:t xml:space="preserve"> contados a partir de la </w:t>
      </w:r>
      <w:r w:rsidR="007F0CB9" w:rsidRPr="00F7554A">
        <w:rPr>
          <w:rFonts w:ascii="Palatino Linotype" w:eastAsia="Times New Roman" w:hAnsi="Palatino Linotype" w:cstheme="minorHAnsi"/>
          <w:sz w:val="22"/>
          <w:szCs w:val="22"/>
          <w:lang w:val="es-ES"/>
        </w:rPr>
        <w:t>obtención</w:t>
      </w:r>
      <w:r w:rsidRPr="00F7554A">
        <w:rPr>
          <w:rFonts w:ascii="Palatino Linotype" w:eastAsia="Times New Roman" w:hAnsi="Palatino Linotype" w:cstheme="minorHAnsi"/>
          <w:sz w:val="22"/>
          <w:szCs w:val="22"/>
          <w:lang w:val="es-ES"/>
        </w:rPr>
        <w:t xml:space="preserve"> de la Licencia Metropolitana </w:t>
      </w:r>
      <w:r w:rsidR="007F0CB9" w:rsidRPr="00F7554A">
        <w:rPr>
          <w:rFonts w:ascii="Palatino Linotype" w:eastAsia="Times New Roman" w:hAnsi="Palatino Linotype" w:cstheme="minorHAnsi"/>
          <w:sz w:val="22"/>
          <w:szCs w:val="22"/>
          <w:lang w:val="es-ES"/>
        </w:rPr>
        <w:t>Urbanística</w:t>
      </w:r>
      <w:r w:rsidR="002860C4" w:rsidRPr="00F7554A">
        <w:rPr>
          <w:rFonts w:ascii="Palatino Linotype" w:eastAsia="Times New Roman" w:hAnsi="Palatino Linotype" w:cstheme="minorHAnsi"/>
          <w:sz w:val="22"/>
          <w:szCs w:val="22"/>
          <w:lang w:val="es-ES"/>
        </w:rPr>
        <w:t xml:space="preserve"> de Habilitación de Suelo</w:t>
      </w:r>
      <w:r w:rsidRPr="00F7554A">
        <w:rPr>
          <w:rFonts w:ascii="Palatino Linotype" w:eastAsia="Times New Roman" w:hAnsi="Palatino Linotype" w:cstheme="minorHAnsi"/>
          <w:sz w:val="22"/>
          <w:szCs w:val="22"/>
          <w:lang w:val="es-ES"/>
        </w:rPr>
        <w:t xml:space="preserve"> </w:t>
      </w:r>
      <w:r w:rsidR="002860C4" w:rsidRPr="00F7554A">
        <w:rPr>
          <w:rFonts w:ascii="Palatino Linotype" w:eastAsia="Times New Roman" w:hAnsi="Palatino Linotype" w:cstheme="minorHAnsi"/>
          <w:sz w:val="22"/>
          <w:szCs w:val="22"/>
          <w:lang w:val="es-ES"/>
        </w:rPr>
        <w:t>(</w:t>
      </w:r>
      <w:r w:rsidRPr="00F7554A">
        <w:rPr>
          <w:rFonts w:ascii="Palatino Linotype" w:eastAsia="Times New Roman" w:hAnsi="Palatino Linotype" w:cstheme="minorHAnsi"/>
          <w:sz w:val="22"/>
          <w:szCs w:val="22"/>
          <w:lang w:val="es-ES"/>
        </w:rPr>
        <w:t>LMU 10</w:t>
      </w:r>
      <w:r w:rsidR="002860C4" w:rsidRPr="00F7554A">
        <w:rPr>
          <w:rFonts w:ascii="Palatino Linotype" w:eastAsia="Times New Roman" w:hAnsi="Palatino Linotype" w:cstheme="minorHAnsi"/>
          <w:sz w:val="22"/>
          <w:szCs w:val="22"/>
          <w:lang w:val="es-ES"/>
        </w:rPr>
        <w:t>)</w:t>
      </w:r>
      <w:r w:rsidRPr="00F7554A">
        <w:rPr>
          <w:rFonts w:ascii="Palatino Linotype" w:eastAsia="Times New Roman" w:hAnsi="Palatino Linotype" w:cstheme="minorHAnsi"/>
          <w:sz w:val="22"/>
          <w:szCs w:val="22"/>
          <w:lang w:val="es-ES"/>
        </w:rPr>
        <w:t xml:space="preserve"> se obliga a: </w:t>
      </w:r>
    </w:p>
    <w:p w14:paraId="2CFFAA2D" w14:textId="77777777" w:rsidR="007F0CB9" w:rsidRPr="00F7554A" w:rsidRDefault="007F0CB9" w:rsidP="007F0CB9">
      <w:pPr>
        <w:ind w:left="720"/>
        <w:jc w:val="both"/>
        <w:rPr>
          <w:rFonts w:ascii="Palatino Linotype" w:eastAsia="Times New Roman" w:hAnsi="Palatino Linotype" w:cstheme="minorHAnsi"/>
          <w:b/>
          <w:bCs/>
          <w:position w:val="2"/>
          <w:sz w:val="22"/>
          <w:szCs w:val="22"/>
          <w:lang w:val="es-ES"/>
        </w:rPr>
      </w:pPr>
    </w:p>
    <w:p w14:paraId="208DF321" w14:textId="1FA1F6C7" w:rsidR="00B3518B" w:rsidRPr="00F7554A" w:rsidRDefault="00B3518B" w:rsidP="00DC31D6">
      <w:pPr>
        <w:ind w:left="720"/>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 xml:space="preserve">a) </w:t>
      </w:r>
      <w:r w:rsidRPr="00F7554A">
        <w:rPr>
          <w:rFonts w:ascii="Palatino Linotype" w:eastAsia="Times New Roman" w:hAnsi="Palatino Linotype" w:cstheme="minorHAnsi"/>
          <w:sz w:val="22"/>
          <w:szCs w:val="22"/>
          <w:lang w:val="es-ES"/>
        </w:rPr>
        <w:t xml:space="preserve">Transferir al Municipio del Distrito Metropolitano de Quito, de manera gratuita y obligatoria las </w:t>
      </w:r>
      <w:r w:rsidR="007F0CB9" w:rsidRPr="00F7554A">
        <w:rPr>
          <w:rFonts w:ascii="Palatino Linotype" w:eastAsia="Times New Roman" w:hAnsi="Palatino Linotype" w:cstheme="minorHAnsi"/>
          <w:sz w:val="22"/>
          <w:szCs w:val="22"/>
          <w:lang w:val="es-ES"/>
        </w:rPr>
        <w:t>áreas</w:t>
      </w:r>
      <w:r w:rsidRPr="00F7554A">
        <w:rPr>
          <w:rFonts w:ascii="Palatino Linotype" w:eastAsia="Times New Roman" w:hAnsi="Palatino Linotype" w:cstheme="minorHAnsi"/>
          <w:sz w:val="22"/>
          <w:szCs w:val="22"/>
          <w:lang w:val="es-ES"/>
        </w:rPr>
        <w:t xml:space="preserve"> verdes, </w:t>
      </w:r>
      <w:r w:rsidR="007F0CB9" w:rsidRPr="00F7554A">
        <w:rPr>
          <w:rFonts w:ascii="Palatino Linotype" w:eastAsia="Times New Roman" w:hAnsi="Palatino Linotype" w:cstheme="minorHAnsi"/>
          <w:sz w:val="22"/>
          <w:szCs w:val="22"/>
          <w:lang w:val="es-ES"/>
        </w:rPr>
        <w:t>áreas</w:t>
      </w:r>
      <w:r w:rsidRPr="00F7554A">
        <w:rPr>
          <w:rFonts w:ascii="Palatino Linotype" w:eastAsia="Times New Roman" w:hAnsi="Palatino Linotype" w:cstheme="minorHAnsi"/>
          <w:sz w:val="22"/>
          <w:szCs w:val="22"/>
          <w:lang w:val="es-ES"/>
        </w:rPr>
        <w:t xml:space="preserve"> de </w:t>
      </w:r>
      <w:r w:rsidR="007F0CB9" w:rsidRPr="00F7554A">
        <w:rPr>
          <w:rFonts w:ascii="Palatino Linotype" w:eastAsia="Times New Roman" w:hAnsi="Palatino Linotype" w:cstheme="minorHAnsi"/>
          <w:sz w:val="22"/>
          <w:szCs w:val="22"/>
          <w:lang w:val="es-ES"/>
        </w:rPr>
        <w:t>vías</w:t>
      </w:r>
      <w:r w:rsidRPr="00F7554A">
        <w:rPr>
          <w:rFonts w:ascii="Palatino Linotype" w:eastAsia="Times New Roman" w:hAnsi="Palatino Linotype" w:cstheme="minorHAnsi"/>
          <w:sz w:val="22"/>
          <w:szCs w:val="22"/>
          <w:lang w:val="es-ES"/>
        </w:rPr>
        <w:t xml:space="preserve"> y de equipamiento </w:t>
      </w:r>
      <w:r w:rsidR="007F0CB9" w:rsidRPr="00F7554A">
        <w:rPr>
          <w:rFonts w:ascii="Palatino Linotype" w:eastAsia="Times New Roman" w:hAnsi="Palatino Linotype" w:cstheme="minorHAnsi"/>
          <w:sz w:val="22"/>
          <w:szCs w:val="22"/>
          <w:lang w:val="es-ES"/>
        </w:rPr>
        <w:t>público</w:t>
      </w:r>
      <w:r w:rsidRPr="00F7554A">
        <w:rPr>
          <w:rFonts w:ascii="Palatino Linotype" w:eastAsia="Times New Roman" w:hAnsi="Palatino Linotype" w:cstheme="minorHAnsi"/>
          <w:sz w:val="22"/>
          <w:szCs w:val="22"/>
          <w:lang w:val="es-ES"/>
        </w:rPr>
        <w:t xml:space="preserve">, </w:t>
      </w:r>
      <w:r w:rsidR="007F0CB9" w:rsidRPr="00F7554A">
        <w:rPr>
          <w:rFonts w:ascii="Palatino Linotype" w:eastAsia="Times New Roman" w:hAnsi="Palatino Linotype" w:cstheme="minorHAnsi"/>
          <w:sz w:val="22"/>
          <w:szCs w:val="22"/>
          <w:lang w:val="es-ES"/>
        </w:rPr>
        <w:t>según</w:t>
      </w:r>
      <w:r w:rsidRPr="00F7554A">
        <w:rPr>
          <w:rFonts w:ascii="Palatino Linotype" w:eastAsia="Times New Roman" w:hAnsi="Palatino Linotype" w:cstheme="minorHAnsi"/>
          <w:sz w:val="22"/>
          <w:szCs w:val="22"/>
          <w:lang w:val="es-ES"/>
        </w:rPr>
        <w:t xml:space="preserve"> lo previsto en la normativa vigente</w:t>
      </w:r>
      <w:r w:rsidR="002860C4" w:rsidRPr="00F7554A">
        <w:rPr>
          <w:rFonts w:ascii="Palatino Linotype" w:eastAsia="Times New Roman" w:hAnsi="Palatino Linotype" w:cstheme="minorHAnsi"/>
          <w:sz w:val="22"/>
          <w:szCs w:val="22"/>
          <w:lang w:val="es-ES"/>
        </w:rPr>
        <w:t xml:space="preserve"> y en la presente Resolución</w:t>
      </w:r>
      <w:r w:rsidR="008E69AC" w:rsidRPr="00F7554A">
        <w:rPr>
          <w:rFonts w:ascii="Palatino Linotype" w:eastAsia="Times New Roman" w:hAnsi="Palatino Linotype" w:cstheme="minorHAnsi"/>
          <w:sz w:val="22"/>
          <w:szCs w:val="22"/>
          <w:lang w:val="es-ES"/>
        </w:rPr>
        <w:t xml:space="preserve">; </w:t>
      </w:r>
      <w:r w:rsidRPr="00F7554A">
        <w:rPr>
          <w:rFonts w:ascii="Palatino Linotype" w:eastAsia="Times New Roman" w:hAnsi="Palatino Linotype" w:cstheme="minorHAnsi"/>
          <w:sz w:val="22"/>
          <w:szCs w:val="22"/>
          <w:lang w:val="es-ES"/>
        </w:rPr>
        <w:t xml:space="preserve"> </w:t>
      </w:r>
    </w:p>
    <w:p w14:paraId="438F4DC1" w14:textId="3F1659F5" w:rsidR="00B3518B" w:rsidRPr="00F7554A" w:rsidRDefault="00B3518B" w:rsidP="007F0CB9">
      <w:pPr>
        <w:ind w:left="720"/>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b)  </w:t>
      </w:r>
      <w:r w:rsidRPr="00F7554A">
        <w:rPr>
          <w:rFonts w:ascii="Palatino Linotype" w:eastAsia="Times New Roman" w:hAnsi="Palatino Linotype" w:cstheme="minorHAnsi"/>
          <w:sz w:val="22"/>
          <w:szCs w:val="22"/>
          <w:lang w:val="es-ES"/>
        </w:rPr>
        <w:t>Desarrollar a su costo, observando la normativa prevista para el efecto, las obras de infraestructura y vialidad</w:t>
      </w:r>
      <w:r w:rsidR="007F0CB9" w:rsidRPr="00F7554A">
        <w:rPr>
          <w:rFonts w:ascii="Palatino Linotype" w:eastAsia="Times New Roman" w:hAnsi="Palatino Linotype" w:cstheme="minorHAnsi"/>
          <w:sz w:val="22"/>
          <w:szCs w:val="22"/>
          <w:lang w:val="es-ES"/>
        </w:rPr>
        <w:t xml:space="preserve"> </w:t>
      </w:r>
      <w:r w:rsidRPr="00F7554A">
        <w:rPr>
          <w:rFonts w:ascii="Palatino Linotype" w:eastAsia="Times New Roman" w:hAnsi="Palatino Linotype" w:cstheme="minorHAnsi"/>
          <w:sz w:val="22"/>
          <w:szCs w:val="22"/>
          <w:lang w:val="es-ES"/>
        </w:rPr>
        <w:t xml:space="preserve">previstas por el proyecto; </w:t>
      </w:r>
    </w:p>
    <w:p w14:paraId="79E5527B" w14:textId="6D9A35F6" w:rsidR="00A90B71" w:rsidRPr="00F7554A" w:rsidRDefault="00B3518B" w:rsidP="00A90B71">
      <w:pPr>
        <w:ind w:left="720"/>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c)  </w:t>
      </w:r>
      <w:r w:rsidRPr="00F7554A">
        <w:rPr>
          <w:rFonts w:ascii="Palatino Linotype" w:eastAsia="Times New Roman" w:hAnsi="Palatino Linotype" w:cstheme="minorHAnsi"/>
          <w:sz w:val="22"/>
          <w:szCs w:val="22"/>
          <w:lang w:val="es-ES"/>
        </w:rPr>
        <w:t xml:space="preserve">Ejecutar las obras para la </w:t>
      </w:r>
      <w:r w:rsidR="007F0CB9" w:rsidRPr="00F7554A">
        <w:rPr>
          <w:rFonts w:ascii="Palatino Linotype" w:eastAsia="Times New Roman" w:hAnsi="Palatino Linotype" w:cstheme="minorHAnsi"/>
          <w:sz w:val="22"/>
          <w:szCs w:val="22"/>
          <w:lang w:val="es-ES"/>
        </w:rPr>
        <w:t>habilitación</w:t>
      </w:r>
      <w:r w:rsidRPr="00F7554A">
        <w:rPr>
          <w:rFonts w:ascii="Palatino Linotype" w:eastAsia="Times New Roman" w:hAnsi="Palatino Linotype" w:cstheme="minorHAnsi"/>
          <w:sz w:val="22"/>
          <w:szCs w:val="22"/>
          <w:lang w:val="es-ES"/>
        </w:rPr>
        <w:t xml:space="preserve"> de las </w:t>
      </w:r>
      <w:r w:rsidR="007F0CB9" w:rsidRPr="00F7554A">
        <w:rPr>
          <w:rFonts w:ascii="Palatino Linotype" w:eastAsia="Times New Roman" w:hAnsi="Palatino Linotype" w:cstheme="minorHAnsi"/>
          <w:sz w:val="22"/>
          <w:szCs w:val="22"/>
          <w:lang w:val="es-ES"/>
        </w:rPr>
        <w:t>áreas</w:t>
      </w:r>
      <w:r w:rsidRPr="00F7554A">
        <w:rPr>
          <w:rFonts w:ascii="Palatino Linotype" w:eastAsia="Times New Roman" w:hAnsi="Palatino Linotype" w:cstheme="minorHAnsi"/>
          <w:sz w:val="22"/>
          <w:szCs w:val="22"/>
          <w:lang w:val="es-ES"/>
        </w:rPr>
        <w:t xml:space="preserve"> verdes </w:t>
      </w:r>
      <w:r w:rsidR="007F0CB9" w:rsidRPr="00F7554A">
        <w:rPr>
          <w:rFonts w:ascii="Palatino Linotype" w:eastAsia="Times New Roman" w:hAnsi="Palatino Linotype" w:cstheme="minorHAnsi"/>
          <w:sz w:val="22"/>
          <w:szCs w:val="22"/>
          <w:lang w:val="es-ES"/>
        </w:rPr>
        <w:t>públicas</w:t>
      </w:r>
      <w:r w:rsidR="00A90B71" w:rsidRPr="00F7554A">
        <w:rPr>
          <w:rFonts w:ascii="Palatino Linotype" w:eastAsia="Times New Roman" w:hAnsi="Palatino Linotype" w:cstheme="minorHAnsi"/>
          <w:sz w:val="22"/>
          <w:szCs w:val="22"/>
          <w:lang w:val="es-ES"/>
        </w:rPr>
        <w:t>;</w:t>
      </w:r>
    </w:p>
    <w:p w14:paraId="538DAC71" w14:textId="606E9EDC" w:rsidR="00A90B71" w:rsidRPr="00F7554A" w:rsidRDefault="00B3518B" w:rsidP="002860C4">
      <w:pPr>
        <w:ind w:left="720"/>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 xml:space="preserve">d) </w:t>
      </w:r>
      <w:r w:rsidR="00A90B71" w:rsidRPr="00F7554A">
        <w:rPr>
          <w:rFonts w:ascii="Palatino Linotype" w:eastAsia="Times New Roman" w:hAnsi="Palatino Linotype" w:cstheme="minorHAnsi"/>
          <w:sz w:val="22"/>
          <w:szCs w:val="22"/>
          <w:lang w:val="es-ES"/>
        </w:rPr>
        <w:t xml:space="preserve">Desarrollar un equipamiento de transporte según las asignaciones de uso y ocupación de suelo </w:t>
      </w:r>
      <w:r w:rsidR="00B061B5" w:rsidRPr="00F7554A">
        <w:rPr>
          <w:rFonts w:ascii="Palatino Linotype" w:eastAsia="Times New Roman" w:hAnsi="Palatino Linotype" w:cstheme="minorHAnsi"/>
          <w:sz w:val="22"/>
          <w:szCs w:val="22"/>
          <w:lang w:val="es-ES"/>
        </w:rPr>
        <w:t xml:space="preserve">determinadas en la presente </w:t>
      </w:r>
      <w:r w:rsidR="009E46DF" w:rsidRPr="00F7554A">
        <w:rPr>
          <w:rFonts w:ascii="Palatino Linotype" w:eastAsia="Times New Roman" w:hAnsi="Palatino Linotype" w:cstheme="minorHAnsi"/>
          <w:sz w:val="22"/>
          <w:szCs w:val="22"/>
          <w:lang w:val="es-ES"/>
        </w:rPr>
        <w:t>R</w:t>
      </w:r>
      <w:r w:rsidR="00B061B5" w:rsidRPr="00F7554A">
        <w:rPr>
          <w:rFonts w:ascii="Palatino Linotype" w:eastAsia="Times New Roman" w:hAnsi="Palatino Linotype" w:cstheme="minorHAnsi"/>
          <w:sz w:val="22"/>
          <w:szCs w:val="22"/>
          <w:lang w:val="es-ES"/>
        </w:rPr>
        <w:t xml:space="preserve">esolución en base </w:t>
      </w:r>
      <w:r w:rsidR="00EC5080" w:rsidRPr="00F7554A">
        <w:rPr>
          <w:rFonts w:ascii="Palatino Linotype" w:eastAsia="Times New Roman" w:hAnsi="Palatino Linotype" w:cstheme="minorHAnsi"/>
          <w:sz w:val="22"/>
          <w:szCs w:val="22"/>
          <w:lang w:val="es-ES"/>
        </w:rPr>
        <w:t xml:space="preserve">al informe técnico </w:t>
      </w:r>
      <w:r w:rsidR="00B061B5" w:rsidRPr="00F7554A">
        <w:rPr>
          <w:rFonts w:ascii="Palatino Linotype" w:eastAsia="Times New Roman" w:hAnsi="Palatino Linotype" w:cstheme="minorHAnsi"/>
          <w:sz w:val="22"/>
          <w:szCs w:val="22"/>
          <w:lang w:val="es-ES"/>
        </w:rPr>
        <w:t>de la Secretaría de Territorio, Hábitat y Vivienda</w:t>
      </w:r>
      <w:r w:rsidR="00A90B71" w:rsidRPr="00F7554A">
        <w:rPr>
          <w:rFonts w:ascii="Palatino Linotype" w:eastAsia="Times New Roman" w:hAnsi="Palatino Linotype" w:cstheme="minorHAnsi"/>
          <w:sz w:val="22"/>
          <w:szCs w:val="22"/>
          <w:lang w:val="es-ES"/>
        </w:rPr>
        <w:t xml:space="preserve">. </w:t>
      </w:r>
    </w:p>
    <w:p w14:paraId="466CAF94" w14:textId="189B9CBE" w:rsidR="00B3518B" w:rsidRPr="00F7554A" w:rsidRDefault="00A90B71" w:rsidP="00A90B71">
      <w:pPr>
        <w:ind w:left="720"/>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e)  </w:t>
      </w:r>
      <w:r w:rsidRPr="00F7554A">
        <w:rPr>
          <w:rFonts w:ascii="Palatino Linotype" w:eastAsia="Times New Roman" w:hAnsi="Palatino Linotype" w:cstheme="minorHAnsi"/>
          <w:sz w:val="22"/>
          <w:szCs w:val="22"/>
          <w:lang w:val="es-ES"/>
        </w:rPr>
        <w:t xml:space="preserve">Ejecutar las medidas de mitigación derivadas de potenciales riesgos, de aplicar; </w:t>
      </w:r>
      <w:r w:rsidR="00B3518B" w:rsidRPr="00F7554A">
        <w:rPr>
          <w:rFonts w:ascii="Palatino Linotype" w:eastAsia="Times New Roman" w:hAnsi="Palatino Linotype" w:cstheme="minorHAnsi"/>
          <w:sz w:val="22"/>
          <w:szCs w:val="22"/>
          <w:lang w:val="es-ES"/>
        </w:rPr>
        <w:t xml:space="preserve">  </w:t>
      </w:r>
    </w:p>
    <w:p w14:paraId="44377E2A" w14:textId="77777777" w:rsidR="007F0CB9" w:rsidRPr="00F7554A" w:rsidRDefault="007F0CB9" w:rsidP="007F0CB9">
      <w:pPr>
        <w:jc w:val="both"/>
        <w:rPr>
          <w:rFonts w:ascii="Palatino Linotype" w:eastAsia="Times New Roman" w:hAnsi="Palatino Linotype" w:cstheme="minorHAnsi"/>
          <w:sz w:val="22"/>
          <w:szCs w:val="22"/>
          <w:lang w:val="es-ES"/>
        </w:rPr>
      </w:pPr>
    </w:p>
    <w:p w14:paraId="529899B4" w14:textId="000F4C19" w:rsidR="00B3518B" w:rsidRPr="00F7554A" w:rsidRDefault="00B3518B" w:rsidP="007F0CB9">
      <w:pPr>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sz w:val="22"/>
          <w:szCs w:val="22"/>
          <w:lang w:val="es-ES"/>
        </w:rPr>
        <w:t xml:space="preserve">De requerirse, el promotor </w:t>
      </w:r>
      <w:r w:rsidR="007F0CB9" w:rsidRPr="00F7554A">
        <w:rPr>
          <w:rFonts w:ascii="Palatino Linotype" w:eastAsia="Times New Roman" w:hAnsi="Palatino Linotype" w:cstheme="minorHAnsi"/>
          <w:sz w:val="22"/>
          <w:szCs w:val="22"/>
          <w:lang w:val="es-ES"/>
        </w:rPr>
        <w:t>suscribir</w:t>
      </w:r>
      <w:r w:rsidR="00A90B71" w:rsidRPr="00F7554A">
        <w:rPr>
          <w:rFonts w:ascii="Palatino Linotype" w:eastAsia="Times New Roman" w:hAnsi="Palatino Linotype" w:cstheme="minorHAnsi"/>
          <w:sz w:val="22"/>
          <w:szCs w:val="22"/>
          <w:lang w:val="es-ES"/>
        </w:rPr>
        <w:t>á</w:t>
      </w:r>
      <w:r w:rsidRPr="00F7554A">
        <w:rPr>
          <w:rFonts w:ascii="Palatino Linotype" w:eastAsia="Times New Roman" w:hAnsi="Palatino Linotype" w:cstheme="minorHAnsi"/>
          <w:sz w:val="22"/>
          <w:szCs w:val="22"/>
          <w:lang w:val="es-ES"/>
        </w:rPr>
        <w:t xml:space="preserve"> convenios con las entidades municipales competentes para ejecutar los compromisos previstos en la presente </w:t>
      </w:r>
      <w:r w:rsidR="007F0CB9" w:rsidRPr="00F7554A">
        <w:rPr>
          <w:rFonts w:ascii="Palatino Linotype" w:eastAsia="Times New Roman" w:hAnsi="Palatino Linotype" w:cstheme="minorHAnsi"/>
          <w:sz w:val="22"/>
          <w:szCs w:val="22"/>
          <w:lang w:val="es-ES"/>
        </w:rPr>
        <w:t>disposición</w:t>
      </w:r>
      <w:r w:rsidRPr="00F7554A">
        <w:rPr>
          <w:rFonts w:ascii="Palatino Linotype" w:eastAsia="Times New Roman" w:hAnsi="Palatino Linotype" w:cstheme="minorHAnsi"/>
          <w:sz w:val="22"/>
          <w:szCs w:val="22"/>
          <w:lang w:val="es-ES"/>
        </w:rPr>
        <w:t xml:space="preserve">. </w:t>
      </w:r>
    </w:p>
    <w:p w14:paraId="4F469058" w14:textId="77777777" w:rsidR="007F0CB9" w:rsidRPr="00F7554A" w:rsidRDefault="007F0CB9" w:rsidP="007F0CB9">
      <w:pPr>
        <w:jc w:val="both"/>
        <w:rPr>
          <w:rFonts w:ascii="Palatino Linotype" w:eastAsia="Times New Roman" w:hAnsi="Palatino Linotype" w:cstheme="minorHAnsi"/>
          <w:b/>
          <w:bCs/>
          <w:position w:val="2"/>
          <w:sz w:val="22"/>
          <w:szCs w:val="22"/>
          <w:lang w:val="es-ES"/>
        </w:rPr>
      </w:pPr>
    </w:p>
    <w:p w14:paraId="0B655E87" w14:textId="0ED13D59" w:rsidR="00B3518B" w:rsidRPr="00F7554A" w:rsidRDefault="00B3518B" w:rsidP="007F0CB9">
      <w:pPr>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b/>
          <w:bCs/>
          <w:position w:val="2"/>
          <w:sz w:val="22"/>
          <w:szCs w:val="22"/>
          <w:lang w:val="es-ES"/>
        </w:rPr>
        <w:t xml:space="preserve">Segunda.- </w:t>
      </w:r>
      <w:r w:rsidR="002860C4" w:rsidRPr="00F7554A">
        <w:rPr>
          <w:rFonts w:ascii="Palatino Linotype" w:eastAsia="Times New Roman" w:hAnsi="Palatino Linotype" w:cstheme="minorHAnsi"/>
          <w:color w:val="000000" w:themeColor="text1"/>
          <w:position w:val="2"/>
          <w:sz w:val="22"/>
          <w:szCs w:val="22"/>
          <w:lang w:val="es-ES"/>
        </w:rPr>
        <w:t>En el plazo de treinta (30) días, la Dirección Metropolitana de Catastro y la Dirección Metropolitana de Bienes Inmuebles emitirán los informes técnicos del cambio de categoría del predio N</w:t>
      </w:r>
      <w:r w:rsidR="00EC5080" w:rsidRPr="00F7554A">
        <w:rPr>
          <w:rFonts w:ascii="Palatino Linotype" w:eastAsia="Times New Roman" w:hAnsi="Palatino Linotype" w:cstheme="minorHAnsi"/>
          <w:color w:val="000000" w:themeColor="text1"/>
          <w:position w:val="2"/>
          <w:sz w:val="22"/>
          <w:szCs w:val="22"/>
          <w:lang w:val="es-ES"/>
        </w:rPr>
        <w:t>r</w:t>
      </w:r>
      <w:r w:rsidR="002860C4" w:rsidRPr="00F7554A">
        <w:rPr>
          <w:rFonts w:ascii="Palatino Linotype" w:eastAsia="Times New Roman" w:hAnsi="Palatino Linotype" w:cstheme="minorHAnsi"/>
          <w:color w:val="000000" w:themeColor="text1"/>
          <w:position w:val="2"/>
          <w:sz w:val="22"/>
          <w:szCs w:val="22"/>
          <w:lang w:val="es-ES"/>
        </w:rPr>
        <w:t xml:space="preserve">o. </w:t>
      </w:r>
      <w:r w:rsidR="002860C4" w:rsidRPr="00F7554A">
        <w:rPr>
          <w:rFonts w:ascii="Palatino Linotype" w:hAnsi="Palatino Linotype" w:cstheme="minorHAnsi"/>
          <w:sz w:val="22"/>
          <w:szCs w:val="22"/>
          <w:lang w:val="es-ES"/>
        </w:rPr>
        <w:t xml:space="preserve">3697579, o su parte proporcional, los que serán puestos en consideración de la Comisión de Propiedad y Espacio Público, previo el conocimiento del Concejo Metropolitano de Quito. </w:t>
      </w:r>
    </w:p>
    <w:p w14:paraId="180467FE" w14:textId="77777777" w:rsidR="007F0CB9" w:rsidRPr="00F7554A" w:rsidRDefault="007F0CB9" w:rsidP="007F0CB9">
      <w:pPr>
        <w:jc w:val="both"/>
        <w:rPr>
          <w:rFonts w:ascii="Palatino Linotype" w:eastAsia="Times New Roman" w:hAnsi="Palatino Linotype" w:cstheme="minorHAnsi"/>
          <w:b/>
          <w:bCs/>
          <w:sz w:val="22"/>
          <w:szCs w:val="22"/>
          <w:lang w:val="es-ES"/>
        </w:rPr>
      </w:pPr>
    </w:p>
    <w:p w14:paraId="0D69BF41" w14:textId="65DD972C" w:rsidR="00B3518B" w:rsidRPr="00F7554A" w:rsidRDefault="00B3518B" w:rsidP="007F0CB9">
      <w:pPr>
        <w:jc w:val="both"/>
        <w:rPr>
          <w:rFonts w:ascii="Palatino Linotype" w:hAnsi="Palatino Linotype" w:cstheme="minorHAnsi"/>
          <w:sz w:val="22"/>
          <w:szCs w:val="22"/>
          <w:lang w:val="es-ES"/>
        </w:rPr>
      </w:pPr>
      <w:r w:rsidRPr="00F7554A">
        <w:rPr>
          <w:rFonts w:ascii="Palatino Linotype" w:eastAsia="Times New Roman" w:hAnsi="Palatino Linotype" w:cstheme="minorHAnsi"/>
          <w:b/>
          <w:bCs/>
          <w:sz w:val="22"/>
          <w:szCs w:val="22"/>
          <w:lang w:val="es-ES"/>
        </w:rPr>
        <w:t>Tercera.-</w:t>
      </w:r>
      <w:r w:rsidRPr="00F7554A">
        <w:rPr>
          <w:rFonts w:ascii="Palatino Linotype" w:eastAsia="Times New Roman" w:hAnsi="Palatino Linotype" w:cstheme="minorHAnsi"/>
          <w:sz w:val="22"/>
          <w:szCs w:val="22"/>
          <w:lang w:val="es-ES"/>
        </w:rPr>
        <w:t xml:space="preserve"> </w:t>
      </w:r>
      <w:r w:rsidR="002860C4" w:rsidRPr="00F7554A">
        <w:rPr>
          <w:rFonts w:ascii="Palatino Linotype" w:eastAsia="Times New Roman" w:hAnsi="Palatino Linotype" w:cstheme="minorHAnsi"/>
          <w:sz w:val="22"/>
          <w:szCs w:val="22"/>
          <w:lang w:val="es-ES"/>
        </w:rPr>
        <w:t xml:space="preserve">Con el </w:t>
      </w:r>
      <w:r w:rsidR="002860C4" w:rsidRPr="00F7554A">
        <w:rPr>
          <w:rFonts w:ascii="Palatino Linotype" w:eastAsia="Times New Roman" w:hAnsi="Palatino Linotype" w:cstheme="minorHAnsi"/>
          <w:color w:val="000000" w:themeColor="text1"/>
          <w:position w:val="2"/>
          <w:sz w:val="22"/>
          <w:szCs w:val="22"/>
          <w:lang w:val="es-ES"/>
        </w:rPr>
        <w:t xml:space="preserve">cambio de categoría del predio No. </w:t>
      </w:r>
      <w:r w:rsidR="002860C4" w:rsidRPr="00F7554A">
        <w:rPr>
          <w:rFonts w:ascii="Palatino Linotype" w:hAnsi="Palatino Linotype" w:cstheme="minorHAnsi"/>
          <w:sz w:val="22"/>
          <w:szCs w:val="22"/>
          <w:lang w:val="es-ES"/>
        </w:rPr>
        <w:t>3697579, o su parte proporcional, la Secretaría de Territorio, Hábitat y Vivienda llevará a cabo el procedimiento de la Licencia Metropolitana Urbanística de Habilitación de Suelo (LMU10) especial</w:t>
      </w:r>
      <w:r w:rsidR="00E4037B" w:rsidRPr="00F7554A">
        <w:rPr>
          <w:rFonts w:ascii="Palatino Linotype" w:hAnsi="Palatino Linotype" w:cstheme="minorHAnsi"/>
          <w:sz w:val="22"/>
          <w:szCs w:val="22"/>
          <w:lang w:val="es-ES"/>
        </w:rPr>
        <w:t>.</w:t>
      </w:r>
    </w:p>
    <w:p w14:paraId="72BDD0D8" w14:textId="7701EC92" w:rsidR="002860C4" w:rsidRPr="00F7554A" w:rsidRDefault="002860C4" w:rsidP="007F0CB9">
      <w:pPr>
        <w:jc w:val="both"/>
        <w:rPr>
          <w:rFonts w:ascii="Palatino Linotype" w:hAnsi="Palatino Linotype" w:cstheme="minorHAnsi"/>
          <w:sz w:val="22"/>
          <w:szCs w:val="22"/>
          <w:lang w:val="es-ES"/>
        </w:rPr>
      </w:pPr>
    </w:p>
    <w:p w14:paraId="4BD14A6A" w14:textId="0C2B2BD8" w:rsidR="00D02B82" w:rsidRPr="00F7554A" w:rsidRDefault="002860C4" w:rsidP="00D02B82">
      <w:pPr>
        <w:jc w:val="both"/>
        <w:rPr>
          <w:rFonts w:ascii="Palatino Linotype" w:eastAsia="Times New Roman" w:hAnsi="Palatino Linotype" w:cstheme="minorHAnsi"/>
          <w:sz w:val="22"/>
          <w:szCs w:val="22"/>
          <w:lang w:val="es-ES"/>
        </w:rPr>
      </w:pPr>
      <w:r w:rsidRPr="00F7554A">
        <w:rPr>
          <w:rFonts w:ascii="Palatino Linotype" w:hAnsi="Palatino Linotype" w:cstheme="minorHAnsi"/>
          <w:b/>
          <w:bCs/>
          <w:sz w:val="22"/>
          <w:szCs w:val="22"/>
          <w:lang w:val="es-ES"/>
        </w:rPr>
        <w:t xml:space="preserve">Cuarta.- </w:t>
      </w:r>
      <w:r w:rsidR="00D02B82" w:rsidRPr="00F7554A">
        <w:rPr>
          <w:rFonts w:ascii="Palatino Linotype" w:hAnsi="Palatino Linotype" w:cstheme="minorHAnsi"/>
          <w:sz w:val="22"/>
          <w:szCs w:val="22"/>
          <w:lang w:val="es-ES"/>
        </w:rPr>
        <w:t>Con la subdivisión especial del predio N</w:t>
      </w:r>
      <w:r w:rsidR="00EC5080" w:rsidRPr="00F7554A">
        <w:rPr>
          <w:rFonts w:ascii="Palatino Linotype" w:hAnsi="Palatino Linotype" w:cstheme="minorHAnsi"/>
          <w:sz w:val="22"/>
          <w:szCs w:val="22"/>
          <w:lang w:val="es-ES"/>
        </w:rPr>
        <w:t>r</w:t>
      </w:r>
      <w:r w:rsidR="00D02B82" w:rsidRPr="00F7554A">
        <w:rPr>
          <w:rFonts w:ascii="Palatino Linotype" w:hAnsi="Palatino Linotype" w:cstheme="minorHAnsi"/>
          <w:sz w:val="22"/>
          <w:szCs w:val="22"/>
          <w:lang w:val="es-ES"/>
        </w:rPr>
        <w:t xml:space="preserve">o. 3697579, </w:t>
      </w:r>
      <w:r w:rsidR="00D02B82" w:rsidRPr="00F7554A">
        <w:rPr>
          <w:rFonts w:ascii="Palatino Linotype" w:eastAsia="Times New Roman" w:hAnsi="Palatino Linotype" w:cstheme="minorHAnsi"/>
          <w:color w:val="000000" w:themeColor="text1"/>
          <w:position w:val="2"/>
          <w:sz w:val="22"/>
          <w:szCs w:val="22"/>
          <w:lang w:val="es-ES"/>
        </w:rPr>
        <w:t xml:space="preserve">la Dirección Metropolitana de Catastro, la Dirección Metropolitana de Bienes Inmuebles y la Administración Zonal Eloy Alfaro emitirán los informes técnicos sobre la permuta de la parte proporcional del actual predio No. </w:t>
      </w:r>
      <w:r w:rsidR="00D02B82" w:rsidRPr="00F7554A">
        <w:rPr>
          <w:rFonts w:ascii="Palatino Linotype" w:hAnsi="Palatino Linotype" w:cstheme="minorHAnsi"/>
          <w:sz w:val="22"/>
          <w:szCs w:val="22"/>
          <w:lang w:val="es-ES"/>
        </w:rPr>
        <w:t>3697579, según lo determinado en el</w:t>
      </w:r>
      <w:r w:rsidR="009E46DF" w:rsidRPr="00F7554A">
        <w:rPr>
          <w:rFonts w:ascii="Palatino Linotype" w:hAnsi="Palatino Linotype" w:cstheme="minorHAnsi"/>
          <w:sz w:val="22"/>
          <w:szCs w:val="22"/>
          <w:lang w:val="es-ES"/>
        </w:rPr>
        <w:t xml:space="preserve"> informe de la Secretaría de Territorio, Hábitat y Vivienda</w:t>
      </w:r>
      <w:r w:rsidR="00D02B82" w:rsidRPr="00F7554A">
        <w:rPr>
          <w:rFonts w:ascii="Palatino Linotype" w:hAnsi="Palatino Linotype" w:cstheme="minorHAnsi"/>
          <w:sz w:val="22"/>
          <w:szCs w:val="22"/>
          <w:lang w:val="es-ES"/>
        </w:rPr>
        <w:t>,</w:t>
      </w:r>
      <w:r w:rsidR="00D02B82" w:rsidRPr="00F7554A">
        <w:rPr>
          <w:rFonts w:ascii="Palatino Linotype" w:eastAsia="Times New Roman" w:hAnsi="Palatino Linotype" w:cstheme="minorHAnsi"/>
          <w:color w:val="000000" w:themeColor="text1"/>
          <w:position w:val="2"/>
          <w:sz w:val="22"/>
          <w:szCs w:val="22"/>
          <w:lang w:val="es-ES"/>
        </w:rPr>
        <w:t xml:space="preserve"> </w:t>
      </w:r>
      <w:r w:rsidR="00D02B82" w:rsidRPr="00F7554A">
        <w:rPr>
          <w:rFonts w:ascii="Palatino Linotype" w:hAnsi="Palatino Linotype" w:cstheme="minorHAnsi"/>
          <w:sz w:val="22"/>
          <w:szCs w:val="22"/>
          <w:lang w:val="es-ES"/>
        </w:rPr>
        <w:t xml:space="preserve">los que serán puestos en consideración de la Comisión de Propiedad y Espacio Público, previo el conocimiento del Concejo Metropolitano de Quito. </w:t>
      </w:r>
    </w:p>
    <w:p w14:paraId="7E731AB9" w14:textId="77777777" w:rsidR="007F0CB9" w:rsidRPr="00F7554A" w:rsidRDefault="007F0CB9" w:rsidP="007F0CB9">
      <w:pPr>
        <w:jc w:val="both"/>
        <w:rPr>
          <w:rFonts w:ascii="Palatino Linotype" w:eastAsia="Times New Roman" w:hAnsi="Palatino Linotype" w:cstheme="minorHAnsi"/>
          <w:b/>
          <w:bCs/>
          <w:sz w:val="22"/>
          <w:szCs w:val="22"/>
          <w:lang w:val="es-ES"/>
        </w:rPr>
      </w:pPr>
    </w:p>
    <w:p w14:paraId="2CDAEB78" w14:textId="6E625021" w:rsidR="00B3518B" w:rsidRPr="008B322B" w:rsidRDefault="007F0CB9" w:rsidP="007F0CB9">
      <w:pPr>
        <w:jc w:val="both"/>
        <w:rPr>
          <w:rFonts w:ascii="Palatino Linotype" w:eastAsia="Times New Roman" w:hAnsi="Palatino Linotype" w:cstheme="minorHAnsi"/>
          <w:sz w:val="22"/>
          <w:szCs w:val="22"/>
          <w:lang w:val="es-ES"/>
        </w:rPr>
      </w:pPr>
      <w:r w:rsidRPr="008B322B">
        <w:rPr>
          <w:rFonts w:ascii="Palatino Linotype" w:eastAsia="Times New Roman" w:hAnsi="Palatino Linotype" w:cstheme="minorHAnsi"/>
          <w:b/>
          <w:bCs/>
          <w:sz w:val="22"/>
          <w:szCs w:val="22"/>
          <w:lang w:val="es-ES"/>
        </w:rPr>
        <w:t>Disposición</w:t>
      </w:r>
      <w:r w:rsidR="00B3518B" w:rsidRPr="008B322B">
        <w:rPr>
          <w:rFonts w:ascii="Palatino Linotype" w:eastAsia="Times New Roman" w:hAnsi="Palatino Linotype" w:cstheme="minorHAnsi"/>
          <w:b/>
          <w:bCs/>
          <w:sz w:val="22"/>
          <w:szCs w:val="22"/>
          <w:lang w:val="es-ES"/>
        </w:rPr>
        <w:t xml:space="preserve"> </w:t>
      </w:r>
      <w:r w:rsidR="00D02B82" w:rsidRPr="008B322B">
        <w:rPr>
          <w:rFonts w:ascii="Palatino Linotype" w:eastAsia="Times New Roman" w:hAnsi="Palatino Linotype" w:cstheme="minorHAnsi"/>
          <w:b/>
          <w:bCs/>
          <w:sz w:val="22"/>
          <w:szCs w:val="22"/>
          <w:lang w:val="es-ES"/>
        </w:rPr>
        <w:t>F</w:t>
      </w:r>
      <w:r w:rsidR="00B3518B" w:rsidRPr="008B322B">
        <w:rPr>
          <w:rFonts w:ascii="Palatino Linotype" w:eastAsia="Times New Roman" w:hAnsi="Palatino Linotype" w:cstheme="minorHAnsi"/>
          <w:b/>
          <w:bCs/>
          <w:sz w:val="22"/>
          <w:szCs w:val="22"/>
          <w:lang w:val="es-ES"/>
        </w:rPr>
        <w:t>inal.-</w:t>
      </w:r>
      <w:r w:rsidR="00B3518B" w:rsidRPr="008B322B">
        <w:rPr>
          <w:rFonts w:ascii="Palatino Linotype" w:eastAsia="Times New Roman" w:hAnsi="Palatino Linotype" w:cstheme="minorHAnsi"/>
          <w:sz w:val="22"/>
          <w:szCs w:val="22"/>
          <w:lang w:val="es-ES"/>
        </w:rPr>
        <w:t xml:space="preserve"> Esta </w:t>
      </w:r>
      <w:r w:rsidRPr="008B322B">
        <w:rPr>
          <w:rFonts w:ascii="Palatino Linotype" w:eastAsia="Times New Roman" w:hAnsi="Palatino Linotype" w:cstheme="minorHAnsi"/>
          <w:sz w:val="22"/>
          <w:szCs w:val="22"/>
          <w:lang w:val="es-ES"/>
        </w:rPr>
        <w:t>Resolución</w:t>
      </w:r>
      <w:r w:rsidR="00B3518B" w:rsidRPr="008B322B">
        <w:rPr>
          <w:rFonts w:ascii="Palatino Linotype" w:eastAsia="Times New Roman" w:hAnsi="Palatino Linotype" w:cstheme="minorHAnsi"/>
          <w:sz w:val="22"/>
          <w:szCs w:val="22"/>
          <w:lang w:val="es-ES"/>
        </w:rPr>
        <w:t xml:space="preserve"> entrará en vigencia a partir de la fecha de su </w:t>
      </w:r>
      <w:r w:rsidRPr="008B322B">
        <w:rPr>
          <w:rFonts w:ascii="Palatino Linotype" w:eastAsia="Times New Roman" w:hAnsi="Palatino Linotype" w:cstheme="minorHAnsi"/>
          <w:sz w:val="22"/>
          <w:szCs w:val="22"/>
          <w:lang w:val="es-ES"/>
        </w:rPr>
        <w:t>suscripción</w:t>
      </w:r>
      <w:r w:rsidR="00B3518B" w:rsidRPr="008B322B">
        <w:rPr>
          <w:rFonts w:ascii="Palatino Linotype" w:eastAsia="Times New Roman" w:hAnsi="Palatino Linotype" w:cstheme="minorHAnsi"/>
          <w:sz w:val="22"/>
          <w:szCs w:val="22"/>
          <w:lang w:val="es-ES"/>
        </w:rPr>
        <w:t xml:space="preserve">. </w:t>
      </w:r>
    </w:p>
    <w:p w14:paraId="2841C81A" w14:textId="77777777" w:rsidR="007F0CB9" w:rsidRPr="008B322B" w:rsidRDefault="007F0CB9" w:rsidP="007F0CB9">
      <w:pPr>
        <w:jc w:val="both"/>
        <w:rPr>
          <w:rFonts w:ascii="Palatino Linotype" w:eastAsia="Times New Roman" w:hAnsi="Palatino Linotype" w:cstheme="minorHAnsi"/>
          <w:sz w:val="22"/>
          <w:szCs w:val="22"/>
          <w:lang w:val="es-ES"/>
        </w:rPr>
      </w:pPr>
    </w:p>
    <w:p w14:paraId="65881FAD" w14:textId="60E91AA4" w:rsidR="00B3518B" w:rsidRPr="008B322B" w:rsidRDefault="00B3518B" w:rsidP="007F0CB9">
      <w:pPr>
        <w:jc w:val="both"/>
        <w:rPr>
          <w:rFonts w:ascii="Palatino Linotype" w:eastAsia="Times New Roman" w:hAnsi="Palatino Linotype" w:cstheme="minorHAnsi"/>
          <w:sz w:val="22"/>
          <w:szCs w:val="22"/>
          <w:lang w:val="es-ES"/>
        </w:rPr>
      </w:pPr>
      <w:r w:rsidRPr="008B322B">
        <w:rPr>
          <w:rFonts w:ascii="Palatino Linotype" w:eastAsia="Times New Roman" w:hAnsi="Palatino Linotype" w:cstheme="minorHAnsi"/>
          <w:sz w:val="22"/>
          <w:szCs w:val="22"/>
          <w:lang w:val="es-ES"/>
        </w:rPr>
        <w:t xml:space="preserve">Dada, en la Sala de Sesiones del Concejo Metropolitano de Quito, el </w:t>
      </w:r>
      <w:r w:rsidR="007F0CB9" w:rsidRPr="008B322B">
        <w:rPr>
          <w:rFonts w:ascii="Palatino Linotype" w:eastAsia="Times New Roman" w:hAnsi="Palatino Linotype" w:cstheme="minorHAnsi"/>
          <w:sz w:val="22"/>
          <w:szCs w:val="22"/>
          <w:lang w:val="es-ES"/>
        </w:rPr>
        <w:t>___</w:t>
      </w:r>
      <w:r w:rsidRPr="008B322B">
        <w:rPr>
          <w:rFonts w:ascii="Palatino Linotype" w:eastAsia="Times New Roman" w:hAnsi="Palatino Linotype" w:cstheme="minorHAnsi"/>
          <w:sz w:val="22"/>
          <w:szCs w:val="22"/>
          <w:lang w:val="es-ES"/>
        </w:rPr>
        <w:t xml:space="preserve"> de </w:t>
      </w:r>
      <w:r w:rsidR="00D52D2D" w:rsidRPr="008B322B">
        <w:rPr>
          <w:rFonts w:ascii="Palatino Linotype" w:eastAsia="Times New Roman" w:hAnsi="Palatino Linotype" w:cstheme="minorHAnsi"/>
          <w:sz w:val="22"/>
          <w:szCs w:val="22"/>
          <w:lang w:val="es-ES"/>
        </w:rPr>
        <w:t>febrero</w:t>
      </w:r>
      <w:r w:rsidR="009E46DF" w:rsidRPr="008B322B">
        <w:rPr>
          <w:rFonts w:ascii="Palatino Linotype" w:eastAsia="Times New Roman" w:hAnsi="Palatino Linotype" w:cstheme="minorHAnsi"/>
          <w:sz w:val="22"/>
          <w:szCs w:val="22"/>
          <w:lang w:val="es-ES"/>
        </w:rPr>
        <w:t xml:space="preserve"> </w:t>
      </w:r>
      <w:r w:rsidRPr="008B322B">
        <w:rPr>
          <w:rFonts w:ascii="Palatino Linotype" w:eastAsia="Times New Roman" w:hAnsi="Palatino Linotype" w:cstheme="minorHAnsi"/>
          <w:sz w:val="22"/>
          <w:szCs w:val="22"/>
          <w:lang w:val="es-ES"/>
        </w:rPr>
        <w:t>de 20</w:t>
      </w:r>
      <w:r w:rsidR="007F0CB9" w:rsidRPr="008B322B">
        <w:rPr>
          <w:rFonts w:ascii="Palatino Linotype" w:eastAsia="Times New Roman" w:hAnsi="Palatino Linotype" w:cstheme="minorHAnsi"/>
          <w:sz w:val="22"/>
          <w:szCs w:val="22"/>
          <w:lang w:val="es-ES"/>
        </w:rPr>
        <w:t>2</w:t>
      </w:r>
      <w:r w:rsidR="009E46DF" w:rsidRPr="008B322B">
        <w:rPr>
          <w:rFonts w:ascii="Palatino Linotype" w:eastAsia="Times New Roman" w:hAnsi="Palatino Linotype" w:cstheme="minorHAnsi"/>
          <w:sz w:val="22"/>
          <w:szCs w:val="22"/>
          <w:lang w:val="es-ES"/>
        </w:rPr>
        <w:t>1.-</w:t>
      </w:r>
    </w:p>
    <w:p w14:paraId="5025D514" w14:textId="77777777" w:rsidR="007F0CB9" w:rsidRPr="008B322B" w:rsidRDefault="007F0CB9" w:rsidP="007F0CB9">
      <w:pPr>
        <w:jc w:val="both"/>
        <w:rPr>
          <w:rFonts w:ascii="Palatino Linotype" w:eastAsia="Times New Roman" w:hAnsi="Palatino Linotype" w:cstheme="minorHAnsi"/>
          <w:sz w:val="22"/>
          <w:szCs w:val="22"/>
          <w:lang w:val="es-ES"/>
        </w:rPr>
      </w:pPr>
    </w:p>
    <w:p w14:paraId="32341BD2" w14:textId="7EA662B6" w:rsidR="00B3518B" w:rsidRPr="00F7554A" w:rsidRDefault="00B3518B" w:rsidP="007F0CB9">
      <w:pPr>
        <w:jc w:val="both"/>
        <w:rPr>
          <w:rFonts w:ascii="Palatino Linotype" w:eastAsia="Times New Roman" w:hAnsi="Palatino Linotype" w:cstheme="minorHAnsi"/>
          <w:sz w:val="22"/>
          <w:szCs w:val="22"/>
          <w:lang w:val="es-ES"/>
        </w:rPr>
      </w:pPr>
      <w:r w:rsidRPr="008B322B">
        <w:rPr>
          <w:rFonts w:ascii="Palatino Linotype" w:eastAsia="Times New Roman" w:hAnsi="Palatino Linotype" w:cstheme="minorHAnsi"/>
          <w:sz w:val="22"/>
          <w:szCs w:val="22"/>
          <w:lang w:val="es-ES"/>
        </w:rPr>
        <w:t>ALCALDÍA DEL DISTRITO METROPOLITANO. - Distrito Metropolitano de Quito,</w:t>
      </w:r>
      <w:r w:rsidRPr="00F7554A">
        <w:rPr>
          <w:rFonts w:ascii="Palatino Linotype" w:eastAsia="Times New Roman" w:hAnsi="Palatino Linotype" w:cstheme="minorHAnsi"/>
          <w:sz w:val="22"/>
          <w:szCs w:val="22"/>
          <w:lang w:val="es-ES"/>
        </w:rPr>
        <w:t xml:space="preserve"> </w:t>
      </w:r>
    </w:p>
    <w:p w14:paraId="00FD5F8F" w14:textId="77777777" w:rsidR="00E4037B" w:rsidRPr="00F7554A" w:rsidRDefault="00E4037B" w:rsidP="007F0CB9">
      <w:pPr>
        <w:jc w:val="both"/>
        <w:rPr>
          <w:rFonts w:ascii="Palatino Linotype" w:eastAsia="Times New Roman" w:hAnsi="Palatino Linotype" w:cstheme="minorHAnsi"/>
          <w:sz w:val="22"/>
          <w:szCs w:val="22"/>
          <w:lang w:val="es-ES"/>
        </w:rPr>
      </w:pPr>
    </w:p>
    <w:p w14:paraId="1347ABFF" w14:textId="1FB47A52" w:rsidR="00E4037B" w:rsidRPr="00F7554A" w:rsidRDefault="00E4037B" w:rsidP="007F0CB9">
      <w:pPr>
        <w:jc w:val="both"/>
        <w:rPr>
          <w:rFonts w:ascii="Palatino Linotype" w:eastAsia="Times New Roman" w:hAnsi="Palatino Linotype" w:cstheme="minorHAnsi"/>
          <w:b/>
          <w:sz w:val="22"/>
          <w:szCs w:val="22"/>
          <w:lang w:val="es-ES"/>
        </w:rPr>
      </w:pPr>
      <w:r w:rsidRPr="00F7554A">
        <w:rPr>
          <w:rFonts w:ascii="Palatino Linotype" w:eastAsia="Times New Roman" w:hAnsi="Palatino Linotype" w:cstheme="minorHAnsi"/>
          <w:b/>
          <w:sz w:val="22"/>
          <w:szCs w:val="22"/>
          <w:lang w:val="es-ES"/>
        </w:rPr>
        <w:t>Anexo único</w:t>
      </w:r>
    </w:p>
    <w:p w14:paraId="2D93F1EA" w14:textId="77777777" w:rsidR="00E4037B" w:rsidRPr="00F7554A" w:rsidRDefault="00E4037B" w:rsidP="007F0CB9">
      <w:pPr>
        <w:jc w:val="both"/>
        <w:rPr>
          <w:rFonts w:ascii="Palatino Linotype" w:eastAsia="Times New Roman" w:hAnsi="Palatino Linotype" w:cstheme="minorHAnsi"/>
          <w:sz w:val="22"/>
          <w:szCs w:val="22"/>
          <w:lang w:val="es-ES"/>
        </w:rPr>
      </w:pPr>
    </w:p>
    <w:p w14:paraId="69C56D3C" w14:textId="79DCFED0" w:rsidR="00E4037B" w:rsidRPr="00F7554A" w:rsidRDefault="00E4037B" w:rsidP="007F0CB9">
      <w:pPr>
        <w:jc w:val="both"/>
        <w:rPr>
          <w:rFonts w:ascii="Palatino Linotype" w:eastAsia="Times New Roman" w:hAnsi="Palatino Linotype" w:cstheme="minorHAnsi"/>
          <w:sz w:val="22"/>
          <w:szCs w:val="22"/>
          <w:lang w:val="es-ES"/>
        </w:rPr>
      </w:pPr>
      <w:r w:rsidRPr="00F7554A">
        <w:rPr>
          <w:rFonts w:ascii="Palatino Linotype" w:eastAsia="Times New Roman" w:hAnsi="Palatino Linotype" w:cstheme="minorHAnsi"/>
          <w:sz w:val="22"/>
          <w:szCs w:val="22"/>
          <w:lang w:val="es-ES"/>
        </w:rPr>
        <w:t xml:space="preserve">Plano de </w:t>
      </w:r>
      <w:r w:rsidR="00D52D2D">
        <w:rPr>
          <w:rFonts w:ascii="Palatino Linotype" w:eastAsia="Times New Roman" w:hAnsi="Palatino Linotype" w:cstheme="minorHAnsi"/>
          <w:sz w:val="22"/>
          <w:szCs w:val="22"/>
          <w:lang w:val="es-ES"/>
        </w:rPr>
        <w:t>u</w:t>
      </w:r>
      <w:r w:rsidRPr="00F7554A">
        <w:rPr>
          <w:rFonts w:ascii="Palatino Linotype" w:eastAsia="Times New Roman" w:hAnsi="Palatino Linotype" w:cstheme="minorHAnsi"/>
          <w:sz w:val="22"/>
          <w:szCs w:val="22"/>
          <w:lang w:val="es-ES"/>
        </w:rPr>
        <w:t xml:space="preserve">sos de </w:t>
      </w:r>
      <w:r w:rsidR="00D52D2D">
        <w:rPr>
          <w:rFonts w:ascii="Palatino Linotype" w:eastAsia="Times New Roman" w:hAnsi="Palatino Linotype" w:cstheme="minorHAnsi"/>
          <w:sz w:val="22"/>
          <w:szCs w:val="22"/>
          <w:lang w:val="es-ES"/>
        </w:rPr>
        <w:t>s</w:t>
      </w:r>
      <w:r w:rsidRPr="00F7554A">
        <w:rPr>
          <w:rFonts w:ascii="Palatino Linotype" w:eastAsia="Times New Roman" w:hAnsi="Palatino Linotype" w:cstheme="minorHAnsi"/>
          <w:sz w:val="22"/>
          <w:szCs w:val="22"/>
          <w:lang w:val="es-ES"/>
        </w:rPr>
        <w:t xml:space="preserve">uelo y zonificación del predio No. </w:t>
      </w:r>
      <w:r w:rsidRPr="00F7554A">
        <w:rPr>
          <w:rFonts w:ascii="Palatino Linotype" w:hAnsi="Palatino Linotype" w:cstheme="minorHAnsi"/>
          <w:sz w:val="22"/>
          <w:szCs w:val="22"/>
          <w:lang w:val="es-ES"/>
        </w:rPr>
        <w:t>279520</w:t>
      </w:r>
    </w:p>
    <w:p w14:paraId="7BF36B8F" w14:textId="77777777" w:rsidR="00B3518B" w:rsidRPr="00F7554A" w:rsidRDefault="00B3518B" w:rsidP="007F0CB9">
      <w:pPr>
        <w:rPr>
          <w:rFonts w:ascii="Palatino Linotype" w:hAnsi="Palatino Linotype" w:cstheme="minorHAnsi"/>
          <w:sz w:val="22"/>
          <w:szCs w:val="22"/>
          <w:lang w:val="es-ES"/>
        </w:rPr>
      </w:pPr>
    </w:p>
    <w:sectPr w:rsidR="00B3518B" w:rsidRPr="00F755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E1673" w14:textId="77777777" w:rsidR="00AF7429" w:rsidRDefault="00AF7429" w:rsidP="007F0CB9">
      <w:r>
        <w:separator/>
      </w:r>
    </w:p>
  </w:endnote>
  <w:endnote w:type="continuationSeparator" w:id="0">
    <w:p w14:paraId="5BBF99CD" w14:textId="77777777" w:rsidR="00AF7429" w:rsidRDefault="00AF7429" w:rsidP="007F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1DF0" w14:textId="77777777" w:rsidR="007F0CB9" w:rsidRDefault="007F0C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CF71" w14:textId="77777777" w:rsidR="007F0CB9" w:rsidRDefault="007F0C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02FF" w14:textId="77777777" w:rsidR="007F0CB9" w:rsidRDefault="007F0C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61729" w14:textId="77777777" w:rsidR="00AF7429" w:rsidRDefault="00AF7429" w:rsidP="007F0CB9">
      <w:r>
        <w:separator/>
      </w:r>
    </w:p>
  </w:footnote>
  <w:footnote w:type="continuationSeparator" w:id="0">
    <w:p w14:paraId="636D2852" w14:textId="77777777" w:rsidR="00AF7429" w:rsidRDefault="00AF7429" w:rsidP="007F0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B477" w14:textId="3556FC1B" w:rsidR="007F0CB9" w:rsidRDefault="007B043A">
    <w:pPr>
      <w:pStyle w:val="Encabezado"/>
    </w:pPr>
    <w:r>
      <w:rPr>
        <w:noProof/>
        <w:lang w:val="es-ES" w:eastAsia="es-ES"/>
      </w:rPr>
      <mc:AlternateContent>
        <mc:Choice Requires="wps">
          <w:drawing>
            <wp:anchor distT="0" distB="0" distL="114300" distR="114300" simplePos="0" relativeHeight="251656704" behindDoc="1" locked="0" layoutInCell="0" allowOverlap="1" wp14:anchorId="72A7BA6D" wp14:editId="5377C896">
              <wp:simplePos x="0" y="0"/>
              <wp:positionH relativeFrom="margin">
                <wp:align>center</wp:align>
              </wp:positionH>
              <wp:positionV relativeFrom="margin">
                <wp:align>center</wp:align>
              </wp:positionV>
              <wp:extent cx="6983730" cy="1396365"/>
              <wp:effectExtent l="0" t="1990725" r="0" b="18992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0554E"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2A7BA6D" id="_x0000_t202" coordsize="21600,21600" o:spt="202" path="m,l,21600r21600,l21600,xe">
              <v:stroke joinstyle="miter"/>
              <v:path gradientshapeok="t" o:connecttype="rect"/>
            </v:shapetype>
            <v:shape id="Cuadro de texto 2" o:spid="_x0000_s1026" type="#_x0000_t202" style="position:absolute;margin-left:0;margin-top:0;width:549.9pt;height:109.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" o:allowincell="f" filled="f" stroked="f">
              <v:stroke joinstyle="round"/>
              <o:lock v:ext="edit" shapetype="t"/>
              <v:textbox style="mso-fit-shape-to-text:t">
                <w:txbxContent>
                  <w:p w14:paraId="7760554E"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47ED" w14:textId="6DA18FE9" w:rsidR="007F0CB9" w:rsidRDefault="007B043A">
    <w:pPr>
      <w:pStyle w:val="Encabezado"/>
    </w:pPr>
    <w:r>
      <w:rPr>
        <w:noProof/>
        <w:lang w:val="es-ES" w:eastAsia="es-ES"/>
      </w:rPr>
      <mc:AlternateContent>
        <mc:Choice Requires="wps">
          <w:drawing>
            <wp:anchor distT="0" distB="0" distL="114300" distR="114300" simplePos="0" relativeHeight="251657728" behindDoc="1" locked="0" layoutInCell="0" allowOverlap="1" wp14:anchorId="5AC985F3" wp14:editId="4D5C6BD4">
              <wp:simplePos x="0" y="0"/>
              <wp:positionH relativeFrom="margin">
                <wp:align>center</wp:align>
              </wp:positionH>
              <wp:positionV relativeFrom="margin">
                <wp:align>center</wp:align>
              </wp:positionV>
              <wp:extent cx="6983730" cy="1396365"/>
              <wp:effectExtent l="0" t="1990725" r="0" b="18992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396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FC6DF"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AC985F3" id="_x0000_t202" coordsize="21600,21600" o:spt="202" path="m,l,21600r21600,l21600,xe">
              <v:stroke joinstyle="miter"/>
              <v:path gradientshapeok="t" o:connecttype="rect"/>
            </v:shapetype>
            <v:shape id="Cuadro de texto 1" o:spid="_x0000_s1027" type="#_x0000_t202" style="position:absolute;margin-left:0;margin-top:0;width:549.9pt;height:109.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" o:allowincell="f" filled="f" stroked="f">
              <v:stroke joinstyle="round"/>
              <o:lock v:ext="edit" shapetype="t"/>
              <v:textbox style="mso-fit-shape-to-text:t">
                <w:txbxContent>
                  <w:p w14:paraId="35FFC6DF" w14:textId="77777777" w:rsidR="007B043A" w:rsidRDefault="007B043A" w:rsidP="007B043A">
                    <w:pPr>
                      <w:pStyle w:val="NormalWeb"/>
                      <w:spacing w:before="0" w:beforeAutospacing="0" w:after="0" w:afterAutospacing="0"/>
                      <w:jc w:val="center"/>
                    </w:pPr>
                    <w:r>
                      <w:rPr>
                        <w:rFonts w:ascii="Calibri" w:hAnsi="Calibri"/>
                        <w:color w:val="C0C0C0"/>
                        <w:sz w:val="2"/>
                        <w:szCs w:val="2"/>
                      </w:rPr>
                      <w:t>BORRADOR</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56F3" w14:textId="0F8A3BE2" w:rsidR="007F0CB9" w:rsidRDefault="00AF7429">
    <w:pPr>
      <w:pStyle w:val="Encabezado"/>
    </w:pPr>
    <w:r>
      <w:rPr>
        <w:noProof/>
      </w:rPr>
      <w:pict w14:anchorId="45280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49.9pt;height:109.9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0484"/>
    <w:multiLevelType w:val="multilevel"/>
    <w:tmpl w:val="D0EA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3022E"/>
    <w:multiLevelType w:val="hybridMultilevel"/>
    <w:tmpl w:val="6FF0E0DA"/>
    <w:lvl w:ilvl="0" w:tplc="AF00135A">
      <w:start w:val="1"/>
      <w:numFmt w:val="decimal"/>
      <w:lvlText w:val="%1."/>
      <w:lvlJc w:val="left"/>
      <w:pPr>
        <w:ind w:left="644" w:hanging="360"/>
      </w:pPr>
      <w:rPr>
        <w:rFonts w:asciiTheme="minorHAnsi" w:hAnsiTheme="minorHAnsi" w:hint="default"/>
        <w:b/>
        <w:bCs/>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nsid w:val="365A5D70"/>
    <w:multiLevelType w:val="multilevel"/>
    <w:tmpl w:val="B7364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A415BA"/>
    <w:multiLevelType w:val="multilevel"/>
    <w:tmpl w:val="59C8E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7D10A2"/>
    <w:multiLevelType w:val="hybridMultilevel"/>
    <w:tmpl w:val="B99062B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8B"/>
    <w:rsid w:val="00014288"/>
    <w:rsid w:val="00053C99"/>
    <w:rsid w:val="000817F0"/>
    <w:rsid w:val="000B211A"/>
    <w:rsid w:val="000F01E2"/>
    <w:rsid w:val="00152690"/>
    <w:rsid w:val="00154585"/>
    <w:rsid w:val="001D50E0"/>
    <w:rsid w:val="0025271D"/>
    <w:rsid w:val="002860C4"/>
    <w:rsid w:val="00290ECC"/>
    <w:rsid w:val="002C54D0"/>
    <w:rsid w:val="00321089"/>
    <w:rsid w:val="00321F1F"/>
    <w:rsid w:val="00376975"/>
    <w:rsid w:val="003C27AB"/>
    <w:rsid w:val="003D757D"/>
    <w:rsid w:val="00410D05"/>
    <w:rsid w:val="00452D9B"/>
    <w:rsid w:val="004C29AA"/>
    <w:rsid w:val="00504009"/>
    <w:rsid w:val="00523166"/>
    <w:rsid w:val="005308D6"/>
    <w:rsid w:val="00577C2B"/>
    <w:rsid w:val="005C687A"/>
    <w:rsid w:val="005D0EE0"/>
    <w:rsid w:val="005F600B"/>
    <w:rsid w:val="0060066A"/>
    <w:rsid w:val="00635B23"/>
    <w:rsid w:val="0069270F"/>
    <w:rsid w:val="006A73CF"/>
    <w:rsid w:val="006B2BCA"/>
    <w:rsid w:val="006C014B"/>
    <w:rsid w:val="00736E2C"/>
    <w:rsid w:val="007A7D26"/>
    <w:rsid w:val="007B043A"/>
    <w:rsid w:val="007C4149"/>
    <w:rsid w:val="007D618B"/>
    <w:rsid w:val="007F0CB9"/>
    <w:rsid w:val="007F53A6"/>
    <w:rsid w:val="008407CC"/>
    <w:rsid w:val="00844625"/>
    <w:rsid w:val="008B322B"/>
    <w:rsid w:val="008E69AC"/>
    <w:rsid w:val="009107EE"/>
    <w:rsid w:val="009613DA"/>
    <w:rsid w:val="0098273E"/>
    <w:rsid w:val="009D08CA"/>
    <w:rsid w:val="009E14A1"/>
    <w:rsid w:val="009E46DF"/>
    <w:rsid w:val="009E7F25"/>
    <w:rsid w:val="009F0E6D"/>
    <w:rsid w:val="009F2E9A"/>
    <w:rsid w:val="00A06A2F"/>
    <w:rsid w:val="00A251A0"/>
    <w:rsid w:val="00A90B71"/>
    <w:rsid w:val="00A94F56"/>
    <w:rsid w:val="00AC57EE"/>
    <w:rsid w:val="00AF7429"/>
    <w:rsid w:val="00B061B5"/>
    <w:rsid w:val="00B3518B"/>
    <w:rsid w:val="00B70D83"/>
    <w:rsid w:val="00BA308F"/>
    <w:rsid w:val="00BB395D"/>
    <w:rsid w:val="00BD58B4"/>
    <w:rsid w:val="00BE6311"/>
    <w:rsid w:val="00C03ABC"/>
    <w:rsid w:val="00C3658F"/>
    <w:rsid w:val="00C668D4"/>
    <w:rsid w:val="00CB2B82"/>
    <w:rsid w:val="00CE4B26"/>
    <w:rsid w:val="00CF7B6C"/>
    <w:rsid w:val="00D02B82"/>
    <w:rsid w:val="00D111DC"/>
    <w:rsid w:val="00D41843"/>
    <w:rsid w:val="00D52D2D"/>
    <w:rsid w:val="00D923C7"/>
    <w:rsid w:val="00DA4150"/>
    <w:rsid w:val="00DA6163"/>
    <w:rsid w:val="00DC31D6"/>
    <w:rsid w:val="00E2184E"/>
    <w:rsid w:val="00E4037B"/>
    <w:rsid w:val="00E41236"/>
    <w:rsid w:val="00E91A2D"/>
    <w:rsid w:val="00EC5080"/>
    <w:rsid w:val="00F543C6"/>
    <w:rsid w:val="00F7554A"/>
    <w:rsid w:val="00FB7254"/>
    <w:rsid w:val="00FD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88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518B"/>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7F0CB9"/>
    <w:pPr>
      <w:tabs>
        <w:tab w:val="center" w:pos="4680"/>
        <w:tab w:val="right" w:pos="9360"/>
      </w:tabs>
    </w:pPr>
  </w:style>
  <w:style w:type="character" w:customStyle="1" w:styleId="EncabezadoCar">
    <w:name w:val="Encabezado Car"/>
    <w:basedOn w:val="Fuentedeprrafopredeter"/>
    <w:link w:val="Encabezado"/>
    <w:uiPriority w:val="99"/>
    <w:rsid w:val="007F0CB9"/>
  </w:style>
  <w:style w:type="paragraph" w:styleId="Piedepgina">
    <w:name w:val="footer"/>
    <w:basedOn w:val="Normal"/>
    <w:link w:val="PiedepginaCar"/>
    <w:uiPriority w:val="99"/>
    <w:unhideWhenUsed/>
    <w:rsid w:val="007F0CB9"/>
    <w:pPr>
      <w:tabs>
        <w:tab w:val="center" w:pos="4680"/>
        <w:tab w:val="right" w:pos="9360"/>
      </w:tabs>
    </w:pPr>
  </w:style>
  <w:style w:type="character" w:customStyle="1" w:styleId="PiedepginaCar">
    <w:name w:val="Pie de página Car"/>
    <w:basedOn w:val="Fuentedeprrafopredeter"/>
    <w:link w:val="Piedepgina"/>
    <w:uiPriority w:val="99"/>
    <w:rsid w:val="007F0CB9"/>
  </w:style>
  <w:style w:type="table" w:styleId="Tablaconcuadrcula">
    <w:name w:val="Table Grid"/>
    <w:basedOn w:val="Tablanormal"/>
    <w:uiPriority w:val="59"/>
    <w:rsid w:val="00A90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0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7CC"/>
    <w:rPr>
      <w:rFonts w:ascii="Segoe UI" w:hAnsi="Segoe UI" w:cs="Segoe UI"/>
      <w:sz w:val="18"/>
      <w:szCs w:val="18"/>
    </w:rPr>
  </w:style>
  <w:style w:type="paragraph" w:styleId="Sinespaciado">
    <w:name w:val="No Spacing"/>
    <w:uiPriority w:val="1"/>
    <w:qFormat/>
    <w:rsid w:val="0098273E"/>
    <w:rPr>
      <w:sz w:val="22"/>
      <w:szCs w:val="22"/>
      <w:lang w:val="es-EC"/>
    </w:rPr>
  </w:style>
  <w:style w:type="character" w:customStyle="1" w:styleId="nrmar">
    <w:name w:val="nrmar"/>
    <w:basedOn w:val="Fuentedeprrafopredeter"/>
    <w:rsid w:val="00C3658F"/>
  </w:style>
  <w:style w:type="paragraph" w:styleId="Prrafodelista">
    <w:name w:val="List Paragraph"/>
    <w:aliases w:val="Párrafo de lista SUBCAPITULO,Párrafo de lista1,Colorful List - Accent 11,TIT 2 IND,Texto,List Paragraph"/>
    <w:basedOn w:val="Normal"/>
    <w:link w:val="PrrafodelistaCar"/>
    <w:uiPriority w:val="34"/>
    <w:qFormat/>
    <w:rsid w:val="007C4149"/>
    <w:pPr>
      <w:ind w:left="708"/>
    </w:pPr>
    <w:rPr>
      <w:rFonts w:ascii="Times New Roman" w:eastAsia="Times New Roman" w:hAnsi="Times New Roman" w:cs="Times New Roman"/>
      <w:lang w:val="es-ES" w:eastAsia="es-ES"/>
    </w:rPr>
  </w:style>
  <w:style w:type="character" w:customStyle="1" w:styleId="PrrafodelistaCar">
    <w:name w:val="Párrafo de lista Car"/>
    <w:aliases w:val="Párrafo de lista SUBCAPITULO Car,Párrafo de lista1 Car,Colorful List - Accent 11 Car,TIT 2 IND Car,Texto Car,List Paragraph Car"/>
    <w:link w:val="Prrafodelista"/>
    <w:uiPriority w:val="34"/>
    <w:rsid w:val="007C4149"/>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518B"/>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7F0CB9"/>
    <w:pPr>
      <w:tabs>
        <w:tab w:val="center" w:pos="4680"/>
        <w:tab w:val="right" w:pos="9360"/>
      </w:tabs>
    </w:pPr>
  </w:style>
  <w:style w:type="character" w:customStyle="1" w:styleId="EncabezadoCar">
    <w:name w:val="Encabezado Car"/>
    <w:basedOn w:val="Fuentedeprrafopredeter"/>
    <w:link w:val="Encabezado"/>
    <w:uiPriority w:val="99"/>
    <w:rsid w:val="007F0CB9"/>
  </w:style>
  <w:style w:type="paragraph" w:styleId="Piedepgina">
    <w:name w:val="footer"/>
    <w:basedOn w:val="Normal"/>
    <w:link w:val="PiedepginaCar"/>
    <w:uiPriority w:val="99"/>
    <w:unhideWhenUsed/>
    <w:rsid w:val="007F0CB9"/>
    <w:pPr>
      <w:tabs>
        <w:tab w:val="center" w:pos="4680"/>
        <w:tab w:val="right" w:pos="9360"/>
      </w:tabs>
    </w:pPr>
  </w:style>
  <w:style w:type="character" w:customStyle="1" w:styleId="PiedepginaCar">
    <w:name w:val="Pie de página Car"/>
    <w:basedOn w:val="Fuentedeprrafopredeter"/>
    <w:link w:val="Piedepgina"/>
    <w:uiPriority w:val="99"/>
    <w:rsid w:val="007F0CB9"/>
  </w:style>
  <w:style w:type="table" w:styleId="Tablaconcuadrcula">
    <w:name w:val="Table Grid"/>
    <w:basedOn w:val="Tablanormal"/>
    <w:uiPriority w:val="59"/>
    <w:rsid w:val="00A90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0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7CC"/>
    <w:rPr>
      <w:rFonts w:ascii="Segoe UI" w:hAnsi="Segoe UI" w:cs="Segoe UI"/>
      <w:sz w:val="18"/>
      <w:szCs w:val="18"/>
    </w:rPr>
  </w:style>
  <w:style w:type="paragraph" w:styleId="Sinespaciado">
    <w:name w:val="No Spacing"/>
    <w:uiPriority w:val="1"/>
    <w:qFormat/>
    <w:rsid w:val="0098273E"/>
    <w:rPr>
      <w:sz w:val="22"/>
      <w:szCs w:val="22"/>
      <w:lang w:val="es-EC"/>
    </w:rPr>
  </w:style>
  <w:style w:type="character" w:customStyle="1" w:styleId="nrmar">
    <w:name w:val="nrmar"/>
    <w:basedOn w:val="Fuentedeprrafopredeter"/>
    <w:rsid w:val="00C3658F"/>
  </w:style>
  <w:style w:type="paragraph" w:styleId="Prrafodelista">
    <w:name w:val="List Paragraph"/>
    <w:aliases w:val="Párrafo de lista SUBCAPITULO,Párrafo de lista1,Colorful List - Accent 11,TIT 2 IND,Texto,List Paragraph"/>
    <w:basedOn w:val="Normal"/>
    <w:link w:val="PrrafodelistaCar"/>
    <w:uiPriority w:val="34"/>
    <w:qFormat/>
    <w:rsid w:val="007C4149"/>
    <w:pPr>
      <w:ind w:left="708"/>
    </w:pPr>
    <w:rPr>
      <w:rFonts w:ascii="Times New Roman" w:eastAsia="Times New Roman" w:hAnsi="Times New Roman" w:cs="Times New Roman"/>
      <w:lang w:val="es-ES" w:eastAsia="es-ES"/>
    </w:rPr>
  </w:style>
  <w:style w:type="character" w:customStyle="1" w:styleId="PrrafodelistaCar">
    <w:name w:val="Párrafo de lista Car"/>
    <w:aliases w:val="Párrafo de lista SUBCAPITULO Car,Párrafo de lista1 Car,Colorful List - Accent 11 Car,TIT 2 IND Car,Texto Car,List Paragraph Car"/>
    <w:link w:val="Prrafodelista"/>
    <w:uiPriority w:val="34"/>
    <w:rsid w:val="007C4149"/>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88">
      <w:bodyDiv w:val="1"/>
      <w:marLeft w:val="0"/>
      <w:marRight w:val="0"/>
      <w:marTop w:val="0"/>
      <w:marBottom w:val="0"/>
      <w:divBdr>
        <w:top w:val="none" w:sz="0" w:space="0" w:color="auto"/>
        <w:left w:val="none" w:sz="0" w:space="0" w:color="auto"/>
        <w:bottom w:val="none" w:sz="0" w:space="0" w:color="auto"/>
        <w:right w:val="none" w:sz="0" w:space="0" w:color="auto"/>
      </w:divBdr>
      <w:divsChild>
        <w:div w:id="1069427878">
          <w:marLeft w:val="0"/>
          <w:marRight w:val="0"/>
          <w:marTop w:val="0"/>
          <w:marBottom w:val="0"/>
          <w:divBdr>
            <w:top w:val="none" w:sz="0" w:space="0" w:color="auto"/>
            <w:left w:val="none" w:sz="0" w:space="0" w:color="auto"/>
            <w:bottom w:val="none" w:sz="0" w:space="0" w:color="auto"/>
            <w:right w:val="none" w:sz="0" w:space="0" w:color="auto"/>
          </w:divBdr>
          <w:divsChild>
            <w:div w:id="904728328">
              <w:marLeft w:val="0"/>
              <w:marRight w:val="0"/>
              <w:marTop w:val="0"/>
              <w:marBottom w:val="0"/>
              <w:divBdr>
                <w:top w:val="none" w:sz="0" w:space="0" w:color="auto"/>
                <w:left w:val="none" w:sz="0" w:space="0" w:color="auto"/>
                <w:bottom w:val="none" w:sz="0" w:space="0" w:color="auto"/>
                <w:right w:val="none" w:sz="0" w:space="0" w:color="auto"/>
              </w:divBdr>
              <w:divsChild>
                <w:div w:id="1542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461">
      <w:bodyDiv w:val="1"/>
      <w:marLeft w:val="0"/>
      <w:marRight w:val="0"/>
      <w:marTop w:val="0"/>
      <w:marBottom w:val="0"/>
      <w:divBdr>
        <w:top w:val="none" w:sz="0" w:space="0" w:color="auto"/>
        <w:left w:val="none" w:sz="0" w:space="0" w:color="auto"/>
        <w:bottom w:val="none" w:sz="0" w:space="0" w:color="auto"/>
        <w:right w:val="none" w:sz="0" w:space="0" w:color="auto"/>
      </w:divBdr>
      <w:divsChild>
        <w:div w:id="2105412629">
          <w:marLeft w:val="0"/>
          <w:marRight w:val="0"/>
          <w:marTop w:val="0"/>
          <w:marBottom w:val="0"/>
          <w:divBdr>
            <w:top w:val="none" w:sz="0" w:space="0" w:color="auto"/>
            <w:left w:val="none" w:sz="0" w:space="0" w:color="auto"/>
            <w:bottom w:val="none" w:sz="0" w:space="0" w:color="auto"/>
            <w:right w:val="none" w:sz="0" w:space="0" w:color="auto"/>
          </w:divBdr>
          <w:divsChild>
            <w:div w:id="160002753">
              <w:marLeft w:val="0"/>
              <w:marRight w:val="0"/>
              <w:marTop w:val="0"/>
              <w:marBottom w:val="0"/>
              <w:divBdr>
                <w:top w:val="none" w:sz="0" w:space="0" w:color="auto"/>
                <w:left w:val="none" w:sz="0" w:space="0" w:color="auto"/>
                <w:bottom w:val="none" w:sz="0" w:space="0" w:color="auto"/>
                <w:right w:val="none" w:sz="0" w:space="0" w:color="auto"/>
              </w:divBdr>
              <w:divsChild>
                <w:div w:id="15374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0907">
      <w:bodyDiv w:val="1"/>
      <w:marLeft w:val="0"/>
      <w:marRight w:val="0"/>
      <w:marTop w:val="0"/>
      <w:marBottom w:val="0"/>
      <w:divBdr>
        <w:top w:val="none" w:sz="0" w:space="0" w:color="auto"/>
        <w:left w:val="none" w:sz="0" w:space="0" w:color="auto"/>
        <w:bottom w:val="none" w:sz="0" w:space="0" w:color="auto"/>
        <w:right w:val="none" w:sz="0" w:space="0" w:color="auto"/>
      </w:divBdr>
      <w:divsChild>
        <w:div w:id="1577982871">
          <w:marLeft w:val="0"/>
          <w:marRight w:val="0"/>
          <w:marTop w:val="0"/>
          <w:marBottom w:val="0"/>
          <w:divBdr>
            <w:top w:val="none" w:sz="0" w:space="0" w:color="auto"/>
            <w:left w:val="none" w:sz="0" w:space="0" w:color="auto"/>
            <w:bottom w:val="none" w:sz="0" w:space="0" w:color="auto"/>
            <w:right w:val="none" w:sz="0" w:space="0" w:color="auto"/>
          </w:divBdr>
          <w:divsChild>
            <w:div w:id="123743234">
              <w:marLeft w:val="0"/>
              <w:marRight w:val="0"/>
              <w:marTop w:val="0"/>
              <w:marBottom w:val="0"/>
              <w:divBdr>
                <w:top w:val="none" w:sz="0" w:space="0" w:color="auto"/>
                <w:left w:val="none" w:sz="0" w:space="0" w:color="auto"/>
                <w:bottom w:val="none" w:sz="0" w:space="0" w:color="auto"/>
                <w:right w:val="none" w:sz="0" w:space="0" w:color="auto"/>
              </w:divBdr>
              <w:divsChild>
                <w:div w:id="1660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8311">
      <w:bodyDiv w:val="1"/>
      <w:marLeft w:val="0"/>
      <w:marRight w:val="0"/>
      <w:marTop w:val="0"/>
      <w:marBottom w:val="0"/>
      <w:divBdr>
        <w:top w:val="none" w:sz="0" w:space="0" w:color="auto"/>
        <w:left w:val="none" w:sz="0" w:space="0" w:color="auto"/>
        <w:bottom w:val="none" w:sz="0" w:space="0" w:color="auto"/>
        <w:right w:val="none" w:sz="0" w:space="0" w:color="auto"/>
      </w:divBdr>
      <w:divsChild>
        <w:div w:id="1180002982">
          <w:marLeft w:val="0"/>
          <w:marRight w:val="0"/>
          <w:marTop w:val="0"/>
          <w:marBottom w:val="0"/>
          <w:divBdr>
            <w:top w:val="none" w:sz="0" w:space="0" w:color="auto"/>
            <w:left w:val="none" w:sz="0" w:space="0" w:color="auto"/>
            <w:bottom w:val="none" w:sz="0" w:space="0" w:color="auto"/>
            <w:right w:val="none" w:sz="0" w:space="0" w:color="auto"/>
          </w:divBdr>
          <w:divsChild>
            <w:div w:id="1325472325">
              <w:marLeft w:val="0"/>
              <w:marRight w:val="0"/>
              <w:marTop w:val="0"/>
              <w:marBottom w:val="0"/>
              <w:divBdr>
                <w:top w:val="none" w:sz="0" w:space="0" w:color="auto"/>
                <w:left w:val="none" w:sz="0" w:space="0" w:color="auto"/>
                <w:bottom w:val="none" w:sz="0" w:space="0" w:color="auto"/>
                <w:right w:val="none" w:sz="0" w:space="0" w:color="auto"/>
              </w:divBdr>
              <w:divsChild>
                <w:div w:id="14397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593">
      <w:bodyDiv w:val="1"/>
      <w:marLeft w:val="0"/>
      <w:marRight w:val="0"/>
      <w:marTop w:val="0"/>
      <w:marBottom w:val="0"/>
      <w:divBdr>
        <w:top w:val="none" w:sz="0" w:space="0" w:color="auto"/>
        <w:left w:val="none" w:sz="0" w:space="0" w:color="auto"/>
        <w:bottom w:val="none" w:sz="0" w:space="0" w:color="auto"/>
        <w:right w:val="none" w:sz="0" w:space="0" w:color="auto"/>
      </w:divBdr>
      <w:divsChild>
        <w:div w:id="667437956">
          <w:marLeft w:val="0"/>
          <w:marRight w:val="0"/>
          <w:marTop w:val="0"/>
          <w:marBottom w:val="0"/>
          <w:divBdr>
            <w:top w:val="none" w:sz="0" w:space="0" w:color="auto"/>
            <w:left w:val="none" w:sz="0" w:space="0" w:color="auto"/>
            <w:bottom w:val="none" w:sz="0" w:space="0" w:color="auto"/>
            <w:right w:val="none" w:sz="0" w:space="0" w:color="auto"/>
          </w:divBdr>
          <w:divsChild>
            <w:div w:id="2126119360">
              <w:marLeft w:val="0"/>
              <w:marRight w:val="0"/>
              <w:marTop w:val="0"/>
              <w:marBottom w:val="0"/>
              <w:divBdr>
                <w:top w:val="none" w:sz="0" w:space="0" w:color="auto"/>
                <w:left w:val="none" w:sz="0" w:space="0" w:color="auto"/>
                <w:bottom w:val="none" w:sz="0" w:space="0" w:color="auto"/>
                <w:right w:val="none" w:sz="0" w:space="0" w:color="auto"/>
              </w:divBdr>
              <w:divsChild>
                <w:div w:id="13008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7382">
      <w:bodyDiv w:val="1"/>
      <w:marLeft w:val="0"/>
      <w:marRight w:val="0"/>
      <w:marTop w:val="0"/>
      <w:marBottom w:val="0"/>
      <w:divBdr>
        <w:top w:val="none" w:sz="0" w:space="0" w:color="auto"/>
        <w:left w:val="none" w:sz="0" w:space="0" w:color="auto"/>
        <w:bottom w:val="none" w:sz="0" w:space="0" w:color="auto"/>
        <w:right w:val="none" w:sz="0" w:space="0" w:color="auto"/>
      </w:divBdr>
      <w:divsChild>
        <w:div w:id="1323434636">
          <w:marLeft w:val="0"/>
          <w:marRight w:val="0"/>
          <w:marTop w:val="0"/>
          <w:marBottom w:val="0"/>
          <w:divBdr>
            <w:top w:val="none" w:sz="0" w:space="0" w:color="auto"/>
            <w:left w:val="none" w:sz="0" w:space="0" w:color="auto"/>
            <w:bottom w:val="none" w:sz="0" w:space="0" w:color="auto"/>
            <w:right w:val="none" w:sz="0" w:space="0" w:color="auto"/>
          </w:divBdr>
          <w:divsChild>
            <w:div w:id="2109112037">
              <w:marLeft w:val="0"/>
              <w:marRight w:val="0"/>
              <w:marTop w:val="0"/>
              <w:marBottom w:val="0"/>
              <w:divBdr>
                <w:top w:val="none" w:sz="0" w:space="0" w:color="auto"/>
                <w:left w:val="none" w:sz="0" w:space="0" w:color="auto"/>
                <w:bottom w:val="none" w:sz="0" w:space="0" w:color="auto"/>
                <w:right w:val="none" w:sz="0" w:space="0" w:color="auto"/>
              </w:divBdr>
              <w:divsChild>
                <w:div w:id="9797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5564">
      <w:bodyDiv w:val="1"/>
      <w:marLeft w:val="0"/>
      <w:marRight w:val="0"/>
      <w:marTop w:val="0"/>
      <w:marBottom w:val="0"/>
      <w:divBdr>
        <w:top w:val="none" w:sz="0" w:space="0" w:color="auto"/>
        <w:left w:val="none" w:sz="0" w:space="0" w:color="auto"/>
        <w:bottom w:val="none" w:sz="0" w:space="0" w:color="auto"/>
        <w:right w:val="none" w:sz="0" w:space="0" w:color="auto"/>
      </w:divBdr>
    </w:div>
    <w:div w:id="1105659007">
      <w:bodyDiv w:val="1"/>
      <w:marLeft w:val="0"/>
      <w:marRight w:val="0"/>
      <w:marTop w:val="0"/>
      <w:marBottom w:val="0"/>
      <w:divBdr>
        <w:top w:val="none" w:sz="0" w:space="0" w:color="auto"/>
        <w:left w:val="none" w:sz="0" w:space="0" w:color="auto"/>
        <w:bottom w:val="none" w:sz="0" w:space="0" w:color="auto"/>
        <w:right w:val="none" w:sz="0" w:space="0" w:color="auto"/>
      </w:divBdr>
      <w:divsChild>
        <w:div w:id="1837067847">
          <w:marLeft w:val="0"/>
          <w:marRight w:val="0"/>
          <w:marTop w:val="0"/>
          <w:marBottom w:val="0"/>
          <w:divBdr>
            <w:top w:val="none" w:sz="0" w:space="0" w:color="auto"/>
            <w:left w:val="none" w:sz="0" w:space="0" w:color="auto"/>
            <w:bottom w:val="none" w:sz="0" w:space="0" w:color="auto"/>
            <w:right w:val="none" w:sz="0" w:space="0" w:color="auto"/>
          </w:divBdr>
          <w:divsChild>
            <w:div w:id="48652514">
              <w:marLeft w:val="0"/>
              <w:marRight w:val="0"/>
              <w:marTop w:val="0"/>
              <w:marBottom w:val="0"/>
              <w:divBdr>
                <w:top w:val="none" w:sz="0" w:space="0" w:color="auto"/>
                <w:left w:val="none" w:sz="0" w:space="0" w:color="auto"/>
                <w:bottom w:val="none" w:sz="0" w:space="0" w:color="auto"/>
                <w:right w:val="none" w:sz="0" w:space="0" w:color="auto"/>
              </w:divBdr>
              <w:divsChild>
                <w:div w:id="285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4025">
      <w:bodyDiv w:val="1"/>
      <w:marLeft w:val="0"/>
      <w:marRight w:val="0"/>
      <w:marTop w:val="0"/>
      <w:marBottom w:val="0"/>
      <w:divBdr>
        <w:top w:val="none" w:sz="0" w:space="0" w:color="auto"/>
        <w:left w:val="none" w:sz="0" w:space="0" w:color="auto"/>
        <w:bottom w:val="none" w:sz="0" w:space="0" w:color="auto"/>
        <w:right w:val="none" w:sz="0" w:space="0" w:color="auto"/>
      </w:divBdr>
      <w:divsChild>
        <w:div w:id="872301704">
          <w:marLeft w:val="0"/>
          <w:marRight w:val="0"/>
          <w:marTop w:val="0"/>
          <w:marBottom w:val="0"/>
          <w:divBdr>
            <w:top w:val="none" w:sz="0" w:space="0" w:color="auto"/>
            <w:left w:val="none" w:sz="0" w:space="0" w:color="auto"/>
            <w:bottom w:val="none" w:sz="0" w:space="0" w:color="auto"/>
            <w:right w:val="none" w:sz="0" w:space="0" w:color="auto"/>
          </w:divBdr>
          <w:divsChild>
            <w:div w:id="1629505265">
              <w:marLeft w:val="0"/>
              <w:marRight w:val="0"/>
              <w:marTop w:val="0"/>
              <w:marBottom w:val="0"/>
              <w:divBdr>
                <w:top w:val="none" w:sz="0" w:space="0" w:color="auto"/>
                <w:left w:val="none" w:sz="0" w:space="0" w:color="auto"/>
                <w:bottom w:val="none" w:sz="0" w:space="0" w:color="auto"/>
                <w:right w:val="none" w:sz="0" w:space="0" w:color="auto"/>
              </w:divBdr>
              <w:divsChild>
                <w:div w:id="528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51467">
      <w:bodyDiv w:val="1"/>
      <w:marLeft w:val="0"/>
      <w:marRight w:val="0"/>
      <w:marTop w:val="0"/>
      <w:marBottom w:val="0"/>
      <w:divBdr>
        <w:top w:val="none" w:sz="0" w:space="0" w:color="auto"/>
        <w:left w:val="none" w:sz="0" w:space="0" w:color="auto"/>
        <w:bottom w:val="none" w:sz="0" w:space="0" w:color="auto"/>
        <w:right w:val="none" w:sz="0" w:space="0" w:color="auto"/>
      </w:divBdr>
      <w:divsChild>
        <w:div w:id="665674160">
          <w:marLeft w:val="0"/>
          <w:marRight w:val="0"/>
          <w:marTop w:val="0"/>
          <w:marBottom w:val="0"/>
          <w:divBdr>
            <w:top w:val="none" w:sz="0" w:space="0" w:color="auto"/>
            <w:left w:val="none" w:sz="0" w:space="0" w:color="auto"/>
            <w:bottom w:val="none" w:sz="0" w:space="0" w:color="auto"/>
            <w:right w:val="none" w:sz="0" w:space="0" w:color="auto"/>
          </w:divBdr>
          <w:divsChild>
            <w:div w:id="1868255145">
              <w:marLeft w:val="0"/>
              <w:marRight w:val="0"/>
              <w:marTop w:val="0"/>
              <w:marBottom w:val="0"/>
              <w:divBdr>
                <w:top w:val="none" w:sz="0" w:space="0" w:color="auto"/>
                <w:left w:val="none" w:sz="0" w:space="0" w:color="auto"/>
                <w:bottom w:val="none" w:sz="0" w:space="0" w:color="auto"/>
                <w:right w:val="none" w:sz="0" w:space="0" w:color="auto"/>
              </w:divBdr>
              <w:divsChild>
                <w:div w:id="5851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4115">
      <w:bodyDiv w:val="1"/>
      <w:marLeft w:val="0"/>
      <w:marRight w:val="0"/>
      <w:marTop w:val="0"/>
      <w:marBottom w:val="0"/>
      <w:divBdr>
        <w:top w:val="none" w:sz="0" w:space="0" w:color="auto"/>
        <w:left w:val="none" w:sz="0" w:space="0" w:color="auto"/>
        <w:bottom w:val="none" w:sz="0" w:space="0" w:color="auto"/>
        <w:right w:val="none" w:sz="0" w:space="0" w:color="auto"/>
      </w:divBdr>
      <w:divsChild>
        <w:div w:id="1927415787">
          <w:marLeft w:val="0"/>
          <w:marRight w:val="0"/>
          <w:marTop w:val="0"/>
          <w:marBottom w:val="0"/>
          <w:divBdr>
            <w:top w:val="none" w:sz="0" w:space="0" w:color="auto"/>
            <w:left w:val="none" w:sz="0" w:space="0" w:color="auto"/>
            <w:bottom w:val="none" w:sz="0" w:space="0" w:color="auto"/>
            <w:right w:val="none" w:sz="0" w:space="0" w:color="auto"/>
          </w:divBdr>
          <w:divsChild>
            <w:div w:id="1526485057">
              <w:marLeft w:val="0"/>
              <w:marRight w:val="0"/>
              <w:marTop w:val="0"/>
              <w:marBottom w:val="0"/>
              <w:divBdr>
                <w:top w:val="none" w:sz="0" w:space="0" w:color="auto"/>
                <w:left w:val="none" w:sz="0" w:space="0" w:color="auto"/>
                <w:bottom w:val="none" w:sz="0" w:space="0" w:color="auto"/>
                <w:right w:val="none" w:sz="0" w:space="0" w:color="auto"/>
              </w:divBdr>
              <w:divsChild>
                <w:div w:id="18516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3694">
      <w:bodyDiv w:val="1"/>
      <w:marLeft w:val="0"/>
      <w:marRight w:val="0"/>
      <w:marTop w:val="0"/>
      <w:marBottom w:val="0"/>
      <w:divBdr>
        <w:top w:val="none" w:sz="0" w:space="0" w:color="auto"/>
        <w:left w:val="none" w:sz="0" w:space="0" w:color="auto"/>
        <w:bottom w:val="none" w:sz="0" w:space="0" w:color="auto"/>
        <w:right w:val="none" w:sz="0" w:space="0" w:color="auto"/>
      </w:divBdr>
      <w:divsChild>
        <w:div w:id="2059351012">
          <w:marLeft w:val="0"/>
          <w:marRight w:val="0"/>
          <w:marTop w:val="0"/>
          <w:marBottom w:val="0"/>
          <w:divBdr>
            <w:top w:val="none" w:sz="0" w:space="0" w:color="auto"/>
            <w:left w:val="none" w:sz="0" w:space="0" w:color="auto"/>
            <w:bottom w:val="none" w:sz="0" w:space="0" w:color="auto"/>
            <w:right w:val="none" w:sz="0" w:space="0" w:color="auto"/>
          </w:divBdr>
          <w:divsChild>
            <w:div w:id="496532295">
              <w:marLeft w:val="0"/>
              <w:marRight w:val="0"/>
              <w:marTop w:val="0"/>
              <w:marBottom w:val="0"/>
              <w:divBdr>
                <w:top w:val="none" w:sz="0" w:space="0" w:color="auto"/>
                <w:left w:val="none" w:sz="0" w:space="0" w:color="auto"/>
                <w:bottom w:val="none" w:sz="0" w:space="0" w:color="auto"/>
                <w:right w:val="none" w:sz="0" w:space="0" w:color="auto"/>
              </w:divBdr>
              <w:divsChild>
                <w:div w:id="18355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0343">
      <w:bodyDiv w:val="1"/>
      <w:marLeft w:val="0"/>
      <w:marRight w:val="0"/>
      <w:marTop w:val="0"/>
      <w:marBottom w:val="0"/>
      <w:divBdr>
        <w:top w:val="none" w:sz="0" w:space="0" w:color="auto"/>
        <w:left w:val="none" w:sz="0" w:space="0" w:color="auto"/>
        <w:bottom w:val="none" w:sz="0" w:space="0" w:color="auto"/>
        <w:right w:val="none" w:sz="0" w:space="0" w:color="auto"/>
      </w:divBdr>
      <w:divsChild>
        <w:div w:id="816651248">
          <w:marLeft w:val="0"/>
          <w:marRight w:val="0"/>
          <w:marTop w:val="0"/>
          <w:marBottom w:val="0"/>
          <w:divBdr>
            <w:top w:val="none" w:sz="0" w:space="0" w:color="auto"/>
            <w:left w:val="none" w:sz="0" w:space="0" w:color="auto"/>
            <w:bottom w:val="none" w:sz="0" w:space="0" w:color="auto"/>
            <w:right w:val="none" w:sz="0" w:space="0" w:color="auto"/>
          </w:divBdr>
          <w:divsChild>
            <w:div w:id="1013609852">
              <w:marLeft w:val="0"/>
              <w:marRight w:val="0"/>
              <w:marTop w:val="0"/>
              <w:marBottom w:val="0"/>
              <w:divBdr>
                <w:top w:val="none" w:sz="0" w:space="0" w:color="auto"/>
                <w:left w:val="none" w:sz="0" w:space="0" w:color="auto"/>
                <w:bottom w:val="none" w:sz="0" w:space="0" w:color="auto"/>
                <w:right w:val="none" w:sz="0" w:space="0" w:color="auto"/>
              </w:divBdr>
              <w:divsChild>
                <w:div w:id="17939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6587">
      <w:bodyDiv w:val="1"/>
      <w:marLeft w:val="0"/>
      <w:marRight w:val="0"/>
      <w:marTop w:val="0"/>
      <w:marBottom w:val="0"/>
      <w:divBdr>
        <w:top w:val="none" w:sz="0" w:space="0" w:color="auto"/>
        <w:left w:val="none" w:sz="0" w:space="0" w:color="auto"/>
        <w:bottom w:val="none" w:sz="0" w:space="0" w:color="auto"/>
        <w:right w:val="none" w:sz="0" w:space="0" w:color="auto"/>
      </w:divBdr>
      <w:divsChild>
        <w:div w:id="1279409809">
          <w:marLeft w:val="0"/>
          <w:marRight w:val="0"/>
          <w:marTop w:val="0"/>
          <w:marBottom w:val="0"/>
          <w:divBdr>
            <w:top w:val="none" w:sz="0" w:space="0" w:color="auto"/>
            <w:left w:val="none" w:sz="0" w:space="0" w:color="auto"/>
            <w:bottom w:val="none" w:sz="0" w:space="0" w:color="auto"/>
            <w:right w:val="none" w:sz="0" w:space="0" w:color="auto"/>
          </w:divBdr>
          <w:divsChild>
            <w:div w:id="1918511119">
              <w:marLeft w:val="0"/>
              <w:marRight w:val="0"/>
              <w:marTop w:val="0"/>
              <w:marBottom w:val="0"/>
              <w:divBdr>
                <w:top w:val="none" w:sz="0" w:space="0" w:color="auto"/>
                <w:left w:val="none" w:sz="0" w:space="0" w:color="auto"/>
                <w:bottom w:val="none" w:sz="0" w:space="0" w:color="auto"/>
                <w:right w:val="none" w:sz="0" w:space="0" w:color="auto"/>
              </w:divBdr>
              <w:divsChild>
                <w:div w:id="6507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0372">
      <w:bodyDiv w:val="1"/>
      <w:marLeft w:val="0"/>
      <w:marRight w:val="0"/>
      <w:marTop w:val="0"/>
      <w:marBottom w:val="0"/>
      <w:divBdr>
        <w:top w:val="none" w:sz="0" w:space="0" w:color="auto"/>
        <w:left w:val="none" w:sz="0" w:space="0" w:color="auto"/>
        <w:bottom w:val="none" w:sz="0" w:space="0" w:color="auto"/>
        <w:right w:val="none" w:sz="0" w:space="0" w:color="auto"/>
      </w:divBdr>
      <w:divsChild>
        <w:div w:id="1902058990">
          <w:marLeft w:val="0"/>
          <w:marRight w:val="0"/>
          <w:marTop w:val="0"/>
          <w:marBottom w:val="0"/>
          <w:divBdr>
            <w:top w:val="none" w:sz="0" w:space="0" w:color="auto"/>
            <w:left w:val="none" w:sz="0" w:space="0" w:color="auto"/>
            <w:bottom w:val="none" w:sz="0" w:space="0" w:color="auto"/>
            <w:right w:val="none" w:sz="0" w:space="0" w:color="auto"/>
          </w:divBdr>
          <w:divsChild>
            <w:div w:id="110563679">
              <w:marLeft w:val="0"/>
              <w:marRight w:val="0"/>
              <w:marTop w:val="0"/>
              <w:marBottom w:val="0"/>
              <w:divBdr>
                <w:top w:val="none" w:sz="0" w:space="0" w:color="auto"/>
                <w:left w:val="none" w:sz="0" w:space="0" w:color="auto"/>
                <w:bottom w:val="none" w:sz="0" w:space="0" w:color="auto"/>
                <w:right w:val="none" w:sz="0" w:space="0" w:color="auto"/>
              </w:divBdr>
              <w:divsChild>
                <w:div w:id="11014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1720">
      <w:bodyDiv w:val="1"/>
      <w:marLeft w:val="0"/>
      <w:marRight w:val="0"/>
      <w:marTop w:val="0"/>
      <w:marBottom w:val="0"/>
      <w:divBdr>
        <w:top w:val="none" w:sz="0" w:space="0" w:color="auto"/>
        <w:left w:val="none" w:sz="0" w:space="0" w:color="auto"/>
        <w:bottom w:val="none" w:sz="0" w:space="0" w:color="auto"/>
        <w:right w:val="none" w:sz="0" w:space="0" w:color="auto"/>
      </w:divBdr>
      <w:divsChild>
        <w:div w:id="1871141149">
          <w:marLeft w:val="0"/>
          <w:marRight w:val="0"/>
          <w:marTop w:val="0"/>
          <w:marBottom w:val="0"/>
          <w:divBdr>
            <w:top w:val="none" w:sz="0" w:space="0" w:color="auto"/>
            <w:left w:val="none" w:sz="0" w:space="0" w:color="auto"/>
            <w:bottom w:val="none" w:sz="0" w:space="0" w:color="auto"/>
            <w:right w:val="none" w:sz="0" w:space="0" w:color="auto"/>
          </w:divBdr>
          <w:divsChild>
            <w:div w:id="377976180">
              <w:marLeft w:val="0"/>
              <w:marRight w:val="0"/>
              <w:marTop w:val="0"/>
              <w:marBottom w:val="0"/>
              <w:divBdr>
                <w:top w:val="none" w:sz="0" w:space="0" w:color="auto"/>
                <w:left w:val="none" w:sz="0" w:space="0" w:color="auto"/>
                <w:bottom w:val="none" w:sz="0" w:space="0" w:color="auto"/>
                <w:right w:val="none" w:sz="0" w:space="0" w:color="auto"/>
              </w:divBdr>
              <w:divsChild>
                <w:div w:id="1102382504">
                  <w:marLeft w:val="0"/>
                  <w:marRight w:val="0"/>
                  <w:marTop w:val="0"/>
                  <w:marBottom w:val="0"/>
                  <w:divBdr>
                    <w:top w:val="none" w:sz="0" w:space="0" w:color="auto"/>
                    <w:left w:val="none" w:sz="0" w:space="0" w:color="auto"/>
                    <w:bottom w:val="none" w:sz="0" w:space="0" w:color="auto"/>
                    <w:right w:val="none" w:sz="0" w:space="0" w:color="auto"/>
                  </w:divBdr>
                </w:div>
              </w:divsChild>
            </w:div>
            <w:div w:id="1892306155">
              <w:marLeft w:val="0"/>
              <w:marRight w:val="0"/>
              <w:marTop w:val="0"/>
              <w:marBottom w:val="0"/>
              <w:divBdr>
                <w:top w:val="none" w:sz="0" w:space="0" w:color="auto"/>
                <w:left w:val="none" w:sz="0" w:space="0" w:color="auto"/>
                <w:bottom w:val="none" w:sz="0" w:space="0" w:color="auto"/>
                <w:right w:val="none" w:sz="0" w:space="0" w:color="auto"/>
              </w:divBdr>
              <w:divsChild>
                <w:div w:id="5571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1642">
      <w:bodyDiv w:val="1"/>
      <w:marLeft w:val="0"/>
      <w:marRight w:val="0"/>
      <w:marTop w:val="0"/>
      <w:marBottom w:val="0"/>
      <w:divBdr>
        <w:top w:val="none" w:sz="0" w:space="0" w:color="auto"/>
        <w:left w:val="none" w:sz="0" w:space="0" w:color="auto"/>
        <w:bottom w:val="none" w:sz="0" w:space="0" w:color="auto"/>
        <w:right w:val="none" w:sz="0" w:space="0" w:color="auto"/>
      </w:divBdr>
      <w:divsChild>
        <w:div w:id="1199395842">
          <w:marLeft w:val="0"/>
          <w:marRight w:val="0"/>
          <w:marTop w:val="0"/>
          <w:marBottom w:val="0"/>
          <w:divBdr>
            <w:top w:val="none" w:sz="0" w:space="0" w:color="auto"/>
            <w:left w:val="none" w:sz="0" w:space="0" w:color="auto"/>
            <w:bottom w:val="none" w:sz="0" w:space="0" w:color="auto"/>
            <w:right w:val="none" w:sz="0" w:space="0" w:color="auto"/>
          </w:divBdr>
          <w:divsChild>
            <w:div w:id="870528909">
              <w:marLeft w:val="0"/>
              <w:marRight w:val="0"/>
              <w:marTop w:val="0"/>
              <w:marBottom w:val="0"/>
              <w:divBdr>
                <w:top w:val="none" w:sz="0" w:space="0" w:color="auto"/>
                <w:left w:val="none" w:sz="0" w:space="0" w:color="auto"/>
                <w:bottom w:val="none" w:sz="0" w:space="0" w:color="auto"/>
                <w:right w:val="none" w:sz="0" w:space="0" w:color="auto"/>
              </w:divBdr>
              <w:divsChild>
                <w:div w:id="63995380">
                  <w:marLeft w:val="0"/>
                  <w:marRight w:val="0"/>
                  <w:marTop w:val="0"/>
                  <w:marBottom w:val="0"/>
                  <w:divBdr>
                    <w:top w:val="none" w:sz="0" w:space="0" w:color="auto"/>
                    <w:left w:val="none" w:sz="0" w:space="0" w:color="auto"/>
                    <w:bottom w:val="none" w:sz="0" w:space="0" w:color="auto"/>
                    <w:right w:val="none" w:sz="0" w:space="0" w:color="auto"/>
                  </w:divBdr>
                  <w:divsChild>
                    <w:div w:id="702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99665">
      <w:bodyDiv w:val="1"/>
      <w:marLeft w:val="0"/>
      <w:marRight w:val="0"/>
      <w:marTop w:val="0"/>
      <w:marBottom w:val="0"/>
      <w:divBdr>
        <w:top w:val="none" w:sz="0" w:space="0" w:color="auto"/>
        <w:left w:val="none" w:sz="0" w:space="0" w:color="auto"/>
        <w:bottom w:val="none" w:sz="0" w:space="0" w:color="auto"/>
        <w:right w:val="none" w:sz="0" w:space="0" w:color="auto"/>
      </w:divBdr>
      <w:divsChild>
        <w:div w:id="874927956">
          <w:marLeft w:val="0"/>
          <w:marRight w:val="0"/>
          <w:marTop w:val="0"/>
          <w:marBottom w:val="0"/>
          <w:divBdr>
            <w:top w:val="none" w:sz="0" w:space="0" w:color="auto"/>
            <w:left w:val="none" w:sz="0" w:space="0" w:color="auto"/>
            <w:bottom w:val="none" w:sz="0" w:space="0" w:color="auto"/>
            <w:right w:val="none" w:sz="0" w:space="0" w:color="auto"/>
          </w:divBdr>
          <w:divsChild>
            <w:div w:id="192622520">
              <w:marLeft w:val="0"/>
              <w:marRight w:val="0"/>
              <w:marTop w:val="0"/>
              <w:marBottom w:val="0"/>
              <w:divBdr>
                <w:top w:val="none" w:sz="0" w:space="0" w:color="auto"/>
                <w:left w:val="none" w:sz="0" w:space="0" w:color="auto"/>
                <w:bottom w:val="none" w:sz="0" w:space="0" w:color="auto"/>
                <w:right w:val="none" w:sz="0" w:space="0" w:color="auto"/>
              </w:divBdr>
              <w:divsChild>
                <w:div w:id="12360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70200">
      <w:bodyDiv w:val="1"/>
      <w:marLeft w:val="0"/>
      <w:marRight w:val="0"/>
      <w:marTop w:val="0"/>
      <w:marBottom w:val="0"/>
      <w:divBdr>
        <w:top w:val="none" w:sz="0" w:space="0" w:color="auto"/>
        <w:left w:val="none" w:sz="0" w:space="0" w:color="auto"/>
        <w:bottom w:val="none" w:sz="0" w:space="0" w:color="auto"/>
        <w:right w:val="none" w:sz="0" w:space="0" w:color="auto"/>
      </w:divBdr>
      <w:divsChild>
        <w:div w:id="1216310386">
          <w:marLeft w:val="0"/>
          <w:marRight w:val="0"/>
          <w:marTop w:val="0"/>
          <w:marBottom w:val="0"/>
          <w:divBdr>
            <w:top w:val="none" w:sz="0" w:space="0" w:color="auto"/>
            <w:left w:val="none" w:sz="0" w:space="0" w:color="auto"/>
            <w:bottom w:val="none" w:sz="0" w:space="0" w:color="auto"/>
            <w:right w:val="none" w:sz="0" w:space="0" w:color="auto"/>
          </w:divBdr>
          <w:divsChild>
            <w:div w:id="1636643635">
              <w:marLeft w:val="0"/>
              <w:marRight w:val="0"/>
              <w:marTop w:val="0"/>
              <w:marBottom w:val="0"/>
              <w:divBdr>
                <w:top w:val="none" w:sz="0" w:space="0" w:color="auto"/>
                <w:left w:val="none" w:sz="0" w:space="0" w:color="auto"/>
                <w:bottom w:val="none" w:sz="0" w:space="0" w:color="auto"/>
                <w:right w:val="none" w:sz="0" w:space="0" w:color="auto"/>
              </w:divBdr>
              <w:divsChild>
                <w:div w:id="14779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2687">
      <w:bodyDiv w:val="1"/>
      <w:marLeft w:val="0"/>
      <w:marRight w:val="0"/>
      <w:marTop w:val="0"/>
      <w:marBottom w:val="0"/>
      <w:divBdr>
        <w:top w:val="none" w:sz="0" w:space="0" w:color="auto"/>
        <w:left w:val="none" w:sz="0" w:space="0" w:color="auto"/>
        <w:bottom w:val="none" w:sz="0" w:space="0" w:color="auto"/>
        <w:right w:val="none" w:sz="0" w:space="0" w:color="auto"/>
      </w:divBdr>
      <w:divsChild>
        <w:div w:id="2079401699">
          <w:marLeft w:val="0"/>
          <w:marRight w:val="0"/>
          <w:marTop w:val="0"/>
          <w:marBottom w:val="0"/>
          <w:divBdr>
            <w:top w:val="none" w:sz="0" w:space="0" w:color="auto"/>
            <w:left w:val="none" w:sz="0" w:space="0" w:color="auto"/>
            <w:bottom w:val="none" w:sz="0" w:space="0" w:color="auto"/>
            <w:right w:val="none" w:sz="0" w:space="0" w:color="auto"/>
          </w:divBdr>
          <w:divsChild>
            <w:div w:id="276570901">
              <w:marLeft w:val="0"/>
              <w:marRight w:val="0"/>
              <w:marTop w:val="0"/>
              <w:marBottom w:val="0"/>
              <w:divBdr>
                <w:top w:val="none" w:sz="0" w:space="0" w:color="auto"/>
                <w:left w:val="none" w:sz="0" w:space="0" w:color="auto"/>
                <w:bottom w:val="none" w:sz="0" w:space="0" w:color="auto"/>
                <w:right w:val="none" w:sz="0" w:space="0" w:color="auto"/>
              </w:divBdr>
              <w:divsChild>
                <w:div w:id="380600136">
                  <w:marLeft w:val="0"/>
                  <w:marRight w:val="0"/>
                  <w:marTop w:val="0"/>
                  <w:marBottom w:val="0"/>
                  <w:divBdr>
                    <w:top w:val="none" w:sz="0" w:space="0" w:color="auto"/>
                    <w:left w:val="none" w:sz="0" w:space="0" w:color="auto"/>
                    <w:bottom w:val="none" w:sz="0" w:space="0" w:color="auto"/>
                    <w:right w:val="none" w:sz="0" w:space="0" w:color="auto"/>
                  </w:divBdr>
                </w:div>
              </w:divsChild>
            </w:div>
            <w:div w:id="1774665559">
              <w:marLeft w:val="0"/>
              <w:marRight w:val="0"/>
              <w:marTop w:val="0"/>
              <w:marBottom w:val="0"/>
              <w:divBdr>
                <w:top w:val="none" w:sz="0" w:space="0" w:color="auto"/>
                <w:left w:val="none" w:sz="0" w:space="0" w:color="auto"/>
                <w:bottom w:val="none" w:sz="0" w:space="0" w:color="auto"/>
                <w:right w:val="none" w:sz="0" w:space="0" w:color="auto"/>
              </w:divBdr>
              <w:divsChild>
                <w:div w:id="2363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611">
      <w:bodyDiv w:val="1"/>
      <w:marLeft w:val="0"/>
      <w:marRight w:val="0"/>
      <w:marTop w:val="0"/>
      <w:marBottom w:val="0"/>
      <w:divBdr>
        <w:top w:val="none" w:sz="0" w:space="0" w:color="auto"/>
        <w:left w:val="none" w:sz="0" w:space="0" w:color="auto"/>
        <w:bottom w:val="none" w:sz="0" w:space="0" w:color="auto"/>
        <w:right w:val="none" w:sz="0" w:space="0" w:color="auto"/>
      </w:divBdr>
      <w:divsChild>
        <w:div w:id="607083530">
          <w:marLeft w:val="0"/>
          <w:marRight w:val="0"/>
          <w:marTop w:val="0"/>
          <w:marBottom w:val="0"/>
          <w:divBdr>
            <w:top w:val="none" w:sz="0" w:space="0" w:color="auto"/>
            <w:left w:val="none" w:sz="0" w:space="0" w:color="auto"/>
            <w:bottom w:val="none" w:sz="0" w:space="0" w:color="auto"/>
            <w:right w:val="none" w:sz="0" w:space="0" w:color="auto"/>
          </w:divBdr>
          <w:divsChild>
            <w:div w:id="531844953">
              <w:marLeft w:val="0"/>
              <w:marRight w:val="0"/>
              <w:marTop w:val="0"/>
              <w:marBottom w:val="0"/>
              <w:divBdr>
                <w:top w:val="none" w:sz="0" w:space="0" w:color="auto"/>
                <w:left w:val="none" w:sz="0" w:space="0" w:color="auto"/>
                <w:bottom w:val="none" w:sz="0" w:space="0" w:color="auto"/>
                <w:right w:val="none" w:sz="0" w:space="0" w:color="auto"/>
              </w:divBdr>
              <w:divsChild>
                <w:div w:id="13935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8DB2-6C5F-46FD-86B5-F0A7A99E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16291</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Secretaria de Concejo</cp:lastModifiedBy>
  <cp:revision>2</cp:revision>
  <dcterms:created xsi:type="dcterms:W3CDTF">2021-01-29T23:31:00Z</dcterms:created>
  <dcterms:modified xsi:type="dcterms:W3CDTF">2021-01-29T23:31:00Z</dcterms:modified>
</cp:coreProperties>
</file>