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8CA1" w14:textId="17ABFC83" w:rsidR="003F129D" w:rsidRPr="00902A6F" w:rsidRDefault="003F129D" w:rsidP="00F06979">
      <w:pPr>
        <w:spacing w:after="0" w:line="276" w:lineRule="auto"/>
        <w:jc w:val="center"/>
        <w:rPr>
          <w:rFonts w:cs="Arial"/>
          <w:b/>
          <w:sz w:val="24"/>
          <w:szCs w:val="24"/>
          <w:lang w:val="es-ES_tradnl"/>
        </w:rPr>
      </w:pPr>
      <w:bookmarkStart w:id="0" w:name="_GoBack"/>
      <w:bookmarkEnd w:id="0"/>
      <w:r w:rsidRPr="00902A6F">
        <w:rPr>
          <w:rFonts w:cs="Arial"/>
          <w:b/>
          <w:sz w:val="24"/>
          <w:szCs w:val="24"/>
          <w:lang w:val="es-ES_tradnl"/>
        </w:rPr>
        <w:t xml:space="preserve">RESOLUCIÓN No. </w:t>
      </w:r>
      <w:r w:rsidR="003F2A26" w:rsidRPr="00902A6F">
        <w:rPr>
          <w:rFonts w:cs="Arial"/>
          <w:b/>
          <w:sz w:val="24"/>
          <w:szCs w:val="24"/>
          <w:lang w:val="es-ES_tradnl"/>
        </w:rPr>
        <w:t>….</w:t>
      </w:r>
      <w:r w:rsidR="00701847">
        <w:rPr>
          <w:rFonts w:cs="Arial"/>
          <w:b/>
          <w:sz w:val="24"/>
          <w:szCs w:val="24"/>
          <w:lang w:val="es-ES_tradnl"/>
        </w:rPr>
        <w:t>.</w:t>
      </w:r>
      <w:r w:rsidR="003F2A26" w:rsidRPr="00902A6F">
        <w:rPr>
          <w:rFonts w:cs="Arial"/>
          <w:b/>
          <w:sz w:val="24"/>
          <w:szCs w:val="24"/>
          <w:lang w:val="es-ES_tradnl"/>
        </w:rPr>
        <w:t xml:space="preserve"> </w:t>
      </w:r>
      <w:r w:rsidR="0044491A">
        <w:rPr>
          <w:rFonts w:cs="Arial"/>
          <w:b/>
          <w:sz w:val="24"/>
          <w:szCs w:val="24"/>
          <w:lang w:val="es-ES_tradnl"/>
        </w:rPr>
        <w:t xml:space="preserve"> </w:t>
      </w:r>
      <w:r w:rsidR="00EF3075">
        <w:rPr>
          <w:rFonts w:cs="Arial"/>
          <w:b/>
          <w:sz w:val="24"/>
          <w:szCs w:val="24"/>
          <w:lang w:val="es-ES_tradnl"/>
        </w:rPr>
        <w:t>-</w:t>
      </w:r>
      <w:r w:rsidR="009A24F4">
        <w:rPr>
          <w:rFonts w:cs="Arial"/>
          <w:b/>
          <w:sz w:val="24"/>
          <w:szCs w:val="24"/>
          <w:lang w:val="es-ES_tradnl"/>
        </w:rPr>
        <w:t>20</w:t>
      </w:r>
      <w:r w:rsidR="00902456">
        <w:rPr>
          <w:rFonts w:cs="Arial"/>
          <w:b/>
          <w:sz w:val="24"/>
          <w:szCs w:val="24"/>
          <w:lang w:val="es-ES_tradnl"/>
        </w:rPr>
        <w:t>20</w:t>
      </w:r>
    </w:p>
    <w:p w14:paraId="2200D14F" w14:textId="77777777" w:rsidR="003F129D" w:rsidRPr="00902A6F" w:rsidRDefault="003F129D" w:rsidP="00F06979">
      <w:pPr>
        <w:spacing w:after="0" w:line="276" w:lineRule="auto"/>
        <w:jc w:val="center"/>
        <w:rPr>
          <w:rFonts w:cs="Arial"/>
          <w:sz w:val="24"/>
          <w:szCs w:val="24"/>
          <w:lang w:val="es-ES_tradnl"/>
        </w:rPr>
      </w:pPr>
    </w:p>
    <w:p w14:paraId="146A8EDB" w14:textId="77777777" w:rsidR="003F129D" w:rsidRPr="00902A6F" w:rsidRDefault="003F129D" w:rsidP="00F06979">
      <w:pPr>
        <w:spacing w:after="0" w:line="276" w:lineRule="auto"/>
        <w:jc w:val="center"/>
        <w:rPr>
          <w:rFonts w:cs="Arial"/>
          <w:b/>
          <w:sz w:val="24"/>
          <w:szCs w:val="24"/>
          <w:lang w:val="es-ES_tradnl"/>
        </w:rPr>
      </w:pPr>
      <w:r w:rsidRPr="00902A6F">
        <w:rPr>
          <w:rFonts w:cs="Arial"/>
          <w:b/>
          <w:sz w:val="24"/>
          <w:szCs w:val="24"/>
          <w:lang w:val="es-ES_tradnl"/>
        </w:rPr>
        <w:t>CONSIDERANDO:</w:t>
      </w:r>
    </w:p>
    <w:p w14:paraId="56F72227" w14:textId="77777777" w:rsidR="003F129D" w:rsidRPr="00902A6F" w:rsidRDefault="003F129D" w:rsidP="00F06979">
      <w:pPr>
        <w:spacing w:after="0" w:line="276" w:lineRule="auto"/>
        <w:jc w:val="center"/>
        <w:rPr>
          <w:rFonts w:cs="Arial"/>
          <w:b/>
          <w:sz w:val="24"/>
          <w:szCs w:val="24"/>
          <w:lang w:val="es-ES_tradnl"/>
        </w:rPr>
      </w:pPr>
    </w:p>
    <w:p w14:paraId="61E60DA7" w14:textId="77777777" w:rsidR="00C4659F" w:rsidRPr="00C4659F" w:rsidRDefault="00C4659F" w:rsidP="00C4659F">
      <w:pPr>
        <w:autoSpaceDE w:val="0"/>
        <w:autoSpaceDN w:val="0"/>
        <w:adjustRightInd w:val="0"/>
        <w:spacing w:after="0" w:line="240" w:lineRule="auto"/>
        <w:jc w:val="both"/>
        <w:rPr>
          <w:rFonts w:cs="Times New Roman"/>
          <w:i/>
          <w:iCs/>
          <w:sz w:val="24"/>
          <w:szCs w:val="24"/>
        </w:rPr>
      </w:pPr>
      <w:r w:rsidRPr="00C4659F">
        <w:rPr>
          <w:rFonts w:cs="Times New Roman"/>
          <w:b/>
          <w:sz w:val="24"/>
          <w:szCs w:val="24"/>
        </w:rPr>
        <w:t>Que,</w:t>
      </w:r>
      <w:r w:rsidRPr="00C4659F">
        <w:rPr>
          <w:rFonts w:cs="Times New Roman"/>
          <w:sz w:val="24"/>
          <w:szCs w:val="24"/>
        </w:rPr>
        <w:t xml:space="preserve"> el artículo 241 de la Constitución de la República señala que </w:t>
      </w:r>
      <w:r w:rsidRPr="00C4659F">
        <w:rPr>
          <w:rFonts w:cs="Times New Roman"/>
          <w:i/>
          <w:iCs/>
          <w:sz w:val="24"/>
          <w:szCs w:val="24"/>
        </w:rPr>
        <w:t>"La planificación garantizará el ordenamiento territorial y será obligatoria en todos los gobiernos  autónomos descentralizados";</w:t>
      </w:r>
    </w:p>
    <w:p w14:paraId="51A6B78D" w14:textId="77777777" w:rsidR="00C4659F" w:rsidRDefault="00C4659F" w:rsidP="00C4659F">
      <w:pPr>
        <w:spacing w:after="0" w:line="276" w:lineRule="auto"/>
        <w:jc w:val="both"/>
        <w:rPr>
          <w:rFonts w:ascii="Times New Roman" w:hAnsi="Times New Roman" w:cs="Times New Roman"/>
          <w:i/>
          <w:iCs/>
          <w:sz w:val="23"/>
          <w:szCs w:val="23"/>
        </w:rPr>
      </w:pPr>
    </w:p>
    <w:p w14:paraId="03DC8E0B" w14:textId="4502700E" w:rsidR="00BD0ABD" w:rsidRPr="00902A6F" w:rsidRDefault="00BD0ABD" w:rsidP="00C4659F">
      <w:pPr>
        <w:spacing w:after="0" w:line="276" w:lineRule="auto"/>
        <w:jc w:val="both"/>
        <w:rPr>
          <w:rFonts w:cs="Arial"/>
          <w:sz w:val="24"/>
          <w:szCs w:val="24"/>
          <w:lang w:val="es-ES_tradnl"/>
        </w:rPr>
      </w:pPr>
      <w:r w:rsidRPr="00902A6F">
        <w:rPr>
          <w:rFonts w:cs="Arial"/>
          <w:b/>
          <w:sz w:val="24"/>
          <w:szCs w:val="24"/>
          <w:lang w:val="es-ES_tradnl"/>
        </w:rPr>
        <w:t>Que,</w:t>
      </w:r>
      <w:r w:rsidRPr="00902A6F">
        <w:rPr>
          <w:rFonts w:cs="Arial"/>
          <w:b/>
          <w:sz w:val="24"/>
          <w:szCs w:val="24"/>
          <w:lang w:val="es-ES_tradnl"/>
        </w:rPr>
        <w:tab/>
      </w:r>
      <w:r w:rsidR="00140C98" w:rsidRPr="00902A6F">
        <w:rPr>
          <w:rFonts w:cs="Arial"/>
          <w:sz w:val="24"/>
          <w:szCs w:val="24"/>
          <w:lang w:val="es-ES_tradnl"/>
        </w:rPr>
        <w:t>el numeral 2</w:t>
      </w:r>
      <w:r w:rsidRPr="00902A6F">
        <w:rPr>
          <w:rFonts w:cs="Arial"/>
          <w:sz w:val="24"/>
          <w:szCs w:val="24"/>
          <w:lang w:val="es-ES_tradnl"/>
        </w:rPr>
        <w:t xml:space="preserve"> del artículo 264 de la Constitución de la República del Ecuador,</w:t>
      </w:r>
      <w:r w:rsidR="00800D81">
        <w:rPr>
          <w:rFonts w:cs="Arial"/>
          <w:sz w:val="24"/>
          <w:szCs w:val="24"/>
          <w:lang w:val="es-ES_tradnl"/>
        </w:rPr>
        <w:t xml:space="preserve"> </w:t>
      </w:r>
      <w:r w:rsidR="00140C98" w:rsidRPr="00902A6F">
        <w:rPr>
          <w:rFonts w:cs="Arial"/>
          <w:sz w:val="24"/>
          <w:szCs w:val="24"/>
          <w:lang w:val="es-ES_tradnl"/>
        </w:rPr>
        <w:t>establece como competencia exclusiva de los gobiernos municipales la de</w:t>
      </w:r>
      <w:r w:rsidRPr="00902A6F">
        <w:rPr>
          <w:rFonts w:cs="Arial"/>
          <w:sz w:val="24"/>
          <w:szCs w:val="24"/>
          <w:lang w:val="es-ES_tradnl"/>
        </w:rPr>
        <w:t>: “</w:t>
      </w:r>
      <w:r w:rsidR="00140C98" w:rsidRPr="00902A6F">
        <w:rPr>
          <w:rFonts w:cs="Arial"/>
          <w:i/>
          <w:sz w:val="24"/>
          <w:szCs w:val="24"/>
          <w:lang w:val="es-ES_tradnl"/>
        </w:rPr>
        <w:t>Ejercer el control sobre el uso y ocupación del suelo en el cantón</w:t>
      </w:r>
      <w:r w:rsidR="00140C98" w:rsidRPr="00902A6F">
        <w:rPr>
          <w:rFonts w:cs="Arial"/>
          <w:sz w:val="24"/>
          <w:szCs w:val="24"/>
          <w:lang w:val="es-ES_tradnl"/>
        </w:rPr>
        <w:t xml:space="preserve">”; </w:t>
      </w:r>
    </w:p>
    <w:p w14:paraId="3F41EC1A" w14:textId="77777777" w:rsidR="00F06979" w:rsidRPr="00902A6F" w:rsidRDefault="00F06979" w:rsidP="00F06979">
      <w:pPr>
        <w:spacing w:after="0" w:line="276" w:lineRule="auto"/>
        <w:jc w:val="both"/>
        <w:rPr>
          <w:rFonts w:cs="Arial"/>
          <w:b/>
          <w:sz w:val="24"/>
          <w:szCs w:val="24"/>
          <w:lang w:val="es-ES_tradnl"/>
        </w:rPr>
      </w:pPr>
    </w:p>
    <w:p w14:paraId="5F0B6C72" w14:textId="77777777" w:rsidR="00F06979" w:rsidRDefault="00BD0ABD" w:rsidP="00F06979">
      <w:pPr>
        <w:spacing w:after="0" w:line="276" w:lineRule="auto"/>
        <w:jc w:val="both"/>
        <w:rPr>
          <w:rFonts w:cs="Arial"/>
          <w:sz w:val="24"/>
          <w:szCs w:val="24"/>
          <w:lang w:val="es-ES_tradnl"/>
        </w:rPr>
      </w:pPr>
      <w:r w:rsidRPr="00902A6F">
        <w:rPr>
          <w:rFonts w:cs="Arial"/>
          <w:b/>
          <w:sz w:val="24"/>
          <w:szCs w:val="24"/>
          <w:lang w:val="es-ES_tradnl"/>
        </w:rPr>
        <w:t>Que,</w:t>
      </w:r>
      <w:r w:rsidRPr="00902A6F">
        <w:rPr>
          <w:rFonts w:cs="Arial"/>
          <w:sz w:val="24"/>
          <w:szCs w:val="24"/>
          <w:lang w:val="es-ES_tradnl"/>
        </w:rPr>
        <w:tab/>
        <w:t xml:space="preserve">el literal </w:t>
      </w:r>
      <w:r w:rsidR="00836D30" w:rsidRPr="00902A6F">
        <w:rPr>
          <w:rFonts w:cs="Arial"/>
          <w:sz w:val="24"/>
          <w:szCs w:val="24"/>
          <w:lang w:val="es-ES_tradnl"/>
        </w:rPr>
        <w:t>b) del artículo 55</w:t>
      </w:r>
      <w:r w:rsidRPr="00902A6F">
        <w:rPr>
          <w:rFonts w:cs="Arial"/>
          <w:sz w:val="24"/>
          <w:szCs w:val="24"/>
          <w:lang w:val="es-ES_tradnl"/>
        </w:rPr>
        <w:t xml:space="preserve"> del Código Orgánico de Organización Territorial, Autonomía y Descentralización (COOTAD), </w:t>
      </w:r>
      <w:r w:rsidR="00BE4381" w:rsidRPr="00902A6F">
        <w:rPr>
          <w:rFonts w:cs="Arial"/>
          <w:sz w:val="24"/>
          <w:szCs w:val="24"/>
          <w:lang w:val="es-ES_tradnl"/>
        </w:rPr>
        <w:t>señala</w:t>
      </w:r>
      <w:r w:rsidR="00836D30" w:rsidRPr="00902A6F">
        <w:rPr>
          <w:rFonts w:cs="Arial"/>
          <w:sz w:val="24"/>
          <w:szCs w:val="24"/>
          <w:lang w:val="es-ES_tradnl"/>
        </w:rPr>
        <w:t xml:space="preserve"> como una competencia exclusiva del gobierno autónomo descentralizado municipal la de ejercer el control sobre el uso y ocupación del suelo en el cantón; </w:t>
      </w:r>
    </w:p>
    <w:p w14:paraId="544C4ACC" w14:textId="77777777" w:rsidR="00C4659F" w:rsidRPr="00902A6F" w:rsidRDefault="00C4659F" w:rsidP="00F06979">
      <w:pPr>
        <w:spacing w:after="0" w:line="276" w:lineRule="auto"/>
        <w:jc w:val="both"/>
        <w:rPr>
          <w:rFonts w:cs="Arial"/>
          <w:b/>
          <w:sz w:val="24"/>
          <w:szCs w:val="24"/>
          <w:lang w:val="es-ES_tradnl"/>
        </w:rPr>
      </w:pPr>
    </w:p>
    <w:p w14:paraId="0DDE57D8" w14:textId="77777777" w:rsidR="00F06979" w:rsidRDefault="00C4659F" w:rsidP="00C4659F">
      <w:pPr>
        <w:spacing w:after="0" w:line="276" w:lineRule="auto"/>
        <w:jc w:val="both"/>
        <w:rPr>
          <w:rFonts w:cs="Arial"/>
          <w:sz w:val="24"/>
          <w:szCs w:val="24"/>
          <w:lang w:val="es-ES_tradnl"/>
        </w:rPr>
      </w:pPr>
      <w:r w:rsidRPr="00C4659F">
        <w:rPr>
          <w:rFonts w:cs="Arial"/>
          <w:b/>
          <w:sz w:val="24"/>
          <w:szCs w:val="24"/>
          <w:lang w:val="es-ES_tradnl"/>
        </w:rPr>
        <w:t>Que</w:t>
      </w:r>
      <w:r w:rsidRPr="00C4659F">
        <w:rPr>
          <w:rFonts w:cs="Arial"/>
          <w:sz w:val="24"/>
          <w:szCs w:val="24"/>
          <w:lang w:val="es-ES_tradnl"/>
        </w:rPr>
        <w:t>, de conformidad al literal c) del artículo 84 del Código Orgánico de Organización</w:t>
      </w:r>
      <w:r>
        <w:rPr>
          <w:rFonts w:cs="Arial"/>
          <w:sz w:val="24"/>
          <w:szCs w:val="24"/>
          <w:lang w:val="es-ES_tradnl"/>
        </w:rPr>
        <w:t xml:space="preserve"> </w:t>
      </w:r>
      <w:r w:rsidRPr="00C4659F">
        <w:rPr>
          <w:rFonts w:cs="Arial"/>
          <w:sz w:val="24"/>
          <w:szCs w:val="24"/>
          <w:lang w:val="es-ES_tradnl"/>
        </w:rPr>
        <w:t>Territorial, Autonomía y Descentralización, entre las funciones del gobierno del distrito autónomo metropolitano, es la de establecer el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5DCA3E1" w14:textId="77777777" w:rsidR="00C4659F" w:rsidRPr="00C4659F" w:rsidRDefault="00C4659F" w:rsidP="00C4659F">
      <w:pPr>
        <w:spacing w:after="0" w:line="276" w:lineRule="auto"/>
        <w:jc w:val="both"/>
        <w:rPr>
          <w:rFonts w:cs="Arial"/>
          <w:sz w:val="24"/>
          <w:szCs w:val="24"/>
          <w:lang w:val="es-ES_tradnl"/>
        </w:rPr>
      </w:pPr>
    </w:p>
    <w:p w14:paraId="1C87C13D" w14:textId="77777777" w:rsidR="00C4659F" w:rsidRPr="00C4659F" w:rsidRDefault="00C4659F" w:rsidP="00C4659F">
      <w:pPr>
        <w:spacing w:after="0" w:line="276" w:lineRule="auto"/>
        <w:jc w:val="both"/>
        <w:rPr>
          <w:rFonts w:cs="Arial"/>
          <w:sz w:val="24"/>
          <w:szCs w:val="24"/>
          <w:lang w:val="es-ES_tradnl"/>
        </w:rPr>
      </w:pPr>
      <w:r w:rsidRPr="00C4659F">
        <w:rPr>
          <w:rFonts w:cs="Arial"/>
          <w:b/>
          <w:sz w:val="24"/>
          <w:szCs w:val="24"/>
          <w:lang w:val="es-ES_tradnl"/>
        </w:rPr>
        <w:t>Que</w:t>
      </w:r>
      <w:r w:rsidRPr="00C4659F">
        <w:rPr>
          <w:rFonts w:cs="Arial"/>
          <w:sz w:val="24"/>
          <w:szCs w:val="24"/>
          <w:lang w:val="es-ES_tradnl"/>
        </w:rPr>
        <w:t>, de conformidad al literal a) del artículo 87 del Código Orgánico de Organización Territorial, Autonomía y Descentralización, entre las atribuciones del Concejo Metropolitano, le corresponde ejercer la facultad normativa en las materias de competencia del gobierno autónomo descentralizado metropolitano, mediante la expedición de ordenanzas metropolitanas, acuerdos y resoluciones;</w:t>
      </w:r>
    </w:p>
    <w:p w14:paraId="1F0CF41D" w14:textId="77777777" w:rsidR="00C4659F" w:rsidRPr="00C4659F" w:rsidRDefault="00C4659F" w:rsidP="00C4659F">
      <w:pPr>
        <w:spacing w:after="0" w:line="276" w:lineRule="auto"/>
        <w:jc w:val="both"/>
        <w:rPr>
          <w:rFonts w:cs="Arial"/>
          <w:b/>
          <w:sz w:val="24"/>
          <w:szCs w:val="24"/>
          <w:lang w:val="es-ES_tradnl"/>
        </w:rPr>
      </w:pPr>
    </w:p>
    <w:p w14:paraId="4EFDC3CB" w14:textId="77777777" w:rsidR="00F06979" w:rsidRPr="007028F8" w:rsidRDefault="00C4659F" w:rsidP="007028F8">
      <w:pPr>
        <w:spacing w:after="0" w:line="276" w:lineRule="auto"/>
        <w:jc w:val="both"/>
        <w:rPr>
          <w:rFonts w:cs="Arial"/>
          <w:i/>
          <w:sz w:val="24"/>
          <w:szCs w:val="24"/>
          <w:lang w:val="es-ES_tradnl"/>
        </w:rPr>
      </w:pPr>
      <w:r w:rsidRPr="007028F8">
        <w:rPr>
          <w:rFonts w:cs="Arial"/>
          <w:b/>
          <w:sz w:val="24"/>
          <w:szCs w:val="24"/>
          <w:lang w:val="es-ES_tradnl"/>
        </w:rPr>
        <w:t>Que,</w:t>
      </w:r>
      <w:r w:rsidRPr="007028F8">
        <w:rPr>
          <w:rFonts w:cs="Arial"/>
          <w:sz w:val="24"/>
          <w:szCs w:val="24"/>
          <w:lang w:val="es-ES_tradnl"/>
        </w:rPr>
        <w:t xml:space="preserve"> el artículo 2 de la Ley Orgánica de Régimen para el Distrito Metropolitano de Quito establece como finalidad del Municipio </w:t>
      </w:r>
      <w:r w:rsidRPr="007028F8">
        <w:rPr>
          <w:rFonts w:cs="Arial"/>
          <w:i/>
          <w:sz w:val="24"/>
          <w:szCs w:val="24"/>
          <w:lang w:val="es-ES_tradnl"/>
        </w:rPr>
        <w:t xml:space="preserve">"1. Regular el </w:t>
      </w:r>
      <w:r w:rsidR="0097523E">
        <w:rPr>
          <w:rFonts w:cs="Arial"/>
          <w:i/>
          <w:sz w:val="24"/>
          <w:szCs w:val="24"/>
          <w:lang w:val="es-ES_tradnl"/>
        </w:rPr>
        <w:t>u</w:t>
      </w:r>
      <w:r w:rsidRPr="007028F8">
        <w:rPr>
          <w:rFonts w:cs="Arial"/>
          <w:i/>
          <w:sz w:val="24"/>
          <w:szCs w:val="24"/>
          <w:lang w:val="es-ES_tradnl"/>
        </w:rPr>
        <w:t>so y la adecuada ocupación del suelo y ejercer control sobre el mismo con competencia exclusiva y privativa (...)";</w:t>
      </w:r>
    </w:p>
    <w:p w14:paraId="784D129E" w14:textId="77777777" w:rsidR="007028F8" w:rsidRPr="007028F8" w:rsidRDefault="007028F8" w:rsidP="007028F8">
      <w:pPr>
        <w:spacing w:after="0" w:line="276" w:lineRule="auto"/>
        <w:jc w:val="both"/>
        <w:rPr>
          <w:rFonts w:cs="Arial"/>
          <w:sz w:val="24"/>
          <w:szCs w:val="24"/>
          <w:lang w:val="es-ES_tradnl"/>
        </w:rPr>
      </w:pPr>
    </w:p>
    <w:p w14:paraId="3FD0295D" w14:textId="77777777" w:rsidR="007028F8" w:rsidRPr="007028F8"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mediante Ordenanza Metropolitana No. 127 de fecha 25 de julio de 2016, luego de su tratamiento en segundo debate, fue aprobado el Plan de Uso y Ocupación del Suelo (PUOS) y sus anexos;</w:t>
      </w:r>
    </w:p>
    <w:p w14:paraId="2FCFB944" w14:textId="77777777" w:rsidR="007028F8" w:rsidRPr="007028F8" w:rsidRDefault="007028F8" w:rsidP="007028F8">
      <w:pPr>
        <w:spacing w:after="0" w:line="276" w:lineRule="auto"/>
        <w:jc w:val="both"/>
        <w:rPr>
          <w:rFonts w:cs="Arial"/>
          <w:sz w:val="24"/>
          <w:szCs w:val="24"/>
          <w:lang w:val="es-ES_tradnl"/>
        </w:rPr>
      </w:pPr>
    </w:p>
    <w:p w14:paraId="4F032F6F" w14:textId="54EBA192" w:rsidR="00C4659F" w:rsidRDefault="007028F8" w:rsidP="007028F8">
      <w:pPr>
        <w:spacing w:after="0" w:line="276" w:lineRule="auto"/>
        <w:jc w:val="both"/>
        <w:rPr>
          <w:rFonts w:cs="Arial"/>
          <w:sz w:val="24"/>
          <w:szCs w:val="24"/>
          <w:lang w:val="es-ES_tradnl"/>
        </w:rPr>
      </w:pPr>
      <w:r w:rsidRPr="007028F8">
        <w:rPr>
          <w:rFonts w:cs="Arial"/>
          <w:b/>
          <w:sz w:val="24"/>
          <w:szCs w:val="24"/>
          <w:lang w:val="es-ES_tradnl"/>
        </w:rPr>
        <w:lastRenderedPageBreak/>
        <w:t>Que,</w:t>
      </w:r>
      <w:r w:rsidRPr="007028F8">
        <w:rPr>
          <w:rFonts w:cs="Arial"/>
          <w:sz w:val="24"/>
          <w:szCs w:val="24"/>
          <w:lang w:val="es-ES_tradnl"/>
        </w:rPr>
        <w:t xml:space="preserve"> </w:t>
      </w:r>
      <w:r w:rsidR="00902456">
        <w:rPr>
          <w:rFonts w:cs="Arial"/>
          <w:sz w:val="24"/>
          <w:szCs w:val="24"/>
          <w:lang w:val="es-ES_tradnl"/>
        </w:rPr>
        <w:t>m</w:t>
      </w:r>
      <w:r w:rsidRPr="007028F8">
        <w:rPr>
          <w:rFonts w:cs="Arial"/>
          <w:sz w:val="24"/>
          <w:szCs w:val="24"/>
          <w:lang w:val="es-ES_tradnl"/>
        </w:rPr>
        <w:t>ediante Ordenanza Metropolitana No. 192 de fecha 20 de diciembre de 2017, luego de su tratamiento en segundo debate, fue aprobada la Ordenanza Reformatoria de la   Ordenanza Metropolitana No. 127, que contiene el Plan de Uso y Ocupación del Suelo (PUOS) y sus anexos;</w:t>
      </w:r>
    </w:p>
    <w:p w14:paraId="483F84F9" w14:textId="77777777" w:rsidR="007028F8" w:rsidRPr="007028F8" w:rsidRDefault="007028F8" w:rsidP="007028F8">
      <w:pPr>
        <w:spacing w:after="0" w:line="276" w:lineRule="auto"/>
        <w:jc w:val="both"/>
        <w:rPr>
          <w:rFonts w:cs="Arial"/>
          <w:sz w:val="24"/>
          <w:szCs w:val="24"/>
          <w:lang w:val="es-ES_tradnl"/>
        </w:rPr>
      </w:pPr>
    </w:p>
    <w:p w14:paraId="47DD2185" w14:textId="6EA24DE8" w:rsidR="007028F8" w:rsidRDefault="007028F8" w:rsidP="007028F8">
      <w:pPr>
        <w:spacing w:after="0" w:line="276" w:lineRule="auto"/>
        <w:jc w:val="both"/>
        <w:rPr>
          <w:rFonts w:cs="Arial"/>
          <w:sz w:val="24"/>
          <w:szCs w:val="24"/>
          <w:lang w:val="es-ES_tradnl"/>
        </w:rPr>
      </w:pPr>
      <w:r w:rsidRPr="007028F8">
        <w:rPr>
          <w:rFonts w:cs="Arial"/>
          <w:b/>
          <w:sz w:val="24"/>
          <w:szCs w:val="24"/>
          <w:lang w:val="es-ES_tradnl"/>
        </w:rPr>
        <w:t>Que,</w:t>
      </w:r>
      <w:r w:rsidRPr="007028F8">
        <w:rPr>
          <w:rFonts w:cs="Arial"/>
          <w:sz w:val="24"/>
          <w:szCs w:val="24"/>
          <w:lang w:val="es-ES_tradnl"/>
        </w:rPr>
        <w:t xml:space="preserve"> </w:t>
      </w:r>
      <w:r w:rsidR="00902456">
        <w:rPr>
          <w:rFonts w:cs="Arial"/>
          <w:sz w:val="24"/>
          <w:szCs w:val="24"/>
          <w:lang w:val="es-ES_tradnl"/>
        </w:rPr>
        <w:t>m</w:t>
      </w:r>
      <w:r w:rsidRPr="007028F8">
        <w:rPr>
          <w:rFonts w:cs="Arial"/>
          <w:sz w:val="24"/>
          <w:szCs w:val="24"/>
          <w:lang w:val="es-ES_tradnl"/>
        </w:rPr>
        <w:t xml:space="preserve">ediante Ordenanza Metropolitana No. </w:t>
      </w:r>
      <w:r>
        <w:rPr>
          <w:rFonts w:cs="Arial"/>
          <w:sz w:val="24"/>
          <w:szCs w:val="24"/>
          <w:lang w:val="es-ES_tradnl"/>
        </w:rPr>
        <w:t>210</w:t>
      </w:r>
      <w:r w:rsidRPr="007028F8">
        <w:rPr>
          <w:rFonts w:cs="Arial"/>
          <w:sz w:val="24"/>
          <w:szCs w:val="24"/>
          <w:lang w:val="es-ES_tradnl"/>
        </w:rPr>
        <w:t xml:space="preserve"> de fecha </w:t>
      </w:r>
      <w:r>
        <w:rPr>
          <w:rFonts w:cs="Arial"/>
          <w:sz w:val="24"/>
          <w:szCs w:val="24"/>
          <w:lang w:val="es-ES_tradnl"/>
        </w:rPr>
        <w:t>12 de abril de 2018</w:t>
      </w:r>
      <w:r w:rsidRPr="007028F8">
        <w:rPr>
          <w:rFonts w:cs="Arial"/>
          <w:sz w:val="24"/>
          <w:szCs w:val="24"/>
          <w:lang w:val="es-ES_tradnl"/>
        </w:rPr>
        <w:t xml:space="preserve">, luego de su tratamiento en segundo debate, fue aprobada la Ordenanza </w:t>
      </w:r>
      <w:r w:rsidR="00DB2C44">
        <w:rPr>
          <w:rFonts w:cs="Arial"/>
          <w:sz w:val="24"/>
          <w:szCs w:val="24"/>
          <w:lang w:val="es-ES_tradnl"/>
        </w:rPr>
        <w:t xml:space="preserve">Modificatoria de </w:t>
      </w:r>
      <w:r w:rsidRPr="007028F8">
        <w:rPr>
          <w:rFonts w:cs="Arial"/>
          <w:sz w:val="24"/>
          <w:szCs w:val="24"/>
          <w:lang w:val="es-ES_tradnl"/>
        </w:rPr>
        <w:t>la</w:t>
      </w:r>
      <w:r w:rsidR="00DB2C44">
        <w:rPr>
          <w:rFonts w:cs="Arial"/>
          <w:sz w:val="24"/>
          <w:szCs w:val="24"/>
          <w:lang w:val="es-ES_tradnl"/>
        </w:rPr>
        <w:t>s</w:t>
      </w:r>
      <w:r w:rsidRPr="007028F8">
        <w:rPr>
          <w:rFonts w:cs="Arial"/>
          <w:sz w:val="24"/>
          <w:szCs w:val="24"/>
          <w:lang w:val="es-ES_tradnl"/>
        </w:rPr>
        <w:t xml:space="preserve">   Ordenanza</w:t>
      </w:r>
      <w:r w:rsidR="00DB2C44">
        <w:rPr>
          <w:rFonts w:cs="Arial"/>
          <w:sz w:val="24"/>
          <w:szCs w:val="24"/>
          <w:lang w:val="es-ES_tradnl"/>
        </w:rPr>
        <w:t>s</w:t>
      </w:r>
      <w:r w:rsidRPr="007028F8">
        <w:rPr>
          <w:rFonts w:cs="Arial"/>
          <w:sz w:val="24"/>
          <w:szCs w:val="24"/>
          <w:lang w:val="es-ES_tradnl"/>
        </w:rPr>
        <w:t xml:space="preserve"> Metropolitana</w:t>
      </w:r>
      <w:r w:rsidR="00DB2C44">
        <w:rPr>
          <w:rFonts w:cs="Arial"/>
          <w:sz w:val="24"/>
          <w:szCs w:val="24"/>
          <w:lang w:val="es-ES_tradnl"/>
        </w:rPr>
        <w:t>s</w:t>
      </w:r>
      <w:r w:rsidRPr="007028F8">
        <w:rPr>
          <w:rFonts w:cs="Arial"/>
          <w:sz w:val="24"/>
          <w:szCs w:val="24"/>
          <w:lang w:val="es-ES_tradnl"/>
        </w:rPr>
        <w:t xml:space="preserve"> No. 127, </w:t>
      </w:r>
      <w:r w:rsidR="00DB2C44">
        <w:rPr>
          <w:rFonts w:cs="Arial"/>
          <w:sz w:val="24"/>
          <w:szCs w:val="24"/>
          <w:lang w:val="es-ES_tradnl"/>
        </w:rPr>
        <w:t xml:space="preserve">192, 172, 432 y 060 </w:t>
      </w:r>
      <w:r w:rsidRPr="007028F8">
        <w:rPr>
          <w:rFonts w:cs="Arial"/>
          <w:sz w:val="24"/>
          <w:szCs w:val="24"/>
          <w:lang w:val="es-ES_tradnl"/>
        </w:rPr>
        <w:t>que contiene el Plan de Uso y Ocupación del Suelo (PUOS) y sus anexos;</w:t>
      </w:r>
    </w:p>
    <w:p w14:paraId="095BB5B9" w14:textId="77777777" w:rsidR="00C5289D" w:rsidRDefault="00C5289D" w:rsidP="007028F8">
      <w:pPr>
        <w:spacing w:after="0" w:line="276" w:lineRule="auto"/>
        <w:jc w:val="both"/>
        <w:rPr>
          <w:rFonts w:cs="Arial"/>
          <w:sz w:val="24"/>
          <w:szCs w:val="24"/>
          <w:lang w:val="es-ES_tradnl"/>
        </w:rPr>
      </w:pPr>
    </w:p>
    <w:p w14:paraId="03D24969" w14:textId="30DCAA06" w:rsidR="00902456" w:rsidRDefault="00C5289D" w:rsidP="00C5289D">
      <w:pPr>
        <w:spacing w:line="240" w:lineRule="auto"/>
        <w:contextualSpacing/>
        <w:jc w:val="both"/>
        <w:rPr>
          <w:rFonts w:cs="Arial"/>
          <w:sz w:val="24"/>
          <w:szCs w:val="24"/>
          <w:lang w:val="es-ES_tradnl"/>
        </w:rPr>
      </w:pPr>
      <w:r w:rsidRPr="00C5289D">
        <w:rPr>
          <w:rFonts w:cs="Arial"/>
          <w:b/>
          <w:sz w:val="24"/>
          <w:szCs w:val="24"/>
          <w:lang w:val="es-ES_tradnl"/>
        </w:rPr>
        <w:t>Que,</w:t>
      </w:r>
      <w:r w:rsidRPr="00C5289D">
        <w:rPr>
          <w:rFonts w:cs="Arial"/>
          <w:sz w:val="24"/>
          <w:szCs w:val="24"/>
          <w:lang w:val="es-ES_tradnl"/>
        </w:rPr>
        <w:t xml:space="preserve"> </w:t>
      </w:r>
      <w:r w:rsidR="00890BB2">
        <w:rPr>
          <w:rFonts w:cs="Arial"/>
          <w:sz w:val="24"/>
          <w:szCs w:val="24"/>
          <w:lang w:val="es-ES_tradnl"/>
        </w:rPr>
        <w:t>mediante Ordenanza Metropolitana No. OT-001-2019-PUOS de fecha 5 de noviembre de 2019, luego de su tratamiento en segundo debate, fue aprobada la Ordenanza Modificatoria de las Ordenanzas Metropolitanas No</w:t>
      </w:r>
      <w:r w:rsidR="00800D81">
        <w:rPr>
          <w:rFonts w:cs="Arial"/>
          <w:sz w:val="24"/>
          <w:szCs w:val="24"/>
          <w:lang w:val="es-ES_tradnl"/>
        </w:rPr>
        <w:t>s</w:t>
      </w:r>
      <w:r w:rsidR="00890BB2">
        <w:rPr>
          <w:rFonts w:cs="Arial"/>
          <w:sz w:val="24"/>
          <w:szCs w:val="24"/>
          <w:lang w:val="es-ES_tradnl"/>
        </w:rPr>
        <w:t xml:space="preserve">. 127, 192, y 210 que contienen el Plan de Uso y Ocupación de Suelo (PUOS) y sus anexos; </w:t>
      </w:r>
    </w:p>
    <w:p w14:paraId="61DCA17D" w14:textId="77777777" w:rsidR="00902456" w:rsidRDefault="00902456" w:rsidP="00C5289D">
      <w:pPr>
        <w:spacing w:line="240" w:lineRule="auto"/>
        <w:contextualSpacing/>
        <w:jc w:val="both"/>
        <w:rPr>
          <w:rFonts w:cs="Arial"/>
          <w:sz w:val="24"/>
          <w:szCs w:val="24"/>
          <w:lang w:val="es-ES_tradnl"/>
        </w:rPr>
      </w:pPr>
    </w:p>
    <w:p w14:paraId="1E573BD9" w14:textId="1521F912" w:rsidR="00C5289D" w:rsidRDefault="00902456" w:rsidP="00C5289D">
      <w:pPr>
        <w:spacing w:line="240" w:lineRule="auto"/>
        <w:contextualSpacing/>
        <w:jc w:val="both"/>
        <w:rPr>
          <w:rFonts w:cs="Arial"/>
          <w:i/>
          <w:sz w:val="24"/>
          <w:szCs w:val="24"/>
          <w:lang w:val="es-ES_tradnl"/>
        </w:rPr>
      </w:pPr>
      <w:r w:rsidRPr="00800D81">
        <w:rPr>
          <w:rFonts w:cs="Arial"/>
          <w:b/>
          <w:bCs/>
          <w:sz w:val="24"/>
          <w:szCs w:val="24"/>
          <w:lang w:val="es-ES_tradnl"/>
        </w:rPr>
        <w:t>Que,</w:t>
      </w:r>
      <w:r>
        <w:rPr>
          <w:rFonts w:cs="Arial"/>
          <w:sz w:val="24"/>
          <w:szCs w:val="24"/>
          <w:lang w:val="es-ES_tradnl"/>
        </w:rPr>
        <w:t xml:space="preserve"> </w:t>
      </w:r>
      <w:r w:rsidR="00C5289D" w:rsidRPr="00C5289D">
        <w:rPr>
          <w:rFonts w:cs="Arial"/>
          <w:sz w:val="24"/>
          <w:szCs w:val="24"/>
          <w:lang w:val="es-ES_tradnl"/>
        </w:rPr>
        <w:t>el artículo 14 de la Resolución C 074 sobre el Desarrollo y Organización de las Sesiones y Debates de la Facultad de Fiscalización, la Coordinación entre el Concejo y el Ejecutivo del Distrito Metropolitano de Quito y el Código de Ética de los Integrantes del Concejo Metropolitano, establece que</w:t>
      </w:r>
      <w:r w:rsidR="00C5289D" w:rsidRPr="00EB47FB">
        <w:rPr>
          <w:rFonts w:cs="Arial"/>
          <w:i/>
          <w:sz w:val="24"/>
          <w:szCs w:val="24"/>
          <w:lang w:val="es-ES_tradnl"/>
        </w:rPr>
        <w:t xml:space="preserve"> </w:t>
      </w:r>
      <w:r w:rsidR="00C5289D">
        <w:rPr>
          <w:rFonts w:cs="Arial"/>
          <w:i/>
          <w:sz w:val="24"/>
          <w:szCs w:val="24"/>
          <w:lang w:val="es-ES_tradnl"/>
        </w:rPr>
        <w:t>“</w:t>
      </w:r>
      <w:r w:rsidR="00C5289D" w:rsidRPr="00EB47FB">
        <w:rPr>
          <w:rFonts w:cs="Arial"/>
          <w:i/>
          <w:sz w:val="24"/>
          <w:szCs w:val="24"/>
          <w:lang w:val="es-ES_tradnl"/>
        </w:rPr>
        <w:t xml:space="preserve">el Concejo Metropolitano podrá expedir además, acuerdos y resoluciones sobre temas de carácter especial o específico, los que serán aprobados, por mayoría simple, en un solo debate y serán notificados a </w:t>
      </w:r>
      <w:r w:rsidR="00C5289D">
        <w:rPr>
          <w:rFonts w:cs="Arial"/>
          <w:i/>
          <w:sz w:val="24"/>
          <w:szCs w:val="24"/>
          <w:lang w:val="es-ES_tradnl"/>
        </w:rPr>
        <w:t>los</w:t>
      </w:r>
      <w:r w:rsidR="00C5289D" w:rsidRPr="00EB47FB">
        <w:rPr>
          <w:rFonts w:cs="Arial"/>
          <w:i/>
          <w:sz w:val="24"/>
          <w:szCs w:val="24"/>
          <w:lang w:val="es-ES_tradnl"/>
        </w:rPr>
        <w:t xml:space="preserve"> interesados, sin perjuicio de dispon</w:t>
      </w:r>
      <w:r>
        <w:rPr>
          <w:rFonts w:cs="Arial"/>
          <w:i/>
          <w:sz w:val="24"/>
          <w:szCs w:val="24"/>
          <w:lang w:val="es-ES_tradnl"/>
        </w:rPr>
        <w:t>er</w:t>
      </w:r>
      <w:r w:rsidR="00C5289D" w:rsidRPr="00EB47FB">
        <w:rPr>
          <w:rFonts w:cs="Arial"/>
          <w:i/>
          <w:sz w:val="24"/>
          <w:szCs w:val="24"/>
          <w:lang w:val="es-ES_tradnl"/>
        </w:rPr>
        <w:t xml:space="preserve"> su publicación en cualquiera de los medios determinados, de existir mérito para ello</w:t>
      </w:r>
      <w:r w:rsidR="00C5289D">
        <w:rPr>
          <w:rFonts w:cs="Arial"/>
          <w:i/>
          <w:sz w:val="24"/>
          <w:szCs w:val="24"/>
          <w:lang w:val="es-ES_tradnl"/>
        </w:rPr>
        <w:t>”</w:t>
      </w:r>
      <w:r w:rsidR="00800D81">
        <w:rPr>
          <w:rFonts w:cs="Arial"/>
          <w:i/>
          <w:sz w:val="24"/>
          <w:szCs w:val="24"/>
          <w:lang w:val="es-ES_tradnl"/>
        </w:rPr>
        <w:t>;</w:t>
      </w:r>
    </w:p>
    <w:p w14:paraId="139FABCE" w14:textId="77777777" w:rsidR="007028F8" w:rsidRPr="00902A6F" w:rsidRDefault="007028F8" w:rsidP="007028F8">
      <w:pPr>
        <w:autoSpaceDE w:val="0"/>
        <w:autoSpaceDN w:val="0"/>
        <w:adjustRightInd w:val="0"/>
        <w:spacing w:after="0" w:line="240" w:lineRule="auto"/>
        <w:rPr>
          <w:rFonts w:cs="Arial"/>
          <w:b/>
          <w:sz w:val="24"/>
          <w:szCs w:val="24"/>
          <w:lang w:val="es-ES_tradnl"/>
        </w:rPr>
      </w:pPr>
    </w:p>
    <w:p w14:paraId="6F8ECB9C" w14:textId="1F17369C" w:rsidR="0064479A" w:rsidRPr="00C61CF7" w:rsidRDefault="006C7DA0" w:rsidP="0064479A">
      <w:pPr>
        <w:jc w:val="both"/>
        <w:rPr>
          <w:rFonts w:ascii="Calibri" w:hAnsi="Calibri"/>
          <w:i/>
          <w:sz w:val="24"/>
          <w:szCs w:val="24"/>
        </w:rPr>
      </w:pPr>
      <w:r w:rsidRPr="00C61CF7">
        <w:rPr>
          <w:rFonts w:cs="Arial"/>
          <w:b/>
          <w:sz w:val="24"/>
          <w:szCs w:val="24"/>
          <w:lang w:val="es-ES_tradnl"/>
        </w:rPr>
        <w:t>Que,</w:t>
      </w:r>
      <w:r w:rsidR="0064479A" w:rsidRPr="00C61CF7">
        <w:rPr>
          <w:rFonts w:ascii="Calibri" w:hAnsi="Calibri"/>
          <w:sz w:val="24"/>
          <w:szCs w:val="24"/>
        </w:rPr>
        <w:t xml:space="preserve"> el artículo 2 de la Ordenanza Metropolitana No. 210 sancionada el 12 de abril de 2018, reformó el texto del artículo 6 de la Ordenanza Metropolitana No. 127 con el siguiente texto: </w:t>
      </w:r>
      <w:r w:rsidR="0064479A" w:rsidRPr="00C61CF7">
        <w:rPr>
          <w:rFonts w:ascii="Calibri" w:hAnsi="Calibri"/>
          <w:i/>
          <w:sz w:val="24"/>
          <w:szCs w:val="24"/>
        </w:rPr>
        <w:t>“Cese de actividad y reasignaciones de usos de suelo y zonificación de los equipamientos.- Los lotes de dominio público y privado con uso de suelo principal de equipamiento, en los cuales hayan cesado las actividades o se prevea su traslado, deberán presentar el informe que indique el cese o traslado de la actividad por parte de la autoridad competente y podrán solicitar a la municipalidad el cambio de asignaciones de uso de suelo y zonificación, aplicando las que correspondan a su entorno inmediato. Lo propio aplicará en lotes de dominio privado, con uso de suelo principal equipamiento, que  no hayan desarrollado proyectos destinados para este uso.</w:t>
      </w:r>
    </w:p>
    <w:p w14:paraId="54260E57" w14:textId="5896CADF" w:rsidR="00C61CF7" w:rsidRDefault="0064479A" w:rsidP="00C61CF7">
      <w:pPr>
        <w:spacing w:line="240" w:lineRule="auto"/>
        <w:contextualSpacing/>
        <w:jc w:val="both"/>
        <w:rPr>
          <w:rFonts w:ascii="Calibri" w:hAnsi="Calibri"/>
          <w:i/>
          <w:sz w:val="24"/>
          <w:szCs w:val="24"/>
        </w:rPr>
      </w:pPr>
      <w:r w:rsidRPr="00C61CF7">
        <w:rPr>
          <w:rFonts w:ascii="Calibri" w:hAnsi="Calibri"/>
          <w:i/>
          <w:sz w:val="24"/>
          <w:szCs w:val="24"/>
        </w:rPr>
        <w:t>La Secretar</w:t>
      </w:r>
      <w:r w:rsidR="00902456">
        <w:rPr>
          <w:rFonts w:ascii="Calibri" w:hAnsi="Calibri"/>
          <w:i/>
          <w:sz w:val="24"/>
          <w:szCs w:val="24"/>
        </w:rPr>
        <w:t>í</w:t>
      </w:r>
      <w:r w:rsidRPr="00C61CF7">
        <w:rPr>
          <w:rFonts w:ascii="Calibri" w:hAnsi="Calibri"/>
          <w:i/>
          <w:sz w:val="24"/>
          <w:szCs w:val="24"/>
        </w:rPr>
        <w:t>a responsable del territorio, hábitat y vivienda, emitirá un informe motivado que sustentará la viabilidad o no del cambio solicitado. Dicho informe permitirá al Concejo Metropolitano aprobar mediante resolución u ordenanza, según corresponda, la  modificación o permanencia del uso de suelo y zonificación, previo conocimiento de la Comisión de Uso de Suelo”.</w:t>
      </w:r>
    </w:p>
    <w:p w14:paraId="53010462" w14:textId="77777777" w:rsidR="00C61CF7" w:rsidRDefault="00C61CF7" w:rsidP="00C61CF7">
      <w:pPr>
        <w:spacing w:line="240" w:lineRule="auto"/>
        <w:contextualSpacing/>
        <w:jc w:val="both"/>
        <w:rPr>
          <w:rFonts w:ascii="Calibri" w:hAnsi="Calibri"/>
          <w:i/>
          <w:sz w:val="24"/>
          <w:szCs w:val="24"/>
        </w:rPr>
      </w:pPr>
    </w:p>
    <w:p w14:paraId="69120934" w14:textId="2DD4C869" w:rsidR="0064479A" w:rsidRPr="00C61CF7" w:rsidRDefault="0064479A" w:rsidP="0064479A">
      <w:pPr>
        <w:jc w:val="both"/>
        <w:rPr>
          <w:rFonts w:ascii="Calibri" w:hAnsi="Calibri"/>
          <w:sz w:val="24"/>
          <w:szCs w:val="24"/>
        </w:rPr>
      </w:pPr>
      <w:r w:rsidRPr="00C61CF7">
        <w:rPr>
          <w:rFonts w:ascii="Calibri" w:hAnsi="Calibri"/>
          <w:b/>
          <w:sz w:val="24"/>
          <w:szCs w:val="24"/>
        </w:rPr>
        <w:lastRenderedPageBreak/>
        <w:t>Que,</w:t>
      </w:r>
      <w:r w:rsidRPr="00C61CF7">
        <w:rPr>
          <w:rFonts w:ascii="Calibri" w:hAnsi="Calibri"/>
          <w:sz w:val="24"/>
          <w:szCs w:val="24"/>
        </w:rPr>
        <w:t xml:space="preserve"> la Dirección Metropolitana de Políticas y Planeamiento del Suelo, dependencia de la Secretaría de Territorio, Hábitat y Vivienda, elaboró el procedimiento de análisis de ponderación para determinar el potencial cambio de uso de suelo para los lotes que tengan  asignación de uso de suelo Equipamiento y soliciten el cambio de dicho uso de suelo, mismo que fue autorizado por el Secretario de Territorio, Hábitat y Vivienda el 8 de febrero de 2019</w:t>
      </w:r>
      <w:r w:rsidR="00800D81">
        <w:rPr>
          <w:rFonts w:ascii="Calibri" w:hAnsi="Calibri"/>
          <w:sz w:val="24"/>
          <w:szCs w:val="24"/>
        </w:rPr>
        <w:t>;</w:t>
      </w:r>
    </w:p>
    <w:p w14:paraId="73F7F56A" w14:textId="081EA9A5" w:rsidR="00C1443A" w:rsidRDefault="00C1443A" w:rsidP="007F0015">
      <w:pPr>
        <w:spacing w:after="0" w:line="276" w:lineRule="auto"/>
        <w:jc w:val="both"/>
        <w:rPr>
          <w:rFonts w:cs="Arial"/>
          <w:sz w:val="24"/>
          <w:szCs w:val="24"/>
          <w:lang w:val="es-ES_tradnl"/>
        </w:rPr>
      </w:pPr>
      <w:r w:rsidRPr="008B4603">
        <w:rPr>
          <w:rFonts w:cs="Arial"/>
          <w:b/>
          <w:sz w:val="24"/>
          <w:szCs w:val="24"/>
          <w:lang w:val="es-ES_tradnl"/>
        </w:rPr>
        <w:t xml:space="preserve">Que, </w:t>
      </w:r>
      <w:r w:rsidRPr="008B4603">
        <w:rPr>
          <w:rFonts w:cs="Arial"/>
          <w:sz w:val="24"/>
          <w:szCs w:val="24"/>
          <w:lang w:val="es-ES_tradnl"/>
        </w:rPr>
        <w:t xml:space="preserve">con </w:t>
      </w:r>
      <w:r w:rsidR="00B72D42" w:rsidRPr="008B4603">
        <w:rPr>
          <w:rFonts w:cs="Arial"/>
          <w:sz w:val="24"/>
          <w:szCs w:val="24"/>
          <w:lang w:val="es-ES_tradnl"/>
        </w:rPr>
        <w:t>fecha</w:t>
      </w:r>
      <w:r w:rsidR="009E75C9" w:rsidRPr="008B4603">
        <w:rPr>
          <w:rFonts w:cs="Arial"/>
          <w:sz w:val="24"/>
          <w:szCs w:val="24"/>
          <w:lang w:val="es-ES_tradnl"/>
        </w:rPr>
        <w:t xml:space="preserve"> 1</w:t>
      </w:r>
      <w:r w:rsidR="002F1AEF">
        <w:rPr>
          <w:rFonts w:cs="Arial"/>
          <w:sz w:val="24"/>
          <w:szCs w:val="24"/>
          <w:lang w:val="es-ES_tradnl"/>
        </w:rPr>
        <w:t>7 de septiembre</w:t>
      </w:r>
      <w:r w:rsidR="009E75C9" w:rsidRPr="008B4603">
        <w:rPr>
          <w:rFonts w:cs="Arial"/>
          <w:sz w:val="24"/>
          <w:szCs w:val="24"/>
          <w:lang w:val="es-ES_tradnl"/>
        </w:rPr>
        <w:t xml:space="preserve"> </w:t>
      </w:r>
      <w:r w:rsidR="00B72D42" w:rsidRPr="008B4603">
        <w:rPr>
          <w:rFonts w:cs="Arial"/>
          <w:sz w:val="24"/>
          <w:szCs w:val="24"/>
          <w:lang w:val="es-ES_tradnl"/>
        </w:rPr>
        <w:t>de 201</w:t>
      </w:r>
      <w:r w:rsidR="009E75C9" w:rsidRPr="008B4603">
        <w:rPr>
          <w:rFonts w:cs="Arial"/>
          <w:sz w:val="24"/>
          <w:szCs w:val="24"/>
          <w:lang w:val="es-ES_tradnl"/>
        </w:rPr>
        <w:t>9</w:t>
      </w:r>
      <w:r w:rsidR="002F1AEF">
        <w:rPr>
          <w:rFonts w:cs="Arial"/>
          <w:sz w:val="24"/>
          <w:szCs w:val="24"/>
          <w:lang w:val="es-ES_tradnl"/>
        </w:rPr>
        <w:t xml:space="preserve"> consta el Informe Técnico de Ces</w:t>
      </w:r>
      <w:r w:rsidR="00902456">
        <w:rPr>
          <w:rFonts w:cs="Arial"/>
          <w:sz w:val="24"/>
          <w:szCs w:val="24"/>
          <w:lang w:val="es-ES_tradnl"/>
        </w:rPr>
        <w:t>e</w:t>
      </w:r>
      <w:r w:rsidR="002F1AEF">
        <w:rPr>
          <w:rFonts w:cs="Arial"/>
          <w:sz w:val="24"/>
          <w:szCs w:val="24"/>
          <w:lang w:val="es-ES_tradnl"/>
        </w:rPr>
        <w:t xml:space="preserve"> de Actividad y Reasignación de Usos de Suelo y Zonificación de Equipamientos</w:t>
      </w:r>
      <w:r w:rsidRPr="008B4603">
        <w:rPr>
          <w:rFonts w:cs="Arial"/>
          <w:sz w:val="24"/>
          <w:szCs w:val="24"/>
          <w:lang w:val="es-ES_tradnl"/>
        </w:rPr>
        <w:t>,</w:t>
      </w:r>
      <w:r w:rsidR="002F1AEF">
        <w:rPr>
          <w:rFonts w:cs="Arial"/>
          <w:sz w:val="24"/>
          <w:szCs w:val="24"/>
          <w:lang w:val="es-ES_tradnl"/>
        </w:rPr>
        <w:t xml:space="preserve"> constante en el oficio No. STHV-2019-0081-O del 18 de septiembre de 2019,</w:t>
      </w:r>
      <w:r w:rsidRPr="008B4603">
        <w:rPr>
          <w:rFonts w:cs="Arial"/>
          <w:sz w:val="24"/>
          <w:szCs w:val="24"/>
          <w:lang w:val="es-ES_tradnl"/>
        </w:rPr>
        <w:t xml:space="preserve"> </w:t>
      </w:r>
      <w:r w:rsidR="002F1AEF">
        <w:rPr>
          <w:rFonts w:cs="Arial"/>
          <w:sz w:val="24"/>
          <w:szCs w:val="24"/>
          <w:lang w:val="es-ES_tradnl"/>
        </w:rPr>
        <w:t xml:space="preserve">a través del cual </w:t>
      </w:r>
      <w:r w:rsidRPr="008B4603">
        <w:rPr>
          <w:rFonts w:cs="Arial"/>
          <w:sz w:val="24"/>
          <w:szCs w:val="24"/>
          <w:lang w:val="es-ES_tradnl"/>
        </w:rPr>
        <w:t>la Secretaría de Territorio, Hábitat y Vivienda, emite criterio técnico favorable</w:t>
      </w:r>
      <w:r w:rsidR="008B4603" w:rsidRPr="008B4603">
        <w:rPr>
          <w:rFonts w:cs="Arial"/>
          <w:sz w:val="24"/>
          <w:szCs w:val="24"/>
          <w:lang w:val="es-ES_tradnl"/>
        </w:rPr>
        <w:t>,</w:t>
      </w:r>
      <w:r w:rsidRPr="008B4603">
        <w:rPr>
          <w:rFonts w:cs="Arial"/>
          <w:sz w:val="24"/>
          <w:szCs w:val="24"/>
          <w:lang w:val="es-ES_tradnl"/>
        </w:rPr>
        <w:t xml:space="preserve"> </w:t>
      </w:r>
      <w:r w:rsidR="00902456">
        <w:rPr>
          <w:rFonts w:cs="Arial"/>
          <w:sz w:val="24"/>
          <w:szCs w:val="24"/>
          <w:lang w:val="es-ES_tradnl"/>
        </w:rPr>
        <w:t xml:space="preserve">recomendando la </w:t>
      </w:r>
      <w:r w:rsidR="00902456" w:rsidRPr="008B4603">
        <w:rPr>
          <w:rFonts w:ascii="Calibri" w:hAnsi="Calibri"/>
          <w:color w:val="000000" w:themeColor="text1"/>
          <w:sz w:val="24"/>
          <w:szCs w:val="24"/>
        </w:rPr>
        <w:t>asigna</w:t>
      </w:r>
      <w:r w:rsidR="00902456">
        <w:rPr>
          <w:rFonts w:ascii="Calibri" w:hAnsi="Calibri"/>
          <w:color w:val="000000" w:themeColor="text1"/>
          <w:sz w:val="24"/>
          <w:szCs w:val="24"/>
        </w:rPr>
        <w:t>ción</w:t>
      </w:r>
      <w:r w:rsidR="00902456" w:rsidRPr="008B4603">
        <w:rPr>
          <w:rFonts w:ascii="Calibri" w:hAnsi="Calibri"/>
          <w:color w:val="000000" w:themeColor="text1"/>
          <w:sz w:val="24"/>
          <w:szCs w:val="24"/>
        </w:rPr>
        <w:t xml:space="preserve"> </w:t>
      </w:r>
      <w:r w:rsidR="008B4603" w:rsidRPr="008B4603">
        <w:rPr>
          <w:rFonts w:ascii="Calibri" w:hAnsi="Calibri"/>
          <w:color w:val="000000" w:themeColor="text1"/>
          <w:sz w:val="24"/>
          <w:szCs w:val="24"/>
        </w:rPr>
        <w:t xml:space="preserve">al lote con número predial </w:t>
      </w:r>
      <w:r w:rsidR="002F1AEF">
        <w:rPr>
          <w:rFonts w:ascii="Calibri" w:hAnsi="Calibri"/>
          <w:sz w:val="24"/>
          <w:szCs w:val="24"/>
        </w:rPr>
        <w:t>3580265</w:t>
      </w:r>
      <w:r w:rsidR="008B4603" w:rsidRPr="008B4603">
        <w:rPr>
          <w:rFonts w:ascii="Calibri" w:hAnsi="Calibri"/>
          <w:sz w:val="24"/>
          <w:szCs w:val="24"/>
        </w:rPr>
        <w:t>,</w:t>
      </w:r>
      <w:r w:rsidR="008B4603" w:rsidRPr="008B4603">
        <w:rPr>
          <w:rFonts w:ascii="Calibri" w:hAnsi="Calibri"/>
          <w:color w:val="000000" w:themeColor="text1"/>
          <w:sz w:val="24"/>
          <w:szCs w:val="24"/>
        </w:rPr>
        <w:t xml:space="preserve"> el uso de suelo Residencial Urbano </w:t>
      </w:r>
      <w:r w:rsidR="002F1AEF">
        <w:rPr>
          <w:rFonts w:ascii="Calibri" w:hAnsi="Calibri"/>
          <w:color w:val="000000" w:themeColor="text1"/>
          <w:sz w:val="24"/>
          <w:szCs w:val="24"/>
        </w:rPr>
        <w:t>2</w:t>
      </w:r>
      <w:r w:rsidR="008B4603" w:rsidRPr="008B4603">
        <w:rPr>
          <w:rFonts w:ascii="Calibri" w:hAnsi="Calibri"/>
          <w:color w:val="000000" w:themeColor="text1"/>
          <w:sz w:val="24"/>
          <w:szCs w:val="24"/>
        </w:rPr>
        <w:t xml:space="preserve"> (RU</w:t>
      </w:r>
      <w:r w:rsidR="002F1AEF">
        <w:rPr>
          <w:rFonts w:ascii="Calibri" w:hAnsi="Calibri"/>
          <w:color w:val="000000" w:themeColor="text1"/>
          <w:sz w:val="24"/>
          <w:szCs w:val="24"/>
        </w:rPr>
        <w:t>2</w:t>
      </w:r>
      <w:r w:rsidR="008B4603" w:rsidRPr="008B4603">
        <w:rPr>
          <w:rFonts w:ascii="Calibri" w:hAnsi="Calibri"/>
          <w:color w:val="000000" w:themeColor="text1"/>
          <w:sz w:val="24"/>
          <w:szCs w:val="24"/>
        </w:rPr>
        <w:t>), manteniendo la clasificación de suelo Urbano (SU), de acuerdo a lo establecido en el</w:t>
      </w:r>
      <w:r w:rsidRPr="008B4603">
        <w:rPr>
          <w:rFonts w:cs="Arial"/>
          <w:sz w:val="24"/>
          <w:szCs w:val="24"/>
          <w:lang w:val="es-ES_tradnl"/>
        </w:rPr>
        <w:t xml:space="preserve"> Artículo 2 de la Ordenanza Metropolitana 210;</w:t>
      </w:r>
      <w:r w:rsidR="00884C0B" w:rsidRPr="008B4603">
        <w:rPr>
          <w:rFonts w:cs="Arial"/>
          <w:sz w:val="24"/>
          <w:szCs w:val="24"/>
          <w:lang w:val="es-ES_tradnl"/>
        </w:rPr>
        <w:t xml:space="preserve"> </w:t>
      </w:r>
    </w:p>
    <w:p w14:paraId="0A8EE86F" w14:textId="77777777" w:rsidR="00DE2507" w:rsidRDefault="00DE2507" w:rsidP="007F0015">
      <w:pPr>
        <w:spacing w:after="0" w:line="276" w:lineRule="auto"/>
        <w:jc w:val="both"/>
        <w:rPr>
          <w:rFonts w:cs="Arial"/>
          <w:sz w:val="24"/>
          <w:szCs w:val="24"/>
          <w:lang w:val="es-ES_tradnl"/>
        </w:rPr>
      </w:pPr>
    </w:p>
    <w:p w14:paraId="2777A6CB" w14:textId="1E53D4B6" w:rsidR="00DE2507" w:rsidRPr="00DE2507" w:rsidRDefault="00DE2507" w:rsidP="00DE2507">
      <w:pPr>
        <w:pStyle w:val="Sinespaciado"/>
        <w:jc w:val="both"/>
        <w:rPr>
          <w:rFonts w:cstheme="minorHAnsi"/>
          <w:sz w:val="24"/>
          <w:szCs w:val="24"/>
          <w:lang w:val="es-ES_tradnl"/>
        </w:rPr>
      </w:pPr>
      <w:r w:rsidRPr="00DE2507">
        <w:rPr>
          <w:rFonts w:cstheme="minorHAnsi"/>
          <w:b/>
          <w:bCs/>
          <w:sz w:val="24"/>
          <w:szCs w:val="24"/>
          <w:lang w:val="es-ES_tradnl"/>
        </w:rPr>
        <w:t>Que,</w:t>
      </w:r>
      <w:r w:rsidRPr="00DE2507">
        <w:rPr>
          <w:rFonts w:cstheme="minorHAnsi"/>
          <w:sz w:val="24"/>
          <w:szCs w:val="24"/>
          <w:lang w:val="es-ES_tradnl"/>
        </w:rPr>
        <w:t xml:space="preserve"> mediante oficio No.</w:t>
      </w:r>
      <w:r w:rsidR="0046266E">
        <w:rPr>
          <w:rFonts w:cstheme="minorHAnsi"/>
          <w:sz w:val="24"/>
          <w:szCs w:val="24"/>
          <w:lang w:val="es-ES_tradnl"/>
        </w:rPr>
        <w:t xml:space="preserve"> </w:t>
      </w:r>
      <w:r w:rsidRPr="00DE2507">
        <w:rPr>
          <w:rFonts w:cstheme="minorHAnsi"/>
          <w:sz w:val="24"/>
          <w:szCs w:val="24"/>
          <w:lang w:val="es-ES_tradnl"/>
        </w:rPr>
        <w:t>GADDMQ-SGCM-2019-1935-O de 06 de noviembre de 2019, la Secretaría General del Concejo Metropolitano, por disposición del concejal René</w:t>
      </w:r>
      <w:r>
        <w:rPr>
          <w:rFonts w:cstheme="minorHAnsi"/>
          <w:sz w:val="24"/>
          <w:szCs w:val="24"/>
          <w:lang w:val="es-ES_tradnl"/>
        </w:rPr>
        <w:t xml:space="preserve"> </w:t>
      </w:r>
      <w:r w:rsidRPr="00DE2507">
        <w:rPr>
          <w:rFonts w:cstheme="minorHAnsi"/>
          <w:sz w:val="24"/>
          <w:szCs w:val="24"/>
          <w:lang w:val="es-ES_tradnl"/>
        </w:rPr>
        <w:t>Bedón, Presidente de la Comisión de Uso de Suelo, solicitó criterio legal respecto a</w:t>
      </w:r>
      <w:r>
        <w:rPr>
          <w:rFonts w:cstheme="minorHAnsi"/>
          <w:sz w:val="24"/>
          <w:szCs w:val="24"/>
          <w:lang w:val="es-ES_tradnl"/>
        </w:rPr>
        <w:t xml:space="preserve"> </w:t>
      </w:r>
      <w:r w:rsidRPr="00DE2507">
        <w:rPr>
          <w:rFonts w:cstheme="minorHAnsi"/>
          <w:sz w:val="24"/>
          <w:szCs w:val="24"/>
          <w:lang w:val="es-ES_tradnl"/>
        </w:rPr>
        <w:t>la viabilidad de cambio de asignación de uso de suelo de equipamiento del predio</w:t>
      </w:r>
      <w:r>
        <w:rPr>
          <w:rFonts w:cstheme="minorHAnsi"/>
          <w:sz w:val="24"/>
          <w:szCs w:val="24"/>
          <w:lang w:val="es-ES_tradnl"/>
        </w:rPr>
        <w:t xml:space="preserve"> </w:t>
      </w:r>
      <w:r w:rsidRPr="00DE2507">
        <w:rPr>
          <w:rFonts w:cstheme="minorHAnsi"/>
          <w:sz w:val="24"/>
          <w:szCs w:val="24"/>
          <w:lang w:val="es-ES_tradnl"/>
        </w:rPr>
        <w:t>No. 3580265</w:t>
      </w:r>
      <w:r w:rsidR="00902456">
        <w:rPr>
          <w:rFonts w:cstheme="minorHAnsi"/>
          <w:sz w:val="24"/>
          <w:szCs w:val="24"/>
          <w:lang w:val="es-ES_tradnl"/>
        </w:rPr>
        <w:t>;</w:t>
      </w:r>
    </w:p>
    <w:p w14:paraId="344683A0" w14:textId="77777777" w:rsidR="002F1AEF" w:rsidRDefault="002F1AEF" w:rsidP="007F0015">
      <w:pPr>
        <w:spacing w:after="0" w:line="276" w:lineRule="auto"/>
        <w:jc w:val="both"/>
        <w:rPr>
          <w:rFonts w:cs="Arial"/>
          <w:sz w:val="24"/>
          <w:szCs w:val="24"/>
          <w:lang w:val="es-ES_tradnl"/>
        </w:rPr>
      </w:pPr>
    </w:p>
    <w:p w14:paraId="10346EB7" w14:textId="6DBDFBED" w:rsidR="001F2DB3" w:rsidRDefault="001F2DB3" w:rsidP="00F7190C">
      <w:pPr>
        <w:spacing w:after="0" w:line="276" w:lineRule="auto"/>
        <w:jc w:val="both"/>
        <w:rPr>
          <w:rFonts w:cs="Arial"/>
          <w:sz w:val="24"/>
          <w:szCs w:val="24"/>
          <w:lang w:val="es-ES_tradnl"/>
        </w:rPr>
      </w:pPr>
      <w:r w:rsidRPr="008B4603">
        <w:rPr>
          <w:rFonts w:cs="Arial"/>
          <w:b/>
          <w:sz w:val="24"/>
          <w:szCs w:val="24"/>
          <w:lang w:val="es-ES_tradnl"/>
        </w:rPr>
        <w:t xml:space="preserve">Que, </w:t>
      </w:r>
      <w:r w:rsidRPr="008B4603">
        <w:rPr>
          <w:rFonts w:cs="Arial"/>
          <w:sz w:val="24"/>
          <w:szCs w:val="24"/>
          <w:lang w:val="es-ES_tradnl"/>
        </w:rPr>
        <w:t>con informe</w:t>
      </w:r>
      <w:r w:rsidR="009E75C9" w:rsidRPr="008B4603">
        <w:rPr>
          <w:rFonts w:cs="Arial"/>
          <w:sz w:val="24"/>
          <w:szCs w:val="24"/>
          <w:lang w:val="es-ES_tradnl"/>
        </w:rPr>
        <w:t xml:space="preserve"> No.</w:t>
      </w:r>
      <w:r w:rsidR="002F1AEF">
        <w:rPr>
          <w:rFonts w:cs="Arial"/>
          <w:sz w:val="24"/>
          <w:szCs w:val="24"/>
          <w:lang w:val="es-ES_tradnl"/>
        </w:rPr>
        <w:t xml:space="preserve"> GADDMQ-PM-SAUOS-2019 d</w:t>
      </w:r>
      <w:r w:rsidR="009C45F1" w:rsidRPr="008B4603">
        <w:rPr>
          <w:rFonts w:cs="Arial"/>
          <w:sz w:val="24"/>
          <w:szCs w:val="24"/>
          <w:lang w:val="es-ES_tradnl"/>
        </w:rPr>
        <w:t>e fecha</w:t>
      </w:r>
      <w:r w:rsidR="00093544">
        <w:rPr>
          <w:rFonts w:cs="Arial"/>
          <w:sz w:val="24"/>
          <w:szCs w:val="24"/>
          <w:lang w:val="es-ES_tradnl"/>
        </w:rPr>
        <w:t xml:space="preserve"> 02</w:t>
      </w:r>
      <w:r w:rsidR="002F1AEF">
        <w:rPr>
          <w:rFonts w:cs="Arial"/>
          <w:sz w:val="24"/>
          <w:szCs w:val="24"/>
          <w:lang w:val="es-ES_tradnl"/>
        </w:rPr>
        <w:t xml:space="preserve"> de diciembre </w:t>
      </w:r>
      <w:r w:rsidR="000048BA" w:rsidRPr="008B4603">
        <w:rPr>
          <w:rFonts w:cs="Arial"/>
          <w:sz w:val="24"/>
          <w:szCs w:val="24"/>
          <w:lang w:val="es-ES_tradnl"/>
        </w:rPr>
        <w:t>de 2019</w:t>
      </w:r>
      <w:r w:rsidR="009C45F1" w:rsidRPr="008B4603">
        <w:rPr>
          <w:rFonts w:cs="Arial"/>
          <w:sz w:val="24"/>
          <w:szCs w:val="24"/>
          <w:lang w:val="es-ES_tradnl"/>
        </w:rPr>
        <w:t xml:space="preserve">, </w:t>
      </w:r>
      <w:r w:rsidRPr="008B4603">
        <w:rPr>
          <w:rFonts w:cs="Arial"/>
          <w:sz w:val="24"/>
          <w:szCs w:val="24"/>
          <w:lang w:val="es-ES_tradnl"/>
        </w:rPr>
        <w:t xml:space="preserve">la Procuraduría Metropolitana, emite criterio </w:t>
      </w:r>
      <w:r w:rsidR="008B4603" w:rsidRPr="008B4603">
        <w:rPr>
          <w:rFonts w:cs="Arial"/>
          <w:sz w:val="24"/>
          <w:szCs w:val="24"/>
          <w:lang w:val="es-ES_tradnl"/>
        </w:rPr>
        <w:t xml:space="preserve">legal </w:t>
      </w:r>
      <w:r w:rsidRPr="008B4603">
        <w:rPr>
          <w:rFonts w:cs="Arial"/>
          <w:sz w:val="24"/>
          <w:szCs w:val="24"/>
          <w:lang w:val="es-ES_tradnl"/>
        </w:rPr>
        <w:t>favorable para la asignación de datos de uso de suelo y zonificación para el lote con número de predio</w:t>
      </w:r>
      <w:r w:rsidR="002F1AEF">
        <w:rPr>
          <w:rFonts w:cs="Arial"/>
          <w:sz w:val="24"/>
          <w:szCs w:val="24"/>
          <w:lang w:val="es-ES_tradnl"/>
        </w:rPr>
        <w:t xml:space="preserve"> 3580265</w:t>
      </w:r>
      <w:r w:rsidRPr="008B4603">
        <w:rPr>
          <w:rFonts w:cs="Arial"/>
          <w:sz w:val="24"/>
          <w:szCs w:val="24"/>
          <w:lang w:val="es-ES_tradnl"/>
        </w:rPr>
        <w:t xml:space="preserve"> en sujeción al Artículo 2 de la Ordenanza Metropolitana No. 210</w:t>
      </w:r>
      <w:r w:rsidR="00902456">
        <w:rPr>
          <w:rFonts w:cs="Arial"/>
          <w:sz w:val="24"/>
          <w:szCs w:val="24"/>
          <w:lang w:val="es-ES_tradnl"/>
        </w:rPr>
        <w:t>;</w:t>
      </w:r>
    </w:p>
    <w:p w14:paraId="62B7FA13" w14:textId="470195C0" w:rsidR="00902456" w:rsidRDefault="00902456" w:rsidP="00F7190C">
      <w:pPr>
        <w:spacing w:after="0" w:line="276" w:lineRule="auto"/>
        <w:jc w:val="both"/>
        <w:rPr>
          <w:rFonts w:cs="Arial"/>
          <w:sz w:val="24"/>
          <w:szCs w:val="24"/>
          <w:lang w:val="es-ES_tradnl"/>
        </w:rPr>
      </w:pPr>
    </w:p>
    <w:p w14:paraId="22DAC157" w14:textId="4B4E5AFD" w:rsidR="00902456" w:rsidRDefault="00902456" w:rsidP="00F7190C">
      <w:pPr>
        <w:spacing w:after="0" w:line="276" w:lineRule="auto"/>
        <w:jc w:val="both"/>
        <w:rPr>
          <w:rFonts w:cs="Arial"/>
          <w:sz w:val="24"/>
          <w:szCs w:val="24"/>
          <w:lang w:val="es-ES_tradnl"/>
        </w:rPr>
      </w:pPr>
      <w:r w:rsidRPr="00800D81">
        <w:rPr>
          <w:rFonts w:cs="Arial"/>
          <w:b/>
          <w:bCs/>
          <w:sz w:val="24"/>
          <w:szCs w:val="24"/>
          <w:lang w:val="es-ES_tradnl"/>
        </w:rPr>
        <w:t>Que</w:t>
      </w:r>
      <w:r>
        <w:rPr>
          <w:rFonts w:cs="Arial"/>
          <w:sz w:val="24"/>
          <w:szCs w:val="24"/>
          <w:lang w:val="es-ES_tradnl"/>
        </w:rPr>
        <w:t>, en sesión</w:t>
      </w:r>
      <w:r w:rsidR="0046266E">
        <w:rPr>
          <w:rFonts w:cs="Arial"/>
          <w:sz w:val="24"/>
          <w:szCs w:val="24"/>
          <w:lang w:val="es-ES_tradnl"/>
        </w:rPr>
        <w:t xml:space="preserve"> No. 030</w:t>
      </w:r>
      <w:r w:rsidR="00093544">
        <w:rPr>
          <w:rFonts w:cs="Arial"/>
          <w:sz w:val="24"/>
          <w:szCs w:val="24"/>
          <w:lang w:val="es-ES_tradnl"/>
        </w:rPr>
        <w:t>-ordinaria</w:t>
      </w:r>
      <w:r>
        <w:rPr>
          <w:rFonts w:cs="Arial"/>
          <w:sz w:val="24"/>
          <w:szCs w:val="24"/>
          <w:lang w:val="es-ES_tradnl"/>
        </w:rPr>
        <w:t xml:space="preserve"> </w:t>
      </w:r>
      <w:r w:rsidR="0046266E">
        <w:rPr>
          <w:rFonts w:cs="Arial"/>
          <w:sz w:val="24"/>
          <w:szCs w:val="24"/>
          <w:lang w:val="es-ES_tradnl"/>
        </w:rPr>
        <w:t xml:space="preserve">del </w:t>
      </w:r>
      <w:r w:rsidR="00093544">
        <w:rPr>
          <w:rFonts w:cs="Arial"/>
          <w:sz w:val="24"/>
          <w:szCs w:val="24"/>
          <w:lang w:val="es-ES_tradnl"/>
        </w:rPr>
        <w:t>17</w:t>
      </w:r>
      <w:r w:rsidR="0046266E">
        <w:rPr>
          <w:rFonts w:cs="Arial"/>
          <w:sz w:val="24"/>
          <w:szCs w:val="24"/>
          <w:lang w:val="es-ES_tradnl"/>
        </w:rPr>
        <w:t xml:space="preserve"> de </w:t>
      </w:r>
      <w:r w:rsidR="00093544">
        <w:rPr>
          <w:rFonts w:cs="Arial"/>
          <w:sz w:val="24"/>
          <w:szCs w:val="24"/>
          <w:lang w:val="es-ES_tradnl"/>
        </w:rPr>
        <w:t>febrero</w:t>
      </w:r>
      <w:r w:rsidR="0046266E">
        <w:rPr>
          <w:rFonts w:cs="Arial"/>
          <w:sz w:val="24"/>
          <w:szCs w:val="24"/>
          <w:lang w:val="es-ES_tradnl"/>
        </w:rPr>
        <w:t xml:space="preserve"> de 2020, la Comisión de Uso de Suelo</w:t>
      </w:r>
      <w:r w:rsidR="00093544">
        <w:rPr>
          <w:rFonts w:cs="Arial"/>
          <w:sz w:val="24"/>
          <w:szCs w:val="24"/>
          <w:lang w:val="es-ES_tradnl"/>
        </w:rPr>
        <w:t xml:space="preserve"> emitió la Resolución No. 022-CUS-2020 a través de la cual solicitó a la Procuraduría Metropolitana un informe y criterio legal “</w:t>
      </w:r>
      <w:r w:rsidR="00093544" w:rsidRPr="00800D81">
        <w:rPr>
          <w:rFonts w:cs="Arial"/>
          <w:i/>
          <w:iCs/>
          <w:sz w:val="24"/>
          <w:szCs w:val="24"/>
          <w:lang w:val="es-ES_tradnl"/>
        </w:rPr>
        <w:t>señalando cual es el instrumento idóneo para proceder en el presente caso</w:t>
      </w:r>
      <w:r w:rsidR="00093544">
        <w:rPr>
          <w:rFonts w:cs="Arial"/>
          <w:sz w:val="24"/>
          <w:szCs w:val="24"/>
          <w:lang w:val="es-ES_tradnl"/>
        </w:rPr>
        <w:t>”; y,</w:t>
      </w:r>
    </w:p>
    <w:p w14:paraId="28BBEFD7" w14:textId="4CECC6AC" w:rsidR="00902456" w:rsidRDefault="00902456" w:rsidP="00F7190C">
      <w:pPr>
        <w:spacing w:after="0" w:line="276" w:lineRule="auto"/>
        <w:jc w:val="both"/>
        <w:rPr>
          <w:rFonts w:cs="Arial"/>
          <w:sz w:val="24"/>
          <w:szCs w:val="24"/>
          <w:lang w:val="es-ES_tradnl"/>
        </w:rPr>
      </w:pPr>
    </w:p>
    <w:p w14:paraId="328E9DD6" w14:textId="7A3B8E74" w:rsidR="00902456" w:rsidRPr="00F7190C" w:rsidRDefault="00902456" w:rsidP="00F7190C">
      <w:pPr>
        <w:spacing w:after="0" w:line="276" w:lineRule="auto"/>
        <w:jc w:val="both"/>
        <w:rPr>
          <w:rFonts w:cs="Arial"/>
          <w:sz w:val="24"/>
          <w:szCs w:val="24"/>
          <w:lang w:val="es-ES_tradnl"/>
        </w:rPr>
      </w:pPr>
      <w:r w:rsidRPr="00800D81">
        <w:rPr>
          <w:rFonts w:cs="Arial"/>
          <w:b/>
          <w:bCs/>
          <w:sz w:val="24"/>
          <w:szCs w:val="24"/>
          <w:lang w:val="es-ES_tradnl"/>
        </w:rPr>
        <w:t>Que</w:t>
      </w:r>
      <w:r>
        <w:rPr>
          <w:rFonts w:cs="Arial"/>
          <w:sz w:val="24"/>
          <w:szCs w:val="24"/>
          <w:lang w:val="es-ES_tradnl"/>
        </w:rPr>
        <w:t xml:space="preserve">, mediante </w:t>
      </w:r>
      <w:r w:rsidR="0046266E">
        <w:rPr>
          <w:rFonts w:cs="Arial"/>
          <w:sz w:val="24"/>
          <w:szCs w:val="24"/>
          <w:lang w:val="es-ES_tradnl"/>
        </w:rPr>
        <w:t>Oficio</w:t>
      </w:r>
      <w:r>
        <w:rPr>
          <w:rFonts w:cs="Arial"/>
          <w:sz w:val="24"/>
          <w:szCs w:val="24"/>
          <w:lang w:val="es-ES_tradnl"/>
        </w:rPr>
        <w:t xml:space="preserve"> No. </w:t>
      </w:r>
      <w:r w:rsidR="0046266E">
        <w:rPr>
          <w:rFonts w:cs="Arial"/>
          <w:sz w:val="24"/>
          <w:szCs w:val="24"/>
          <w:lang w:val="es-ES_tradnl"/>
        </w:rPr>
        <w:t>GADDMQ-PM-SAUOS-2020-0090-O, de 11 de marzo de 2020, la Procuraduría Metropolitana emite el análisis e informe jurídico con respecto al instrumento jurídico a través del cual el Concejo Metropolitano puede proceder a la reasignación del uso de suelo para el caso del predio No. 3580265 en concreto</w:t>
      </w:r>
      <w:r w:rsidR="00800D81">
        <w:rPr>
          <w:rFonts w:cs="Arial"/>
          <w:sz w:val="24"/>
          <w:szCs w:val="24"/>
          <w:lang w:val="es-ES_tradnl"/>
        </w:rPr>
        <w:t>.</w:t>
      </w:r>
    </w:p>
    <w:p w14:paraId="468810F0" w14:textId="77777777" w:rsidR="003F33A4" w:rsidRPr="002D350C" w:rsidRDefault="003F33A4" w:rsidP="00F06979">
      <w:pPr>
        <w:spacing w:after="0" w:line="276" w:lineRule="auto"/>
        <w:jc w:val="both"/>
        <w:rPr>
          <w:rFonts w:cs="Arial"/>
          <w:sz w:val="24"/>
          <w:szCs w:val="24"/>
          <w:lang w:val="es-ES_tradnl"/>
        </w:rPr>
      </w:pPr>
    </w:p>
    <w:p w14:paraId="6CFE9257" w14:textId="77777777" w:rsidR="00F22B03" w:rsidRDefault="00F22B03" w:rsidP="00F22B03">
      <w:pPr>
        <w:spacing w:after="0" w:line="276" w:lineRule="auto"/>
        <w:jc w:val="both"/>
        <w:rPr>
          <w:rFonts w:cs="Arial"/>
          <w:b/>
          <w:sz w:val="24"/>
          <w:szCs w:val="24"/>
          <w:lang w:val="es-ES_tradnl"/>
        </w:rPr>
      </w:pPr>
      <w:r w:rsidRPr="002D350C">
        <w:rPr>
          <w:rFonts w:cs="Arial"/>
          <w:b/>
          <w:sz w:val="24"/>
          <w:szCs w:val="24"/>
          <w:lang w:val="es-ES_tradnl"/>
        </w:rPr>
        <w:t>En ejercicio de las atribuciones que le confiere los numerales 1 y 2 del artículo 264 de la Constitución de la República; artículo 8, numerales 1 y 6 de la Ley Orgánica de Régimen del Distrito Metropolitano de Quito; el artículo 57, literal a);</w:t>
      </w:r>
      <w:r>
        <w:rPr>
          <w:rFonts w:cs="Arial"/>
          <w:b/>
          <w:sz w:val="24"/>
          <w:szCs w:val="24"/>
          <w:lang w:val="es-ES_tradnl"/>
        </w:rPr>
        <w:t xml:space="preserve"> y el artículo 87, </w:t>
      </w:r>
      <w:r>
        <w:rPr>
          <w:rFonts w:cs="Arial"/>
          <w:b/>
          <w:sz w:val="24"/>
          <w:szCs w:val="24"/>
          <w:lang w:val="es-ES_tradnl"/>
        </w:rPr>
        <w:lastRenderedPageBreak/>
        <w:t>literal a)</w:t>
      </w:r>
      <w:r w:rsidRPr="002D350C">
        <w:rPr>
          <w:rFonts w:cs="Arial"/>
          <w:b/>
          <w:sz w:val="24"/>
          <w:szCs w:val="24"/>
          <w:lang w:val="es-ES_tradnl"/>
        </w:rPr>
        <w:t xml:space="preserve"> </w:t>
      </w:r>
      <w:r w:rsidRPr="00AA55A1">
        <w:rPr>
          <w:rFonts w:cs="Arial"/>
          <w:b/>
          <w:sz w:val="24"/>
          <w:szCs w:val="24"/>
          <w:lang w:val="es-ES_tradnl"/>
        </w:rPr>
        <w:t>del Código Orgánico de Organización Territorial, Autonomía y Descentralización</w:t>
      </w:r>
      <w:r>
        <w:rPr>
          <w:rFonts w:cs="Arial"/>
          <w:b/>
          <w:sz w:val="24"/>
          <w:szCs w:val="24"/>
          <w:lang w:val="es-ES_tradnl"/>
        </w:rPr>
        <w:t>.</w:t>
      </w:r>
    </w:p>
    <w:p w14:paraId="7D40F48F" w14:textId="77777777" w:rsidR="00A9732C" w:rsidRDefault="00A9732C" w:rsidP="00F22B03">
      <w:pPr>
        <w:spacing w:after="0" w:line="276" w:lineRule="auto"/>
        <w:jc w:val="both"/>
        <w:rPr>
          <w:rFonts w:cs="Arial"/>
          <w:b/>
          <w:sz w:val="24"/>
          <w:szCs w:val="24"/>
          <w:lang w:val="es-ES_tradnl"/>
        </w:rPr>
      </w:pPr>
    </w:p>
    <w:p w14:paraId="3FF313F3" w14:textId="77777777" w:rsidR="00DA2CFC" w:rsidRPr="00902A6F" w:rsidRDefault="00DA2CFC" w:rsidP="00F06979">
      <w:pPr>
        <w:spacing w:after="0" w:line="276" w:lineRule="auto"/>
        <w:jc w:val="center"/>
        <w:rPr>
          <w:rFonts w:cs="Arial"/>
          <w:b/>
          <w:sz w:val="24"/>
          <w:szCs w:val="24"/>
          <w:lang w:val="es-ES_tradnl"/>
        </w:rPr>
      </w:pPr>
      <w:r w:rsidRPr="00902A6F">
        <w:rPr>
          <w:rFonts w:cs="Arial"/>
          <w:b/>
          <w:sz w:val="24"/>
          <w:szCs w:val="24"/>
          <w:lang w:val="es-ES_tradnl"/>
        </w:rPr>
        <w:t>Resuelve:</w:t>
      </w:r>
    </w:p>
    <w:p w14:paraId="6B5130CF" w14:textId="77777777" w:rsidR="00DA2CFC" w:rsidRPr="00902A6F" w:rsidRDefault="00DA2CFC" w:rsidP="00F06979">
      <w:pPr>
        <w:spacing w:after="0" w:line="276" w:lineRule="auto"/>
        <w:jc w:val="center"/>
        <w:rPr>
          <w:rFonts w:cs="Arial"/>
          <w:sz w:val="24"/>
          <w:szCs w:val="24"/>
          <w:lang w:val="es-ES_tradnl"/>
        </w:rPr>
      </w:pPr>
    </w:p>
    <w:p w14:paraId="24CA65BE" w14:textId="2C76AAC2" w:rsidR="00AD159D" w:rsidRDefault="00C15E3F" w:rsidP="00F22B03">
      <w:pPr>
        <w:spacing w:after="0" w:line="276" w:lineRule="auto"/>
        <w:jc w:val="both"/>
        <w:rPr>
          <w:rFonts w:cs="Arial"/>
          <w:sz w:val="24"/>
          <w:szCs w:val="24"/>
          <w:lang w:val="es-ES_tradnl"/>
        </w:rPr>
      </w:pPr>
      <w:r w:rsidRPr="00187DC8">
        <w:rPr>
          <w:rFonts w:cs="Arial"/>
          <w:b/>
          <w:sz w:val="24"/>
          <w:szCs w:val="24"/>
          <w:lang w:val="es-ES_tradnl"/>
        </w:rPr>
        <w:t xml:space="preserve">Artículo </w:t>
      </w:r>
      <w:r w:rsidR="00F22B03">
        <w:rPr>
          <w:rFonts w:cs="Arial"/>
          <w:b/>
          <w:sz w:val="24"/>
          <w:szCs w:val="24"/>
          <w:lang w:val="es-ES_tradnl"/>
        </w:rPr>
        <w:t>1</w:t>
      </w:r>
      <w:r w:rsidRPr="00187DC8">
        <w:rPr>
          <w:rFonts w:cs="Arial"/>
          <w:b/>
          <w:sz w:val="24"/>
          <w:szCs w:val="24"/>
          <w:lang w:val="es-ES_tradnl"/>
        </w:rPr>
        <w:t xml:space="preserve">.- </w:t>
      </w:r>
      <w:r w:rsidR="00F22B03" w:rsidRPr="00835619">
        <w:rPr>
          <w:rFonts w:cs="Arial"/>
          <w:sz w:val="24"/>
          <w:szCs w:val="24"/>
          <w:lang w:val="es-ES_tradnl"/>
        </w:rPr>
        <w:t>E</w:t>
      </w:r>
      <w:r w:rsidR="00F22B03" w:rsidRPr="00187DC8">
        <w:rPr>
          <w:rFonts w:cs="Arial"/>
          <w:sz w:val="24"/>
          <w:szCs w:val="24"/>
          <w:lang w:val="es-ES_tradnl"/>
        </w:rPr>
        <w:t xml:space="preserve">stablecer las asignaciones de </w:t>
      </w:r>
      <w:r w:rsidR="00F22B03">
        <w:rPr>
          <w:rFonts w:cs="Arial"/>
          <w:sz w:val="24"/>
          <w:szCs w:val="24"/>
          <w:lang w:val="es-ES_tradnl"/>
        </w:rPr>
        <w:t>clasificación, uso de suelo y</w:t>
      </w:r>
      <w:r w:rsidR="00F22B03" w:rsidRPr="00187DC8">
        <w:rPr>
          <w:rFonts w:cs="Arial"/>
          <w:sz w:val="24"/>
          <w:szCs w:val="24"/>
          <w:lang w:val="es-ES_tradnl"/>
        </w:rPr>
        <w:t xml:space="preserve"> forma de ocupación y edificabilidad al </w:t>
      </w:r>
      <w:r w:rsidR="00F22B03">
        <w:rPr>
          <w:rFonts w:cs="Arial"/>
          <w:sz w:val="24"/>
          <w:szCs w:val="24"/>
          <w:lang w:val="es-ES_tradnl"/>
        </w:rPr>
        <w:t>lote con número de predio</w:t>
      </w:r>
      <w:r w:rsidR="00F22B03" w:rsidRPr="00187DC8">
        <w:rPr>
          <w:rFonts w:cs="Arial"/>
          <w:sz w:val="24"/>
          <w:szCs w:val="24"/>
          <w:lang w:val="es-ES_tradnl"/>
        </w:rPr>
        <w:t xml:space="preserve"> </w:t>
      </w:r>
      <w:r w:rsidR="00DE2507">
        <w:rPr>
          <w:rFonts w:cs="Arial"/>
          <w:sz w:val="24"/>
          <w:szCs w:val="24"/>
          <w:lang w:val="es-ES_tradnl"/>
        </w:rPr>
        <w:t>3580265</w:t>
      </w:r>
      <w:r w:rsidR="00F22B03" w:rsidRPr="00BE7EF2">
        <w:rPr>
          <w:rFonts w:cs="Arial"/>
          <w:sz w:val="24"/>
          <w:szCs w:val="24"/>
          <w:lang w:val="es-ES_tradnl"/>
        </w:rPr>
        <w:t xml:space="preserve"> </w:t>
      </w:r>
      <w:r w:rsidR="00F22B03">
        <w:rPr>
          <w:rFonts w:cs="Arial"/>
          <w:sz w:val="24"/>
          <w:szCs w:val="24"/>
          <w:lang w:val="es-ES_tradnl"/>
        </w:rPr>
        <w:t>de acuerdo a lo establecido en el cuadro No.</w:t>
      </w:r>
      <w:r w:rsidR="005C7F39">
        <w:rPr>
          <w:rFonts w:cs="Arial"/>
          <w:sz w:val="24"/>
          <w:szCs w:val="24"/>
          <w:lang w:val="es-ES_tradnl"/>
        </w:rPr>
        <w:t xml:space="preserve"> </w:t>
      </w:r>
      <w:r w:rsidR="00F22B03">
        <w:rPr>
          <w:rFonts w:cs="Arial"/>
          <w:sz w:val="24"/>
          <w:szCs w:val="24"/>
          <w:lang w:val="es-ES_tradnl"/>
        </w:rPr>
        <w:t>1</w:t>
      </w:r>
      <w:r w:rsidR="00902456">
        <w:rPr>
          <w:rFonts w:cs="Arial"/>
          <w:sz w:val="24"/>
          <w:szCs w:val="24"/>
          <w:lang w:val="es-ES_tradnl"/>
        </w:rPr>
        <w:t xml:space="preserve">, a continuación: </w:t>
      </w:r>
    </w:p>
    <w:p w14:paraId="03ADFD46" w14:textId="77777777" w:rsidR="00730F80" w:rsidRDefault="00F22B03" w:rsidP="00F22B03">
      <w:pPr>
        <w:spacing w:after="0" w:line="276" w:lineRule="auto"/>
        <w:jc w:val="both"/>
        <w:rPr>
          <w:rFonts w:cs="Arial"/>
          <w:sz w:val="24"/>
          <w:szCs w:val="24"/>
          <w:lang w:val="es-ES_tradnl"/>
        </w:rPr>
      </w:pPr>
      <w:r>
        <w:rPr>
          <w:rFonts w:cs="Arial"/>
          <w:sz w:val="24"/>
          <w:szCs w:val="24"/>
          <w:lang w:val="es-ES_tradnl"/>
        </w:rPr>
        <w:t xml:space="preserve"> </w:t>
      </w:r>
    </w:p>
    <w:p w14:paraId="44DA1256" w14:textId="77777777" w:rsidR="00552A7A" w:rsidRDefault="00552A7A" w:rsidP="00552A7A">
      <w:pPr>
        <w:spacing w:after="0" w:line="240" w:lineRule="auto"/>
        <w:jc w:val="center"/>
        <w:rPr>
          <w:rFonts w:eastAsia="Times New Roman" w:cs="Arial"/>
          <w:b/>
          <w:sz w:val="20"/>
          <w:szCs w:val="20"/>
          <w:lang w:val="es-ES" w:eastAsia="es-ES"/>
        </w:rPr>
      </w:pPr>
      <w:r>
        <w:rPr>
          <w:rFonts w:eastAsia="Times New Roman" w:cs="Arial"/>
          <w:b/>
          <w:sz w:val="20"/>
          <w:szCs w:val="20"/>
          <w:lang w:val="es-ES" w:eastAsia="es-ES"/>
        </w:rPr>
        <w:t>Cuadro No. 1 Clasificación, u</w:t>
      </w:r>
      <w:r w:rsidRPr="00552A7A">
        <w:rPr>
          <w:rFonts w:eastAsia="Times New Roman" w:cs="Arial"/>
          <w:b/>
          <w:sz w:val="20"/>
          <w:szCs w:val="20"/>
          <w:lang w:val="es-ES" w:eastAsia="es-ES"/>
        </w:rPr>
        <w:t>so de suelo y zonificación</w:t>
      </w:r>
    </w:p>
    <w:p w14:paraId="7CFE5803" w14:textId="77777777" w:rsidR="00CA1597" w:rsidRPr="00552A7A" w:rsidRDefault="00CA1597" w:rsidP="00552A7A">
      <w:pPr>
        <w:spacing w:after="0" w:line="240" w:lineRule="auto"/>
        <w:jc w:val="center"/>
        <w:rPr>
          <w:rFonts w:eastAsia="Times New Roman" w:cs="Arial"/>
          <w:b/>
          <w:sz w:val="20"/>
          <w:szCs w:val="20"/>
          <w:lang w:val="es-ES" w:eastAsia="es-ES"/>
        </w:rPr>
      </w:pPr>
    </w:p>
    <w:tbl>
      <w:tblPr>
        <w:tblStyle w:val="Tablaconcuadrcula2"/>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4"/>
        <w:gridCol w:w="957"/>
        <w:gridCol w:w="1472"/>
        <w:gridCol w:w="567"/>
        <w:gridCol w:w="516"/>
        <w:gridCol w:w="301"/>
        <w:gridCol w:w="301"/>
        <w:gridCol w:w="301"/>
        <w:gridCol w:w="779"/>
        <w:gridCol w:w="464"/>
        <w:gridCol w:w="615"/>
        <w:gridCol w:w="697"/>
        <w:gridCol w:w="697"/>
      </w:tblGrid>
      <w:tr w:rsidR="00552A7A" w:rsidRPr="00552A7A" w14:paraId="50D3D5CF" w14:textId="77777777" w:rsidTr="00800D81">
        <w:tc>
          <w:tcPr>
            <w:tcW w:w="974" w:type="dxa"/>
            <w:vMerge w:val="restart"/>
            <w:shd w:val="clear" w:color="auto" w:fill="D9D9D9" w:themeFill="background1" w:themeFillShade="D9"/>
            <w:vAlign w:val="center"/>
          </w:tcPr>
          <w:p w14:paraId="44836513" w14:textId="77777777" w:rsidR="00552A7A" w:rsidRPr="00552A7A" w:rsidRDefault="00552A7A" w:rsidP="00890BB2">
            <w:pPr>
              <w:ind w:right="-1"/>
              <w:jc w:val="center"/>
              <w:rPr>
                <w:rFonts w:eastAsia="Times New Roman" w:cs="Arial"/>
                <w:b/>
                <w:sz w:val="14"/>
                <w:szCs w:val="14"/>
                <w:lang w:val="es-ES" w:eastAsia="es-ES"/>
              </w:rPr>
            </w:pPr>
          </w:p>
          <w:p w14:paraId="7FC958A6" w14:textId="77777777" w:rsidR="00552A7A" w:rsidRPr="00552A7A" w:rsidRDefault="00552A7A" w:rsidP="00800D81">
            <w:pPr>
              <w:ind w:right="-1"/>
              <w:jc w:val="center"/>
              <w:rPr>
                <w:rFonts w:eastAsia="Times New Roman" w:cs="Arial"/>
                <w:b/>
                <w:sz w:val="14"/>
                <w:szCs w:val="14"/>
                <w:lang w:val="es-ES" w:eastAsia="es-ES"/>
              </w:rPr>
            </w:pPr>
          </w:p>
          <w:p w14:paraId="6A5AD4D5"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Clasificación</w:t>
            </w:r>
          </w:p>
        </w:tc>
        <w:tc>
          <w:tcPr>
            <w:tcW w:w="957" w:type="dxa"/>
            <w:vMerge w:val="restart"/>
            <w:shd w:val="clear" w:color="auto" w:fill="D9D9D9" w:themeFill="background1" w:themeFillShade="D9"/>
            <w:vAlign w:val="center"/>
          </w:tcPr>
          <w:p w14:paraId="39A3EB63"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Zonificación</w:t>
            </w:r>
          </w:p>
        </w:tc>
        <w:tc>
          <w:tcPr>
            <w:tcW w:w="1472" w:type="dxa"/>
            <w:vMerge w:val="restart"/>
            <w:shd w:val="clear" w:color="auto" w:fill="D9D9D9" w:themeFill="background1" w:themeFillShade="D9"/>
            <w:vAlign w:val="center"/>
          </w:tcPr>
          <w:p w14:paraId="608A000B"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color w:val="000000"/>
                <w:sz w:val="14"/>
                <w:szCs w:val="14"/>
                <w:lang w:val="es-ES" w:eastAsia="es-ES"/>
              </w:rPr>
              <w:t>Uso de suelo</w:t>
            </w:r>
          </w:p>
        </w:tc>
        <w:tc>
          <w:tcPr>
            <w:tcW w:w="1083" w:type="dxa"/>
            <w:gridSpan w:val="2"/>
            <w:shd w:val="clear" w:color="auto" w:fill="D9D9D9" w:themeFill="background1" w:themeFillShade="D9"/>
            <w:vAlign w:val="center"/>
          </w:tcPr>
          <w:p w14:paraId="29307FFD"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Altura máxima</w:t>
            </w:r>
          </w:p>
        </w:tc>
        <w:tc>
          <w:tcPr>
            <w:tcW w:w="903" w:type="dxa"/>
            <w:gridSpan w:val="3"/>
            <w:shd w:val="clear" w:color="auto" w:fill="D9D9D9" w:themeFill="background1" w:themeFillShade="D9"/>
            <w:vAlign w:val="center"/>
          </w:tcPr>
          <w:p w14:paraId="44AAC628"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Retiros</w:t>
            </w:r>
          </w:p>
        </w:tc>
        <w:tc>
          <w:tcPr>
            <w:tcW w:w="779" w:type="dxa"/>
            <w:shd w:val="clear" w:color="auto" w:fill="D9D9D9" w:themeFill="background1" w:themeFillShade="D9"/>
            <w:vAlign w:val="center"/>
          </w:tcPr>
          <w:p w14:paraId="6680BDAD"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Distancia entre bloques</w:t>
            </w:r>
          </w:p>
        </w:tc>
        <w:tc>
          <w:tcPr>
            <w:tcW w:w="464" w:type="dxa"/>
            <w:shd w:val="clear" w:color="auto" w:fill="D9D9D9" w:themeFill="background1" w:themeFillShade="D9"/>
            <w:vAlign w:val="center"/>
          </w:tcPr>
          <w:p w14:paraId="73F98B2F"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COS -PB</w:t>
            </w:r>
          </w:p>
        </w:tc>
        <w:tc>
          <w:tcPr>
            <w:tcW w:w="615" w:type="dxa"/>
            <w:shd w:val="clear" w:color="auto" w:fill="D9D9D9" w:themeFill="background1" w:themeFillShade="D9"/>
            <w:vAlign w:val="center"/>
          </w:tcPr>
          <w:p w14:paraId="475D7526"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COS TOTAL</w:t>
            </w:r>
          </w:p>
        </w:tc>
        <w:tc>
          <w:tcPr>
            <w:tcW w:w="697" w:type="dxa"/>
            <w:shd w:val="clear" w:color="auto" w:fill="D9D9D9" w:themeFill="background1" w:themeFillShade="D9"/>
            <w:vAlign w:val="center"/>
          </w:tcPr>
          <w:p w14:paraId="6763FC02"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Lote Mínimo</w:t>
            </w:r>
          </w:p>
        </w:tc>
        <w:tc>
          <w:tcPr>
            <w:tcW w:w="697" w:type="dxa"/>
            <w:shd w:val="clear" w:color="auto" w:fill="D9D9D9" w:themeFill="background1" w:themeFillShade="D9"/>
            <w:vAlign w:val="center"/>
          </w:tcPr>
          <w:p w14:paraId="01C7C454"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Frente</w:t>
            </w:r>
          </w:p>
          <w:p w14:paraId="67C377B2" w14:textId="77777777" w:rsidR="00552A7A" w:rsidRPr="00552A7A" w:rsidRDefault="00552A7A" w:rsidP="00800D81">
            <w:pPr>
              <w:ind w:right="-1"/>
              <w:jc w:val="center"/>
              <w:rPr>
                <w:rFonts w:eastAsia="Times New Roman" w:cs="Arial"/>
                <w:b/>
                <w:sz w:val="14"/>
                <w:szCs w:val="14"/>
                <w:lang w:val="es-ES" w:eastAsia="es-ES"/>
              </w:rPr>
            </w:pPr>
            <w:r w:rsidRPr="00552A7A">
              <w:rPr>
                <w:rFonts w:eastAsia="Times New Roman" w:cs="Arial"/>
                <w:b/>
                <w:sz w:val="14"/>
                <w:szCs w:val="14"/>
                <w:lang w:val="es-ES" w:eastAsia="es-ES"/>
              </w:rPr>
              <w:t>Mínimo</w:t>
            </w:r>
          </w:p>
        </w:tc>
      </w:tr>
      <w:tr w:rsidR="00A9732C" w:rsidRPr="00552A7A" w14:paraId="3A3885C3" w14:textId="77777777" w:rsidTr="00800D81">
        <w:tc>
          <w:tcPr>
            <w:tcW w:w="974" w:type="dxa"/>
            <w:vMerge/>
            <w:shd w:val="clear" w:color="auto" w:fill="D9D9D9" w:themeFill="background1" w:themeFillShade="D9"/>
            <w:vAlign w:val="center"/>
          </w:tcPr>
          <w:p w14:paraId="69BE577D" w14:textId="77777777" w:rsidR="00552A7A" w:rsidRPr="00552A7A" w:rsidRDefault="00552A7A" w:rsidP="00800D81">
            <w:pPr>
              <w:ind w:right="-1"/>
              <w:jc w:val="center"/>
              <w:rPr>
                <w:rFonts w:eastAsia="Times New Roman" w:cs="Arial"/>
                <w:b/>
                <w:sz w:val="16"/>
                <w:szCs w:val="16"/>
                <w:lang w:val="es-ES" w:eastAsia="es-ES"/>
              </w:rPr>
            </w:pPr>
          </w:p>
        </w:tc>
        <w:tc>
          <w:tcPr>
            <w:tcW w:w="957" w:type="dxa"/>
            <w:vMerge/>
            <w:shd w:val="clear" w:color="auto" w:fill="D9D9D9" w:themeFill="background1" w:themeFillShade="D9"/>
            <w:vAlign w:val="center"/>
          </w:tcPr>
          <w:p w14:paraId="462F48D3" w14:textId="77777777" w:rsidR="00552A7A" w:rsidRPr="00552A7A" w:rsidRDefault="00552A7A" w:rsidP="00800D81">
            <w:pPr>
              <w:ind w:right="-1"/>
              <w:jc w:val="center"/>
              <w:rPr>
                <w:rFonts w:eastAsia="Times New Roman" w:cs="Arial"/>
                <w:b/>
                <w:sz w:val="16"/>
                <w:szCs w:val="16"/>
                <w:lang w:val="es-ES" w:eastAsia="es-ES"/>
              </w:rPr>
            </w:pPr>
          </w:p>
        </w:tc>
        <w:tc>
          <w:tcPr>
            <w:tcW w:w="1472" w:type="dxa"/>
            <w:vMerge/>
            <w:shd w:val="clear" w:color="auto" w:fill="D9D9D9" w:themeFill="background1" w:themeFillShade="D9"/>
            <w:vAlign w:val="center"/>
          </w:tcPr>
          <w:p w14:paraId="1F09AE81" w14:textId="77777777" w:rsidR="00552A7A" w:rsidRPr="00552A7A" w:rsidRDefault="00552A7A" w:rsidP="00800D81">
            <w:pPr>
              <w:ind w:right="-1"/>
              <w:jc w:val="center"/>
              <w:rPr>
                <w:rFonts w:eastAsia="Times New Roman" w:cs="Arial"/>
                <w:b/>
                <w:sz w:val="16"/>
                <w:szCs w:val="16"/>
                <w:lang w:val="es-ES" w:eastAsia="es-ES"/>
              </w:rPr>
            </w:pPr>
          </w:p>
        </w:tc>
        <w:tc>
          <w:tcPr>
            <w:tcW w:w="567" w:type="dxa"/>
            <w:shd w:val="clear" w:color="auto" w:fill="D9D9D9" w:themeFill="background1" w:themeFillShade="D9"/>
            <w:vAlign w:val="center"/>
          </w:tcPr>
          <w:p w14:paraId="51785B43"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Pisos</w:t>
            </w:r>
          </w:p>
        </w:tc>
        <w:tc>
          <w:tcPr>
            <w:tcW w:w="516" w:type="dxa"/>
            <w:shd w:val="clear" w:color="auto" w:fill="D9D9D9" w:themeFill="background1" w:themeFillShade="D9"/>
            <w:vAlign w:val="center"/>
          </w:tcPr>
          <w:p w14:paraId="1151EF5C"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c>
          <w:tcPr>
            <w:tcW w:w="301" w:type="dxa"/>
            <w:shd w:val="clear" w:color="auto" w:fill="D9D9D9" w:themeFill="background1" w:themeFillShade="D9"/>
            <w:vAlign w:val="center"/>
          </w:tcPr>
          <w:p w14:paraId="0F5863FB"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F</w:t>
            </w:r>
          </w:p>
        </w:tc>
        <w:tc>
          <w:tcPr>
            <w:tcW w:w="301" w:type="dxa"/>
            <w:shd w:val="clear" w:color="auto" w:fill="D9D9D9" w:themeFill="background1" w:themeFillShade="D9"/>
            <w:vAlign w:val="center"/>
          </w:tcPr>
          <w:p w14:paraId="4D005991"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L</w:t>
            </w:r>
          </w:p>
        </w:tc>
        <w:tc>
          <w:tcPr>
            <w:tcW w:w="301" w:type="dxa"/>
            <w:shd w:val="clear" w:color="auto" w:fill="D9D9D9" w:themeFill="background1" w:themeFillShade="D9"/>
            <w:vAlign w:val="center"/>
          </w:tcPr>
          <w:p w14:paraId="2178F129"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P</w:t>
            </w:r>
          </w:p>
        </w:tc>
        <w:tc>
          <w:tcPr>
            <w:tcW w:w="779" w:type="dxa"/>
            <w:shd w:val="clear" w:color="auto" w:fill="D9D9D9" w:themeFill="background1" w:themeFillShade="D9"/>
            <w:vAlign w:val="center"/>
          </w:tcPr>
          <w:p w14:paraId="37C8716F"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c>
          <w:tcPr>
            <w:tcW w:w="464" w:type="dxa"/>
            <w:shd w:val="clear" w:color="auto" w:fill="D9D9D9" w:themeFill="background1" w:themeFillShade="D9"/>
            <w:vAlign w:val="center"/>
          </w:tcPr>
          <w:p w14:paraId="1FB48A5D"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w:t>
            </w:r>
          </w:p>
        </w:tc>
        <w:tc>
          <w:tcPr>
            <w:tcW w:w="615" w:type="dxa"/>
            <w:shd w:val="clear" w:color="auto" w:fill="D9D9D9" w:themeFill="background1" w:themeFillShade="D9"/>
            <w:vAlign w:val="center"/>
          </w:tcPr>
          <w:p w14:paraId="6C2CDFDC"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w:t>
            </w:r>
          </w:p>
        </w:tc>
        <w:tc>
          <w:tcPr>
            <w:tcW w:w="697" w:type="dxa"/>
            <w:shd w:val="clear" w:color="auto" w:fill="D9D9D9" w:themeFill="background1" w:themeFillShade="D9"/>
            <w:vAlign w:val="center"/>
          </w:tcPr>
          <w:p w14:paraId="1094DF1B"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m²</w:t>
            </w:r>
          </w:p>
        </w:tc>
        <w:tc>
          <w:tcPr>
            <w:tcW w:w="697" w:type="dxa"/>
            <w:shd w:val="clear" w:color="auto" w:fill="D9D9D9" w:themeFill="background1" w:themeFillShade="D9"/>
            <w:vAlign w:val="center"/>
          </w:tcPr>
          <w:p w14:paraId="3A3FBCBE" w14:textId="77777777" w:rsidR="00552A7A" w:rsidRPr="00552A7A" w:rsidRDefault="00552A7A" w:rsidP="00800D81">
            <w:pPr>
              <w:ind w:right="-1"/>
              <w:jc w:val="center"/>
              <w:rPr>
                <w:rFonts w:eastAsia="Times New Roman" w:cs="Arial"/>
                <w:b/>
                <w:sz w:val="16"/>
                <w:szCs w:val="16"/>
                <w:lang w:val="es-ES" w:eastAsia="es-ES"/>
              </w:rPr>
            </w:pPr>
            <w:r w:rsidRPr="00552A7A">
              <w:rPr>
                <w:rFonts w:eastAsia="Times New Roman" w:cs="Arial"/>
                <w:b/>
                <w:sz w:val="16"/>
                <w:szCs w:val="16"/>
                <w:lang w:val="es-ES" w:eastAsia="es-ES"/>
              </w:rPr>
              <w:t>m</w:t>
            </w:r>
          </w:p>
        </w:tc>
      </w:tr>
      <w:tr w:rsidR="00552A7A" w:rsidRPr="00552A7A" w14:paraId="3A5D3986" w14:textId="77777777" w:rsidTr="00800D81">
        <w:trPr>
          <w:trHeight w:val="454"/>
        </w:trPr>
        <w:tc>
          <w:tcPr>
            <w:tcW w:w="974" w:type="dxa"/>
            <w:vAlign w:val="center"/>
          </w:tcPr>
          <w:p w14:paraId="6350E005" w14:textId="7142CC10" w:rsidR="00AD159D" w:rsidRPr="00552A7A" w:rsidRDefault="00902456" w:rsidP="00890BB2">
            <w:pPr>
              <w:ind w:right="-1"/>
              <w:jc w:val="center"/>
              <w:rPr>
                <w:rFonts w:eastAsia="Times New Roman" w:cs="Arial"/>
                <w:sz w:val="18"/>
                <w:szCs w:val="18"/>
                <w:lang w:val="es-ES" w:eastAsia="es-ES"/>
              </w:rPr>
            </w:pPr>
            <w:r>
              <w:rPr>
                <w:rFonts w:eastAsia="Times New Roman" w:cs="Arial"/>
                <w:sz w:val="18"/>
                <w:szCs w:val="18"/>
                <w:lang w:val="es-ES" w:eastAsia="es-ES"/>
              </w:rPr>
              <w:t>Suelo Urbano</w:t>
            </w:r>
          </w:p>
        </w:tc>
        <w:tc>
          <w:tcPr>
            <w:tcW w:w="957" w:type="dxa"/>
            <w:vAlign w:val="center"/>
          </w:tcPr>
          <w:p w14:paraId="30AF09FE" w14:textId="63818015" w:rsidR="00552A7A" w:rsidRPr="00800D81" w:rsidRDefault="00093544" w:rsidP="00890BB2">
            <w:pPr>
              <w:ind w:right="-1"/>
              <w:jc w:val="center"/>
              <w:rPr>
                <w:rFonts w:eastAsia="Times New Roman" w:cs="Arial"/>
                <w:bCs/>
                <w:sz w:val="18"/>
                <w:szCs w:val="18"/>
                <w:lang w:val="es-ES" w:eastAsia="es-ES"/>
              </w:rPr>
            </w:pPr>
            <w:r w:rsidRPr="00800D81">
              <w:rPr>
                <w:rFonts w:eastAsia="Times New Roman" w:cs="Arial"/>
                <w:bCs/>
                <w:sz w:val="18"/>
                <w:szCs w:val="18"/>
                <w:lang w:val="es-ES" w:eastAsia="es-ES"/>
              </w:rPr>
              <w:t>D3</w:t>
            </w:r>
            <w:r w:rsidR="00CC6126" w:rsidRPr="00800D81">
              <w:rPr>
                <w:rFonts w:eastAsia="Times New Roman" w:cs="Arial"/>
                <w:bCs/>
                <w:sz w:val="18"/>
                <w:szCs w:val="18"/>
                <w:lang w:val="es-ES" w:eastAsia="es-ES"/>
              </w:rPr>
              <w:t xml:space="preserve"> (</w:t>
            </w:r>
            <w:r w:rsidRPr="00800D81">
              <w:rPr>
                <w:rFonts w:eastAsia="Times New Roman" w:cs="Arial"/>
                <w:bCs/>
                <w:sz w:val="18"/>
                <w:szCs w:val="18"/>
                <w:lang w:val="es-ES" w:eastAsia="es-ES"/>
              </w:rPr>
              <w:t>D</w:t>
            </w:r>
            <w:r w:rsidR="00890BB2" w:rsidRPr="00800D81">
              <w:rPr>
                <w:rFonts w:eastAsia="Times New Roman" w:cs="Arial"/>
                <w:bCs/>
                <w:sz w:val="18"/>
                <w:szCs w:val="18"/>
                <w:lang w:val="es-ES" w:eastAsia="es-ES"/>
              </w:rPr>
              <w:t>203</w:t>
            </w:r>
            <w:r w:rsidR="00CC6126" w:rsidRPr="00800D81">
              <w:rPr>
                <w:rFonts w:eastAsia="Times New Roman" w:cs="Arial"/>
                <w:bCs/>
                <w:sz w:val="18"/>
                <w:szCs w:val="18"/>
                <w:lang w:val="es-ES" w:eastAsia="es-ES"/>
              </w:rPr>
              <w:t>­</w:t>
            </w:r>
            <w:r w:rsidRPr="00800D81">
              <w:rPr>
                <w:rFonts w:eastAsia="Times New Roman" w:cs="Arial"/>
                <w:bCs/>
                <w:sz w:val="18"/>
                <w:szCs w:val="18"/>
                <w:lang w:val="es-ES" w:eastAsia="es-ES"/>
              </w:rPr>
              <w:t>8</w:t>
            </w:r>
            <w:r w:rsidR="00CC6126" w:rsidRPr="00800D81">
              <w:rPr>
                <w:rFonts w:eastAsia="Times New Roman" w:cs="Arial"/>
                <w:bCs/>
                <w:sz w:val="18"/>
                <w:szCs w:val="18"/>
                <w:lang w:val="es-ES" w:eastAsia="es-ES"/>
              </w:rPr>
              <w:t>0)</w:t>
            </w:r>
          </w:p>
        </w:tc>
        <w:tc>
          <w:tcPr>
            <w:tcW w:w="1472" w:type="dxa"/>
            <w:vAlign w:val="center"/>
          </w:tcPr>
          <w:p w14:paraId="461F1783" w14:textId="77777777" w:rsidR="00552A7A" w:rsidRPr="00552A7A" w:rsidRDefault="00AD159D" w:rsidP="00800D81">
            <w:pPr>
              <w:ind w:right="-1"/>
              <w:jc w:val="center"/>
              <w:rPr>
                <w:rFonts w:eastAsia="Times New Roman" w:cs="Arial"/>
                <w:sz w:val="18"/>
                <w:szCs w:val="18"/>
                <w:lang w:val="es-ES" w:eastAsia="es-ES"/>
              </w:rPr>
            </w:pPr>
            <w:r>
              <w:rPr>
                <w:rFonts w:eastAsia="Times New Roman" w:cs="Arial"/>
                <w:sz w:val="18"/>
                <w:szCs w:val="18"/>
                <w:lang w:val="es-ES" w:eastAsia="es-ES"/>
              </w:rPr>
              <w:t xml:space="preserve">Residencial urbano </w:t>
            </w:r>
            <w:r w:rsidR="00CC6126">
              <w:rPr>
                <w:rFonts w:eastAsia="Times New Roman" w:cs="Arial"/>
                <w:sz w:val="18"/>
                <w:szCs w:val="18"/>
                <w:lang w:val="es-ES" w:eastAsia="es-ES"/>
              </w:rPr>
              <w:t>2</w:t>
            </w:r>
            <w:r>
              <w:rPr>
                <w:rFonts w:eastAsia="Times New Roman" w:cs="Arial"/>
                <w:sz w:val="18"/>
                <w:szCs w:val="18"/>
                <w:lang w:val="es-ES" w:eastAsia="es-ES"/>
              </w:rPr>
              <w:t xml:space="preserve"> (RU</w:t>
            </w:r>
            <w:r w:rsidR="00CC6126">
              <w:rPr>
                <w:rFonts w:eastAsia="Times New Roman" w:cs="Arial"/>
                <w:sz w:val="18"/>
                <w:szCs w:val="18"/>
                <w:lang w:val="es-ES" w:eastAsia="es-ES"/>
              </w:rPr>
              <w:t>2</w:t>
            </w:r>
            <w:r>
              <w:rPr>
                <w:rFonts w:eastAsia="Times New Roman" w:cs="Arial"/>
                <w:sz w:val="18"/>
                <w:szCs w:val="18"/>
                <w:lang w:val="es-ES" w:eastAsia="es-ES"/>
              </w:rPr>
              <w:t>)</w:t>
            </w:r>
          </w:p>
          <w:p w14:paraId="31D5C5F2" w14:textId="77777777" w:rsidR="00552A7A" w:rsidRPr="00552A7A" w:rsidRDefault="00552A7A" w:rsidP="00800D81">
            <w:pPr>
              <w:ind w:right="-1"/>
              <w:jc w:val="center"/>
              <w:rPr>
                <w:rFonts w:eastAsia="Times New Roman" w:cs="Arial"/>
                <w:sz w:val="18"/>
                <w:szCs w:val="18"/>
                <w:lang w:val="es-ES" w:eastAsia="es-ES"/>
              </w:rPr>
            </w:pPr>
          </w:p>
        </w:tc>
        <w:tc>
          <w:tcPr>
            <w:tcW w:w="567" w:type="dxa"/>
            <w:vAlign w:val="center"/>
          </w:tcPr>
          <w:p w14:paraId="7117A815" w14:textId="7A1B9784"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3</w:t>
            </w:r>
          </w:p>
        </w:tc>
        <w:tc>
          <w:tcPr>
            <w:tcW w:w="516" w:type="dxa"/>
            <w:vAlign w:val="center"/>
          </w:tcPr>
          <w:p w14:paraId="33981F4C" w14:textId="3B5A0112"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12</w:t>
            </w:r>
          </w:p>
        </w:tc>
        <w:tc>
          <w:tcPr>
            <w:tcW w:w="301" w:type="dxa"/>
            <w:vAlign w:val="center"/>
          </w:tcPr>
          <w:p w14:paraId="6DF56F36" w14:textId="06E7E9E8"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0</w:t>
            </w:r>
          </w:p>
        </w:tc>
        <w:tc>
          <w:tcPr>
            <w:tcW w:w="301" w:type="dxa"/>
            <w:vAlign w:val="center"/>
          </w:tcPr>
          <w:p w14:paraId="7BB86B31" w14:textId="0A051F02"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0</w:t>
            </w:r>
          </w:p>
        </w:tc>
        <w:tc>
          <w:tcPr>
            <w:tcW w:w="301" w:type="dxa"/>
            <w:vAlign w:val="center"/>
          </w:tcPr>
          <w:p w14:paraId="6CF52B50" w14:textId="77777777" w:rsidR="00552A7A" w:rsidRPr="00552A7A" w:rsidRDefault="00552A7A" w:rsidP="00800D81">
            <w:pPr>
              <w:ind w:right="-1"/>
              <w:jc w:val="center"/>
              <w:rPr>
                <w:rFonts w:eastAsia="Times New Roman" w:cs="Arial"/>
                <w:sz w:val="18"/>
                <w:szCs w:val="18"/>
                <w:lang w:val="es-ES" w:eastAsia="es-ES"/>
              </w:rPr>
            </w:pPr>
            <w:r w:rsidRPr="00552A7A">
              <w:rPr>
                <w:rFonts w:eastAsia="Times New Roman" w:cs="Arial"/>
                <w:sz w:val="18"/>
                <w:szCs w:val="18"/>
                <w:lang w:val="es-ES" w:eastAsia="es-ES"/>
              </w:rPr>
              <w:t>3</w:t>
            </w:r>
          </w:p>
        </w:tc>
        <w:tc>
          <w:tcPr>
            <w:tcW w:w="779" w:type="dxa"/>
            <w:vAlign w:val="center"/>
          </w:tcPr>
          <w:p w14:paraId="148B874A" w14:textId="77777777" w:rsidR="00552A7A" w:rsidRPr="00552A7A" w:rsidRDefault="00552A7A" w:rsidP="00800D81">
            <w:pPr>
              <w:ind w:right="-1"/>
              <w:jc w:val="center"/>
              <w:rPr>
                <w:rFonts w:eastAsia="Times New Roman" w:cs="Arial"/>
                <w:sz w:val="18"/>
                <w:szCs w:val="18"/>
                <w:lang w:val="es-ES" w:eastAsia="es-ES"/>
              </w:rPr>
            </w:pPr>
            <w:r w:rsidRPr="00552A7A">
              <w:rPr>
                <w:rFonts w:eastAsia="Times New Roman" w:cs="Arial"/>
                <w:sz w:val="18"/>
                <w:szCs w:val="18"/>
                <w:lang w:val="es-ES" w:eastAsia="es-ES"/>
              </w:rPr>
              <w:t>6</w:t>
            </w:r>
          </w:p>
        </w:tc>
        <w:tc>
          <w:tcPr>
            <w:tcW w:w="464" w:type="dxa"/>
            <w:vAlign w:val="center"/>
          </w:tcPr>
          <w:p w14:paraId="47D1D2A9" w14:textId="01834C46" w:rsidR="00552A7A" w:rsidRPr="00552A7A" w:rsidRDefault="00093544" w:rsidP="00800D81">
            <w:pPr>
              <w:ind w:right="-1"/>
              <w:jc w:val="center"/>
              <w:rPr>
                <w:rFonts w:eastAsia="Times New Roman" w:cs="Arial"/>
                <w:sz w:val="18"/>
                <w:szCs w:val="18"/>
                <w:lang w:val="es-ES" w:eastAsia="es-ES"/>
              </w:rPr>
            </w:pPr>
            <w:r>
              <w:rPr>
                <w:rFonts w:eastAsia="Times New Roman" w:cs="Arial"/>
                <w:sz w:val="18"/>
                <w:szCs w:val="18"/>
                <w:lang w:val="es-ES" w:eastAsia="es-ES"/>
              </w:rPr>
              <w:t>80</w:t>
            </w:r>
          </w:p>
        </w:tc>
        <w:tc>
          <w:tcPr>
            <w:tcW w:w="615" w:type="dxa"/>
            <w:vAlign w:val="center"/>
          </w:tcPr>
          <w:p w14:paraId="578B80C0" w14:textId="2511C3EA" w:rsidR="00552A7A" w:rsidRPr="00552A7A" w:rsidRDefault="00890BB2" w:rsidP="00800D81">
            <w:pPr>
              <w:ind w:right="-1"/>
              <w:jc w:val="center"/>
              <w:rPr>
                <w:rFonts w:eastAsia="Times New Roman" w:cs="Arial"/>
                <w:sz w:val="18"/>
                <w:szCs w:val="18"/>
                <w:lang w:val="es-ES" w:eastAsia="es-ES"/>
              </w:rPr>
            </w:pPr>
            <w:r>
              <w:rPr>
                <w:rFonts w:eastAsia="Times New Roman" w:cs="Arial"/>
                <w:sz w:val="18"/>
                <w:szCs w:val="18"/>
                <w:lang w:val="es-ES" w:eastAsia="es-ES"/>
              </w:rPr>
              <w:t>240</w:t>
            </w:r>
          </w:p>
        </w:tc>
        <w:tc>
          <w:tcPr>
            <w:tcW w:w="697" w:type="dxa"/>
            <w:vAlign w:val="center"/>
          </w:tcPr>
          <w:p w14:paraId="1DD71A0C" w14:textId="3595C179" w:rsidR="00552A7A" w:rsidRPr="00552A7A" w:rsidRDefault="00093544" w:rsidP="00800D81">
            <w:pPr>
              <w:ind w:right="-1"/>
              <w:jc w:val="center"/>
              <w:rPr>
                <w:rFonts w:eastAsia="Times New Roman" w:cs="Arial"/>
                <w:sz w:val="18"/>
                <w:szCs w:val="18"/>
                <w:lang w:val="es-ES" w:eastAsia="es-ES"/>
              </w:rPr>
            </w:pPr>
            <w:r>
              <w:rPr>
                <w:rFonts w:eastAsia="Times New Roman" w:cs="Arial"/>
                <w:sz w:val="18"/>
                <w:szCs w:val="18"/>
                <w:lang w:val="es-ES" w:eastAsia="es-ES"/>
              </w:rPr>
              <w:t>2</w:t>
            </w:r>
            <w:r w:rsidR="00552A7A" w:rsidRPr="00552A7A">
              <w:rPr>
                <w:rFonts w:eastAsia="Times New Roman" w:cs="Arial"/>
                <w:sz w:val="18"/>
                <w:szCs w:val="18"/>
                <w:lang w:val="es-ES" w:eastAsia="es-ES"/>
              </w:rPr>
              <w:t>00</w:t>
            </w:r>
          </w:p>
        </w:tc>
        <w:tc>
          <w:tcPr>
            <w:tcW w:w="697" w:type="dxa"/>
            <w:vAlign w:val="center"/>
          </w:tcPr>
          <w:p w14:paraId="600EFF19" w14:textId="4D2C1FA7" w:rsidR="00552A7A" w:rsidRPr="00552A7A" w:rsidRDefault="00CC6126" w:rsidP="00800D81">
            <w:pPr>
              <w:ind w:right="-1"/>
              <w:jc w:val="center"/>
              <w:rPr>
                <w:rFonts w:eastAsia="Times New Roman" w:cs="Arial"/>
                <w:sz w:val="18"/>
                <w:szCs w:val="18"/>
                <w:lang w:val="es-ES" w:eastAsia="es-ES"/>
              </w:rPr>
            </w:pPr>
            <w:r>
              <w:rPr>
                <w:rFonts w:eastAsia="Times New Roman" w:cs="Arial"/>
                <w:sz w:val="18"/>
                <w:szCs w:val="18"/>
                <w:lang w:val="es-ES" w:eastAsia="es-ES"/>
              </w:rPr>
              <w:t>1</w:t>
            </w:r>
            <w:r w:rsidR="00890BB2">
              <w:rPr>
                <w:rFonts w:eastAsia="Times New Roman" w:cs="Arial"/>
                <w:sz w:val="18"/>
                <w:szCs w:val="18"/>
                <w:lang w:val="es-ES" w:eastAsia="es-ES"/>
              </w:rPr>
              <w:t>0</w:t>
            </w:r>
          </w:p>
        </w:tc>
      </w:tr>
    </w:tbl>
    <w:p w14:paraId="2574A28C" w14:textId="77777777" w:rsidR="00552A7A" w:rsidRPr="00552A7A" w:rsidRDefault="00552A7A" w:rsidP="00552A7A">
      <w:pPr>
        <w:tabs>
          <w:tab w:val="left" w:pos="426"/>
        </w:tabs>
        <w:spacing w:after="0" w:line="240" w:lineRule="auto"/>
        <w:jc w:val="both"/>
        <w:rPr>
          <w:rFonts w:ascii="Arial" w:hAnsi="Arial" w:cs="Arial"/>
          <w:sz w:val="20"/>
          <w:szCs w:val="20"/>
        </w:rPr>
      </w:pPr>
    </w:p>
    <w:p w14:paraId="068C98AC" w14:textId="27D8F53C" w:rsidR="00080EFF" w:rsidRDefault="00F648AA" w:rsidP="00153D5B">
      <w:pPr>
        <w:pStyle w:val="Prrafodelista"/>
        <w:spacing w:line="276" w:lineRule="auto"/>
        <w:ind w:left="0"/>
        <w:jc w:val="both"/>
        <w:rPr>
          <w:rFonts w:cs="Arial"/>
          <w:sz w:val="24"/>
          <w:szCs w:val="24"/>
          <w:lang w:val="es-ES_tradnl"/>
        </w:rPr>
      </w:pPr>
      <w:r>
        <w:rPr>
          <w:rFonts w:cs="Arial"/>
          <w:b/>
          <w:sz w:val="24"/>
          <w:szCs w:val="24"/>
          <w:lang w:val="es-ES_tradnl"/>
        </w:rPr>
        <w:t>Disposición</w:t>
      </w:r>
      <w:r w:rsidR="00267FEA">
        <w:rPr>
          <w:rFonts w:cs="Arial"/>
          <w:b/>
          <w:sz w:val="24"/>
          <w:szCs w:val="24"/>
          <w:lang w:val="es-ES_tradnl"/>
        </w:rPr>
        <w:t xml:space="preserve"> Transitoria.-</w:t>
      </w:r>
      <w:r w:rsidR="00153D5B">
        <w:rPr>
          <w:rFonts w:cs="Arial"/>
          <w:b/>
          <w:sz w:val="24"/>
          <w:szCs w:val="24"/>
          <w:lang w:val="es-ES_tradnl"/>
        </w:rPr>
        <w:t xml:space="preserve"> </w:t>
      </w:r>
      <w:r w:rsidR="00080EFF" w:rsidRPr="00080EFF">
        <w:rPr>
          <w:sz w:val="24"/>
          <w:szCs w:val="24"/>
        </w:rPr>
        <w:t xml:space="preserve">En un plazo de 15 días contados a partir de la sanción de la presente Resolución, la Secretaría de Territorio, Hábitat y Vivienda asignará los datos de uso de suelo </w:t>
      </w:r>
      <w:r w:rsidR="00902456">
        <w:rPr>
          <w:sz w:val="24"/>
          <w:szCs w:val="24"/>
        </w:rPr>
        <w:t>y</w:t>
      </w:r>
      <w:r w:rsidR="00080EFF" w:rsidRPr="00080EFF">
        <w:rPr>
          <w:sz w:val="24"/>
          <w:szCs w:val="24"/>
        </w:rPr>
        <w:t xml:space="preserve"> zonificación para </w:t>
      </w:r>
      <w:r w:rsidR="00080EFF" w:rsidRPr="00080EFF">
        <w:rPr>
          <w:rFonts w:cs="Arial"/>
          <w:sz w:val="24"/>
          <w:szCs w:val="24"/>
          <w:lang w:val="es-ES_tradnl"/>
        </w:rPr>
        <w:t xml:space="preserve">el lote con número de predio </w:t>
      </w:r>
      <w:r w:rsidR="00DE2507">
        <w:rPr>
          <w:rFonts w:cs="Arial"/>
          <w:sz w:val="24"/>
          <w:szCs w:val="24"/>
          <w:lang w:val="es-ES_tradnl"/>
        </w:rPr>
        <w:t>3580265</w:t>
      </w:r>
      <w:r w:rsidR="00080EFF">
        <w:rPr>
          <w:sz w:val="24"/>
          <w:szCs w:val="24"/>
        </w:rPr>
        <w:t xml:space="preserve">, según lo </w:t>
      </w:r>
      <w:r w:rsidR="00080EFF">
        <w:rPr>
          <w:rFonts w:cs="Arial"/>
          <w:sz w:val="24"/>
          <w:szCs w:val="24"/>
          <w:lang w:val="es-ES_tradnl"/>
        </w:rPr>
        <w:t>establecido en el cuadro No.</w:t>
      </w:r>
      <w:r w:rsidR="00935014">
        <w:rPr>
          <w:rFonts w:cs="Arial"/>
          <w:sz w:val="24"/>
          <w:szCs w:val="24"/>
          <w:lang w:val="es-ES_tradnl"/>
        </w:rPr>
        <w:t xml:space="preserve"> </w:t>
      </w:r>
      <w:r w:rsidR="00080EFF">
        <w:rPr>
          <w:rFonts w:cs="Arial"/>
          <w:sz w:val="24"/>
          <w:szCs w:val="24"/>
          <w:lang w:val="es-ES_tradnl"/>
        </w:rPr>
        <w:t>1</w:t>
      </w:r>
      <w:r>
        <w:rPr>
          <w:rFonts w:cs="Arial"/>
          <w:sz w:val="24"/>
          <w:szCs w:val="24"/>
          <w:lang w:val="es-ES_tradnl"/>
        </w:rPr>
        <w:t>.</w:t>
      </w:r>
    </w:p>
    <w:p w14:paraId="5AC9C0B8" w14:textId="77777777" w:rsidR="00153D5B" w:rsidRDefault="00153D5B" w:rsidP="00153D5B">
      <w:pPr>
        <w:pStyle w:val="Prrafodelista"/>
        <w:spacing w:line="276" w:lineRule="auto"/>
        <w:ind w:left="0"/>
        <w:jc w:val="both"/>
        <w:rPr>
          <w:rFonts w:cs="Arial"/>
          <w:b/>
          <w:sz w:val="24"/>
          <w:szCs w:val="24"/>
          <w:lang w:val="es-ES_tradnl"/>
        </w:rPr>
      </w:pPr>
    </w:p>
    <w:p w14:paraId="08F34291" w14:textId="77777777" w:rsidR="002B6715" w:rsidRPr="00187DC8" w:rsidRDefault="00C43948" w:rsidP="002B6715">
      <w:pPr>
        <w:pStyle w:val="Prrafodelista"/>
        <w:ind w:left="0"/>
        <w:jc w:val="both"/>
        <w:rPr>
          <w:sz w:val="24"/>
          <w:szCs w:val="24"/>
        </w:rPr>
      </w:pPr>
      <w:r w:rsidRPr="00187DC8">
        <w:rPr>
          <w:b/>
          <w:sz w:val="24"/>
          <w:szCs w:val="24"/>
        </w:rPr>
        <w:t xml:space="preserve">Disposición Final.- </w:t>
      </w:r>
      <w:r w:rsidRPr="00187DC8">
        <w:rPr>
          <w:sz w:val="24"/>
          <w:szCs w:val="24"/>
        </w:rPr>
        <w:t xml:space="preserve">La presente </w:t>
      </w:r>
      <w:r w:rsidR="00452073">
        <w:rPr>
          <w:sz w:val="24"/>
          <w:szCs w:val="24"/>
        </w:rPr>
        <w:t>R</w:t>
      </w:r>
      <w:r w:rsidRPr="00187DC8">
        <w:rPr>
          <w:sz w:val="24"/>
          <w:szCs w:val="24"/>
        </w:rPr>
        <w:t>esolución entrará en vigencia a partir de su sanción.</w:t>
      </w:r>
    </w:p>
    <w:p w14:paraId="774D617B" w14:textId="77777777" w:rsidR="002B6715" w:rsidRPr="00187DC8" w:rsidRDefault="002B6715" w:rsidP="002B6715">
      <w:pPr>
        <w:pStyle w:val="Prrafodelista"/>
        <w:ind w:left="0"/>
        <w:jc w:val="both"/>
        <w:rPr>
          <w:b/>
          <w:sz w:val="24"/>
          <w:szCs w:val="24"/>
        </w:rPr>
      </w:pPr>
    </w:p>
    <w:p w14:paraId="6EA19D59" w14:textId="77777777" w:rsidR="002B6715" w:rsidRPr="00187DC8" w:rsidRDefault="00280B0B" w:rsidP="002B6715">
      <w:pPr>
        <w:pStyle w:val="Prrafodelista"/>
        <w:ind w:left="0"/>
        <w:jc w:val="both"/>
        <w:rPr>
          <w:sz w:val="24"/>
          <w:szCs w:val="24"/>
        </w:rPr>
      </w:pPr>
      <w:r w:rsidRPr="00187DC8">
        <w:rPr>
          <w:sz w:val="24"/>
          <w:szCs w:val="24"/>
        </w:rPr>
        <w:t>La</w:t>
      </w:r>
      <w:r w:rsidR="002B6715" w:rsidRPr="00187DC8">
        <w:rPr>
          <w:sz w:val="24"/>
          <w:szCs w:val="24"/>
        </w:rPr>
        <w:t xml:space="preserve"> ejecución de la presente Resolución, encárguese a la Secretaría de Territorio, Hábitat y Vivienda</w:t>
      </w:r>
      <w:r w:rsidR="006C30F8" w:rsidRPr="00187DC8">
        <w:rPr>
          <w:sz w:val="24"/>
          <w:szCs w:val="24"/>
        </w:rPr>
        <w:t>.</w:t>
      </w:r>
      <w:r w:rsidR="002B6715" w:rsidRPr="00187DC8">
        <w:rPr>
          <w:sz w:val="24"/>
          <w:szCs w:val="24"/>
        </w:rPr>
        <w:t xml:space="preserve"> </w:t>
      </w:r>
    </w:p>
    <w:p w14:paraId="491E4E4D" w14:textId="6222E9FA" w:rsidR="002B6715" w:rsidRPr="00187DC8" w:rsidRDefault="002B6715" w:rsidP="002B6715">
      <w:pPr>
        <w:rPr>
          <w:sz w:val="24"/>
          <w:szCs w:val="24"/>
        </w:rPr>
      </w:pPr>
      <w:r w:rsidRPr="00187DC8">
        <w:rPr>
          <w:sz w:val="24"/>
          <w:szCs w:val="24"/>
        </w:rPr>
        <w:t xml:space="preserve">Dado en </w:t>
      </w:r>
      <w:r w:rsidR="00A90892" w:rsidRPr="00187DC8">
        <w:rPr>
          <w:sz w:val="24"/>
          <w:szCs w:val="24"/>
        </w:rPr>
        <w:t xml:space="preserve">la Sala de Sesiones del Concejo </w:t>
      </w:r>
      <w:r w:rsidRPr="00187DC8">
        <w:rPr>
          <w:sz w:val="24"/>
          <w:szCs w:val="24"/>
        </w:rPr>
        <w:t>Metropolitano</w:t>
      </w:r>
      <w:r w:rsidR="00A90892" w:rsidRPr="00187DC8">
        <w:rPr>
          <w:sz w:val="24"/>
          <w:szCs w:val="24"/>
        </w:rPr>
        <w:t xml:space="preserve"> de Quito</w:t>
      </w:r>
      <w:r w:rsidRPr="00187DC8">
        <w:rPr>
          <w:sz w:val="24"/>
          <w:szCs w:val="24"/>
        </w:rPr>
        <w:t>, el</w:t>
      </w:r>
      <w:r w:rsidR="003867C6">
        <w:rPr>
          <w:sz w:val="24"/>
          <w:szCs w:val="24"/>
        </w:rPr>
        <w:t>….</w:t>
      </w:r>
      <w:r w:rsidR="00A90892" w:rsidRPr="00187DC8">
        <w:rPr>
          <w:sz w:val="24"/>
          <w:szCs w:val="24"/>
        </w:rPr>
        <w:t>.de…</w:t>
      </w:r>
      <w:r w:rsidR="003867C6">
        <w:rPr>
          <w:sz w:val="24"/>
          <w:szCs w:val="24"/>
        </w:rPr>
        <w:t>..</w:t>
      </w:r>
      <w:r w:rsidR="00A90892" w:rsidRPr="00187DC8">
        <w:rPr>
          <w:sz w:val="24"/>
          <w:szCs w:val="24"/>
        </w:rPr>
        <w:t>.</w:t>
      </w:r>
      <w:r w:rsidRPr="00187DC8">
        <w:rPr>
          <w:sz w:val="24"/>
          <w:szCs w:val="24"/>
        </w:rPr>
        <w:t>de 20</w:t>
      </w:r>
      <w:r w:rsidR="00902456">
        <w:rPr>
          <w:sz w:val="24"/>
          <w:szCs w:val="24"/>
        </w:rPr>
        <w:t>20</w:t>
      </w:r>
      <w:r w:rsidRPr="00187DC8">
        <w:rPr>
          <w:sz w:val="24"/>
          <w:szCs w:val="24"/>
        </w:rPr>
        <w:t xml:space="preserve">. </w:t>
      </w:r>
    </w:p>
    <w:p w14:paraId="2AAEBA43" w14:textId="77777777" w:rsidR="00187DC8" w:rsidRPr="00187DC8" w:rsidRDefault="00187DC8" w:rsidP="00A90892">
      <w:pPr>
        <w:autoSpaceDE w:val="0"/>
        <w:autoSpaceDN w:val="0"/>
        <w:adjustRightInd w:val="0"/>
        <w:spacing w:after="0" w:line="240" w:lineRule="auto"/>
        <w:rPr>
          <w:rFonts w:cs="Times New Roman"/>
          <w:sz w:val="24"/>
          <w:szCs w:val="24"/>
        </w:rPr>
      </w:pPr>
    </w:p>
    <w:p w14:paraId="0C2C7176" w14:textId="77777777" w:rsidR="00A90892" w:rsidRPr="00187DC8" w:rsidRDefault="00A90892" w:rsidP="00A90892">
      <w:pPr>
        <w:autoSpaceDE w:val="0"/>
        <w:autoSpaceDN w:val="0"/>
        <w:adjustRightInd w:val="0"/>
        <w:spacing w:after="0" w:line="240" w:lineRule="auto"/>
        <w:rPr>
          <w:rFonts w:cs="Times New Roman"/>
          <w:sz w:val="24"/>
          <w:szCs w:val="24"/>
        </w:rPr>
      </w:pPr>
      <w:r w:rsidRPr="00800D81">
        <w:rPr>
          <w:rFonts w:cs="Times New Roman"/>
          <w:b/>
          <w:bCs/>
          <w:sz w:val="24"/>
          <w:szCs w:val="24"/>
        </w:rPr>
        <w:t>ALCALDÍA DEL DISTRITO METROPOLITANO.-</w:t>
      </w:r>
      <w:r w:rsidRPr="00187DC8">
        <w:rPr>
          <w:rFonts w:cs="Times New Roman"/>
          <w:sz w:val="24"/>
          <w:szCs w:val="24"/>
        </w:rPr>
        <w:t xml:space="preserve"> Distrito Metropolitano de Quito,</w:t>
      </w:r>
    </w:p>
    <w:p w14:paraId="20097C88" w14:textId="77777777" w:rsidR="00612846" w:rsidRPr="00187DC8" w:rsidRDefault="00612846" w:rsidP="00A90892">
      <w:pPr>
        <w:autoSpaceDE w:val="0"/>
        <w:autoSpaceDN w:val="0"/>
        <w:adjustRightInd w:val="0"/>
        <w:spacing w:after="0" w:line="240" w:lineRule="auto"/>
        <w:rPr>
          <w:rFonts w:cs="Times New Roman"/>
          <w:sz w:val="24"/>
          <w:szCs w:val="24"/>
        </w:rPr>
      </w:pPr>
    </w:p>
    <w:p w14:paraId="26FB3DE2" w14:textId="77777777" w:rsidR="00A90892" w:rsidRDefault="00A90892" w:rsidP="00A90892">
      <w:pPr>
        <w:autoSpaceDE w:val="0"/>
        <w:autoSpaceDN w:val="0"/>
        <w:adjustRightInd w:val="0"/>
        <w:spacing w:after="0" w:line="240" w:lineRule="auto"/>
        <w:rPr>
          <w:rFonts w:cs="Times New Roman"/>
          <w:sz w:val="24"/>
          <w:szCs w:val="24"/>
        </w:rPr>
      </w:pPr>
    </w:p>
    <w:p w14:paraId="0F81BDBA" w14:textId="77777777" w:rsidR="00943738" w:rsidRDefault="00943738" w:rsidP="00A90892">
      <w:pPr>
        <w:autoSpaceDE w:val="0"/>
        <w:autoSpaceDN w:val="0"/>
        <w:adjustRightInd w:val="0"/>
        <w:spacing w:after="0" w:line="240" w:lineRule="auto"/>
        <w:rPr>
          <w:rFonts w:cs="Times New Roman"/>
          <w:sz w:val="24"/>
          <w:szCs w:val="24"/>
        </w:rPr>
      </w:pPr>
    </w:p>
    <w:p w14:paraId="7F584C01"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EJECÚTESE:</w:t>
      </w:r>
    </w:p>
    <w:p w14:paraId="7968AE7B" w14:textId="77777777" w:rsidR="00A90892" w:rsidRDefault="00A90892" w:rsidP="00A90892">
      <w:pPr>
        <w:autoSpaceDE w:val="0"/>
        <w:autoSpaceDN w:val="0"/>
        <w:adjustRightInd w:val="0"/>
        <w:spacing w:after="0" w:line="240" w:lineRule="auto"/>
        <w:jc w:val="center"/>
        <w:rPr>
          <w:rFonts w:cs="Times New Roman"/>
          <w:sz w:val="24"/>
          <w:szCs w:val="24"/>
        </w:rPr>
      </w:pPr>
    </w:p>
    <w:p w14:paraId="3FFAA915" w14:textId="77777777" w:rsidR="0059750D" w:rsidRDefault="0059750D" w:rsidP="00A90892">
      <w:pPr>
        <w:autoSpaceDE w:val="0"/>
        <w:autoSpaceDN w:val="0"/>
        <w:adjustRightInd w:val="0"/>
        <w:spacing w:after="0" w:line="240" w:lineRule="auto"/>
        <w:jc w:val="center"/>
        <w:rPr>
          <w:rFonts w:cs="Times New Roman"/>
          <w:sz w:val="24"/>
          <w:szCs w:val="24"/>
        </w:rPr>
      </w:pPr>
    </w:p>
    <w:p w14:paraId="0E3562F9" w14:textId="77777777" w:rsidR="00003C93" w:rsidRPr="00187DC8" w:rsidRDefault="00003C93" w:rsidP="00A90892">
      <w:pPr>
        <w:autoSpaceDE w:val="0"/>
        <w:autoSpaceDN w:val="0"/>
        <w:adjustRightInd w:val="0"/>
        <w:spacing w:after="0" w:line="240" w:lineRule="auto"/>
        <w:jc w:val="center"/>
        <w:rPr>
          <w:rFonts w:cs="Times New Roman"/>
          <w:sz w:val="24"/>
          <w:szCs w:val="24"/>
        </w:rPr>
      </w:pPr>
    </w:p>
    <w:p w14:paraId="3122A3DA" w14:textId="77777777" w:rsidR="00A90892" w:rsidRDefault="00A90892" w:rsidP="00A90892">
      <w:pPr>
        <w:autoSpaceDE w:val="0"/>
        <w:autoSpaceDN w:val="0"/>
        <w:adjustRightInd w:val="0"/>
        <w:spacing w:after="0" w:line="240" w:lineRule="auto"/>
        <w:jc w:val="center"/>
        <w:rPr>
          <w:rFonts w:cs="Times New Roman"/>
          <w:sz w:val="24"/>
          <w:szCs w:val="24"/>
        </w:rPr>
      </w:pPr>
    </w:p>
    <w:p w14:paraId="18F4C148"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 xml:space="preserve">Dr. </w:t>
      </w:r>
      <w:r w:rsidR="00DE2507">
        <w:rPr>
          <w:rFonts w:cs="Times New Roman"/>
          <w:sz w:val="24"/>
          <w:szCs w:val="24"/>
        </w:rPr>
        <w:t>Jorge Yunda Machado</w:t>
      </w:r>
    </w:p>
    <w:p w14:paraId="00A7ADE5" w14:textId="77777777" w:rsidR="00A90892" w:rsidRPr="00800D81" w:rsidRDefault="00A90892" w:rsidP="00A90892">
      <w:pPr>
        <w:autoSpaceDE w:val="0"/>
        <w:autoSpaceDN w:val="0"/>
        <w:adjustRightInd w:val="0"/>
        <w:spacing w:after="0" w:line="240" w:lineRule="auto"/>
        <w:jc w:val="center"/>
        <w:rPr>
          <w:rFonts w:cs="Times New Roman"/>
          <w:b/>
          <w:bCs/>
          <w:sz w:val="24"/>
          <w:szCs w:val="24"/>
        </w:rPr>
      </w:pPr>
      <w:r w:rsidRPr="00800D81">
        <w:rPr>
          <w:rFonts w:cs="Times New Roman"/>
          <w:b/>
          <w:bCs/>
          <w:sz w:val="24"/>
          <w:szCs w:val="24"/>
        </w:rPr>
        <w:t>ALCALDE DE DISTRITO METROPOLITANO DE QUITO</w:t>
      </w:r>
    </w:p>
    <w:p w14:paraId="3BC6C94A" w14:textId="77777777" w:rsidR="00A90892" w:rsidRPr="00187DC8" w:rsidRDefault="00A90892" w:rsidP="00A90892">
      <w:pPr>
        <w:autoSpaceDE w:val="0"/>
        <w:autoSpaceDN w:val="0"/>
        <w:adjustRightInd w:val="0"/>
        <w:spacing w:after="0" w:line="240" w:lineRule="auto"/>
        <w:rPr>
          <w:rFonts w:cs="Times New Roman"/>
          <w:sz w:val="24"/>
          <w:szCs w:val="24"/>
        </w:rPr>
      </w:pPr>
    </w:p>
    <w:p w14:paraId="5424DDF8" w14:textId="77777777" w:rsidR="00A90892" w:rsidRPr="00187DC8" w:rsidRDefault="00A90892" w:rsidP="00A90892">
      <w:pPr>
        <w:autoSpaceDE w:val="0"/>
        <w:autoSpaceDN w:val="0"/>
        <w:adjustRightInd w:val="0"/>
        <w:spacing w:after="0" w:line="240" w:lineRule="auto"/>
        <w:rPr>
          <w:rFonts w:cs="Times New Roman"/>
          <w:sz w:val="24"/>
          <w:szCs w:val="24"/>
        </w:rPr>
      </w:pPr>
    </w:p>
    <w:p w14:paraId="25646057" w14:textId="77777777" w:rsidR="00A90892" w:rsidRDefault="00A90892" w:rsidP="00A90892">
      <w:pPr>
        <w:autoSpaceDE w:val="0"/>
        <w:autoSpaceDN w:val="0"/>
        <w:adjustRightInd w:val="0"/>
        <w:spacing w:after="0" w:line="240" w:lineRule="auto"/>
        <w:jc w:val="both"/>
        <w:rPr>
          <w:rFonts w:cs="Times New Roman"/>
          <w:sz w:val="24"/>
          <w:szCs w:val="24"/>
        </w:rPr>
      </w:pPr>
      <w:r w:rsidRPr="00187DC8">
        <w:rPr>
          <w:rFonts w:cs="Times New Roman"/>
          <w:sz w:val="24"/>
          <w:szCs w:val="24"/>
        </w:rPr>
        <w:lastRenderedPageBreak/>
        <w:t xml:space="preserve">CERTIFICO, que la presente resolución fue sancionada por el Dr. </w:t>
      </w:r>
      <w:r w:rsidR="00DE2507">
        <w:rPr>
          <w:rFonts w:cs="Times New Roman"/>
          <w:sz w:val="24"/>
          <w:szCs w:val="24"/>
        </w:rPr>
        <w:t>Jorge Yunda Machado</w:t>
      </w:r>
      <w:r w:rsidRPr="00187DC8">
        <w:rPr>
          <w:rFonts w:cs="Times New Roman"/>
          <w:sz w:val="24"/>
          <w:szCs w:val="24"/>
        </w:rPr>
        <w:t xml:space="preserve">, Alcalde del Distrito Metropolitano de Quito, el </w:t>
      </w:r>
      <w:r w:rsidR="00B85C29">
        <w:rPr>
          <w:rFonts w:cs="Times New Roman"/>
          <w:sz w:val="24"/>
          <w:szCs w:val="24"/>
        </w:rPr>
        <w:t>_______</w:t>
      </w:r>
      <w:r w:rsidR="00280B0B" w:rsidRPr="00187DC8">
        <w:rPr>
          <w:rFonts w:cs="Times New Roman"/>
          <w:sz w:val="24"/>
          <w:szCs w:val="24"/>
        </w:rPr>
        <w:t>.</w:t>
      </w:r>
    </w:p>
    <w:p w14:paraId="16D0BD01" w14:textId="77777777" w:rsidR="0061072B" w:rsidRDefault="0061072B" w:rsidP="00A90892">
      <w:pPr>
        <w:autoSpaceDE w:val="0"/>
        <w:autoSpaceDN w:val="0"/>
        <w:adjustRightInd w:val="0"/>
        <w:spacing w:after="0" w:line="240" w:lineRule="auto"/>
        <w:jc w:val="both"/>
        <w:rPr>
          <w:rFonts w:cs="Times New Roman"/>
          <w:sz w:val="24"/>
          <w:szCs w:val="24"/>
        </w:rPr>
      </w:pPr>
    </w:p>
    <w:p w14:paraId="60EF8935" w14:textId="77777777" w:rsidR="00A90892" w:rsidRPr="00187DC8" w:rsidRDefault="00A90892" w:rsidP="00A90892">
      <w:pPr>
        <w:autoSpaceDE w:val="0"/>
        <w:autoSpaceDN w:val="0"/>
        <w:adjustRightInd w:val="0"/>
        <w:spacing w:after="0" w:line="240" w:lineRule="auto"/>
        <w:jc w:val="both"/>
        <w:rPr>
          <w:rFonts w:cs="Arial"/>
          <w:sz w:val="24"/>
          <w:szCs w:val="24"/>
        </w:rPr>
      </w:pPr>
      <w:r w:rsidRPr="00187DC8">
        <w:rPr>
          <w:rFonts w:cs="Times New Roman"/>
          <w:sz w:val="24"/>
          <w:szCs w:val="24"/>
        </w:rPr>
        <w:t xml:space="preserve">.- Distrito Metropolitano de Quito, </w:t>
      </w:r>
    </w:p>
    <w:p w14:paraId="606F98C8" w14:textId="77777777" w:rsidR="00A90892" w:rsidRPr="00187DC8" w:rsidRDefault="00A90892" w:rsidP="00A90892">
      <w:pPr>
        <w:autoSpaceDE w:val="0"/>
        <w:autoSpaceDN w:val="0"/>
        <w:adjustRightInd w:val="0"/>
        <w:spacing w:after="0" w:line="240" w:lineRule="auto"/>
        <w:jc w:val="both"/>
        <w:rPr>
          <w:rFonts w:cs="Arial"/>
          <w:sz w:val="24"/>
          <w:szCs w:val="24"/>
        </w:rPr>
      </w:pPr>
    </w:p>
    <w:p w14:paraId="34452B64" w14:textId="77777777" w:rsidR="00A9732C" w:rsidRDefault="00A9732C" w:rsidP="00A90892">
      <w:pPr>
        <w:autoSpaceDE w:val="0"/>
        <w:autoSpaceDN w:val="0"/>
        <w:adjustRightInd w:val="0"/>
        <w:spacing w:after="0" w:line="240" w:lineRule="auto"/>
        <w:rPr>
          <w:rFonts w:cs="Arial"/>
          <w:sz w:val="24"/>
          <w:szCs w:val="24"/>
        </w:rPr>
      </w:pPr>
    </w:p>
    <w:p w14:paraId="5C9E6308" w14:textId="77777777" w:rsidR="0061072B" w:rsidRDefault="0061072B" w:rsidP="00A90892">
      <w:pPr>
        <w:autoSpaceDE w:val="0"/>
        <w:autoSpaceDN w:val="0"/>
        <w:adjustRightInd w:val="0"/>
        <w:spacing w:after="0" w:line="240" w:lineRule="auto"/>
        <w:rPr>
          <w:rFonts w:cs="Arial"/>
          <w:sz w:val="24"/>
          <w:szCs w:val="24"/>
        </w:rPr>
      </w:pPr>
    </w:p>
    <w:p w14:paraId="434A2397" w14:textId="77777777" w:rsidR="0061072B" w:rsidRDefault="0061072B" w:rsidP="00A90892">
      <w:pPr>
        <w:autoSpaceDE w:val="0"/>
        <w:autoSpaceDN w:val="0"/>
        <w:adjustRightInd w:val="0"/>
        <w:spacing w:after="0" w:line="240" w:lineRule="auto"/>
        <w:rPr>
          <w:rFonts w:cs="Arial"/>
          <w:sz w:val="24"/>
          <w:szCs w:val="24"/>
        </w:rPr>
      </w:pPr>
    </w:p>
    <w:p w14:paraId="0E443119" w14:textId="77777777" w:rsidR="00873AED" w:rsidRPr="00187DC8" w:rsidRDefault="00873AED" w:rsidP="00A90892">
      <w:pPr>
        <w:autoSpaceDE w:val="0"/>
        <w:autoSpaceDN w:val="0"/>
        <w:adjustRightInd w:val="0"/>
        <w:spacing w:after="0" w:line="240" w:lineRule="auto"/>
        <w:rPr>
          <w:rFonts w:cs="Arial"/>
          <w:sz w:val="24"/>
          <w:szCs w:val="24"/>
        </w:rPr>
      </w:pPr>
    </w:p>
    <w:p w14:paraId="691C4C5E" w14:textId="77777777" w:rsidR="00A90892" w:rsidRPr="00187DC8" w:rsidRDefault="00A90892" w:rsidP="00A90892">
      <w:pPr>
        <w:autoSpaceDE w:val="0"/>
        <w:autoSpaceDN w:val="0"/>
        <w:adjustRightInd w:val="0"/>
        <w:spacing w:after="0" w:line="240" w:lineRule="auto"/>
        <w:rPr>
          <w:rFonts w:cs="Arial"/>
          <w:sz w:val="24"/>
          <w:szCs w:val="24"/>
        </w:rPr>
      </w:pPr>
    </w:p>
    <w:p w14:paraId="7DAAAC81" w14:textId="77777777" w:rsidR="00A90892" w:rsidRPr="00187DC8" w:rsidRDefault="00A90892" w:rsidP="00A90892">
      <w:pPr>
        <w:autoSpaceDE w:val="0"/>
        <w:autoSpaceDN w:val="0"/>
        <w:adjustRightInd w:val="0"/>
        <w:spacing w:after="0" w:line="240" w:lineRule="auto"/>
        <w:jc w:val="center"/>
        <w:rPr>
          <w:rFonts w:cs="Times New Roman"/>
          <w:sz w:val="24"/>
          <w:szCs w:val="24"/>
        </w:rPr>
      </w:pPr>
      <w:r w:rsidRPr="00187DC8">
        <w:rPr>
          <w:rFonts w:cs="Times New Roman"/>
          <w:sz w:val="24"/>
          <w:szCs w:val="24"/>
        </w:rPr>
        <w:t xml:space="preserve">Abg. </w:t>
      </w:r>
      <w:r w:rsidR="00DE2507">
        <w:rPr>
          <w:rFonts w:cs="Times New Roman"/>
          <w:sz w:val="24"/>
          <w:szCs w:val="24"/>
        </w:rPr>
        <w:t>Damaris Priscila Ortiz Pasuy</w:t>
      </w:r>
    </w:p>
    <w:p w14:paraId="17A8C275" w14:textId="77777777" w:rsidR="008274C8" w:rsidRPr="00800D81" w:rsidRDefault="00A90892" w:rsidP="00A90892">
      <w:pPr>
        <w:spacing w:after="0"/>
        <w:jc w:val="center"/>
        <w:rPr>
          <w:b/>
          <w:bCs/>
          <w:sz w:val="24"/>
          <w:szCs w:val="24"/>
        </w:rPr>
      </w:pPr>
      <w:r w:rsidRPr="00800D81">
        <w:rPr>
          <w:rFonts w:cs="Times New Roman"/>
          <w:b/>
          <w:bCs/>
          <w:sz w:val="24"/>
          <w:szCs w:val="24"/>
        </w:rPr>
        <w:t>SECRETARI</w:t>
      </w:r>
      <w:r w:rsidR="00DE2507" w:rsidRPr="00800D81">
        <w:rPr>
          <w:rFonts w:cs="Times New Roman"/>
          <w:b/>
          <w:bCs/>
          <w:sz w:val="24"/>
          <w:szCs w:val="24"/>
        </w:rPr>
        <w:t>A</w:t>
      </w:r>
      <w:r w:rsidRPr="00800D81">
        <w:rPr>
          <w:rFonts w:cs="Times New Roman"/>
          <w:b/>
          <w:bCs/>
          <w:sz w:val="24"/>
          <w:szCs w:val="24"/>
        </w:rPr>
        <w:t xml:space="preserve"> GENERAL DEL CONCEJO METROPOLITANO DE QUITO</w:t>
      </w:r>
    </w:p>
    <w:p w14:paraId="4038C411" w14:textId="77777777" w:rsidR="00F879FA" w:rsidRDefault="00F879FA" w:rsidP="00A90892">
      <w:pPr>
        <w:spacing w:after="0"/>
        <w:jc w:val="center"/>
        <w:rPr>
          <w:sz w:val="24"/>
          <w:szCs w:val="24"/>
        </w:rPr>
      </w:pPr>
    </w:p>
    <w:p w14:paraId="5CC6978A" w14:textId="77777777" w:rsidR="00CA1597" w:rsidRDefault="00CA1597" w:rsidP="002104B4">
      <w:pPr>
        <w:spacing w:after="0"/>
        <w:rPr>
          <w:rFonts w:cs="Times New Roman"/>
          <w:sz w:val="24"/>
          <w:szCs w:val="24"/>
        </w:rPr>
      </w:pPr>
    </w:p>
    <w:p w14:paraId="49B08164" w14:textId="77777777" w:rsidR="00CA1597" w:rsidRDefault="00CA1597" w:rsidP="002104B4">
      <w:pPr>
        <w:spacing w:after="0"/>
        <w:rPr>
          <w:rFonts w:cs="Times New Roman"/>
          <w:sz w:val="24"/>
          <w:szCs w:val="24"/>
        </w:rPr>
      </w:pPr>
    </w:p>
    <w:sectPr w:rsidR="00CA1597" w:rsidSect="00504568">
      <w:headerReference w:type="even" r:id="rId9"/>
      <w:headerReference w:type="default" r:id="rId10"/>
      <w:footerReference w:type="even" r:id="rId11"/>
      <w:footerReference w:type="default" r:id="rId12"/>
      <w:headerReference w:type="first" r:id="rId13"/>
      <w:footerReference w:type="first" r:id="rId14"/>
      <w:pgSz w:w="11906" w:h="16838"/>
      <w:pgMar w:top="222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B0C7F" w14:textId="77777777" w:rsidR="00E50042" w:rsidRDefault="00E50042" w:rsidP="003F129D">
      <w:pPr>
        <w:spacing w:after="0" w:line="240" w:lineRule="auto"/>
      </w:pPr>
      <w:r>
        <w:separator/>
      </w:r>
    </w:p>
  </w:endnote>
  <w:endnote w:type="continuationSeparator" w:id="0">
    <w:p w14:paraId="0709440C" w14:textId="77777777" w:rsidR="00E50042" w:rsidRDefault="00E50042" w:rsidP="003F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53C46" w14:textId="77777777" w:rsidR="00255300" w:rsidRDefault="00255300">
    <w:pPr>
      <w:pStyle w:val="Piedepgina"/>
      <w:jc w:val="right"/>
    </w:pPr>
  </w:p>
  <w:p w14:paraId="73661EC5" w14:textId="77777777" w:rsidR="00255300" w:rsidRDefault="002553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770955"/>
      <w:docPartObj>
        <w:docPartGallery w:val="Page Numbers (Bottom of Page)"/>
        <w:docPartUnique/>
      </w:docPartObj>
    </w:sdtPr>
    <w:sdtEndPr/>
    <w:sdtContent>
      <w:p w14:paraId="2A0A5DC3" w14:textId="77777777" w:rsidR="00504568" w:rsidRDefault="002958E5">
        <w:pPr>
          <w:pStyle w:val="Piedepgina"/>
          <w:jc w:val="right"/>
        </w:pPr>
        <w:r>
          <w:fldChar w:fldCharType="begin"/>
        </w:r>
        <w:r w:rsidR="00504568">
          <w:instrText>PAGE   \* MERGEFORMAT</w:instrText>
        </w:r>
        <w:r>
          <w:fldChar w:fldCharType="separate"/>
        </w:r>
        <w:r w:rsidR="00810433" w:rsidRPr="00810433">
          <w:rPr>
            <w:noProof/>
            <w:lang w:val="es-ES"/>
          </w:rPr>
          <w:t>5</w:t>
        </w:r>
        <w:r>
          <w:fldChar w:fldCharType="end"/>
        </w:r>
      </w:p>
    </w:sdtContent>
  </w:sdt>
  <w:p w14:paraId="6ABBC785" w14:textId="77777777" w:rsidR="00255300" w:rsidRDefault="002553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5B7D" w14:textId="77777777" w:rsidR="00504568" w:rsidRDefault="005045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E2D2D" w14:textId="77777777" w:rsidR="00E50042" w:rsidRDefault="00E50042" w:rsidP="003F129D">
      <w:pPr>
        <w:spacing w:after="0" w:line="240" w:lineRule="auto"/>
      </w:pPr>
      <w:r>
        <w:separator/>
      </w:r>
    </w:p>
  </w:footnote>
  <w:footnote w:type="continuationSeparator" w:id="0">
    <w:p w14:paraId="1D180F51" w14:textId="77777777" w:rsidR="00E50042" w:rsidRDefault="00E50042" w:rsidP="003F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C9CD" w14:textId="77777777" w:rsidR="00504568" w:rsidRDefault="005045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EE0A0" w14:textId="77777777" w:rsidR="00C8733B" w:rsidRDefault="00C873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39E7" w14:textId="77777777" w:rsidR="00504568" w:rsidRDefault="005045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AF"/>
    <w:multiLevelType w:val="hybridMultilevel"/>
    <w:tmpl w:val="34C6F1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4E0420C"/>
    <w:multiLevelType w:val="hybridMultilevel"/>
    <w:tmpl w:val="ED2E894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B3D5E8F"/>
    <w:multiLevelType w:val="hybridMultilevel"/>
    <w:tmpl w:val="AC861A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D4B25EE"/>
    <w:multiLevelType w:val="hybridMultilevel"/>
    <w:tmpl w:val="B1F81EB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38160C1"/>
    <w:multiLevelType w:val="hybridMultilevel"/>
    <w:tmpl w:val="48EACF18"/>
    <w:lvl w:ilvl="0" w:tplc="4CC6A256">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3AF519D"/>
    <w:multiLevelType w:val="hybridMultilevel"/>
    <w:tmpl w:val="53EA96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4634196"/>
    <w:multiLevelType w:val="hybridMultilevel"/>
    <w:tmpl w:val="AF72565A"/>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4A77D4D"/>
    <w:multiLevelType w:val="hybridMultilevel"/>
    <w:tmpl w:val="8068A3D4"/>
    <w:lvl w:ilvl="0" w:tplc="0409001B">
      <w:start w:val="1"/>
      <w:numFmt w:val="lowerRoman"/>
      <w:lvlText w:val="%1."/>
      <w:lvlJc w:val="righ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8">
    <w:nsid w:val="14C739AA"/>
    <w:multiLevelType w:val="hybridMultilevel"/>
    <w:tmpl w:val="E1BC7B7C"/>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CC6EC2"/>
    <w:multiLevelType w:val="hybridMultilevel"/>
    <w:tmpl w:val="A10CE1D8"/>
    <w:lvl w:ilvl="0" w:tplc="300A0017">
      <w:start w:val="1"/>
      <w:numFmt w:val="lowerLetter"/>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0">
    <w:nsid w:val="18DF6726"/>
    <w:multiLevelType w:val="hybridMultilevel"/>
    <w:tmpl w:val="436AC2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AAD12F7"/>
    <w:multiLevelType w:val="hybridMultilevel"/>
    <w:tmpl w:val="81983606"/>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4E815FA"/>
    <w:multiLevelType w:val="hybridMultilevel"/>
    <w:tmpl w:val="165285AC"/>
    <w:lvl w:ilvl="0" w:tplc="B8D8E7F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1456B"/>
    <w:multiLevelType w:val="hybridMultilevel"/>
    <w:tmpl w:val="B99288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CB43B53"/>
    <w:multiLevelType w:val="hybridMultilevel"/>
    <w:tmpl w:val="3FDC32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A6C70E9"/>
    <w:multiLevelType w:val="hybridMultilevel"/>
    <w:tmpl w:val="E9F05A2C"/>
    <w:lvl w:ilvl="0" w:tplc="2E9C66B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E05BC8"/>
    <w:multiLevelType w:val="hybridMultilevel"/>
    <w:tmpl w:val="9FE24832"/>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7">
    <w:nsid w:val="3CA82F20"/>
    <w:multiLevelType w:val="hybridMultilevel"/>
    <w:tmpl w:val="5A026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06B08"/>
    <w:multiLevelType w:val="hybridMultilevel"/>
    <w:tmpl w:val="A502D4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1981449"/>
    <w:multiLevelType w:val="hybridMultilevel"/>
    <w:tmpl w:val="E822FF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2F31668"/>
    <w:multiLevelType w:val="hybridMultilevel"/>
    <w:tmpl w:val="8310628E"/>
    <w:lvl w:ilvl="0" w:tplc="0409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A8B00E8"/>
    <w:multiLevelType w:val="hybridMultilevel"/>
    <w:tmpl w:val="8068A3D4"/>
    <w:lvl w:ilvl="0" w:tplc="0409001B">
      <w:start w:val="1"/>
      <w:numFmt w:val="lowerRoman"/>
      <w:lvlText w:val="%1."/>
      <w:lvlJc w:val="righ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4F746BE6"/>
    <w:multiLevelType w:val="hybridMultilevel"/>
    <w:tmpl w:val="2CDA17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2152D88"/>
    <w:multiLevelType w:val="hybridMultilevel"/>
    <w:tmpl w:val="F5CE86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241539C"/>
    <w:multiLevelType w:val="hybridMultilevel"/>
    <w:tmpl w:val="AB9AB356"/>
    <w:lvl w:ilvl="0" w:tplc="0409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4823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9107906"/>
    <w:multiLevelType w:val="hybridMultilevel"/>
    <w:tmpl w:val="7326FD7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967122D"/>
    <w:multiLevelType w:val="hybridMultilevel"/>
    <w:tmpl w:val="1B167C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BC01641"/>
    <w:multiLevelType w:val="hybridMultilevel"/>
    <w:tmpl w:val="7AEAD73E"/>
    <w:lvl w:ilvl="0" w:tplc="7B700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E7F5A"/>
    <w:multiLevelType w:val="hybridMultilevel"/>
    <w:tmpl w:val="31E6D53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D584D5A"/>
    <w:multiLevelType w:val="hybridMultilevel"/>
    <w:tmpl w:val="BBEA8D2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22B49C3"/>
    <w:multiLevelType w:val="hybridMultilevel"/>
    <w:tmpl w:val="441EBA84"/>
    <w:lvl w:ilvl="0" w:tplc="09B60B52">
      <w:start w:val="1"/>
      <w:numFmt w:val="decimal"/>
      <w:lvlText w:val="%1."/>
      <w:lvlJc w:val="left"/>
      <w:pPr>
        <w:ind w:left="720" w:hanging="360"/>
      </w:pPr>
      <w:rPr>
        <w:rFonts w:hint="default"/>
        <w:b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6CF56E8"/>
    <w:multiLevelType w:val="hybridMultilevel"/>
    <w:tmpl w:val="8068A3D4"/>
    <w:lvl w:ilvl="0" w:tplc="0409001B">
      <w:start w:val="1"/>
      <w:numFmt w:val="lowerRoman"/>
      <w:lvlText w:val="%1."/>
      <w:lvlJc w:val="right"/>
      <w:pPr>
        <w:ind w:left="1428" w:hanging="36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3">
    <w:nsid w:val="6F1A7E81"/>
    <w:multiLevelType w:val="hybridMultilevel"/>
    <w:tmpl w:val="FE9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B27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E34D82"/>
    <w:multiLevelType w:val="hybridMultilevel"/>
    <w:tmpl w:val="549E9778"/>
    <w:lvl w:ilvl="0" w:tplc="826CF3D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C10395C"/>
    <w:multiLevelType w:val="hybridMultilevel"/>
    <w:tmpl w:val="8068A3D4"/>
    <w:lvl w:ilvl="0" w:tplc="0409001B">
      <w:start w:val="1"/>
      <w:numFmt w:val="lowerRoman"/>
      <w:lvlText w:val="%1."/>
      <w:lvlJc w:val="righ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7">
    <w:nsid w:val="7C14540E"/>
    <w:multiLevelType w:val="hybridMultilevel"/>
    <w:tmpl w:val="B72A6318"/>
    <w:lvl w:ilvl="0" w:tplc="0409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E5014CF"/>
    <w:multiLevelType w:val="hybridMultilevel"/>
    <w:tmpl w:val="0AC20F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E8A4B44"/>
    <w:multiLevelType w:val="hybridMultilevel"/>
    <w:tmpl w:val="4AF88E9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E997A0D"/>
    <w:multiLevelType w:val="hybridMultilevel"/>
    <w:tmpl w:val="C7163F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2"/>
  </w:num>
  <w:num w:numId="3">
    <w:abstractNumId w:val="40"/>
  </w:num>
  <w:num w:numId="4">
    <w:abstractNumId w:val="39"/>
  </w:num>
  <w:num w:numId="5">
    <w:abstractNumId w:val="5"/>
  </w:num>
  <w:num w:numId="6">
    <w:abstractNumId w:val="30"/>
  </w:num>
  <w:num w:numId="7">
    <w:abstractNumId w:val="27"/>
  </w:num>
  <w:num w:numId="8">
    <w:abstractNumId w:val="13"/>
  </w:num>
  <w:num w:numId="9">
    <w:abstractNumId w:val="1"/>
  </w:num>
  <w:num w:numId="10">
    <w:abstractNumId w:val="23"/>
  </w:num>
  <w:num w:numId="11">
    <w:abstractNumId w:val="19"/>
  </w:num>
  <w:num w:numId="12">
    <w:abstractNumId w:val="29"/>
  </w:num>
  <w:num w:numId="13">
    <w:abstractNumId w:val="0"/>
  </w:num>
  <w:num w:numId="14">
    <w:abstractNumId w:val="33"/>
  </w:num>
  <w:num w:numId="15">
    <w:abstractNumId w:val="28"/>
  </w:num>
  <w:num w:numId="16">
    <w:abstractNumId w:val="20"/>
  </w:num>
  <w:num w:numId="17">
    <w:abstractNumId w:val="35"/>
  </w:num>
  <w:num w:numId="18">
    <w:abstractNumId w:val="7"/>
  </w:num>
  <w:num w:numId="19">
    <w:abstractNumId w:val="24"/>
  </w:num>
  <w:num w:numId="20">
    <w:abstractNumId w:val="21"/>
  </w:num>
  <w:num w:numId="21">
    <w:abstractNumId w:val="32"/>
  </w:num>
  <w:num w:numId="22">
    <w:abstractNumId w:val="36"/>
  </w:num>
  <w:num w:numId="23">
    <w:abstractNumId w:val="8"/>
  </w:num>
  <w:num w:numId="24">
    <w:abstractNumId w:val="12"/>
  </w:num>
  <w:num w:numId="25">
    <w:abstractNumId w:val="17"/>
  </w:num>
  <w:num w:numId="26">
    <w:abstractNumId w:val="6"/>
  </w:num>
  <w:num w:numId="27">
    <w:abstractNumId w:val="11"/>
  </w:num>
  <w:num w:numId="28">
    <w:abstractNumId w:val="37"/>
  </w:num>
  <w:num w:numId="29">
    <w:abstractNumId w:val="16"/>
  </w:num>
  <w:num w:numId="30">
    <w:abstractNumId w:val="31"/>
  </w:num>
  <w:num w:numId="31">
    <w:abstractNumId w:val="9"/>
  </w:num>
  <w:num w:numId="32">
    <w:abstractNumId w:val="25"/>
  </w:num>
  <w:num w:numId="33">
    <w:abstractNumId w:val="34"/>
  </w:num>
  <w:num w:numId="34">
    <w:abstractNumId w:val="14"/>
  </w:num>
  <w:num w:numId="35">
    <w:abstractNumId w:val="22"/>
  </w:num>
  <w:num w:numId="36">
    <w:abstractNumId w:val="3"/>
  </w:num>
  <w:num w:numId="37">
    <w:abstractNumId w:val="4"/>
  </w:num>
  <w:num w:numId="38">
    <w:abstractNumId w:val="15"/>
  </w:num>
  <w:num w:numId="39">
    <w:abstractNumId w:val="18"/>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9E"/>
    <w:rsid w:val="00000A2C"/>
    <w:rsid w:val="00000DB6"/>
    <w:rsid w:val="00001EE8"/>
    <w:rsid w:val="00003C49"/>
    <w:rsid w:val="00003C93"/>
    <w:rsid w:val="000048BA"/>
    <w:rsid w:val="000057D7"/>
    <w:rsid w:val="00010A71"/>
    <w:rsid w:val="00011791"/>
    <w:rsid w:val="00012B4E"/>
    <w:rsid w:val="00013D02"/>
    <w:rsid w:val="00016307"/>
    <w:rsid w:val="000210C6"/>
    <w:rsid w:val="000366FD"/>
    <w:rsid w:val="0004173D"/>
    <w:rsid w:val="000571B3"/>
    <w:rsid w:val="00061604"/>
    <w:rsid w:val="000651D8"/>
    <w:rsid w:val="00067B9F"/>
    <w:rsid w:val="00073501"/>
    <w:rsid w:val="00076C90"/>
    <w:rsid w:val="00080EFF"/>
    <w:rsid w:val="0008165E"/>
    <w:rsid w:val="00084226"/>
    <w:rsid w:val="00085D9D"/>
    <w:rsid w:val="000905C4"/>
    <w:rsid w:val="00093544"/>
    <w:rsid w:val="00094BB0"/>
    <w:rsid w:val="0009605C"/>
    <w:rsid w:val="00096AFD"/>
    <w:rsid w:val="000A20A9"/>
    <w:rsid w:val="000A3C52"/>
    <w:rsid w:val="000B7375"/>
    <w:rsid w:val="000C1F7C"/>
    <w:rsid w:val="000C7922"/>
    <w:rsid w:val="000E24A4"/>
    <w:rsid w:val="000F6232"/>
    <w:rsid w:val="000F6A17"/>
    <w:rsid w:val="000F7289"/>
    <w:rsid w:val="001067D6"/>
    <w:rsid w:val="00121BF5"/>
    <w:rsid w:val="00122728"/>
    <w:rsid w:val="001316F4"/>
    <w:rsid w:val="0013595C"/>
    <w:rsid w:val="001401D7"/>
    <w:rsid w:val="00140C98"/>
    <w:rsid w:val="00142707"/>
    <w:rsid w:val="00153206"/>
    <w:rsid w:val="00153D5B"/>
    <w:rsid w:val="0016575D"/>
    <w:rsid w:val="001664D9"/>
    <w:rsid w:val="0016799B"/>
    <w:rsid w:val="001852EE"/>
    <w:rsid w:val="00187DC8"/>
    <w:rsid w:val="00190DE9"/>
    <w:rsid w:val="001A147A"/>
    <w:rsid w:val="001B6C4F"/>
    <w:rsid w:val="001C1AC5"/>
    <w:rsid w:val="001C1FA9"/>
    <w:rsid w:val="001C6624"/>
    <w:rsid w:val="001D795E"/>
    <w:rsid w:val="001E4021"/>
    <w:rsid w:val="001E79B9"/>
    <w:rsid w:val="001F2DB3"/>
    <w:rsid w:val="001F7F90"/>
    <w:rsid w:val="0020367D"/>
    <w:rsid w:val="00210447"/>
    <w:rsid w:val="002104B4"/>
    <w:rsid w:val="00210A32"/>
    <w:rsid w:val="00226124"/>
    <w:rsid w:val="002263AA"/>
    <w:rsid w:val="00226C07"/>
    <w:rsid w:val="00240D4C"/>
    <w:rsid w:val="00247C26"/>
    <w:rsid w:val="00255275"/>
    <w:rsid w:val="00255300"/>
    <w:rsid w:val="00256C7D"/>
    <w:rsid w:val="00267FEA"/>
    <w:rsid w:val="00275818"/>
    <w:rsid w:val="00280B0B"/>
    <w:rsid w:val="002811DB"/>
    <w:rsid w:val="00293311"/>
    <w:rsid w:val="002958E5"/>
    <w:rsid w:val="002A1058"/>
    <w:rsid w:val="002A356B"/>
    <w:rsid w:val="002A4CEC"/>
    <w:rsid w:val="002B02E0"/>
    <w:rsid w:val="002B58A1"/>
    <w:rsid w:val="002B6715"/>
    <w:rsid w:val="002D350C"/>
    <w:rsid w:val="002E31F1"/>
    <w:rsid w:val="002E6138"/>
    <w:rsid w:val="002F1AEF"/>
    <w:rsid w:val="002F321E"/>
    <w:rsid w:val="003016DF"/>
    <w:rsid w:val="0030252F"/>
    <w:rsid w:val="00305EE2"/>
    <w:rsid w:val="0031544A"/>
    <w:rsid w:val="0031575A"/>
    <w:rsid w:val="00324773"/>
    <w:rsid w:val="0032631D"/>
    <w:rsid w:val="0033058B"/>
    <w:rsid w:val="00333E94"/>
    <w:rsid w:val="00337C2A"/>
    <w:rsid w:val="00342A5E"/>
    <w:rsid w:val="00347A37"/>
    <w:rsid w:val="00350822"/>
    <w:rsid w:val="00352F60"/>
    <w:rsid w:val="0036331C"/>
    <w:rsid w:val="00376963"/>
    <w:rsid w:val="003867C6"/>
    <w:rsid w:val="00394191"/>
    <w:rsid w:val="00395D0D"/>
    <w:rsid w:val="0039705E"/>
    <w:rsid w:val="003A0F5C"/>
    <w:rsid w:val="003C16C7"/>
    <w:rsid w:val="003C5691"/>
    <w:rsid w:val="003D4FA0"/>
    <w:rsid w:val="003D6A4F"/>
    <w:rsid w:val="003F129D"/>
    <w:rsid w:val="003F252E"/>
    <w:rsid w:val="003F2A26"/>
    <w:rsid w:val="003F33A4"/>
    <w:rsid w:val="00412F14"/>
    <w:rsid w:val="0042742B"/>
    <w:rsid w:val="00432B2C"/>
    <w:rsid w:val="0043473F"/>
    <w:rsid w:val="00437BE2"/>
    <w:rsid w:val="00437C8A"/>
    <w:rsid w:val="0044463C"/>
    <w:rsid w:val="0044491A"/>
    <w:rsid w:val="004518F3"/>
    <w:rsid w:val="00452073"/>
    <w:rsid w:val="00452424"/>
    <w:rsid w:val="00462012"/>
    <w:rsid w:val="0046266E"/>
    <w:rsid w:val="004647ED"/>
    <w:rsid w:val="00464F9A"/>
    <w:rsid w:val="00471894"/>
    <w:rsid w:val="00471C13"/>
    <w:rsid w:val="00473AE9"/>
    <w:rsid w:val="004762EF"/>
    <w:rsid w:val="0047739F"/>
    <w:rsid w:val="00481DFD"/>
    <w:rsid w:val="004A3446"/>
    <w:rsid w:val="004B0305"/>
    <w:rsid w:val="004B5466"/>
    <w:rsid w:val="004B7A02"/>
    <w:rsid w:val="004C26CB"/>
    <w:rsid w:val="00504027"/>
    <w:rsid w:val="00504568"/>
    <w:rsid w:val="00525004"/>
    <w:rsid w:val="00527D20"/>
    <w:rsid w:val="0053187B"/>
    <w:rsid w:val="00533B9F"/>
    <w:rsid w:val="00537C3C"/>
    <w:rsid w:val="00541BEB"/>
    <w:rsid w:val="005420E7"/>
    <w:rsid w:val="005433D4"/>
    <w:rsid w:val="00550741"/>
    <w:rsid w:val="00552A7A"/>
    <w:rsid w:val="0056454B"/>
    <w:rsid w:val="00565BFF"/>
    <w:rsid w:val="0057477F"/>
    <w:rsid w:val="0058163E"/>
    <w:rsid w:val="0059750D"/>
    <w:rsid w:val="005A1E55"/>
    <w:rsid w:val="005A5136"/>
    <w:rsid w:val="005A59BD"/>
    <w:rsid w:val="005A5EE5"/>
    <w:rsid w:val="005B0C58"/>
    <w:rsid w:val="005B6794"/>
    <w:rsid w:val="005C0315"/>
    <w:rsid w:val="005C7F39"/>
    <w:rsid w:val="005D75B0"/>
    <w:rsid w:val="005E261F"/>
    <w:rsid w:val="005E5541"/>
    <w:rsid w:val="005E6616"/>
    <w:rsid w:val="005E7E9E"/>
    <w:rsid w:val="005F0587"/>
    <w:rsid w:val="00605ED5"/>
    <w:rsid w:val="00607420"/>
    <w:rsid w:val="0061072B"/>
    <w:rsid w:val="00611B22"/>
    <w:rsid w:val="00612846"/>
    <w:rsid w:val="006149F9"/>
    <w:rsid w:val="00617FFB"/>
    <w:rsid w:val="006206F3"/>
    <w:rsid w:val="00621379"/>
    <w:rsid w:val="00624833"/>
    <w:rsid w:val="00631501"/>
    <w:rsid w:val="00631A82"/>
    <w:rsid w:val="006322E6"/>
    <w:rsid w:val="00636D55"/>
    <w:rsid w:val="0063795F"/>
    <w:rsid w:val="0064226B"/>
    <w:rsid w:val="0064479A"/>
    <w:rsid w:val="006449CE"/>
    <w:rsid w:val="00663392"/>
    <w:rsid w:val="00675B66"/>
    <w:rsid w:val="00681DCE"/>
    <w:rsid w:val="00683908"/>
    <w:rsid w:val="00687A3B"/>
    <w:rsid w:val="00691A63"/>
    <w:rsid w:val="006925B2"/>
    <w:rsid w:val="00694306"/>
    <w:rsid w:val="006943F7"/>
    <w:rsid w:val="006A25B8"/>
    <w:rsid w:val="006A3AAA"/>
    <w:rsid w:val="006A40D4"/>
    <w:rsid w:val="006A423A"/>
    <w:rsid w:val="006B3205"/>
    <w:rsid w:val="006B406B"/>
    <w:rsid w:val="006C1C6A"/>
    <w:rsid w:val="006C1D69"/>
    <w:rsid w:val="006C30F8"/>
    <w:rsid w:val="006C7DA0"/>
    <w:rsid w:val="006D04C6"/>
    <w:rsid w:val="00700DD0"/>
    <w:rsid w:val="00701847"/>
    <w:rsid w:val="007028F8"/>
    <w:rsid w:val="007048AC"/>
    <w:rsid w:val="0070491F"/>
    <w:rsid w:val="0070684A"/>
    <w:rsid w:val="00707C18"/>
    <w:rsid w:val="0071090C"/>
    <w:rsid w:val="00713F9A"/>
    <w:rsid w:val="007141B8"/>
    <w:rsid w:val="00721B72"/>
    <w:rsid w:val="00725200"/>
    <w:rsid w:val="00730F80"/>
    <w:rsid w:val="00732678"/>
    <w:rsid w:val="007666E1"/>
    <w:rsid w:val="00771BA2"/>
    <w:rsid w:val="00772B8F"/>
    <w:rsid w:val="00775AD8"/>
    <w:rsid w:val="00780D10"/>
    <w:rsid w:val="00781B0A"/>
    <w:rsid w:val="00781C19"/>
    <w:rsid w:val="00785725"/>
    <w:rsid w:val="00790B0C"/>
    <w:rsid w:val="00792336"/>
    <w:rsid w:val="0079393E"/>
    <w:rsid w:val="007951C0"/>
    <w:rsid w:val="007A748E"/>
    <w:rsid w:val="007B581A"/>
    <w:rsid w:val="007B7A0C"/>
    <w:rsid w:val="007C14C0"/>
    <w:rsid w:val="007C79B0"/>
    <w:rsid w:val="007D2446"/>
    <w:rsid w:val="007D4441"/>
    <w:rsid w:val="007D6DB4"/>
    <w:rsid w:val="007E31E5"/>
    <w:rsid w:val="007F0015"/>
    <w:rsid w:val="007F4CC5"/>
    <w:rsid w:val="007F6209"/>
    <w:rsid w:val="0080051D"/>
    <w:rsid w:val="00800D81"/>
    <w:rsid w:val="00810433"/>
    <w:rsid w:val="008107DA"/>
    <w:rsid w:val="00826789"/>
    <w:rsid w:val="008274C8"/>
    <w:rsid w:val="00833F5F"/>
    <w:rsid w:val="00836D30"/>
    <w:rsid w:val="0084063C"/>
    <w:rsid w:val="00843D25"/>
    <w:rsid w:val="00845EF8"/>
    <w:rsid w:val="00847A76"/>
    <w:rsid w:val="00861119"/>
    <w:rsid w:val="00861463"/>
    <w:rsid w:val="00870663"/>
    <w:rsid w:val="00873AED"/>
    <w:rsid w:val="008814AD"/>
    <w:rsid w:val="00884C0B"/>
    <w:rsid w:val="008900EB"/>
    <w:rsid w:val="00890BB2"/>
    <w:rsid w:val="0089234F"/>
    <w:rsid w:val="008B4603"/>
    <w:rsid w:val="008B545E"/>
    <w:rsid w:val="008D66C8"/>
    <w:rsid w:val="008E112C"/>
    <w:rsid w:val="008E2009"/>
    <w:rsid w:val="008E2061"/>
    <w:rsid w:val="008E2C15"/>
    <w:rsid w:val="008E7889"/>
    <w:rsid w:val="008F0B1E"/>
    <w:rsid w:val="00902456"/>
    <w:rsid w:val="00902A6F"/>
    <w:rsid w:val="00910ACD"/>
    <w:rsid w:val="009123BB"/>
    <w:rsid w:val="00913494"/>
    <w:rsid w:val="00917ECC"/>
    <w:rsid w:val="009248B4"/>
    <w:rsid w:val="009330DB"/>
    <w:rsid w:val="00934CC6"/>
    <w:rsid w:val="00935014"/>
    <w:rsid w:val="009373FF"/>
    <w:rsid w:val="00943738"/>
    <w:rsid w:val="00950769"/>
    <w:rsid w:val="009508A5"/>
    <w:rsid w:val="009604D2"/>
    <w:rsid w:val="00963B30"/>
    <w:rsid w:val="009668DB"/>
    <w:rsid w:val="0097105D"/>
    <w:rsid w:val="00973364"/>
    <w:rsid w:val="0097523E"/>
    <w:rsid w:val="009800AA"/>
    <w:rsid w:val="009817D8"/>
    <w:rsid w:val="00991A97"/>
    <w:rsid w:val="00991C5E"/>
    <w:rsid w:val="00993B71"/>
    <w:rsid w:val="009955AF"/>
    <w:rsid w:val="009A24F4"/>
    <w:rsid w:val="009A7286"/>
    <w:rsid w:val="009C1B03"/>
    <w:rsid w:val="009C45F1"/>
    <w:rsid w:val="009E2A79"/>
    <w:rsid w:val="009E2F5E"/>
    <w:rsid w:val="009E75C9"/>
    <w:rsid w:val="009F0121"/>
    <w:rsid w:val="009F4BA7"/>
    <w:rsid w:val="009F65F2"/>
    <w:rsid w:val="009F78F2"/>
    <w:rsid w:val="009F7E29"/>
    <w:rsid w:val="00A043EA"/>
    <w:rsid w:val="00A046A8"/>
    <w:rsid w:val="00A11162"/>
    <w:rsid w:val="00A30F40"/>
    <w:rsid w:val="00A37CF1"/>
    <w:rsid w:val="00A42B38"/>
    <w:rsid w:val="00A656A6"/>
    <w:rsid w:val="00A65C86"/>
    <w:rsid w:val="00A66BDB"/>
    <w:rsid w:val="00A709DB"/>
    <w:rsid w:val="00A72463"/>
    <w:rsid w:val="00A81796"/>
    <w:rsid w:val="00A84F8B"/>
    <w:rsid w:val="00A90892"/>
    <w:rsid w:val="00A91FC1"/>
    <w:rsid w:val="00A93F81"/>
    <w:rsid w:val="00A9732C"/>
    <w:rsid w:val="00AA3632"/>
    <w:rsid w:val="00AA55A1"/>
    <w:rsid w:val="00AB4A22"/>
    <w:rsid w:val="00AC0002"/>
    <w:rsid w:val="00AC0FFB"/>
    <w:rsid w:val="00AC7BB2"/>
    <w:rsid w:val="00AD159D"/>
    <w:rsid w:val="00AD1C57"/>
    <w:rsid w:val="00AD40B3"/>
    <w:rsid w:val="00AE557F"/>
    <w:rsid w:val="00AF22A8"/>
    <w:rsid w:val="00B07157"/>
    <w:rsid w:val="00B1145B"/>
    <w:rsid w:val="00B23E29"/>
    <w:rsid w:val="00B35EF0"/>
    <w:rsid w:val="00B36AF0"/>
    <w:rsid w:val="00B422DF"/>
    <w:rsid w:val="00B4601F"/>
    <w:rsid w:val="00B678DB"/>
    <w:rsid w:val="00B7223A"/>
    <w:rsid w:val="00B72D42"/>
    <w:rsid w:val="00B820A3"/>
    <w:rsid w:val="00B82246"/>
    <w:rsid w:val="00B83CBB"/>
    <w:rsid w:val="00B83FB6"/>
    <w:rsid w:val="00B85C29"/>
    <w:rsid w:val="00B866C9"/>
    <w:rsid w:val="00B87622"/>
    <w:rsid w:val="00BC04A4"/>
    <w:rsid w:val="00BD0ABD"/>
    <w:rsid w:val="00BD292C"/>
    <w:rsid w:val="00BD30DE"/>
    <w:rsid w:val="00BD6CC0"/>
    <w:rsid w:val="00BE003D"/>
    <w:rsid w:val="00BE2DC9"/>
    <w:rsid w:val="00BE4381"/>
    <w:rsid w:val="00BE7422"/>
    <w:rsid w:val="00C03503"/>
    <w:rsid w:val="00C10C29"/>
    <w:rsid w:val="00C1443A"/>
    <w:rsid w:val="00C15E3F"/>
    <w:rsid w:val="00C227E9"/>
    <w:rsid w:val="00C24509"/>
    <w:rsid w:val="00C422F9"/>
    <w:rsid w:val="00C427A3"/>
    <w:rsid w:val="00C43948"/>
    <w:rsid w:val="00C4659F"/>
    <w:rsid w:val="00C5289D"/>
    <w:rsid w:val="00C5682D"/>
    <w:rsid w:val="00C60DFC"/>
    <w:rsid w:val="00C61CF7"/>
    <w:rsid w:val="00C66AC7"/>
    <w:rsid w:val="00C66C8D"/>
    <w:rsid w:val="00C7430F"/>
    <w:rsid w:val="00C8159B"/>
    <w:rsid w:val="00C815F5"/>
    <w:rsid w:val="00C81D60"/>
    <w:rsid w:val="00C854E9"/>
    <w:rsid w:val="00C8733B"/>
    <w:rsid w:val="00C905CD"/>
    <w:rsid w:val="00C91965"/>
    <w:rsid w:val="00CA1597"/>
    <w:rsid w:val="00CA2873"/>
    <w:rsid w:val="00CA6911"/>
    <w:rsid w:val="00CA7428"/>
    <w:rsid w:val="00CC52A7"/>
    <w:rsid w:val="00CC6126"/>
    <w:rsid w:val="00CC7E49"/>
    <w:rsid w:val="00CD15B0"/>
    <w:rsid w:val="00CF1FA1"/>
    <w:rsid w:val="00D07087"/>
    <w:rsid w:val="00D10FC4"/>
    <w:rsid w:val="00D20299"/>
    <w:rsid w:val="00D2552C"/>
    <w:rsid w:val="00D2597E"/>
    <w:rsid w:val="00D2704A"/>
    <w:rsid w:val="00D31B3C"/>
    <w:rsid w:val="00D34C4E"/>
    <w:rsid w:val="00D34CF7"/>
    <w:rsid w:val="00D37C76"/>
    <w:rsid w:val="00D434F1"/>
    <w:rsid w:val="00D70CAD"/>
    <w:rsid w:val="00D70F65"/>
    <w:rsid w:val="00D840D4"/>
    <w:rsid w:val="00D936AB"/>
    <w:rsid w:val="00D947A6"/>
    <w:rsid w:val="00D953A0"/>
    <w:rsid w:val="00DA2CFC"/>
    <w:rsid w:val="00DA7731"/>
    <w:rsid w:val="00DB2C44"/>
    <w:rsid w:val="00DB3C18"/>
    <w:rsid w:val="00DD442E"/>
    <w:rsid w:val="00DD5353"/>
    <w:rsid w:val="00DD5B73"/>
    <w:rsid w:val="00DD7928"/>
    <w:rsid w:val="00DE03D7"/>
    <w:rsid w:val="00DE05D8"/>
    <w:rsid w:val="00DE24A5"/>
    <w:rsid w:val="00DE2507"/>
    <w:rsid w:val="00DE4B13"/>
    <w:rsid w:val="00DE78A6"/>
    <w:rsid w:val="00DF1089"/>
    <w:rsid w:val="00DF35D8"/>
    <w:rsid w:val="00DF7A75"/>
    <w:rsid w:val="00E32AF5"/>
    <w:rsid w:val="00E479B8"/>
    <w:rsid w:val="00E50042"/>
    <w:rsid w:val="00E53F98"/>
    <w:rsid w:val="00E55607"/>
    <w:rsid w:val="00E6286C"/>
    <w:rsid w:val="00E745C4"/>
    <w:rsid w:val="00E74AE7"/>
    <w:rsid w:val="00E75A44"/>
    <w:rsid w:val="00E779A1"/>
    <w:rsid w:val="00E955A8"/>
    <w:rsid w:val="00E9797A"/>
    <w:rsid w:val="00EA2027"/>
    <w:rsid w:val="00EA378A"/>
    <w:rsid w:val="00EA6F0E"/>
    <w:rsid w:val="00EB02D3"/>
    <w:rsid w:val="00EB47FB"/>
    <w:rsid w:val="00EB4D2B"/>
    <w:rsid w:val="00EB7099"/>
    <w:rsid w:val="00EC1E0E"/>
    <w:rsid w:val="00EC4919"/>
    <w:rsid w:val="00ED58F3"/>
    <w:rsid w:val="00ED6CF3"/>
    <w:rsid w:val="00EE37A0"/>
    <w:rsid w:val="00EE5EAD"/>
    <w:rsid w:val="00EF3075"/>
    <w:rsid w:val="00EF514B"/>
    <w:rsid w:val="00EF72B8"/>
    <w:rsid w:val="00F02C73"/>
    <w:rsid w:val="00F063D2"/>
    <w:rsid w:val="00F068E5"/>
    <w:rsid w:val="00F06979"/>
    <w:rsid w:val="00F12DE9"/>
    <w:rsid w:val="00F228A0"/>
    <w:rsid w:val="00F22B03"/>
    <w:rsid w:val="00F23C09"/>
    <w:rsid w:val="00F27373"/>
    <w:rsid w:val="00F306DF"/>
    <w:rsid w:val="00F35940"/>
    <w:rsid w:val="00F42E84"/>
    <w:rsid w:val="00F541D9"/>
    <w:rsid w:val="00F648AA"/>
    <w:rsid w:val="00F7190C"/>
    <w:rsid w:val="00F71A7B"/>
    <w:rsid w:val="00F72D23"/>
    <w:rsid w:val="00F86DED"/>
    <w:rsid w:val="00F87303"/>
    <w:rsid w:val="00F879FA"/>
    <w:rsid w:val="00F93A4F"/>
    <w:rsid w:val="00F94967"/>
    <w:rsid w:val="00F95F77"/>
    <w:rsid w:val="00F965DF"/>
    <w:rsid w:val="00F97818"/>
    <w:rsid w:val="00FA1B7E"/>
    <w:rsid w:val="00FA4BCD"/>
    <w:rsid w:val="00FC2B7A"/>
    <w:rsid w:val="00FC4B18"/>
    <w:rsid w:val="00FE526B"/>
    <w:rsid w:val="00FF1AC9"/>
    <w:rsid w:val="00FF5531"/>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4A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A287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
    <w:basedOn w:val="Normal"/>
    <w:link w:val="PrrafodelistaCar"/>
    <w:uiPriority w:val="34"/>
    <w:qFormat/>
    <w:rsid w:val="005E7E9E"/>
    <w:pPr>
      <w:ind w:left="720"/>
      <w:contextualSpacing/>
    </w:pPr>
  </w:style>
  <w:style w:type="paragraph" w:styleId="Sinespaciado">
    <w:name w:val="No Spacing"/>
    <w:uiPriority w:val="1"/>
    <w:qFormat/>
    <w:rsid w:val="00BD0ABD"/>
    <w:pPr>
      <w:spacing w:after="0" w:line="240" w:lineRule="auto"/>
    </w:pPr>
  </w:style>
  <w:style w:type="character" w:styleId="Hipervnculo">
    <w:name w:val="Hyperlink"/>
    <w:basedOn w:val="Fuentedeprrafopredeter"/>
    <w:uiPriority w:val="99"/>
    <w:unhideWhenUsed/>
    <w:rsid w:val="00BD0ABD"/>
    <w:rPr>
      <w:color w:val="0563C1" w:themeColor="hyperlink"/>
      <w:u w:val="single"/>
    </w:rPr>
  </w:style>
  <w:style w:type="paragraph" w:styleId="Textodeglobo">
    <w:name w:val="Balloon Text"/>
    <w:basedOn w:val="Normal"/>
    <w:link w:val="TextodegloboCar"/>
    <w:uiPriority w:val="99"/>
    <w:semiHidden/>
    <w:unhideWhenUsed/>
    <w:rsid w:val="00DA2CF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2CFC"/>
    <w:rPr>
      <w:rFonts w:ascii="Lucida Grande" w:hAnsi="Lucida Grande"/>
      <w:sz w:val="18"/>
      <w:szCs w:val="18"/>
    </w:rPr>
  </w:style>
  <w:style w:type="character" w:customStyle="1" w:styleId="Ttulo1Car">
    <w:name w:val="Título 1 Car"/>
    <w:basedOn w:val="Fuentedeprrafopredeter"/>
    <w:link w:val="Ttulo1"/>
    <w:uiPriority w:val="9"/>
    <w:rsid w:val="00CA2873"/>
    <w:rPr>
      <w:rFonts w:asciiTheme="majorHAnsi" w:eastAsiaTheme="majorEastAsia" w:hAnsiTheme="majorHAnsi" w:cstheme="majorBidi"/>
      <w:b/>
      <w:bCs/>
      <w:color w:val="2C6EAB" w:themeColor="accent1" w:themeShade="B5"/>
      <w:sz w:val="32"/>
      <w:szCs w:val="32"/>
    </w:rPr>
  </w:style>
  <w:style w:type="character" w:styleId="Refdecomentario">
    <w:name w:val="annotation reference"/>
    <w:basedOn w:val="Fuentedeprrafopredeter"/>
    <w:uiPriority w:val="99"/>
    <w:semiHidden/>
    <w:unhideWhenUsed/>
    <w:rsid w:val="00707C18"/>
    <w:rPr>
      <w:sz w:val="18"/>
      <w:szCs w:val="18"/>
    </w:rPr>
  </w:style>
  <w:style w:type="paragraph" w:styleId="Textocomentario">
    <w:name w:val="annotation text"/>
    <w:basedOn w:val="Normal"/>
    <w:link w:val="TextocomentarioCar"/>
    <w:uiPriority w:val="99"/>
    <w:semiHidden/>
    <w:unhideWhenUsed/>
    <w:rsid w:val="00707C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07C18"/>
    <w:rPr>
      <w:sz w:val="24"/>
      <w:szCs w:val="24"/>
    </w:rPr>
  </w:style>
  <w:style w:type="paragraph" w:styleId="Asuntodelcomentario">
    <w:name w:val="annotation subject"/>
    <w:basedOn w:val="Textocomentario"/>
    <w:next w:val="Textocomentario"/>
    <w:link w:val="AsuntodelcomentarioCar"/>
    <w:uiPriority w:val="99"/>
    <w:semiHidden/>
    <w:unhideWhenUsed/>
    <w:rsid w:val="00707C18"/>
    <w:rPr>
      <w:b/>
      <w:bCs/>
      <w:sz w:val="20"/>
      <w:szCs w:val="20"/>
    </w:rPr>
  </w:style>
  <w:style w:type="character" w:customStyle="1" w:styleId="AsuntodelcomentarioCar">
    <w:name w:val="Asunto del comentario Car"/>
    <w:basedOn w:val="TextocomentarioCar"/>
    <w:link w:val="Asuntodelcomentario"/>
    <w:uiPriority w:val="99"/>
    <w:semiHidden/>
    <w:rsid w:val="00707C18"/>
    <w:rPr>
      <w:b/>
      <w:bCs/>
      <w:sz w:val="20"/>
      <w:szCs w:val="20"/>
    </w:rPr>
  </w:style>
  <w:style w:type="table" w:styleId="Tablaconcuadrcula">
    <w:name w:val="Table Grid"/>
    <w:basedOn w:val="Tablanormal"/>
    <w:uiPriority w:val="39"/>
    <w:rsid w:val="0053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1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9D"/>
  </w:style>
  <w:style w:type="paragraph" w:styleId="Piedepgina">
    <w:name w:val="footer"/>
    <w:basedOn w:val="Normal"/>
    <w:link w:val="PiedepginaCar"/>
    <w:uiPriority w:val="99"/>
    <w:unhideWhenUsed/>
    <w:rsid w:val="003F1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9D"/>
  </w:style>
  <w:style w:type="table" w:customStyle="1" w:styleId="Tablaconcuadrcula1">
    <w:name w:val="Tabla con cuadrícula1"/>
    <w:basedOn w:val="Tablanormal"/>
    <w:next w:val="Tablaconcuadrcula"/>
    <w:uiPriority w:val="59"/>
    <w:rsid w:val="00701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52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 2 IND Car,Párrafo de lista SUBCAPITULO Car,Párrafo de lista1 Car,Colorful List - Accent 11 Car"/>
    <w:link w:val="Prrafodelista"/>
    <w:uiPriority w:val="34"/>
    <w:rsid w:val="00637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A287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
    <w:basedOn w:val="Normal"/>
    <w:link w:val="PrrafodelistaCar"/>
    <w:uiPriority w:val="34"/>
    <w:qFormat/>
    <w:rsid w:val="005E7E9E"/>
    <w:pPr>
      <w:ind w:left="720"/>
      <w:contextualSpacing/>
    </w:pPr>
  </w:style>
  <w:style w:type="paragraph" w:styleId="Sinespaciado">
    <w:name w:val="No Spacing"/>
    <w:uiPriority w:val="1"/>
    <w:qFormat/>
    <w:rsid w:val="00BD0ABD"/>
    <w:pPr>
      <w:spacing w:after="0" w:line="240" w:lineRule="auto"/>
    </w:pPr>
  </w:style>
  <w:style w:type="character" w:styleId="Hipervnculo">
    <w:name w:val="Hyperlink"/>
    <w:basedOn w:val="Fuentedeprrafopredeter"/>
    <w:uiPriority w:val="99"/>
    <w:unhideWhenUsed/>
    <w:rsid w:val="00BD0ABD"/>
    <w:rPr>
      <w:color w:val="0563C1" w:themeColor="hyperlink"/>
      <w:u w:val="single"/>
    </w:rPr>
  </w:style>
  <w:style w:type="paragraph" w:styleId="Textodeglobo">
    <w:name w:val="Balloon Text"/>
    <w:basedOn w:val="Normal"/>
    <w:link w:val="TextodegloboCar"/>
    <w:uiPriority w:val="99"/>
    <w:semiHidden/>
    <w:unhideWhenUsed/>
    <w:rsid w:val="00DA2CF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2CFC"/>
    <w:rPr>
      <w:rFonts w:ascii="Lucida Grande" w:hAnsi="Lucida Grande"/>
      <w:sz w:val="18"/>
      <w:szCs w:val="18"/>
    </w:rPr>
  </w:style>
  <w:style w:type="character" w:customStyle="1" w:styleId="Ttulo1Car">
    <w:name w:val="Título 1 Car"/>
    <w:basedOn w:val="Fuentedeprrafopredeter"/>
    <w:link w:val="Ttulo1"/>
    <w:uiPriority w:val="9"/>
    <w:rsid w:val="00CA2873"/>
    <w:rPr>
      <w:rFonts w:asciiTheme="majorHAnsi" w:eastAsiaTheme="majorEastAsia" w:hAnsiTheme="majorHAnsi" w:cstheme="majorBidi"/>
      <w:b/>
      <w:bCs/>
      <w:color w:val="2C6EAB" w:themeColor="accent1" w:themeShade="B5"/>
      <w:sz w:val="32"/>
      <w:szCs w:val="32"/>
    </w:rPr>
  </w:style>
  <w:style w:type="character" w:styleId="Refdecomentario">
    <w:name w:val="annotation reference"/>
    <w:basedOn w:val="Fuentedeprrafopredeter"/>
    <w:uiPriority w:val="99"/>
    <w:semiHidden/>
    <w:unhideWhenUsed/>
    <w:rsid w:val="00707C18"/>
    <w:rPr>
      <w:sz w:val="18"/>
      <w:szCs w:val="18"/>
    </w:rPr>
  </w:style>
  <w:style w:type="paragraph" w:styleId="Textocomentario">
    <w:name w:val="annotation text"/>
    <w:basedOn w:val="Normal"/>
    <w:link w:val="TextocomentarioCar"/>
    <w:uiPriority w:val="99"/>
    <w:semiHidden/>
    <w:unhideWhenUsed/>
    <w:rsid w:val="00707C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07C18"/>
    <w:rPr>
      <w:sz w:val="24"/>
      <w:szCs w:val="24"/>
    </w:rPr>
  </w:style>
  <w:style w:type="paragraph" w:styleId="Asuntodelcomentario">
    <w:name w:val="annotation subject"/>
    <w:basedOn w:val="Textocomentario"/>
    <w:next w:val="Textocomentario"/>
    <w:link w:val="AsuntodelcomentarioCar"/>
    <w:uiPriority w:val="99"/>
    <w:semiHidden/>
    <w:unhideWhenUsed/>
    <w:rsid w:val="00707C18"/>
    <w:rPr>
      <w:b/>
      <w:bCs/>
      <w:sz w:val="20"/>
      <w:szCs w:val="20"/>
    </w:rPr>
  </w:style>
  <w:style w:type="character" w:customStyle="1" w:styleId="AsuntodelcomentarioCar">
    <w:name w:val="Asunto del comentario Car"/>
    <w:basedOn w:val="TextocomentarioCar"/>
    <w:link w:val="Asuntodelcomentario"/>
    <w:uiPriority w:val="99"/>
    <w:semiHidden/>
    <w:rsid w:val="00707C18"/>
    <w:rPr>
      <w:b/>
      <w:bCs/>
      <w:sz w:val="20"/>
      <w:szCs w:val="20"/>
    </w:rPr>
  </w:style>
  <w:style w:type="table" w:styleId="Tablaconcuadrcula">
    <w:name w:val="Table Grid"/>
    <w:basedOn w:val="Tablanormal"/>
    <w:uiPriority w:val="39"/>
    <w:rsid w:val="0053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1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9D"/>
  </w:style>
  <w:style w:type="paragraph" w:styleId="Piedepgina">
    <w:name w:val="footer"/>
    <w:basedOn w:val="Normal"/>
    <w:link w:val="PiedepginaCar"/>
    <w:uiPriority w:val="99"/>
    <w:unhideWhenUsed/>
    <w:rsid w:val="003F1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9D"/>
  </w:style>
  <w:style w:type="table" w:customStyle="1" w:styleId="Tablaconcuadrcula1">
    <w:name w:val="Tabla con cuadrícula1"/>
    <w:basedOn w:val="Tablanormal"/>
    <w:next w:val="Tablaconcuadrcula"/>
    <w:uiPriority w:val="59"/>
    <w:rsid w:val="00701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52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 2 IND Car,Párrafo de lista SUBCAPITULO Car,Párrafo de lista1 Car,Colorful List - Accent 11 Car"/>
    <w:link w:val="Prrafodelista"/>
    <w:uiPriority w:val="34"/>
    <w:rsid w:val="0063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A6B4-C24A-4AB8-A311-EF2A8ACD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7607</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DIEM2</dc:creator>
  <cp:lastModifiedBy>Secretaria de Concejo</cp:lastModifiedBy>
  <cp:revision>2</cp:revision>
  <cp:lastPrinted>2019-04-01T15:21:00Z</cp:lastPrinted>
  <dcterms:created xsi:type="dcterms:W3CDTF">2020-09-18T22:31:00Z</dcterms:created>
  <dcterms:modified xsi:type="dcterms:W3CDTF">2020-09-18T22:31:00Z</dcterms:modified>
</cp:coreProperties>
</file>