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5ED3" w14:textId="77777777" w:rsidR="000419C5" w:rsidRPr="000419C5" w:rsidRDefault="000419C5" w:rsidP="000419C5">
      <w:pPr>
        <w:jc w:val="center"/>
        <w:rPr>
          <w:rFonts w:ascii="Arial" w:eastAsia="Arial" w:hAnsi="Arial" w:cs="Arial"/>
          <w:b/>
        </w:rPr>
      </w:pPr>
      <w:bookmarkStart w:id="0" w:name="_GoBack"/>
      <w:bookmarkEnd w:id="0"/>
      <w:r w:rsidRPr="000419C5">
        <w:rPr>
          <w:rFonts w:ascii="Arial" w:eastAsia="Arial" w:hAnsi="Arial" w:cs="Arial"/>
          <w:b/>
        </w:rPr>
        <w:t>EL CONCEJO METROPOLITANO DE QUITO</w:t>
      </w:r>
    </w:p>
    <w:p w14:paraId="3E2EA1F0" w14:textId="77777777" w:rsidR="000419C5" w:rsidRPr="000419C5" w:rsidRDefault="000419C5" w:rsidP="000419C5">
      <w:pPr>
        <w:jc w:val="center"/>
        <w:rPr>
          <w:rFonts w:ascii="Arial" w:eastAsia="Arial" w:hAnsi="Arial" w:cs="Arial"/>
          <w:b/>
        </w:rPr>
      </w:pPr>
    </w:p>
    <w:p w14:paraId="1E075380" w14:textId="77777777" w:rsidR="000419C5" w:rsidRPr="000419C5" w:rsidRDefault="000419C5" w:rsidP="000419C5">
      <w:pPr>
        <w:jc w:val="center"/>
        <w:rPr>
          <w:rFonts w:ascii="Arial" w:eastAsia="Arial" w:hAnsi="Arial" w:cs="Arial"/>
          <w:b/>
        </w:rPr>
      </w:pPr>
      <w:r w:rsidRPr="000419C5">
        <w:rPr>
          <w:rFonts w:ascii="Arial" w:eastAsia="Arial" w:hAnsi="Arial" w:cs="Arial"/>
          <w:b/>
        </w:rPr>
        <w:t>RESOLUCIÓN No. …..  -2020</w:t>
      </w:r>
    </w:p>
    <w:p w14:paraId="1A1B0AC7" w14:textId="77777777" w:rsidR="000419C5" w:rsidRPr="000419C5" w:rsidRDefault="000419C5" w:rsidP="000419C5">
      <w:pPr>
        <w:jc w:val="center"/>
        <w:rPr>
          <w:rFonts w:ascii="Arial" w:eastAsia="Arial" w:hAnsi="Arial" w:cs="Arial"/>
        </w:rPr>
      </w:pPr>
    </w:p>
    <w:p w14:paraId="1A792D64" w14:textId="77777777" w:rsidR="000419C5" w:rsidRPr="000419C5" w:rsidRDefault="000419C5" w:rsidP="000419C5">
      <w:pPr>
        <w:jc w:val="center"/>
        <w:rPr>
          <w:rFonts w:ascii="Arial" w:eastAsia="Arial" w:hAnsi="Arial" w:cs="Arial"/>
          <w:b/>
        </w:rPr>
      </w:pPr>
      <w:r w:rsidRPr="000419C5">
        <w:rPr>
          <w:rFonts w:ascii="Arial" w:eastAsia="Arial" w:hAnsi="Arial" w:cs="Arial"/>
          <w:b/>
        </w:rPr>
        <w:t>CONSIDERANDO:</w:t>
      </w:r>
    </w:p>
    <w:p w14:paraId="74219FA8" w14:textId="64C3AA9B" w:rsidR="000419C5" w:rsidRDefault="000419C5" w:rsidP="008939B0">
      <w:pPr>
        <w:ind w:left="567" w:hanging="567"/>
        <w:jc w:val="both"/>
        <w:rPr>
          <w:rFonts w:ascii="Arial" w:eastAsia="Arial" w:hAnsi="Arial" w:cs="Arial"/>
          <w:iCs/>
        </w:rPr>
      </w:pPr>
    </w:p>
    <w:p w14:paraId="189BA184" w14:textId="5160AB44" w:rsidR="00D54659" w:rsidRPr="00EE4393" w:rsidRDefault="008939B0" w:rsidP="00D54659">
      <w:pPr>
        <w:ind w:left="709" w:hanging="709"/>
        <w:jc w:val="both"/>
        <w:rPr>
          <w:rFonts w:ascii="Arial" w:hAnsi="Arial" w:cs="Arial"/>
        </w:rPr>
      </w:pPr>
      <w:r w:rsidRPr="008939B0">
        <w:rPr>
          <w:rFonts w:ascii="Arial" w:eastAsia="Arial" w:hAnsi="Arial" w:cs="Arial"/>
          <w:b/>
          <w:bCs/>
          <w:iCs/>
          <w:lang w:val="es-EC"/>
        </w:rPr>
        <w:t>Que,</w:t>
      </w:r>
      <w:r w:rsidR="00511FF7">
        <w:rPr>
          <w:rFonts w:ascii="Arial" w:eastAsia="Arial" w:hAnsi="Arial" w:cs="Arial"/>
          <w:iCs/>
          <w:lang w:val="es-EC"/>
        </w:rPr>
        <w:t xml:space="preserve"> </w:t>
      </w:r>
      <w:r w:rsidRPr="008939B0">
        <w:rPr>
          <w:rFonts w:ascii="Arial" w:eastAsia="Arial" w:hAnsi="Arial" w:cs="Arial"/>
          <w:iCs/>
          <w:lang w:val="es-EC"/>
        </w:rPr>
        <w:tab/>
      </w:r>
      <w:r w:rsidR="00D54659">
        <w:rPr>
          <w:rFonts w:ascii="Arial" w:eastAsia="Arial" w:hAnsi="Arial" w:cs="Arial"/>
          <w:iCs/>
          <w:lang w:val="es-EC"/>
        </w:rPr>
        <w:t>“</w:t>
      </w:r>
      <w:r w:rsidR="00D54659" w:rsidRPr="00D54659">
        <w:rPr>
          <w:rFonts w:ascii="Arial" w:hAnsi="Arial" w:cs="Arial"/>
          <w:i/>
          <w:iCs/>
        </w:rPr>
        <w:t>la planificación garantizará el ordenamiento territorial y será obligatoria en todos los gobiernos autónomos descentralizados</w:t>
      </w:r>
      <w:r w:rsidR="00D54659">
        <w:rPr>
          <w:rFonts w:ascii="Arial" w:hAnsi="Arial" w:cs="Arial"/>
        </w:rPr>
        <w:t>”, de acuerdo con lo previsto en el</w:t>
      </w:r>
      <w:r w:rsidR="00D54659" w:rsidRPr="00D54659">
        <w:rPr>
          <w:rFonts w:ascii="Arial" w:hAnsi="Arial" w:cs="Arial"/>
        </w:rPr>
        <w:t xml:space="preserve"> </w:t>
      </w:r>
      <w:r w:rsidR="00D54659" w:rsidRPr="00EE4393">
        <w:rPr>
          <w:rFonts w:ascii="Arial" w:hAnsi="Arial" w:cs="Arial"/>
        </w:rPr>
        <w:t>Art. 241</w:t>
      </w:r>
      <w:r w:rsidR="00D54659">
        <w:rPr>
          <w:rFonts w:ascii="Arial" w:hAnsi="Arial" w:cs="Arial"/>
        </w:rPr>
        <w:t>, de la constitución de la República;</w:t>
      </w:r>
    </w:p>
    <w:p w14:paraId="28AD3A20" w14:textId="77777777" w:rsidR="00D54659" w:rsidRDefault="00D54659" w:rsidP="00511FF7">
      <w:pPr>
        <w:ind w:left="709" w:hanging="709"/>
        <w:jc w:val="both"/>
        <w:rPr>
          <w:rFonts w:ascii="Arial" w:eastAsia="Arial" w:hAnsi="Arial" w:cs="Arial"/>
          <w:iCs/>
          <w:lang w:val="es-EC"/>
        </w:rPr>
      </w:pPr>
    </w:p>
    <w:p w14:paraId="340285D9" w14:textId="7CE790E9" w:rsidR="008939B0" w:rsidRPr="008939B0" w:rsidRDefault="0029530C" w:rsidP="00511FF7">
      <w:pPr>
        <w:ind w:left="709" w:hanging="709"/>
        <w:jc w:val="both"/>
        <w:rPr>
          <w:rFonts w:ascii="Arial" w:eastAsia="Arial" w:hAnsi="Arial" w:cs="Arial"/>
          <w:iCs/>
          <w:lang w:val="es-EC"/>
        </w:rPr>
      </w:pPr>
      <w:r w:rsidRPr="0029530C">
        <w:rPr>
          <w:rFonts w:ascii="Arial" w:eastAsia="Arial" w:hAnsi="Arial" w:cs="Arial"/>
          <w:b/>
          <w:bCs/>
          <w:iCs/>
          <w:lang w:val="es-EC"/>
        </w:rPr>
        <w:t>Que</w:t>
      </w:r>
      <w:r>
        <w:rPr>
          <w:rFonts w:ascii="Arial" w:eastAsia="Arial" w:hAnsi="Arial" w:cs="Arial"/>
          <w:iCs/>
          <w:lang w:val="es-EC"/>
        </w:rPr>
        <w:t xml:space="preserve">, </w:t>
      </w:r>
      <w:r>
        <w:rPr>
          <w:rFonts w:ascii="Arial" w:eastAsia="Arial" w:hAnsi="Arial" w:cs="Arial"/>
          <w:iCs/>
          <w:lang w:val="es-EC"/>
        </w:rPr>
        <w:tab/>
      </w:r>
      <w:r w:rsidR="008939B0" w:rsidRPr="008939B0">
        <w:rPr>
          <w:rFonts w:ascii="Arial" w:eastAsia="Arial" w:hAnsi="Arial" w:cs="Arial"/>
          <w:iCs/>
          <w:lang w:val="es-EC"/>
        </w:rPr>
        <w:t>es competencia exclusiva de los gobiernos de los distritos metropolitanos autónomos</w:t>
      </w:r>
      <w:r w:rsidR="008939B0">
        <w:rPr>
          <w:rFonts w:ascii="Arial" w:eastAsia="Arial" w:hAnsi="Arial" w:cs="Arial"/>
          <w:iCs/>
          <w:lang w:val="es-EC"/>
        </w:rPr>
        <w:t>,</w:t>
      </w:r>
      <w:r w:rsidR="008939B0" w:rsidRPr="008939B0">
        <w:rPr>
          <w:rFonts w:ascii="Arial" w:eastAsia="Arial" w:hAnsi="Arial" w:cs="Arial"/>
          <w:iCs/>
          <w:lang w:val="es-EC"/>
        </w:rPr>
        <w:t xml:space="preserve"> formular el Plan de Desarrollo y Ordenamiento Territorio y “</w:t>
      </w:r>
      <w:r w:rsidR="008939B0" w:rsidRPr="008939B0">
        <w:rPr>
          <w:rFonts w:ascii="Arial" w:eastAsia="Arial" w:hAnsi="Arial" w:cs="Arial"/>
          <w:b/>
          <w:i/>
          <w:iCs/>
          <w:lang w:val="es-EC"/>
        </w:rPr>
        <w:t>regular el uso y la ocupación del suelo urbano y rural</w:t>
      </w:r>
      <w:r w:rsidR="008939B0" w:rsidRPr="008939B0">
        <w:rPr>
          <w:rFonts w:ascii="Arial" w:eastAsia="Arial" w:hAnsi="Arial" w:cs="Arial"/>
          <w:b/>
          <w:iCs/>
          <w:lang w:val="es-EC"/>
        </w:rPr>
        <w:t>”</w:t>
      </w:r>
      <w:r w:rsidR="008939B0" w:rsidRPr="008939B0">
        <w:rPr>
          <w:rFonts w:ascii="Arial" w:eastAsia="Arial" w:hAnsi="Arial" w:cs="Arial"/>
          <w:iCs/>
          <w:lang w:val="es-EC"/>
        </w:rPr>
        <w:t>, y “</w:t>
      </w:r>
      <w:r w:rsidR="008939B0" w:rsidRPr="008939B0">
        <w:rPr>
          <w:rFonts w:ascii="Arial" w:eastAsia="Arial" w:hAnsi="Arial" w:cs="Arial"/>
          <w:b/>
          <w:bCs/>
          <w:i/>
          <w:iCs/>
          <w:lang w:val="es-EC"/>
        </w:rPr>
        <w:t>ejercer el control sobre el uso y ocupación del suelo en el cantón</w:t>
      </w:r>
      <w:r w:rsidR="008939B0" w:rsidRPr="008939B0">
        <w:rPr>
          <w:rFonts w:ascii="Arial" w:eastAsia="Arial" w:hAnsi="Arial" w:cs="Arial"/>
          <w:iCs/>
          <w:lang w:val="es-EC"/>
        </w:rPr>
        <w:t xml:space="preserve">”, conforme los prescrito en los Arts. 241, 264 numerales 1, 2 y 266 de la Constitución de la República del Ecuador; 12, 41 del Código Orgánico de Planificación y Finanzas Públicas, 55 literales a), b), y 85 del Código Orgánico de Organización Territorial, Autonomía y Descentralización-COOTAD; 1, 9, 11, 27 y 28 de la Ley Orgánica de Ordenamiento Territorial, Uso y Gestión del Suelo-LOOTUGS; </w:t>
      </w:r>
    </w:p>
    <w:p w14:paraId="6D5215CE" w14:textId="655724C1" w:rsidR="000419C5" w:rsidRDefault="000419C5" w:rsidP="00511FF7">
      <w:pPr>
        <w:ind w:left="709" w:hanging="709"/>
        <w:jc w:val="both"/>
        <w:rPr>
          <w:rFonts w:ascii="Arial" w:eastAsia="Arial" w:hAnsi="Arial" w:cs="Arial"/>
        </w:rPr>
      </w:pPr>
    </w:p>
    <w:p w14:paraId="74F379C0" w14:textId="77777777" w:rsidR="007267F2" w:rsidRDefault="007267F2" w:rsidP="007267F2">
      <w:pPr>
        <w:ind w:left="709" w:hanging="709"/>
        <w:jc w:val="both"/>
        <w:rPr>
          <w:rFonts w:ascii="Arial" w:eastAsia="Arial" w:hAnsi="Arial" w:cs="Arial"/>
        </w:rPr>
      </w:pPr>
      <w:r w:rsidRPr="000419C5">
        <w:rPr>
          <w:rFonts w:ascii="Arial" w:eastAsia="Arial" w:hAnsi="Arial" w:cs="Arial"/>
          <w:b/>
        </w:rPr>
        <w:t>Que,</w:t>
      </w:r>
      <w:r w:rsidRPr="000419C5">
        <w:rPr>
          <w:rFonts w:ascii="Arial" w:eastAsia="Arial" w:hAnsi="Arial" w:cs="Arial"/>
        </w:rPr>
        <w:tab/>
        <w:t>la Ley Orgánica de Régimen para el Distrito Metropolitano de Quito</w:t>
      </w:r>
      <w:r>
        <w:rPr>
          <w:rFonts w:ascii="Arial" w:eastAsia="Arial" w:hAnsi="Arial" w:cs="Arial"/>
        </w:rPr>
        <w:t xml:space="preserve">, en </w:t>
      </w:r>
      <w:r w:rsidRPr="000419C5">
        <w:rPr>
          <w:rFonts w:ascii="Arial" w:eastAsia="Arial" w:hAnsi="Arial" w:cs="Arial"/>
        </w:rPr>
        <w:t xml:space="preserve">el </w:t>
      </w:r>
      <w:r>
        <w:rPr>
          <w:rFonts w:ascii="Arial" w:eastAsia="Arial" w:hAnsi="Arial" w:cs="Arial"/>
        </w:rPr>
        <w:t xml:space="preserve">Art. 2 </w:t>
      </w:r>
      <w:r w:rsidRPr="000419C5">
        <w:rPr>
          <w:rFonts w:ascii="Arial" w:eastAsia="Arial" w:hAnsi="Arial" w:cs="Arial"/>
        </w:rPr>
        <w:t>numeral 1</w:t>
      </w:r>
      <w:r>
        <w:rPr>
          <w:rFonts w:ascii="Arial" w:eastAsia="Arial" w:hAnsi="Arial" w:cs="Arial"/>
        </w:rPr>
        <w:t>,</w:t>
      </w:r>
      <w:r w:rsidRPr="000419C5">
        <w:rPr>
          <w:rFonts w:ascii="Arial" w:eastAsia="Arial" w:hAnsi="Arial" w:cs="Arial"/>
        </w:rPr>
        <w:t xml:space="preserve"> </w:t>
      </w:r>
      <w:r>
        <w:rPr>
          <w:rFonts w:ascii="Arial" w:eastAsia="Arial" w:hAnsi="Arial" w:cs="Arial"/>
        </w:rPr>
        <w:t>prescribe que corresponde a</w:t>
      </w:r>
      <w:r w:rsidRPr="00FD6E11">
        <w:rPr>
          <w:rFonts w:ascii="Arial" w:hAnsi="Arial" w:cs="Arial"/>
        </w:rPr>
        <w:t>l Municipio del Distrito Metropolitano de Quito</w:t>
      </w:r>
      <w:r>
        <w:rPr>
          <w:rFonts w:ascii="Arial" w:hAnsi="Arial" w:cs="Arial"/>
        </w:rPr>
        <w:t>,</w:t>
      </w:r>
      <w:r>
        <w:rPr>
          <w:rFonts w:ascii="Arial" w:eastAsia="Arial" w:hAnsi="Arial" w:cs="Arial"/>
        </w:rPr>
        <w:t xml:space="preserve"> “</w:t>
      </w:r>
      <w:r w:rsidRPr="007267F2">
        <w:rPr>
          <w:rFonts w:ascii="Arial" w:eastAsia="Arial" w:hAnsi="Arial" w:cs="Arial"/>
          <w:i/>
          <w:iCs/>
        </w:rPr>
        <w:t>r</w:t>
      </w:r>
      <w:r w:rsidRPr="007267F2">
        <w:rPr>
          <w:rFonts w:ascii="Arial" w:hAnsi="Arial" w:cs="Arial"/>
          <w:i/>
          <w:iCs/>
        </w:rPr>
        <w:t>egulará el uso y la adecuada ocupación del suelo y ejercerá control sobre el mismo con competencia exclusiva y privativa</w:t>
      </w:r>
      <w:r>
        <w:rPr>
          <w:rFonts w:ascii="Arial" w:hAnsi="Arial" w:cs="Arial"/>
        </w:rPr>
        <w:t>”;</w:t>
      </w:r>
    </w:p>
    <w:p w14:paraId="5B29FD9E" w14:textId="77777777" w:rsidR="007267F2" w:rsidRDefault="007267F2" w:rsidP="00511FF7">
      <w:pPr>
        <w:ind w:left="709" w:hanging="709"/>
        <w:jc w:val="both"/>
        <w:rPr>
          <w:rFonts w:ascii="Arial" w:eastAsia="Arial" w:hAnsi="Arial" w:cs="Arial"/>
        </w:rPr>
      </w:pPr>
    </w:p>
    <w:p w14:paraId="2F521FDD" w14:textId="1277E197" w:rsidR="00B541F4" w:rsidRDefault="00EC5CB9" w:rsidP="00EC5CB9">
      <w:pPr>
        <w:ind w:left="709" w:hanging="709"/>
        <w:jc w:val="both"/>
        <w:rPr>
          <w:rFonts w:ascii="Arial" w:eastAsia="Arial" w:hAnsi="Arial" w:cs="Arial"/>
          <w:iCs/>
          <w:lang w:val="es-EC"/>
        </w:rPr>
      </w:pPr>
      <w:r w:rsidRPr="00EC5CB9">
        <w:rPr>
          <w:rFonts w:ascii="Arial" w:hAnsi="Arial" w:cs="Arial"/>
          <w:b/>
          <w:bCs/>
        </w:rPr>
        <w:t>Que</w:t>
      </w:r>
      <w:r>
        <w:rPr>
          <w:rFonts w:ascii="Arial" w:hAnsi="Arial" w:cs="Arial"/>
        </w:rPr>
        <w:t xml:space="preserve">, </w:t>
      </w:r>
      <w:r>
        <w:rPr>
          <w:rFonts w:ascii="Arial" w:hAnsi="Arial" w:cs="Arial"/>
        </w:rPr>
        <w:tab/>
        <w:t>es a</w:t>
      </w:r>
      <w:r w:rsidRPr="004D755F">
        <w:rPr>
          <w:rFonts w:ascii="Arial" w:hAnsi="Arial" w:cs="Arial"/>
        </w:rPr>
        <w:t>tribuci</w:t>
      </w:r>
      <w:r>
        <w:rPr>
          <w:rFonts w:ascii="Arial" w:hAnsi="Arial" w:cs="Arial"/>
        </w:rPr>
        <w:t>ó</w:t>
      </w:r>
      <w:r w:rsidRPr="004D755F">
        <w:rPr>
          <w:rFonts w:ascii="Arial" w:hAnsi="Arial" w:cs="Arial"/>
        </w:rPr>
        <w:t>n del Concejo Metropolitano</w:t>
      </w:r>
      <w:r>
        <w:rPr>
          <w:rFonts w:ascii="Arial" w:hAnsi="Arial" w:cs="Arial"/>
        </w:rPr>
        <w:t>, “e</w:t>
      </w:r>
      <w:r w:rsidR="00B541F4" w:rsidRPr="00EC5CB9">
        <w:rPr>
          <w:rFonts w:ascii="Arial" w:hAnsi="Arial" w:cs="Arial"/>
          <w:i/>
          <w:iCs/>
        </w:rPr>
        <w:t>jercer la facultad normativa en las materias de competencia del gobierno autónomo descentralizado metropolitano, mediante la expedición de ordenanzas metropolitanas, acuerdos y resoluciones</w:t>
      </w:r>
      <w:r>
        <w:rPr>
          <w:rFonts w:ascii="Arial" w:hAnsi="Arial" w:cs="Arial"/>
        </w:rPr>
        <w:t>”, y “</w:t>
      </w:r>
      <w:r w:rsidRPr="00EC5CB9">
        <w:rPr>
          <w:rFonts w:ascii="Arial" w:hAnsi="Arial" w:cs="Arial"/>
          <w:i/>
          <w:iCs/>
        </w:rPr>
        <w:t>r</w:t>
      </w:r>
      <w:r w:rsidR="00B541F4" w:rsidRPr="00EC5CB9">
        <w:rPr>
          <w:rFonts w:ascii="Arial" w:hAnsi="Arial" w:cs="Arial"/>
          <w:i/>
          <w:iCs/>
        </w:rPr>
        <w:t>egular y controlar el uso del suelo en el territorio del distrito metropolitano, de conformidad con las leyes sobre la materia, y establecer el régimen urbanístico de la tierra</w:t>
      </w:r>
      <w:r>
        <w:rPr>
          <w:rFonts w:ascii="Arial" w:hAnsi="Arial" w:cs="Arial"/>
        </w:rPr>
        <w:t xml:space="preserve">”, de acuerdo con lo prescrito en el </w:t>
      </w:r>
      <w:r w:rsidRPr="004D755F">
        <w:rPr>
          <w:rFonts w:ascii="Arial" w:hAnsi="Arial" w:cs="Arial"/>
        </w:rPr>
        <w:t>Art. 87</w:t>
      </w:r>
      <w:r>
        <w:rPr>
          <w:rFonts w:ascii="Arial" w:hAnsi="Arial" w:cs="Arial"/>
        </w:rPr>
        <w:t xml:space="preserve"> literales </w:t>
      </w:r>
      <w:r w:rsidRPr="004D755F">
        <w:rPr>
          <w:rFonts w:ascii="Arial" w:hAnsi="Arial" w:cs="Arial"/>
        </w:rPr>
        <w:t>a)</w:t>
      </w:r>
      <w:r w:rsidRPr="00EC5CB9">
        <w:rPr>
          <w:rFonts w:ascii="Arial" w:hAnsi="Arial" w:cs="Arial"/>
        </w:rPr>
        <w:t xml:space="preserve"> </w:t>
      </w:r>
      <w:r>
        <w:rPr>
          <w:rFonts w:ascii="Arial" w:hAnsi="Arial" w:cs="Arial"/>
        </w:rPr>
        <w:t xml:space="preserve">e </w:t>
      </w:r>
      <w:r w:rsidRPr="004D755F">
        <w:rPr>
          <w:rFonts w:ascii="Arial" w:hAnsi="Arial" w:cs="Arial"/>
        </w:rPr>
        <w:t>y)</w:t>
      </w:r>
      <w:r>
        <w:rPr>
          <w:rFonts w:ascii="Arial" w:hAnsi="Arial" w:cs="Arial"/>
        </w:rPr>
        <w:t xml:space="preserve">, del </w:t>
      </w:r>
      <w:r w:rsidRPr="008939B0">
        <w:rPr>
          <w:rFonts w:ascii="Arial" w:eastAsia="Arial" w:hAnsi="Arial" w:cs="Arial"/>
          <w:iCs/>
          <w:lang w:val="es-EC"/>
        </w:rPr>
        <w:t>Código Orgánico de Organización Territorial, Autonomía y Descentralización</w:t>
      </w:r>
      <w:r>
        <w:rPr>
          <w:rFonts w:ascii="Arial" w:eastAsia="Arial" w:hAnsi="Arial" w:cs="Arial"/>
          <w:iCs/>
          <w:lang w:val="es-EC"/>
        </w:rPr>
        <w:t>;</w:t>
      </w:r>
    </w:p>
    <w:p w14:paraId="4DB13DA4" w14:textId="77777777" w:rsidR="00EC5CB9" w:rsidRDefault="00EC5CB9" w:rsidP="00EC5CB9">
      <w:pPr>
        <w:jc w:val="both"/>
        <w:rPr>
          <w:rFonts w:ascii="Arial" w:hAnsi="Arial" w:cs="Arial"/>
        </w:rPr>
      </w:pPr>
    </w:p>
    <w:p w14:paraId="3C4BFEB5" w14:textId="7673F0AE" w:rsidR="007267F2" w:rsidRDefault="007267F2" w:rsidP="007267F2">
      <w:pPr>
        <w:ind w:left="709" w:hanging="709"/>
        <w:jc w:val="both"/>
        <w:rPr>
          <w:rFonts w:ascii="Arial" w:eastAsia="Arial" w:hAnsi="Arial" w:cs="Arial"/>
        </w:rPr>
      </w:pPr>
      <w:r w:rsidRPr="007267F2">
        <w:rPr>
          <w:rFonts w:ascii="Arial" w:hAnsi="Arial" w:cs="Arial"/>
          <w:b/>
          <w:bCs/>
        </w:rPr>
        <w:t>Que</w:t>
      </w:r>
      <w:r>
        <w:rPr>
          <w:rFonts w:ascii="Arial" w:hAnsi="Arial" w:cs="Arial"/>
        </w:rPr>
        <w:t xml:space="preserve">, </w:t>
      </w:r>
      <w:r>
        <w:rPr>
          <w:rFonts w:ascii="Arial" w:hAnsi="Arial" w:cs="Arial"/>
        </w:rPr>
        <w:tab/>
        <w:t>“</w:t>
      </w:r>
      <w:r w:rsidRPr="007267F2">
        <w:rPr>
          <w:rFonts w:ascii="Arial" w:hAnsi="Arial" w:cs="Arial"/>
          <w:i/>
          <w:iCs/>
        </w:rPr>
        <w:t>e</w:t>
      </w:r>
      <w:r w:rsidR="00B541F4" w:rsidRPr="007267F2">
        <w:rPr>
          <w:rFonts w:ascii="Arial" w:hAnsi="Arial" w:cs="Arial"/>
          <w:i/>
          <w:iCs/>
        </w:rPr>
        <w:t>l aprovechamiento urbanístico o de suelo determina las posibilidades de utilización del suelo, en términos de clasificación, uso, ocupación y edificabilidad</w:t>
      </w:r>
      <w:r>
        <w:rPr>
          <w:rFonts w:ascii="Arial" w:hAnsi="Arial" w:cs="Arial"/>
        </w:rPr>
        <w:t>”</w:t>
      </w:r>
      <w:r w:rsidR="00B541F4" w:rsidRPr="00D552A5">
        <w:rPr>
          <w:rFonts w:ascii="Arial" w:hAnsi="Arial" w:cs="Arial"/>
        </w:rPr>
        <w:t xml:space="preserve">, </w:t>
      </w:r>
      <w:r>
        <w:rPr>
          <w:rFonts w:ascii="Arial" w:hAnsi="Arial" w:cs="Arial"/>
        </w:rPr>
        <w:t xml:space="preserve">con sujeción a los </w:t>
      </w:r>
      <w:r w:rsidR="00B541F4" w:rsidRPr="00D552A5">
        <w:rPr>
          <w:rFonts w:ascii="Arial" w:hAnsi="Arial" w:cs="Arial"/>
        </w:rPr>
        <w:t>principios rectores</w:t>
      </w:r>
      <w:r>
        <w:rPr>
          <w:rFonts w:ascii="Arial" w:hAnsi="Arial" w:cs="Arial"/>
        </w:rPr>
        <w:t xml:space="preserve"> de</w:t>
      </w:r>
      <w:r w:rsidR="00B541F4" w:rsidRPr="00D552A5">
        <w:rPr>
          <w:rFonts w:ascii="Arial" w:hAnsi="Arial" w:cs="Arial"/>
        </w:rPr>
        <w:t xml:space="preserve"> </w:t>
      </w:r>
      <w:r w:rsidRPr="00D552A5">
        <w:rPr>
          <w:rFonts w:ascii="Arial" w:hAnsi="Arial" w:cs="Arial"/>
        </w:rPr>
        <w:t>ordenamiento territorial, uso y la gestión del suelo</w:t>
      </w:r>
      <w:r>
        <w:rPr>
          <w:rFonts w:ascii="Arial" w:hAnsi="Arial" w:cs="Arial"/>
        </w:rPr>
        <w:t xml:space="preserve">, conforme lo prescrito en los Arts. 5 y 20, de la </w:t>
      </w:r>
      <w:r w:rsidRPr="000419C5">
        <w:rPr>
          <w:rFonts w:ascii="Arial" w:eastAsia="Arial" w:hAnsi="Arial" w:cs="Arial"/>
        </w:rPr>
        <w:t>Ley Orgánica de Ordenamiento Territorial, Uso y Gestión de Suelo</w:t>
      </w:r>
      <w:r>
        <w:rPr>
          <w:rFonts w:ascii="Arial" w:eastAsia="Arial" w:hAnsi="Arial" w:cs="Arial"/>
        </w:rPr>
        <w:t>;</w:t>
      </w:r>
    </w:p>
    <w:p w14:paraId="58E549DB" w14:textId="77777777" w:rsidR="007267F2" w:rsidRDefault="007267F2" w:rsidP="007267F2">
      <w:pPr>
        <w:ind w:left="709" w:hanging="709"/>
        <w:jc w:val="both"/>
        <w:rPr>
          <w:rFonts w:ascii="Arial" w:eastAsia="Arial" w:hAnsi="Arial" w:cs="Arial"/>
        </w:rPr>
      </w:pPr>
    </w:p>
    <w:p w14:paraId="401BF188" w14:textId="3B043C3C" w:rsidR="00B541F4" w:rsidRDefault="007267F2" w:rsidP="00511FF7">
      <w:pPr>
        <w:ind w:left="709" w:hanging="709"/>
        <w:jc w:val="both"/>
        <w:rPr>
          <w:rFonts w:ascii="Arial" w:eastAsia="Arial" w:hAnsi="Arial" w:cs="Arial"/>
        </w:rPr>
      </w:pPr>
      <w:r w:rsidRPr="007267F2">
        <w:rPr>
          <w:rFonts w:ascii="Arial" w:hAnsi="Arial" w:cs="Arial"/>
          <w:b/>
          <w:bCs/>
        </w:rPr>
        <w:t>Que</w:t>
      </w:r>
      <w:r>
        <w:rPr>
          <w:rFonts w:ascii="Arial" w:hAnsi="Arial" w:cs="Arial"/>
        </w:rPr>
        <w:t xml:space="preserve">, </w:t>
      </w:r>
      <w:r>
        <w:rPr>
          <w:rFonts w:ascii="Arial" w:hAnsi="Arial" w:cs="Arial"/>
        </w:rPr>
        <w:tab/>
        <w:t>“</w:t>
      </w:r>
      <w:r w:rsidRPr="00852D3F">
        <w:rPr>
          <w:rFonts w:ascii="Arial" w:hAnsi="Arial" w:cs="Arial"/>
          <w:i/>
          <w:iCs/>
        </w:rPr>
        <w:t>e</w:t>
      </w:r>
      <w:r w:rsidR="00B541F4" w:rsidRPr="00852D3F">
        <w:rPr>
          <w:rFonts w:ascii="Arial" w:hAnsi="Arial" w:cs="Arial"/>
          <w:i/>
          <w:iCs/>
        </w:rPr>
        <w:t>l uso es la destinación asignada al suelo, conforme con su clasificación y subclasificación</w:t>
      </w:r>
      <w:r>
        <w:rPr>
          <w:rFonts w:ascii="Arial" w:hAnsi="Arial" w:cs="Arial"/>
        </w:rPr>
        <w:t>”</w:t>
      </w:r>
      <w:r w:rsidR="00B541F4" w:rsidRPr="00D552A5">
        <w:rPr>
          <w:rFonts w:ascii="Arial" w:hAnsi="Arial" w:cs="Arial"/>
        </w:rPr>
        <w:t>,</w:t>
      </w:r>
      <w:r>
        <w:rPr>
          <w:rFonts w:ascii="Arial" w:hAnsi="Arial" w:cs="Arial"/>
        </w:rPr>
        <w:t xml:space="preserve"> que es determinado “</w:t>
      </w:r>
      <w:r w:rsidR="00B541F4" w:rsidRPr="00852D3F">
        <w:rPr>
          <w:rFonts w:ascii="Arial" w:hAnsi="Arial" w:cs="Arial"/>
          <w:i/>
          <w:iCs/>
        </w:rPr>
        <w:t>en los respectivos planes de uso y gestión de suelo y en sus instrumentos complementarios</w:t>
      </w:r>
      <w:r w:rsidR="00852D3F">
        <w:rPr>
          <w:rFonts w:ascii="Arial" w:hAnsi="Arial" w:cs="Arial"/>
        </w:rPr>
        <w:t xml:space="preserve">”, de </w:t>
      </w:r>
      <w:r w:rsidR="00852D3F">
        <w:rPr>
          <w:rFonts w:ascii="Arial" w:hAnsi="Arial" w:cs="Arial"/>
        </w:rPr>
        <w:lastRenderedPageBreak/>
        <w:t xml:space="preserve">acuerdo con el </w:t>
      </w:r>
      <w:r w:rsidRPr="00D552A5">
        <w:rPr>
          <w:rFonts w:ascii="Arial" w:hAnsi="Arial" w:cs="Arial"/>
        </w:rPr>
        <w:t>Art. 21</w:t>
      </w:r>
      <w:r w:rsidR="00852D3F">
        <w:rPr>
          <w:rFonts w:ascii="Arial" w:hAnsi="Arial" w:cs="Arial"/>
        </w:rPr>
        <w:t xml:space="preserve"> de la </w:t>
      </w:r>
      <w:r w:rsidRPr="000419C5">
        <w:rPr>
          <w:rFonts w:ascii="Arial" w:eastAsia="Arial" w:hAnsi="Arial" w:cs="Arial"/>
        </w:rPr>
        <w:t>Ley Orgánica de Ordenamiento Territorial, Uso y Gestión de Suelo</w:t>
      </w:r>
      <w:r w:rsidR="00852D3F">
        <w:rPr>
          <w:rFonts w:ascii="Arial" w:eastAsia="Arial" w:hAnsi="Arial" w:cs="Arial"/>
        </w:rPr>
        <w:t>;</w:t>
      </w:r>
    </w:p>
    <w:p w14:paraId="1DA52ACD" w14:textId="2D70B00D" w:rsidR="007267F2" w:rsidRDefault="007267F2" w:rsidP="00511FF7">
      <w:pPr>
        <w:ind w:left="709" w:hanging="709"/>
        <w:jc w:val="both"/>
        <w:rPr>
          <w:rFonts w:ascii="Arial" w:eastAsia="Arial" w:hAnsi="Arial" w:cs="Arial"/>
          <w:iCs/>
          <w:color w:val="000000"/>
        </w:rPr>
      </w:pPr>
    </w:p>
    <w:p w14:paraId="2E197585" w14:textId="2E3578BC" w:rsidR="0029530C" w:rsidRPr="00D552A5" w:rsidRDefault="0029530C" w:rsidP="0029530C">
      <w:pPr>
        <w:ind w:left="709" w:hanging="709"/>
        <w:jc w:val="both"/>
        <w:rPr>
          <w:rFonts w:ascii="Arial" w:hAnsi="Arial" w:cs="Arial"/>
        </w:rPr>
      </w:pPr>
      <w:r>
        <w:rPr>
          <w:rFonts w:ascii="Arial" w:eastAsia="Arial" w:hAnsi="Arial" w:cs="Arial"/>
          <w:iCs/>
          <w:color w:val="000000"/>
        </w:rPr>
        <w:t xml:space="preserve">Que, </w:t>
      </w:r>
      <w:r>
        <w:rPr>
          <w:rFonts w:ascii="Arial" w:eastAsia="Arial" w:hAnsi="Arial" w:cs="Arial"/>
          <w:iCs/>
          <w:color w:val="000000"/>
        </w:rPr>
        <w:tab/>
        <w:t xml:space="preserve">es atribución </w:t>
      </w:r>
      <w:r w:rsidRPr="00D552A5">
        <w:rPr>
          <w:rFonts w:ascii="Arial" w:hAnsi="Arial" w:cs="Arial"/>
        </w:rPr>
        <w:t>de los Gobiernos Autónomos Descentralizados metropolitanos para el uso y la gestión del suelo</w:t>
      </w:r>
      <w:r>
        <w:rPr>
          <w:rFonts w:ascii="Arial" w:hAnsi="Arial" w:cs="Arial"/>
        </w:rPr>
        <w:t>, “</w:t>
      </w:r>
      <w:r w:rsidRPr="0029530C">
        <w:rPr>
          <w:rFonts w:ascii="Arial" w:hAnsi="Arial" w:cs="Arial"/>
          <w:i/>
          <w:iCs/>
        </w:rPr>
        <w:t>expedir actos administrativos y normativos para el uso y la gestión del suelo, de conformidad con los principios y mecanismos previstos en el planeamiento urbanístico de su circunscripción territorial y la normativa vigente</w:t>
      </w:r>
      <w:r>
        <w:rPr>
          <w:rFonts w:ascii="Arial" w:hAnsi="Arial" w:cs="Arial"/>
        </w:rPr>
        <w:t>”, según el</w:t>
      </w:r>
      <w:r w:rsidRPr="0029530C">
        <w:rPr>
          <w:rFonts w:ascii="Arial" w:hAnsi="Arial" w:cs="Arial"/>
        </w:rPr>
        <w:t xml:space="preserve"> </w:t>
      </w:r>
      <w:r w:rsidRPr="00D552A5">
        <w:rPr>
          <w:rFonts w:ascii="Arial" w:hAnsi="Arial" w:cs="Arial"/>
        </w:rPr>
        <w:t>Art. 91</w:t>
      </w:r>
      <w:r>
        <w:rPr>
          <w:rFonts w:ascii="Arial" w:hAnsi="Arial" w:cs="Arial"/>
        </w:rPr>
        <w:t xml:space="preserve"> numeral 1 de la</w:t>
      </w:r>
      <w:r w:rsidR="001F6966">
        <w:rPr>
          <w:rFonts w:ascii="Arial" w:hAnsi="Arial" w:cs="Arial"/>
        </w:rPr>
        <w:t xml:space="preserve"> </w:t>
      </w:r>
      <w:r w:rsidR="001F6966" w:rsidRPr="000419C5">
        <w:rPr>
          <w:rFonts w:ascii="Arial" w:eastAsia="Arial" w:hAnsi="Arial" w:cs="Arial"/>
        </w:rPr>
        <w:t>Ley Orgánica de Ordenamiento Territorial, Uso y Gestión de Suelo</w:t>
      </w:r>
      <w:r w:rsidR="001F6966">
        <w:rPr>
          <w:rFonts w:ascii="Arial" w:eastAsia="Arial" w:hAnsi="Arial" w:cs="Arial"/>
        </w:rPr>
        <w:t>;</w:t>
      </w:r>
    </w:p>
    <w:p w14:paraId="1966550E" w14:textId="189231FB" w:rsidR="0029530C" w:rsidRDefault="0029530C" w:rsidP="00511FF7">
      <w:pPr>
        <w:ind w:left="709" w:hanging="709"/>
        <w:jc w:val="both"/>
        <w:rPr>
          <w:rFonts w:ascii="Arial" w:eastAsia="Arial" w:hAnsi="Arial" w:cs="Arial"/>
          <w:iCs/>
          <w:color w:val="000000"/>
        </w:rPr>
      </w:pPr>
    </w:p>
    <w:p w14:paraId="61A9B87F" w14:textId="4511D502" w:rsidR="001F6966" w:rsidRPr="001F6966" w:rsidRDefault="001F6966" w:rsidP="001F6966">
      <w:pPr>
        <w:ind w:left="709" w:hanging="709"/>
        <w:jc w:val="both"/>
        <w:rPr>
          <w:rFonts w:ascii="Arial" w:eastAsia="Arial" w:hAnsi="Arial" w:cs="Arial"/>
          <w:iCs/>
          <w:color w:val="000000"/>
          <w:lang w:val="es-ES_tradnl"/>
        </w:rPr>
      </w:pPr>
      <w:r w:rsidRPr="001F6966">
        <w:rPr>
          <w:rFonts w:ascii="Arial" w:eastAsia="Arial" w:hAnsi="Arial" w:cs="Arial"/>
          <w:b/>
          <w:iCs/>
          <w:color w:val="000000"/>
          <w:lang w:val="es-EC"/>
        </w:rPr>
        <w:t>Que,</w:t>
      </w:r>
      <w:r w:rsidRPr="001F6966">
        <w:rPr>
          <w:rFonts w:ascii="Arial" w:eastAsia="Arial" w:hAnsi="Arial" w:cs="Arial"/>
          <w:iCs/>
          <w:color w:val="000000"/>
          <w:lang w:val="es-EC"/>
        </w:rPr>
        <w:t xml:space="preserve"> </w:t>
      </w:r>
      <w:r w:rsidRPr="001F6966">
        <w:rPr>
          <w:rFonts w:ascii="Arial" w:eastAsia="Arial" w:hAnsi="Arial" w:cs="Arial"/>
          <w:iCs/>
          <w:color w:val="000000"/>
          <w:lang w:val="es-EC"/>
        </w:rPr>
        <w:tab/>
      </w:r>
      <w:r w:rsidRPr="001F6966">
        <w:rPr>
          <w:rFonts w:ascii="Arial" w:eastAsia="Arial" w:hAnsi="Arial" w:cs="Arial"/>
          <w:iCs/>
          <w:color w:val="000000"/>
          <w:lang w:val="es-ES_tradnl"/>
        </w:rPr>
        <w:t xml:space="preserve">el Concejo Metropolitano de Quito mediante Ordenanza Metropolitana No. 0041, sancionada el 22 de febrero de 2015, aprueba el Plan Metropolitano de Desarrollo y Ordenamiento Territorial; </w:t>
      </w:r>
    </w:p>
    <w:p w14:paraId="3B941B7D" w14:textId="3BEF51D1" w:rsidR="001F6966" w:rsidRDefault="001F6966" w:rsidP="00511FF7">
      <w:pPr>
        <w:ind w:left="709" w:hanging="709"/>
        <w:jc w:val="both"/>
        <w:rPr>
          <w:rFonts w:ascii="Arial" w:eastAsia="Arial" w:hAnsi="Arial" w:cs="Arial"/>
          <w:iCs/>
          <w:color w:val="000000"/>
        </w:rPr>
      </w:pPr>
    </w:p>
    <w:p w14:paraId="3D5B013F" w14:textId="4B0A1359" w:rsidR="001F6966" w:rsidRPr="001F6966" w:rsidRDefault="001F6966" w:rsidP="001F6966">
      <w:pPr>
        <w:ind w:left="709" w:hanging="709"/>
        <w:jc w:val="both"/>
        <w:rPr>
          <w:rFonts w:ascii="Arial" w:eastAsia="Arial" w:hAnsi="Arial" w:cs="Arial"/>
          <w:iCs/>
          <w:color w:val="000000"/>
          <w:lang w:val="es-EC"/>
        </w:rPr>
      </w:pPr>
      <w:r w:rsidRPr="001F6966">
        <w:rPr>
          <w:rFonts w:ascii="Arial" w:eastAsia="Arial" w:hAnsi="Arial" w:cs="Arial"/>
          <w:b/>
          <w:iCs/>
          <w:color w:val="000000"/>
          <w:lang w:val="es-EC"/>
        </w:rPr>
        <w:t>Que</w:t>
      </w:r>
      <w:r w:rsidRPr="001F6966">
        <w:rPr>
          <w:rFonts w:ascii="Arial" w:eastAsia="Arial" w:hAnsi="Arial" w:cs="Arial"/>
          <w:iCs/>
          <w:color w:val="000000"/>
          <w:lang w:val="es-EC"/>
        </w:rPr>
        <w:t xml:space="preserve">, </w:t>
      </w:r>
      <w:r>
        <w:rPr>
          <w:rFonts w:ascii="Arial" w:eastAsia="Arial" w:hAnsi="Arial" w:cs="Arial"/>
          <w:iCs/>
          <w:color w:val="000000"/>
          <w:lang w:val="es-EC"/>
        </w:rPr>
        <w:tab/>
      </w:r>
      <w:r w:rsidRPr="001F6966">
        <w:rPr>
          <w:rFonts w:ascii="Arial" w:eastAsia="Arial" w:hAnsi="Arial" w:cs="Arial"/>
          <w:iCs/>
          <w:color w:val="000000"/>
          <w:lang w:val="es-ES_tradnl"/>
        </w:rPr>
        <w:t xml:space="preserve">el Concejo Metropolitano de Quito </w:t>
      </w:r>
      <w:r w:rsidRPr="001F6966">
        <w:rPr>
          <w:rFonts w:ascii="Arial" w:eastAsia="Arial" w:hAnsi="Arial" w:cs="Arial"/>
          <w:iCs/>
          <w:color w:val="000000"/>
          <w:lang w:val="es-EC"/>
        </w:rPr>
        <w:t xml:space="preserve">mediante Ordenanza Metropolitana No. 127 de 25 de julio de 2016, </w:t>
      </w:r>
      <w:r>
        <w:rPr>
          <w:rFonts w:ascii="Arial" w:eastAsia="Arial" w:hAnsi="Arial" w:cs="Arial"/>
          <w:iCs/>
          <w:color w:val="000000"/>
          <w:lang w:val="es-EC"/>
        </w:rPr>
        <w:t>aprueba</w:t>
      </w:r>
      <w:r w:rsidRPr="001F6966">
        <w:rPr>
          <w:rFonts w:ascii="Arial" w:eastAsia="Arial" w:hAnsi="Arial" w:cs="Arial"/>
          <w:iCs/>
          <w:color w:val="000000"/>
          <w:lang w:val="es-EC"/>
        </w:rPr>
        <w:t xml:space="preserve"> el Plan de Uso y Ocupación del Suelo (PUOS) y sus anexos</w:t>
      </w:r>
      <w:r w:rsidR="00157098">
        <w:rPr>
          <w:rFonts w:ascii="Arial" w:eastAsia="Arial" w:hAnsi="Arial" w:cs="Arial"/>
          <w:iCs/>
          <w:color w:val="000000"/>
          <w:lang w:val="es-EC"/>
        </w:rPr>
        <w:t>,</w:t>
      </w:r>
      <w:r w:rsidR="00157098" w:rsidRPr="00157098">
        <w:rPr>
          <w:rFonts w:ascii="Arial" w:eastAsia="Arial" w:hAnsi="Arial" w:cs="Arial"/>
          <w:iCs/>
          <w:color w:val="000000"/>
          <w:lang w:val="es-EC"/>
        </w:rPr>
        <w:t xml:space="preserve"> </w:t>
      </w:r>
      <w:r w:rsidR="00157098">
        <w:rPr>
          <w:rFonts w:ascii="Arial" w:eastAsia="Arial" w:hAnsi="Arial" w:cs="Arial"/>
          <w:iCs/>
          <w:color w:val="000000"/>
          <w:lang w:val="es-EC"/>
        </w:rPr>
        <w:t xml:space="preserve">que posteriormente es reformada por la </w:t>
      </w:r>
      <w:r w:rsidR="00157098" w:rsidRPr="001F6966">
        <w:rPr>
          <w:rFonts w:ascii="Arial" w:eastAsia="Arial" w:hAnsi="Arial" w:cs="Arial"/>
          <w:iCs/>
          <w:color w:val="000000"/>
          <w:lang w:val="es-EC"/>
        </w:rPr>
        <w:t>Ordenanza Metropolitana No. 192 de 20 de diciembre de 2017</w:t>
      </w:r>
      <w:r w:rsidR="00157098">
        <w:rPr>
          <w:rFonts w:ascii="Arial" w:eastAsia="Arial" w:hAnsi="Arial" w:cs="Arial"/>
          <w:iCs/>
          <w:color w:val="000000"/>
          <w:lang w:val="es-EC"/>
        </w:rPr>
        <w:t xml:space="preserve"> y la Ordenanza Metropolitana No. 210 de </w:t>
      </w:r>
      <w:r w:rsidR="00F741B3">
        <w:rPr>
          <w:rFonts w:ascii="Arial" w:hAnsi="Arial" w:cs="Arial"/>
        </w:rPr>
        <w:t>12 de abril de 2018</w:t>
      </w:r>
      <w:r w:rsidRPr="001F6966">
        <w:rPr>
          <w:rFonts w:ascii="Arial" w:eastAsia="Arial" w:hAnsi="Arial" w:cs="Arial"/>
          <w:iCs/>
          <w:color w:val="000000"/>
          <w:lang w:val="es-EC"/>
        </w:rPr>
        <w:t>;</w:t>
      </w:r>
      <w:r>
        <w:rPr>
          <w:rFonts w:ascii="Arial" w:eastAsia="Arial" w:hAnsi="Arial" w:cs="Arial"/>
          <w:iCs/>
          <w:color w:val="000000"/>
          <w:lang w:val="es-EC"/>
        </w:rPr>
        <w:t xml:space="preserve"> </w:t>
      </w:r>
    </w:p>
    <w:p w14:paraId="67229CBC" w14:textId="35E3C206" w:rsidR="001F6966" w:rsidRDefault="001F6966" w:rsidP="00511FF7">
      <w:pPr>
        <w:ind w:left="709" w:hanging="709"/>
        <w:jc w:val="both"/>
        <w:rPr>
          <w:rFonts w:ascii="Arial" w:eastAsia="Arial" w:hAnsi="Arial" w:cs="Arial"/>
          <w:iCs/>
          <w:color w:val="000000"/>
        </w:rPr>
      </w:pPr>
    </w:p>
    <w:p w14:paraId="1CAD8251" w14:textId="307B6352" w:rsidR="00157098" w:rsidRDefault="000419C5" w:rsidP="00157098">
      <w:pPr>
        <w:ind w:left="709" w:hanging="709"/>
        <w:jc w:val="both"/>
        <w:rPr>
          <w:rFonts w:ascii="Arial" w:eastAsia="Arial" w:hAnsi="Arial" w:cs="Arial"/>
        </w:rPr>
      </w:pPr>
      <w:r w:rsidRPr="000419C5">
        <w:rPr>
          <w:rFonts w:ascii="Arial" w:eastAsia="Arial" w:hAnsi="Arial" w:cs="Arial"/>
          <w:b/>
        </w:rPr>
        <w:t>Que,</w:t>
      </w:r>
      <w:r w:rsidRPr="000419C5">
        <w:rPr>
          <w:rFonts w:ascii="Arial" w:eastAsia="Arial" w:hAnsi="Arial" w:cs="Arial"/>
        </w:rPr>
        <w:tab/>
        <w:t xml:space="preserve">el </w:t>
      </w:r>
      <w:r w:rsidR="00157098">
        <w:rPr>
          <w:rFonts w:ascii="Arial" w:eastAsia="Arial" w:hAnsi="Arial" w:cs="Arial"/>
        </w:rPr>
        <w:t xml:space="preserve">Art. 6 de la </w:t>
      </w:r>
      <w:r w:rsidR="00157098" w:rsidRPr="00157098">
        <w:rPr>
          <w:rFonts w:ascii="Arial" w:eastAsia="Arial" w:hAnsi="Arial" w:cs="Arial"/>
          <w:lang w:val="es-EC"/>
        </w:rPr>
        <w:t>de la Ordenanza Metropolitana No. 127</w:t>
      </w:r>
      <w:r w:rsidR="00157098">
        <w:rPr>
          <w:rFonts w:ascii="Arial" w:eastAsia="Arial" w:hAnsi="Arial" w:cs="Arial"/>
          <w:lang w:val="es-EC"/>
        </w:rPr>
        <w:t>, reformada por el Art. 2 de la</w:t>
      </w:r>
      <w:r w:rsidR="00157098">
        <w:rPr>
          <w:rFonts w:ascii="Arial" w:eastAsia="Arial" w:hAnsi="Arial" w:cs="Arial"/>
          <w:iCs/>
          <w:color w:val="000000"/>
          <w:lang w:val="es-EC"/>
        </w:rPr>
        <w:t xml:space="preserve"> Ordenanza Metropolitana No. 210, respecto al “</w:t>
      </w:r>
      <w:r w:rsidR="00157098" w:rsidRPr="00157098">
        <w:rPr>
          <w:rFonts w:ascii="Arial" w:eastAsia="Arial" w:hAnsi="Arial" w:cs="Arial"/>
          <w:bCs/>
          <w:i/>
          <w:lang w:val="es-EC"/>
        </w:rPr>
        <w:t>Cese de actividad y reasignaciones de usos de suelo y zonificación de los equipamientos</w:t>
      </w:r>
      <w:r w:rsidR="00157098">
        <w:rPr>
          <w:rFonts w:ascii="Arial" w:eastAsia="Arial" w:hAnsi="Arial" w:cs="Arial"/>
          <w:bCs/>
          <w:i/>
          <w:lang w:val="es-EC"/>
        </w:rPr>
        <w:t xml:space="preserve">”, </w:t>
      </w:r>
      <w:r w:rsidR="00157098">
        <w:rPr>
          <w:rFonts w:ascii="Arial" w:eastAsia="Arial" w:hAnsi="Arial" w:cs="Arial"/>
          <w:iCs/>
          <w:color w:val="000000"/>
          <w:lang w:val="es-EC"/>
        </w:rPr>
        <w:t>textualmente dispone que “</w:t>
      </w:r>
      <w:r w:rsidR="00157098" w:rsidRPr="00157098">
        <w:rPr>
          <w:rFonts w:ascii="Arial" w:eastAsia="Arial" w:hAnsi="Arial" w:cs="Arial"/>
          <w:bCs/>
          <w:i/>
          <w:lang w:val="es-EC"/>
        </w:rPr>
        <w:t xml:space="preserve">Los lotes de dominio público y privado con uso de suelo principal de equipamiento, en los cuales hayan cesado las actividades o se prevea su traslado, deberán presentar el informe que indique el cese o traslado de la actividad por parte de la autoridad competente y podrán solicitar a la municipalidad el cambio de asignaciones de uso de suelo y zonificación, aplicando las que correspondan a su entorno inmediato. </w:t>
      </w:r>
      <w:r w:rsidR="00157098" w:rsidRPr="00157098">
        <w:rPr>
          <w:rFonts w:ascii="Arial" w:eastAsia="Arial" w:hAnsi="Arial" w:cs="Arial"/>
          <w:i/>
          <w:lang w:val="es-EC"/>
        </w:rPr>
        <w:t>Lo propio aplicará en lotes de dominio privado, con uso de suelo principal equipamiento, que no hayan desarrollado proyectos destinados para este uso.</w:t>
      </w:r>
      <w:r w:rsidR="00157098">
        <w:rPr>
          <w:rFonts w:ascii="Arial" w:eastAsia="Arial" w:hAnsi="Arial" w:cs="Arial"/>
          <w:i/>
          <w:lang w:val="es-EC"/>
        </w:rPr>
        <w:t xml:space="preserve"> - </w:t>
      </w:r>
      <w:r w:rsidR="00157098" w:rsidRPr="00157098">
        <w:rPr>
          <w:rFonts w:ascii="Arial" w:eastAsia="Arial" w:hAnsi="Arial" w:cs="Arial"/>
          <w:i/>
          <w:lang w:val="es-EC"/>
        </w:rPr>
        <w:t>La Secretaría responsable del territorio, hábitat y vivienda, emitirá un informe motivado que sustentará la viabilidad o no del cambio solicitado. Dicho informe permitirá al Concejo Metropolitano aprobar mediante resolución u ordenanza, según corresponda, la modificación o permanencia del uso de suelo y zonificación, previo conocimiento de la Comisión de Uso de Suelo.”</w:t>
      </w:r>
      <w:r w:rsidR="00157098">
        <w:rPr>
          <w:rFonts w:ascii="Arial" w:eastAsia="Arial" w:hAnsi="Arial" w:cs="Arial"/>
          <w:i/>
          <w:lang w:val="es-EC"/>
        </w:rPr>
        <w:t>;</w:t>
      </w:r>
    </w:p>
    <w:p w14:paraId="41A0B7E3" w14:textId="77777777" w:rsidR="00157098" w:rsidRDefault="00157098" w:rsidP="00511FF7">
      <w:pPr>
        <w:ind w:left="709" w:hanging="709"/>
        <w:jc w:val="both"/>
        <w:rPr>
          <w:rFonts w:ascii="Arial" w:eastAsia="Arial" w:hAnsi="Arial" w:cs="Arial"/>
        </w:rPr>
      </w:pPr>
    </w:p>
    <w:p w14:paraId="1EB72310" w14:textId="17290688" w:rsidR="00157098" w:rsidRDefault="000419C5" w:rsidP="00511FF7">
      <w:pPr>
        <w:ind w:left="709" w:hanging="709"/>
        <w:jc w:val="both"/>
        <w:rPr>
          <w:rFonts w:ascii="Arial" w:eastAsia="Arial" w:hAnsi="Arial" w:cs="Arial"/>
        </w:rPr>
      </w:pPr>
      <w:r w:rsidRPr="000419C5">
        <w:rPr>
          <w:rFonts w:ascii="Arial" w:eastAsia="Arial" w:hAnsi="Arial" w:cs="Arial"/>
          <w:b/>
        </w:rPr>
        <w:t>Que,</w:t>
      </w:r>
      <w:r w:rsidRPr="000419C5">
        <w:rPr>
          <w:rFonts w:ascii="Arial" w:eastAsia="Arial" w:hAnsi="Arial" w:cs="Arial"/>
        </w:rPr>
        <w:t xml:space="preserve"> </w:t>
      </w:r>
      <w:r w:rsidR="00852D3F">
        <w:rPr>
          <w:rFonts w:ascii="Arial" w:eastAsia="Arial" w:hAnsi="Arial" w:cs="Arial"/>
        </w:rPr>
        <w:tab/>
      </w:r>
      <w:r w:rsidR="00157098">
        <w:rPr>
          <w:rFonts w:ascii="Arial" w:eastAsia="Arial" w:hAnsi="Arial" w:cs="Arial"/>
        </w:rPr>
        <w:t xml:space="preserve">la </w:t>
      </w:r>
      <w:r w:rsidR="00157098" w:rsidRPr="000419C5">
        <w:rPr>
          <w:rFonts w:ascii="Arial" w:eastAsia="Arial" w:hAnsi="Arial" w:cs="Arial"/>
        </w:rPr>
        <w:t>Secretaría de Territorio, Hábitat y Vivienda</w:t>
      </w:r>
      <w:r w:rsidR="00157098">
        <w:rPr>
          <w:rFonts w:ascii="Arial" w:eastAsia="Arial" w:hAnsi="Arial" w:cs="Arial"/>
        </w:rPr>
        <w:t>,</w:t>
      </w:r>
      <w:r w:rsidR="00157098" w:rsidRPr="000419C5">
        <w:rPr>
          <w:rFonts w:ascii="Arial" w:eastAsia="Arial" w:hAnsi="Arial" w:cs="Arial"/>
        </w:rPr>
        <w:t xml:space="preserve"> </w:t>
      </w:r>
      <w:r w:rsidRPr="000419C5">
        <w:rPr>
          <w:rFonts w:ascii="Arial" w:eastAsia="Arial" w:hAnsi="Arial" w:cs="Arial"/>
        </w:rPr>
        <w:t xml:space="preserve">mediante resolución </w:t>
      </w:r>
      <w:r w:rsidR="00157098">
        <w:rPr>
          <w:rFonts w:ascii="Arial" w:eastAsia="Arial" w:hAnsi="Arial" w:cs="Arial"/>
        </w:rPr>
        <w:t xml:space="preserve">administrativa </w:t>
      </w:r>
      <w:r w:rsidRPr="000419C5">
        <w:rPr>
          <w:rFonts w:ascii="Arial" w:eastAsia="Arial" w:hAnsi="Arial" w:cs="Arial"/>
        </w:rPr>
        <w:t xml:space="preserve">No. STHV-032-2019 </w:t>
      </w:r>
      <w:r w:rsidR="00157098">
        <w:rPr>
          <w:rFonts w:ascii="Arial" w:eastAsia="Arial" w:hAnsi="Arial" w:cs="Arial"/>
        </w:rPr>
        <w:t>de</w:t>
      </w:r>
      <w:r w:rsidRPr="000419C5">
        <w:rPr>
          <w:rFonts w:ascii="Arial" w:eastAsia="Arial" w:hAnsi="Arial" w:cs="Arial"/>
        </w:rPr>
        <w:t xml:space="preserve"> 16 de septiembre de 2019, expidió el “</w:t>
      </w:r>
      <w:r w:rsidRPr="00157098">
        <w:rPr>
          <w:rFonts w:ascii="Arial" w:eastAsia="Arial" w:hAnsi="Arial" w:cs="Arial"/>
          <w:i/>
          <w:iCs/>
        </w:rPr>
        <w:t>Instructivo para el cambio de Uso de Suelo y Zonificación para los lotes que tengan asignación de Equipamiento</w:t>
      </w:r>
      <w:r w:rsidRPr="000419C5">
        <w:rPr>
          <w:rFonts w:ascii="Arial" w:eastAsia="Arial" w:hAnsi="Arial" w:cs="Arial"/>
        </w:rPr>
        <w:t>”</w:t>
      </w:r>
      <w:r w:rsidR="00C97A4C">
        <w:rPr>
          <w:rFonts w:ascii="Arial" w:eastAsia="Arial" w:hAnsi="Arial" w:cs="Arial"/>
        </w:rPr>
        <w:t>;</w:t>
      </w:r>
    </w:p>
    <w:p w14:paraId="2032D2CB" w14:textId="77777777" w:rsidR="00157098" w:rsidRDefault="00157098" w:rsidP="00511FF7">
      <w:pPr>
        <w:ind w:left="709" w:hanging="709"/>
        <w:jc w:val="both"/>
        <w:rPr>
          <w:rFonts w:ascii="Arial" w:eastAsia="Arial" w:hAnsi="Arial" w:cs="Arial"/>
        </w:rPr>
      </w:pPr>
    </w:p>
    <w:p w14:paraId="35E432E9" w14:textId="1C409F3E" w:rsidR="000419C5" w:rsidRDefault="000419C5" w:rsidP="00511FF7">
      <w:pPr>
        <w:ind w:left="709" w:hanging="709"/>
        <w:jc w:val="both"/>
        <w:rPr>
          <w:rFonts w:ascii="Arial" w:eastAsia="Arial" w:hAnsi="Arial" w:cs="Arial"/>
        </w:rPr>
      </w:pPr>
      <w:r w:rsidRPr="000419C5">
        <w:rPr>
          <w:rFonts w:ascii="Arial" w:eastAsia="Arial" w:hAnsi="Arial" w:cs="Arial"/>
          <w:b/>
        </w:rPr>
        <w:t>Que,</w:t>
      </w:r>
      <w:r w:rsidR="00852D3F">
        <w:rPr>
          <w:rFonts w:ascii="Arial" w:eastAsia="Arial" w:hAnsi="Arial" w:cs="Arial"/>
          <w:b/>
        </w:rPr>
        <w:t xml:space="preserve"> </w:t>
      </w:r>
      <w:r w:rsidRPr="000419C5">
        <w:rPr>
          <w:rFonts w:ascii="Arial" w:eastAsia="Arial" w:hAnsi="Arial" w:cs="Arial"/>
        </w:rPr>
        <w:tab/>
        <w:t xml:space="preserve">la Procuraduría Metropolitana, mediante oficio Nro. GADDMQ-PM-SAUOS-2020-0090-O de fecha 11 de marzo de 2020, emitió criterio jurídico respecto a cuándo corresponde realizar la modificación o </w:t>
      </w:r>
      <w:r w:rsidRPr="000419C5">
        <w:rPr>
          <w:rFonts w:ascii="Arial" w:eastAsia="Arial" w:hAnsi="Arial" w:cs="Arial"/>
        </w:rPr>
        <w:lastRenderedPageBreak/>
        <w:t>permanencia del uso de suelo y zonificación mediante resolución u ordenanza</w:t>
      </w:r>
      <w:r w:rsidR="00852D3F">
        <w:rPr>
          <w:rFonts w:ascii="Arial" w:eastAsia="Arial" w:hAnsi="Arial" w:cs="Arial"/>
        </w:rPr>
        <w:t>;</w:t>
      </w:r>
      <w:r w:rsidRPr="000419C5">
        <w:rPr>
          <w:rFonts w:ascii="Arial" w:eastAsia="Arial" w:hAnsi="Arial" w:cs="Arial"/>
        </w:rPr>
        <w:t xml:space="preserve"> </w:t>
      </w:r>
    </w:p>
    <w:p w14:paraId="6CA11D90" w14:textId="77777777" w:rsidR="000419C5" w:rsidRPr="000419C5" w:rsidRDefault="000419C5" w:rsidP="00511FF7">
      <w:pPr>
        <w:ind w:left="709" w:hanging="709"/>
        <w:jc w:val="both"/>
        <w:rPr>
          <w:rFonts w:ascii="Arial" w:eastAsia="Arial" w:hAnsi="Arial" w:cs="Arial"/>
        </w:rPr>
      </w:pPr>
    </w:p>
    <w:p w14:paraId="0E81F515" w14:textId="4FDF5DB0" w:rsidR="000419C5" w:rsidRDefault="000419C5" w:rsidP="00511FF7">
      <w:pPr>
        <w:ind w:left="709" w:hanging="709"/>
        <w:jc w:val="both"/>
        <w:rPr>
          <w:rFonts w:ascii="Arial" w:eastAsia="Arial" w:hAnsi="Arial" w:cs="Arial"/>
        </w:rPr>
      </w:pPr>
      <w:r w:rsidRPr="000419C5">
        <w:rPr>
          <w:rFonts w:ascii="Arial" w:eastAsia="Arial" w:hAnsi="Arial" w:cs="Arial"/>
          <w:b/>
        </w:rPr>
        <w:t>Que,</w:t>
      </w:r>
      <w:r w:rsidRPr="000419C5">
        <w:rPr>
          <w:rFonts w:ascii="Arial" w:eastAsia="Arial" w:hAnsi="Arial" w:cs="Arial"/>
        </w:rPr>
        <w:t xml:space="preserve"> </w:t>
      </w:r>
      <w:r w:rsidRPr="000419C5">
        <w:rPr>
          <w:rFonts w:ascii="Arial" w:eastAsia="Arial" w:hAnsi="Arial" w:cs="Arial"/>
        </w:rPr>
        <w:tab/>
        <w:t xml:space="preserve">la Secretaría de Territorio Hábitat y Vivienda, mediante </w:t>
      </w:r>
      <w:r w:rsidR="00157098">
        <w:rPr>
          <w:rFonts w:ascii="Arial" w:eastAsia="Arial" w:hAnsi="Arial" w:cs="Arial"/>
        </w:rPr>
        <w:t>o</w:t>
      </w:r>
      <w:r w:rsidRPr="000419C5">
        <w:rPr>
          <w:rFonts w:ascii="Arial" w:eastAsia="Arial" w:hAnsi="Arial" w:cs="Arial"/>
        </w:rPr>
        <w:t xml:space="preserve">ficio No. STHV-2020-0131-O de fecha 6 de febrero de 2020, </w:t>
      </w:r>
      <w:r w:rsidR="00157098">
        <w:rPr>
          <w:rFonts w:ascii="Arial" w:eastAsia="Arial" w:hAnsi="Arial" w:cs="Arial"/>
        </w:rPr>
        <w:t xml:space="preserve">con sustento en </w:t>
      </w:r>
      <w:r w:rsidR="00C97A4C" w:rsidRPr="000419C5">
        <w:rPr>
          <w:rFonts w:ascii="Arial" w:eastAsia="Arial" w:hAnsi="Arial" w:cs="Arial"/>
        </w:rPr>
        <w:t xml:space="preserve">el </w:t>
      </w:r>
      <w:r w:rsidR="00C97A4C">
        <w:rPr>
          <w:rFonts w:ascii="Arial" w:eastAsia="Arial" w:hAnsi="Arial" w:cs="Arial"/>
        </w:rPr>
        <w:t xml:space="preserve">Art. 6 de la </w:t>
      </w:r>
      <w:r w:rsidR="00C97A4C" w:rsidRPr="00157098">
        <w:rPr>
          <w:rFonts w:ascii="Arial" w:eastAsia="Arial" w:hAnsi="Arial" w:cs="Arial"/>
          <w:lang w:val="es-EC"/>
        </w:rPr>
        <w:t>de la Ordenanza Metropolitana No. 127</w:t>
      </w:r>
      <w:r w:rsidR="00C97A4C">
        <w:rPr>
          <w:rFonts w:ascii="Arial" w:eastAsia="Arial" w:hAnsi="Arial" w:cs="Arial"/>
          <w:lang w:val="es-EC"/>
        </w:rPr>
        <w:t>, reformada por el Art. 2 de la</w:t>
      </w:r>
      <w:r w:rsidR="00C97A4C">
        <w:rPr>
          <w:rFonts w:ascii="Arial" w:eastAsia="Arial" w:hAnsi="Arial" w:cs="Arial"/>
          <w:iCs/>
          <w:color w:val="000000"/>
          <w:lang w:val="es-EC"/>
        </w:rPr>
        <w:t xml:space="preserve"> Ordenanza Metropolitana No. 210 y el </w:t>
      </w:r>
      <w:r w:rsidR="00C97A4C" w:rsidRPr="000419C5">
        <w:rPr>
          <w:rFonts w:ascii="Arial" w:eastAsia="Arial" w:hAnsi="Arial" w:cs="Arial"/>
        </w:rPr>
        <w:t>“</w:t>
      </w:r>
      <w:r w:rsidR="00C97A4C" w:rsidRPr="00157098">
        <w:rPr>
          <w:rFonts w:ascii="Arial" w:eastAsia="Arial" w:hAnsi="Arial" w:cs="Arial"/>
          <w:i/>
          <w:iCs/>
        </w:rPr>
        <w:t>Instructivo para el cambio de Uso de Suelo y Zonificación para los lotes que tengan asignación de Equipamiento</w:t>
      </w:r>
      <w:r w:rsidR="00C97A4C" w:rsidRPr="000419C5">
        <w:rPr>
          <w:rFonts w:ascii="Arial" w:eastAsia="Arial" w:hAnsi="Arial" w:cs="Arial"/>
        </w:rPr>
        <w:t>”</w:t>
      </w:r>
      <w:r w:rsidR="00C97A4C">
        <w:rPr>
          <w:rFonts w:ascii="Arial" w:eastAsia="Arial" w:hAnsi="Arial" w:cs="Arial"/>
        </w:rPr>
        <w:t xml:space="preserve">, precedentemente invocados, </w:t>
      </w:r>
      <w:r w:rsidRPr="000419C5">
        <w:rPr>
          <w:rFonts w:ascii="Arial" w:eastAsia="Arial" w:hAnsi="Arial" w:cs="Arial"/>
        </w:rPr>
        <w:t>emitió el informe técnico que determina la viabilidad del cambio de uso de suelo de equipamiento para el lote con predio No. 1207043</w:t>
      </w:r>
      <w:r w:rsidR="00C97A4C">
        <w:rPr>
          <w:rFonts w:ascii="Arial" w:eastAsia="Arial" w:hAnsi="Arial" w:cs="Arial"/>
        </w:rPr>
        <w:t>;</w:t>
      </w:r>
    </w:p>
    <w:p w14:paraId="03984CDD" w14:textId="77777777" w:rsidR="000419C5" w:rsidRPr="000419C5" w:rsidRDefault="000419C5" w:rsidP="00511FF7">
      <w:pPr>
        <w:ind w:left="709" w:hanging="709"/>
        <w:jc w:val="both"/>
        <w:rPr>
          <w:rFonts w:ascii="Arial" w:eastAsia="Arial" w:hAnsi="Arial" w:cs="Arial"/>
        </w:rPr>
      </w:pPr>
    </w:p>
    <w:p w14:paraId="2AA3D157" w14:textId="77F2CC30" w:rsidR="000419C5" w:rsidRDefault="000419C5" w:rsidP="00511FF7">
      <w:pPr>
        <w:ind w:left="709" w:hanging="709"/>
        <w:jc w:val="both"/>
        <w:rPr>
          <w:rFonts w:ascii="Arial" w:eastAsia="Arial" w:hAnsi="Arial" w:cs="Arial"/>
        </w:rPr>
      </w:pPr>
      <w:r w:rsidRPr="000419C5">
        <w:rPr>
          <w:rFonts w:ascii="Arial" w:eastAsia="Arial" w:hAnsi="Arial" w:cs="Arial"/>
          <w:b/>
        </w:rPr>
        <w:t>Que,</w:t>
      </w:r>
      <w:r w:rsidR="00852D3F">
        <w:rPr>
          <w:rFonts w:ascii="Arial" w:eastAsia="Arial" w:hAnsi="Arial" w:cs="Arial"/>
          <w:b/>
        </w:rPr>
        <w:t xml:space="preserve"> </w:t>
      </w:r>
      <w:r w:rsidRPr="000419C5">
        <w:rPr>
          <w:rFonts w:ascii="Arial" w:eastAsia="Arial" w:hAnsi="Arial" w:cs="Arial"/>
        </w:rPr>
        <w:tab/>
        <w:t xml:space="preserve">la Procuraduría Metropolitana, mediante oficio Nro. GADDMQ-PM-SAUOS-2020-0096-O de fecha 13 de marzo de 2020, emitió criterio legal favorable para que la Comisión de Uso de Suelo, de considerarlo pertinente, alcance del Concejo Metropolitano, la autorización para el cambio de asignaciones de uso de suelo y zonificación del predio No. 1207043, aplicando las que correspondan a su entorno inmediato, de acuerdo a los datos técnicos </w:t>
      </w:r>
      <w:r w:rsidR="00C97A4C">
        <w:rPr>
          <w:rFonts w:ascii="Arial" w:eastAsia="Arial" w:hAnsi="Arial" w:cs="Arial"/>
        </w:rPr>
        <w:t xml:space="preserve">emitidos </w:t>
      </w:r>
      <w:r w:rsidRPr="000419C5">
        <w:rPr>
          <w:rFonts w:ascii="Arial" w:eastAsia="Arial" w:hAnsi="Arial" w:cs="Arial"/>
        </w:rPr>
        <w:t>por la Dirección Metropolitana de Políticas y Planeamiento del Suelo</w:t>
      </w:r>
      <w:r w:rsidR="00852D3F">
        <w:rPr>
          <w:rFonts w:ascii="Arial" w:eastAsia="Arial" w:hAnsi="Arial" w:cs="Arial"/>
        </w:rPr>
        <w:t>,</w:t>
      </w:r>
      <w:r w:rsidRPr="000419C5">
        <w:rPr>
          <w:rFonts w:ascii="Arial" w:eastAsia="Arial" w:hAnsi="Arial" w:cs="Arial"/>
        </w:rPr>
        <w:t xml:space="preserve"> de la Secretaría de Territorio, Hábitat y Vivienda, </w:t>
      </w:r>
      <w:r w:rsidR="00852D3F">
        <w:rPr>
          <w:rFonts w:ascii="Arial" w:eastAsia="Arial" w:hAnsi="Arial" w:cs="Arial"/>
        </w:rPr>
        <w:t>contenidos en el o</w:t>
      </w:r>
      <w:r w:rsidRPr="000419C5">
        <w:rPr>
          <w:rFonts w:ascii="Arial" w:eastAsia="Arial" w:hAnsi="Arial" w:cs="Arial"/>
        </w:rPr>
        <w:t>ficio No. STHV-2020-0131-O de 6 de febrero de 2020</w:t>
      </w:r>
      <w:r w:rsidR="00852D3F">
        <w:rPr>
          <w:rFonts w:ascii="Arial" w:eastAsia="Arial" w:hAnsi="Arial" w:cs="Arial"/>
        </w:rPr>
        <w:t>; y,</w:t>
      </w:r>
    </w:p>
    <w:p w14:paraId="3C3A3DE5" w14:textId="77777777" w:rsidR="000419C5" w:rsidRPr="000419C5" w:rsidRDefault="000419C5" w:rsidP="00852D3F">
      <w:pPr>
        <w:ind w:left="566" w:hanging="566"/>
        <w:jc w:val="both"/>
        <w:rPr>
          <w:rFonts w:ascii="Arial" w:eastAsia="Arial" w:hAnsi="Arial" w:cs="Arial"/>
        </w:rPr>
      </w:pPr>
    </w:p>
    <w:p w14:paraId="69A2BE9C" w14:textId="547CB7DE" w:rsidR="000419C5" w:rsidRPr="000419C5" w:rsidRDefault="00C97A4C" w:rsidP="000419C5">
      <w:pPr>
        <w:jc w:val="both"/>
        <w:rPr>
          <w:rFonts w:ascii="Arial" w:eastAsia="Arial" w:hAnsi="Arial" w:cs="Arial"/>
        </w:rPr>
      </w:pPr>
      <w:r>
        <w:rPr>
          <w:rFonts w:ascii="Arial" w:hAnsi="Arial" w:cs="Arial"/>
          <w:noProof/>
          <w:lang w:val="es-EC"/>
        </w:rPr>
        <w:t>E</w:t>
      </w:r>
      <w:r w:rsidRPr="00203FA6">
        <w:rPr>
          <w:rFonts w:ascii="Arial" w:hAnsi="Arial" w:cs="Arial"/>
          <w:noProof/>
          <w:lang w:val="es-EC"/>
        </w:rPr>
        <w:t xml:space="preserve">n ejercicio de las atribuciones que le confiere el artículo 266 inciso segundo de la Constitución de la República y artículo 7 del Código Orgánico de Organización Territorial, </w:t>
      </w:r>
      <w:r>
        <w:rPr>
          <w:rFonts w:ascii="Arial" w:hAnsi="Arial" w:cs="Arial"/>
          <w:noProof/>
          <w:lang w:val="es-EC"/>
        </w:rPr>
        <w:t>A</w:t>
      </w:r>
      <w:r w:rsidRPr="00203FA6">
        <w:rPr>
          <w:rFonts w:ascii="Arial" w:hAnsi="Arial" w:cs="Arial"/>
          <w:noProof/>
          <w:lang w:val="es-EC"/>
        </w:rPr>
        <w:t>utonomía y Descentralización,</w:t>
      </w:r>
    </w:p>
    <w:p w14:paraId="237755DE" w14:textId="77777777" w:rsidR="000419C5" w:rsidRPr="000419C5" w:rsidRDefault="000419C5" w:rsidP="000419C5">
      <w:pPr>
        <w:ind w:left="567" w:hanging="567"/>
        <w:jc w:val="both"/>
        <w:rPr>
          <w:rFonts w:ascii="Arial" w:eastAsia="Arial" w:hAnsi="Arial" w:cs="Arial"/>
        </w:rPr>
      </w:pPr>
    </w:p>
    <w:p w14:paraId="42CC7BAE" w14:textId="5ED52208" w:rsidR="00852D3F" w:rsidRPr="00F741B3" w:rsidRDefault="000419C5" w:rsidP="000419C5">
      <w:pPr>
        <w:ind w:left="567" w:hanging="567"/>
        <w:jc w:val="center"/>
        <w:rPr>
          <w:rFonts w:ascii="Arial" w:eastAsia="Arial" w:hAnsi="Arial" w:cs="Arial"/>
          <w:b/>
        </w:rPr>
      </w:pPr>
      <w:r w:rsidRPr="00F741B3">
        <w:rPr>
          <w:rFonts w:ascii="Arial" w:eastAsia="Arial" w:hAnsi="Arial" w:cs="Arial"/>
          <w:b/>
        </w:rPr>
        <w:t>RES</w:t>
      </w:r>
      <w:r w:rsidR="00FF61A1" w:rsidRPr="00F741B3">
        <w:rPr>
          <w:rFonts w:ascii="Arial" w:eastAsia="Arial" w:hAnsi="Arial" w:cs="Arial"/>
          <w:b/>
        </w:rPr>
        <w:t>UELVE:</w:t>
      </w:r>
    </w:p>
    <w:p w14:paraId="6F90FB50" w14:textId="77777777" w:rsidR="00852D3F" w:rsidRPr="00F741B3" w:rsidRDefault="00852D3F" w:rsidP="000419C5">
      <w:pPr>
        <w:ind w:left="567" w:hanging="567"/>
        <w:jc w:val="center"/>
        <w:rPr>
          <w:rFonts w:ascii="Arial" w:eastAsia="Arial" w:hAnsi="Arial" w:cs="Arial"/>
          <w:b/>
        </w:rPr>
      </w:pPr>
    </w:p>
    <w:p w14:paraId="2DD61FF3" w14:textId="08774F67" w:rsidR="000419C5" w:rsidRPr="00F741B3" w:rsidRDefault="000419C5" w:rsidP="000419C5">
      <w:pPr>
        <w:ind w:left="567" w:hanging="567"/>
        <w:jc w:val="center"/>
        <w:rPr>
          <w:rFonts w:ascii="Arial" w:eastAsia="Arial" w:hAnsi="Arial" w:cs="Arial"/>
          <w:b/>
        </w:rPr>
      </w:pPr>
      <w:r w:rsidRPr="00F741B3">
        <w:rPr>
          <w:rFonts w:ascii="Arial" w:eastAsia="Arial" w:hAnsi="Arial" w:cs="Arial"/>
          <w:b/>
        </w:rPr>
        <w:t>MODIFICA</w:t>
      </w:r>
      <w:r w:rsidR="00FF61A1" w:rsidRPr="00F741B3">
        <w:rPr>
          <w:rFonts w:ascii="Arial" w:eastAsia="Arial" w:hAnsi="Arial" w:cs="Arial"/>
          <w:b/>
        </w:rPr>
        <w:t>R LOS</w:t>
      </w:r>
      <w:r w:rsidRPr="00F741B3">
        <w:rPr>
          <w:rFonts w:ascii="Arial" w:eastAsia="Arial" w:hAnsi="Arial" w:cs="Arial"/>
          <w:b/>
        </w:rPr>
        <w:t xml:space="preserve"> DATOS DE USO DE SUELO Y ZONIFICACIÓN DEL LOTE CON PREDIO No. 1207043</w:t>
      </w:r>
      <w:r w:rsidR="00450A4A" w:rsidRPr="00F741B3">
        <w:rPr>
          <w:rFonts w:ascii="Arial" w:eastAsia="Arial" w:hAnsi="Arial" w:cs="Arial"/>
          <w:b/>
        </w:rPr>
        <w:t xml:space="preserve"> EN EL PUOS</w:t>
      </w:r>
    </w:p>
    <w:p w14:paraId="0CDD80E9" w14:textId="77777777" w:rsidR="00852D3F" w:rsidRPr="00F741B3" w:rsidRDefault="00852D3F" w:rsidP="000419C5">
      <w:pPr>
        <w:ind w:left="567" w:hanging="567"/>
        <w:jc w:val="center"/>
        <w:rPr>
          <w:rFonts w:ascii="Arial" w:eastAsia="Arial" w:hAnsi="Arial" w:cs="Arial"/>
          <w:b/>
        </w:rPr>
      </w:pPr>
    </w:p>
    <w:p w14:paraId="0A9472D0" w14:textId="75E881B0" w:rsidR="000419C5" w:rsidRPr="000419C5" w:rsidRDefault="000419C5" w:rsidP="000419C5">
      <w:pPr>
        <w:jc w:val="both"/>
        <w:rPr>
          <w:rFonts w:ascii="Arial" w:eastAsia="Arial" w:hAnsi="Arial" w:cs="Arial"/>
        </w:rPr>
      </w:pPr>
      <w:r w:rsidRPr="00F741B3">
        <w:rPr>
          <w:rFonts w:ascii="Arial" w:eastAsia="Arial" w:hAnsi="Arial" w:cs="Arial"/>
          <w:b/>
        </w:rPr>
        <w:t>Artículo 1.-</w:t>
      </w:r>
      <w:r w:rsidRPr="00F741B3">
        <w:rPr>
          <w:rFonts w:ascii="Arial" w:eastAsia="Arial" w:hAnsi="Arial" w:cs="Arial"/>
        </w:rPr>
        <w:t xml:space="preserve"> </w:t>
      </w:r>
      <w:r w:rsidR="00FF61A1" w:rsidRPr="00F741B3">
        <w:rPr>
          <w:rFonts w:ascii="Arial" w:eastAsia="Arial" w:hAnsi="Arial" w:cs="Arial"/>
        </w:rPr>
        <w:t xml:space="preserve">Modifíquese y establece-se </w:t>
      </w:r>
      <w:r w:rsidRPr="00F741B3">
        <w:rPr>
          <w:rFonts w:ascii="Arial" w:eastAsia="Arial" w:hAnsi="Arial" w:cs="Arial"/>
        </w:rPr>
        <w:t>las asignaciones de uso de suelo</w:t>
      </w:r>
      <w:r w:rsidR="00FF61A1" w:rsidRPr="00F741B3">
        <w:rPr>
          <w:rFonts w:ascii="Arial" w:eastAsia="Arial" w:hAnsi="Arial" w:cs="Arial"/>
        </w:rPr>
        <w:t>,</w:t>
      </w:r>
      <w:r w:rsidRPr="00F741B3">
        <w:rPr>
          <w:rFonts w:ascii="Arial" w:eastAsia="Arial" w:hAnsi="Arial" w:cs="Arial"/>
        </w:rPr>
        <w:t xml:space="preserve"> forma de ocupación y edificabilidad al lote</w:t>
      </w:r>
      <w:r w:rsidR="00FF61A1" w:rsidRPr="00F741B3">
        <w:rPr>
          <w:rFonts w:ascii="Arial" w:eastAsia="Arial" w:hAnsi="Arial" w:cs="Arial"/>
        </w:rPr>
        <w:t>,</w:t>
      </w:r>
      <w:r w:rsidRPr="00F741B3">
        <w:rPr>
          <w:rFonts w:ascii="Arial" w:eastAsia="Arial" w:hAnsi="Arial" w:cs="Arial"/>
        </w:rPr>
        <w:t xml:space="preserve"> con número de predio No. 1207043, </w:t>
      </w:r>
      <w:r w:rsidR="00450A4A" w:rsidRPr="00F741B3">
        <w:rPr>
          <w:rFonts w:ascii="Arial" w:eastAsia="Arial" w:hAnsi="Arial" w:cs="Arial"/>
        </w:rPr>
        <w:t xml:space="preserve">en el Plan de Uso del Suelo-PUOS, </w:t>
      </w:r>
      <w:r w:rsidR="00FF61A1" w:rsidRPr="00F741B3">
        <w:rPr>
          <w:rFonts w:ascii="Arial" w:eastAsia="Arial" w:hAnsi="Arial" w:cs="Arial"/>
        </w:rPr>
        <w:t>de acuerdo con</w:t>
      </w:r>
      <w:r w:rsidRPr="00F741B3">
        <w:rPr>
          <w:rFonts w:ascii="Arial" w:eastAsia="Arial" w:hAnsi="Arial" w:cs="Arial"/>
        </w:rPr>
        <w:t xml:space="preserve"> </w:t>
      </w:r>
      <w:r w:rsidR="00FF61A1" w:rsidRPr="00F741B3">
        <w:rPr>
          <w:rFonts w:ascii="Arial" w:eastAsia="Arial" w:hAnsi="Arial" w:cs="Arial"/>
        </w:rPr>
        <w:t>los datos que se consignan a continuación:</w:t>
      </w:r>
    </w:p>
    <w:p w14:paraId="7C055E9D" w14:textId="77777777" w:rsidR="000419C5" w:rsidRPr="000419C5" w:rsidRDefault="000419C5" w:rsidP="000419C5">
      <w:pPr>
        <w:jc w:val="both"/>
        <w:rPr>
          <w:rFonts w:ascii="Arial" w:eastAsia="Arial" w:hAnsi="Arial" w:cs="Arial"/>
        </w:rPr>
      </w:pPr>
    </w:p>
    <w:p w14:paraId="750BB10E" w14:textId="4AEDB22B" w:rsidR="000419C5" w:rsidRPr="000419C5" w:rsidRDefault="000419C5" w:rsidP="000419C5">
      <w:pPr>
        <w:jc w:val="center"/>
        <w:rPr>
          <w:rFonts w:ascii="Arial" w:eastAsia="Arial" w:hAnsi="Arial" w:cs="Arial"/>
          <w:b/>
        </w:rPr>
      </w:pPr>
      <w:r w:rsidRPr="000419C5">
        <w:rPr>
          <w:rFonts w:ascii="Arial" w:eastAsia="Arial" w:hAnsi="Arial" w:cs="Arial"/>
          <w:b/>
        </w:rPr>
        <w:t xml:space="preserve">Cuadro No. 1.- Uso de suelo y forma de ocupación </w:t>
      </w:r>
      <w:r w:rsidR="00FF61A1">
        <w:rPr>
          <w:rFonts w:ascii="Arial" w:eastAsia="Arial" w:hAnsi="Arial" w:cs="Arial"/>
          <w:b/>
        </w:rPr>
        <w:t xml:space="preserve">del </w:t>
      </w:r>
      <w:r w:rsidRPr="000419C5">
        <w:rPr>
          <w:rFonts w:ascii="Arial" w:eastAsia="Arial" w:hAnsi="Arial" w:cs="Arial"/>
          <w:b/>
        </w:rPr>
        <w:t>lote No. 1207043</w:t>
      </w:r>
    </w:p>
    <w:p w14:paraId="5C946863" w14:textId="77777777" w:rsidR="000419C5" w:rsidRPr="000419C5" w:rsidRDefault="000419C5" w:rsidP="000419C5">
      <w:pPr>
        <w:jc w:val="both"/>
        <w:rPr>
          <w:rFonts w:ascii="Arial" w:eastAsia="Arial" w:hAnsi="Arial" w:cs="Arial"/>
        </w:rPr>
      </w:pPr>
    </w:p>
    <w:tbl>
      <w:tblPr>
        <w:tblW w:w="8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9"/>
        <w:gridCol w:w="567"/>
        <w:gridCol w:w="425"/>
        <w:gridCol w:w="425"/>
        <w:gridCol w:w="426"/>
        <w:gridCol w:w="1134"/>
        <w:gridCol w:w="708"/>
        <w:gridCol w:w="709"/>
        <w:gridCol w:w="709"/>
        <w:gridCol w:w="908"/>
      </w:tblGrid>
      <w:tr w:rsidR="00FF61A1" w:rsidRPr="00FF61A1" w14:paraId="420305D6" w14:textId="77777777" w:rsidTr="003A2FD7">
        <w:trPr>
          <w:jc w:val="center"/>
        </w:trPr>
        <w:tc>
          <w:tcPr>
            <w:tcW w:w="988" w:type="dxa"/>
            <w:vMerge w:val="restart"/>
          </w:tcPr>
          <w:p w14:paraId="65F4BBDB" w14:textId="77777777" w:rsidR="003A2FD7"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 xml:space="preserve">Uso </w:t>
            </w:r>
          </w:p>
          <w:p w14:paraId="44757302" w14:textId="0780742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de suelo</w:t>
            </w:r>
          </w:p>
        </w:tc>
        <w:tc>
          <w:tcPr>
            <w:tcW w:w="850" w:type="dxa"/>
            <w:vMerge w:val="restart"/>
          </w:tcPr>
          <w:p w14:paraId="68C9F3C8"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Zona</w:t>
            </w:r>
          </w:p>
        </w:tc>
        <w:tc>
          <w:tcPr>
            <w:tcW w:w="1276" w:type="dxa"/>
            <w:gridSpan w:val="2"/>
          </w:tcPr>
          <w:p w14:paraId="269A3A9E"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Altura Máxima</w:t>
            </w:r>
          </w:p>
        </w:tc>
        <w:tc>
          <w:tcPr>
            <w:tcW w:w="1276" w:type="dxa"/>
            <w:gridSpan w:val="3"/>
          </w:tcPr>
          <w:p w14:paraId="05C775A7"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Retiros</w:t>
            </w:r>
          </w:p>
        </w:tc>
        <w:tc>
          <w:tcPr>
            <w:tcW w:w="1134" w:type="dxa"/>
          </w:tcPr>
          <w:p w14:paraId="4FF92843"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Distancia entre bloques</w:t>
            </w:r>
          </w:p>
        </w:tc>
        <w:tc>
          <w:tcPr>
            <w:tcW w:w="708" w:type="dxa"/>
          </w:tcPr>
          <w:p w14:paraId="248A6CB5"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COS PB</w:t>
            </w:r>
          </w:p>
        </w:tc>
        <w:tc>
          <w:tcPr>
            <w:tcW w:w="709" w:type="dxa"/>
          </w:tcPr>
          <w:p w14:paraId="6D79117A"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COS Total</w:t>
            </w:r>
          </w:p>
        </w:tc>
        <w:tc>
          <w:tcPr>
            <w:tcW w:w="709" w:type="dxa"/>
          </w:tcPr>
          <w:p w14:paraId="58A05839"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Lote mínimo</w:t>
            </w:r>
          </w:p>
        </w:tc>
        <w:tc>
          <w:tcPr>
            <w:tcW w:w="908" w:type="dxa"/>
          </w:tcPr>
          <w:p w14:paraId="1A6579EC" w14:textId="77777777" w:rsidR="000419C5" w:rsidRPr="00FF61A1" w:rsidRDefault="000419C5" w:rsidP="000419C5">
            <w:pPr>
              <w:jc w:val="center"/>
              <w:rPr>
                <w:rFonts w:ascii="Arial" w:eastAsia="Arial" w:hAnsi="Arial" w:cs="Arial"/>
                <w:b/>
                <w:bCs/>
                <w:sz w:val="20"/>
                <w:szCs w:val="20"/>
              </w:rPr>
            </w:pPr>
            <w:r w:rsidRPr="00FF61A1">
              <w:rPr>
                <w:rFonts w:ascii="Arial" w:eastAsia="Arial" w:hAnsi="Arial" w:cs="Arial"/>
                <w:b/>
                <w:bCs/>
                <w:sz w:val="20"/>
                <w:szCs w:val="20"/>
              </w:rPr>
              <w:t>Frente mínimo</w:t>
            </w:r>
          </w:p>
        </w:tc>
      </w:tr>
      <w:tr w:rsidR="00FF61A1" w:rsidRPr="00FF61A1" w14:paraId="1917C6A6" w14:textId="77777777" w:rsidTr="003A2FD7">
        <w:trPr>
          <w:jc w:val="center"/>
        </w:trPr>
        <w:tc>
          <w:tcPr>
            <w:tcW w:w="988" w:type="dxa"/>
            <w:vMerge/>
          </w:tcPr>
          <w:p w14:paraId="0903B7F0" w14:textId="77777777" w:rsidR="000419C5" w:rsidRPr="00FF61A1" w:rsidRDefault="000419C5" w:rsidP="000419C5">
            <w:pPr>
              <w:widowControl w:val="0"/>
              <w:pBdr>
                <w:top w:val="nil"/>
                <w:left w:val="nil"/>
                <w:bottom w:val="nil"/>
                <w:right w:val="nil"/>
                <w:between w:val="nil"/>
              </w:pBdr>
              <w:rPr>
                <w:rFonts w:ascii="Arial" w:eastAsia="Arial" w:hAnsi="Arial" w:cs="Arial"/>
                <w:sz w:val="20"/>
                <w:szCs w:val="20"/>
              </w:rPr>
            </w:pPr>
          </w:p>
        </w:tc>
        <w:tc>
          <w:tcPr>
            <w:tcW w:w="850" w:type="dxa"/>
            <w:vMerge/>
          </w:tcPr>
          <w:p w14:paraId="6EB439D1" w14:textId="77777777" w:rsidR="000419C5" w:rsidRPr="00FF61A1" w:rsidRDefault="000419C5" w:rsidP="000419C5">
            <w:pPr>
              <w:widowControl w:val="0"/>
              <w:pBdr>
                <w:top w:val="nil"/>
                <w:left w:val="nil"/>
                <w:bottom w:val="nil"/>
                <w:right w:val="nil"/>
                <w:between w:val="nil"/>
              </w:pBdr>
              <w:rPr>
                <w:rFonts w:ascii="Arial" w:eastAsia="Arial" w:hAnsi="Arial" w:cs="Arial"/>
                <w:sz w:val="20"/>
                <w:szCs w:val="20"/>
              </w:rPr>
            </w:pPr>
          </w:p>
        </w:tc>
        <w:tc>
          <w:tcPr>
            <w:tcW w:w="709" w:type="dxa"/>
          </w:tcPr>
          <w:p w14:paraId="131AF9A5"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Pisos</w:t>
            </w:r>
          </w:p>
        </w:tc>
        <w:tc>
          <w:tcPr>
            <w:tcW w:w="567" w:type="dxa"/>
          </w:tcPr>
          <w:p w14:paraId="0CE7E604"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m</w:t>
            </w:r>
          </w:p>
        </w:tc>
        <w:tc>
          <w:tcPr>
            <w:tcW w:w="425" w:type="dxa"/>
          </w:tcPr>
          <w:p w14:paraId="376FEE56"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F</w:t>
            </w:r>
          </w:p>
        </w:tc>
        <w:tc>
          <w:tcPr>
            <w:tcW w:w="425" w:type="dxa"/>
          </w:tcPr>
          <w:p w14:paraId="5C172CA3"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L</w:t>
            </w:r>
          </w:p>
        </w:tc>
        <w:tc>
          <w:tcPr>
            <w:tcW w:w="426" w:type="dxa"/>
          </w:tcPr>
          <w:p w14:paraId="0018496D"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P</w:t>
            </w:r>
          </w:p>
        </w:tc>
        <w:tc>
          <w:tcPr>
            <w:tcW w:w="1134" w:type="dxa"/>
          </w:tcPr>
          <w:p w14:paraId="3EC596C4"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m</w:t>
            </w:r>
          </w:p>
        </w:tc>
        <w:tc>
          <w:tcPr>
            <w:tcW w:w="708" w:type="dxa"/>
          </w:tcPr>
          <w:p w14:paraId="3D35B193"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w:t>
            </w:r>
          </w:p>
        </w:tc>
        <w:tc>
          <w:tcPr>
            <w:tcW w:w="709" w:type="dxa"/>
          </w:tcPr>
          <w:p w14:paraId="4FEA29BF"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w:t>
            </w:r>
          </w:p>
        </w:tc>
        <w:tc>
          <w:tcPr>
            <w:tcW w:w="709" w:type="dxa"/>
          </w:tcPr>
          <w:p w14:paraId="655059F4"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m 2</w:t>
            </w:r>
          </w:p>
        </w:tc>
        <w:tc>
          <w:tcPr>
            <w:tcW w:w="908" w:type="dxa"/>
          </w:tcPr>
          <w:p w14:paraId="5697D01D"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m</w:t>
            </w:r>
          </w:p>
        </w:tc>
      </w:tr>
      <w:tr w:rsidR="00FF61A1" w:rsidRPr="00FF61A1" w14:paraId="7CD8AE57" w14:textId="77777777" w:rsidTr="003A2FD7">
        <w:trPr>
          <w:jc w:val="center"/>
        </w:trPr>
        <w:tc>
          <w:tcPr>
            <w:tcW w:w="988" w:type="dxa"/>
          </w:tcPr>
          <w:p w14:paraId="402C872D"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Residencial Urbano 2 (RU2)</w:t>
            </w:r>
          </w:p>
        </w:tc>
        <w:tc>
          <w:tcPr>
            <w:tcW w:w="850" w:type="dxa"/>
          </w:tcPr>
          <w:p w14:paraId="074A9E05"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D5 (D304-80),</w:t>
            </w:r>
          </w:p>
        </w:tc>
        <w:tc>
          <w:tcPr>
            <w:tcW w:w="709" w:type="dxa"/>
          </w:tcPr>
          <w:p w14:paraId="549CE308"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4</w:t>
            </w:r>
          </w:p>
        </w:tc>
        <w:tc>
          <w:tcPr>
            <w:tcW w:w="567" w:type="dxa"/>
          </w:tcPr>
          <w:p w14:paraId="21BE931C"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16</w:t>
            </w:r>
          </w:p>
        </w:tc>
        <w:tc>
          <w:tcPr>
            <w:tcW w:w="425" w:type="dxa"/>
          </w:tcPr>
          <w:p w14:paraId="271E4D8C"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0</w:t>
            </w:r>
          </w:p>
        </w:tc>
        <w:tc>
          <w:tcPr>
            <w:tcW w:w="425" w:type="dxa"/>
          </w:tcPr>
          <w:p w14:paraId="5091CC6D"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0</w:t>
            </w:r>
          </w:p>
        </w:tc>
        <w:tc>
          <w:tcPr>
            <w:tcW w:w="426" w:type="dxa"/>
          </w:tcPr>
          <w:p w14:paraId="045C3FE7"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3</w:t>
            </w:r>
          </w:p>
        </w:tc>
        <w:tc>
          <w:tcPr>
            <w:tcW w:w="1134" w:type="dxa"/>
          </w:tcPr>
          <w:p w14:paraId="620C2D46"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6</w:t>
            </w:r>
          </w:p>
        </w:tc>
        <w:tc>
          <w:tcPr>
            <w:tcW w:w="708" w:type="dxa"/>
          </w:tcPr>
          <w:p w14:paraId="0831C4A7"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80</w:t>
            </w:r>
          </w:p>
        </w:tc>
        <w:tc>
          <w:tcPr>
            <w:tcW w:w="709" w:type="dxa"/>
          </w:tcPr>
          <w:p w14:paraId="7851F58F"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320</w:t>
            </w:r>
          </w:p>
        </w:tc>
        <w:tc>
          <w:tcPr>
            <w:tcW w:w="709" w:type="dxa"/>
          </w:tcPr>
          <w:p w14:paraId="7B46664F"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300</w:t>
            </w:r>
          </w:p>
        </w:tc>
        <w:tc>
          <w:tcPr>
            <w:tcW w:w="908" w:type="dxa"/>
          </w:tcPr>
          <w:p w14:paraId="56CFCC2D" w14:textId="77777777" w:rsidR="000419C5" w:rsidRPr="00FF61A1" w:rsidRDefault="000419C5" w:rsidP="000419C5">
            <w:pPr>
              <w:jc w:val="center"/>
              <w:rPr>
                <w:rFonts w:ascii="Arial" w:eastAsia="Arial" w:hAnsi="Arial" w:cs="Arial"/>
                <w:sz w:val="20"/>
                <w:szCs w:val="20"/>
              </w:rPr>
            </w:pPr>
            <w:r w:rsidRPr="00FF61A1">
              <w:rPr>
                <w:rFonts w:ascii="Arial" w:eastAsia="Arial" w:hAnsi="Arial" w:cs="Arial"/>
                <w:sz w:val="20"/>
                <w:szCs w:val="20"/>
              </w:rPr>
              <w:t>10</w:t>
            </w:r>
          </w:p>
        </w:tc>
      </w:tr>
    </w:tbl>
    <w:p w14:paraId="1FA53133" w14:textId="77777777" w:rsidR="000419C5" w:rsidRPr="000419C5" w:rsidRDefault="000419C5" w:rsidP="000419C5">
      <w:pPr>
        <w:jc w:val="both"/>
        <w:rPr>
          <w:rFonts w:ascii="Arial" w:eastAsia="Arial" w:hAnsi="Arial" w:cs="Arial"/>
        </w:rPr>
      </w:pPr>
    </w:p>
    <w:p w14:paraId="1F5D3318" w14:textId="77777777" w:rsidR="000419C5" w:rsidRPr="000419C5" w:rsidRDefault="000419C5" w:rsidP="000419C5">
      <w:pPr>
        <w:jc w:val="both"/>
        <w:rPr>
          <w:rFonts w:ascii="Arial" w:eastAsia="Arial" w:hAnsi="Arial" w:cs="Arial"/>
          <w:b/>
        </w:rPr>
      </w:pPr>
    </w:p>
    <w:p w14:paraId="557DD0B9" w14:textId="7ED0A206" w:rsidR="000419C5" w:rsidRPr="000419C5" w:rsidRDefault="00D357EA" w:rsidP="000419C5">
      <w:pPr>
        <w:jc w:val="both"/>
        <w:rPr>
          <w:rFonts w:ascii="Arial" w:eastAsia="Arial" w:hAnsi="Arial" w:cs="Arial"/>
          <w:b/>
        </w:rPr>
      </w:pPr>
      <w:r>
        <w:rPr>
          <w:rFonts w:ascii="Arial" w:eastAsia="Arial" w:hAnsi="Arial" w:cs="Arial"/>
          <w:b/>
        </w:rPr>
        <w:t>Artículo 2.-</w:t>
      </w:r>
      <w:r w:rsidR="000419C5" w:rsidRPr="000419C5">
        <w:rPr>
          <w:rFonts w:ascii="Arial" w:eastAsia="Arial" w:hAnsi="Arial" w:cs="Arial"/>
        </w:rPr>
        <w:t xml:space="preserve"> </w:t>
      </w:r>
      <w:r>
        <w:rPr>
          <w:rFonts w:ascii="Arial" w:eastAsia="Arial" w:hAnsi="Arial" w:cs="Arial"/>
        </w:rPr>
        <w:t xml:space="preserve">Aprobada </w:t>
      </w:r>
      <w:r w:rsidR="000419C5" w:rsidRPr="000419C5">
        <w:rPr>
          <w:rFonts w:ascii="Arial" w:eastAsia="Arial" w:hAnsi="Arial" w:cs="Arial"/>
        </w:rPr>
        <w:t>la presente resolución</w:t>
      </w:r>
      <w:r w:rsidR="009C74A8">
        <w:rPr>
          <w:rFonts w:ascii="Arial" w:eastAsia="Arial" w:hAnsi="Arial" w:cs="Arial"/>
        </w:rPr>
        <w:t xml:space="preserve"> legislativa</w:t>
      </w:r>
      <w:r>
        <w:rPr>
          <w:rFonts w:ascii="Arial" w:eastAsia="Arial" w:hAnsi="Arial" w:cs="Arial"/>
        </w:rPr>
        <w:t>,</w:t>
      </w:r>
      <w:r w:rsidR="000419C5" w:rsidRPr="000419C5">
        <w:rPr>
          <w:rFonts w:ascii="Arial" w:eastAsia="Arial" w:hAnsi="Arial" w:cs="Arial"/>
        </w:rPr>
        <w:t xml:space="preserve"> la Secretaría de Territorio, Hábitat y Vivienda</w:t>
      </w:r>
      <w:r w:rsidRPr="00D357EA">
        <w:rPr>
          <w:rFonts w:ascii="Arial" w:eastAsia="Arial" w:hAnsi="Arial" w:cs="Arial"/>
        </w:rPr>
        <w:t xml:space="preserve"> </w:t>
      </w:r>
      <w:r w:rsidRPr="000419C5">
        <w:rPr>
          <w:rFonts w:ascii="Arial" w:eastAsia="Arial" w:hAnsi="Arial" w:cs="Arial"/>
        </w:rPr>
        <w:t xml:space="preserve">actualizará el mapa anexo correspondiente del </w:t>
      </w:r>
      <w:r w:rsidRPr="001F6966">
        <w:rPr>
          <w:rFonts w:ascii="Arial" w:eastAsia="Arial" w:hAnsi="Arial" w:cs="Arial"/>
          <w:iCs/>
          <w:color w:val="000000"/>
          <w:lang w:val="es-EC"/>
        </w:rPr>
        <w:t>Plan de Uso y Ocupación del Suelo</w:t>
      </w:r>
      <w:r>
        <w:rPr>
          <w:rFonts w:ascii="Arial" w:eastAsia="Arial" w:hAnsi="Arial" w:cs="Arial"/>
          <w:iCs/>
          <w:color w:val="000000"/>
          <w:lang w:val="es-EC"/>
        </w:rPr>
        <w:t>-</w:t>
      </w:r>
      <w:r w:rsidRPr="000419C5">
        <w:rPr>
          <w:rFonts w:ascii="Arial" w:eastAsia="Arial" w:hAnsi="Arial" w:cs="Arial"/>
        </w:rPr>
        <w:t>PUOS</w:t>
      </w:r>
      <w:r>
        <w:rPr>
          <w:rFonts w:ascii="Arial" w:eastAsia="Arial" w:hAnsi="Arial" w:cs="Arial"/>
        </w:rPr>
        <w:t>, e</w:t>
      </w:r>
      <w:r w:rsidR="000419C5" w:rsidRPr="000419C5">
        <w:rPr>
          <w:rFonts w:ascii="Arial" w:eastAsia="Arial" w:hAnsi="Arial" w:cs="Arial"/>
        </w:rPr>
        <w:t xml:space="preserve"> incorporará los datos en el Informe de Regulación Metropolitana</w:t>
      </w:r>
      <w:r>
        <w:rPr>
          <w:rFonts w:ascii="Arial" w:eastAsia="Arial" w:hAnsi="Arial" w:cs="Arial"/>
        </w:rPr>
        <w:t>-</w:t>
      </w:r>
      <w:r w:rsidR="000419C5" w:rsidRPr="000419C5">
        <w:rPr>
          <w:rFonts w:ascii="Arial" w:eastAsia="Arial" w:hAnsi="Arial" w:cs="Arial"/>
        </w:rPr>
        <w:t>IRM</w:t>
      </w:r>
      <w:r>
        <w:rPr>
          <w:rFonts w:ascii="Arial" w:eastAsia="Arial" w:hAnsi="Arial" w:cs="Arial"/>
        </w:rPr>
        <w:t>.</w:t>
      </w:r>
    </w:p>
    <w:p w14:paraId="56BD1B1A" w14:textId="77777777" w:rsidR="000419C5" w:rsidRPr="00D357EA" w:rsidRDefault="000419C5" w:rsidP="000419C5">
      <w:pPr>
        <w:jc w:val="both"/>
        <w:rPr>
          <w:rFonts w:ascii="Arial" w:eastAsia="Arial" w:hAnsi="Arial" w:cs="Arial"/>
          <w:bCs/>
        </w:rPr>
      </w:pPr>
    </w:p>
    <w:p w14:paraId="608B1557" w14:textId="7D70872D" w:rsidR="000419C5" w:rsidRPr="000419C5" w:rsidRDefault="000419C5" w:rsidP="000419C5">
      <w:pPr>
        <w:jc w:val="both"/>
        <w:rPr>
          <w:rFonts w:ascii="Arial" w:eastAsia="Arial" w:hAnsi="Arial" w:cs="Arial"/>
        </w:rPr>
      </w:pPr>
      <w:bookmarkStart w:id="1" w:name="_gjdgxs" w:colFirst="0" w:colLast="0"/>
      <w:bookmarkEnd w:id="1"/>
      <w:r w:rsidRPr="000419C5">
        <w:rPr>
          <w:rFonts w:ascii="Arial" w:eastAsia="Arial" w:hAnsi="Arial" w:cs="Arial"/>
          <w:b/>
        </w:rPr>
        <w:t xml:space="preserve">Disposición Final.- </w:t>
      </w:r>
      <w:r w:rsidRPr="000419C5">
        <w:rPr>
          <w:rFonts w:ascii="Arial" w:eastAsia="Arial" w:hAnsi="Arial" w:cs="Arial"/>
        </w:rPr>
        <w:t xml:space="preserve">Esta Resolución entrará en vigencia a partir de su </w:t>
      </w:r>
      <w:r w:rsidR="00D357EA">
        <w:rPr>
          <w:rFonts w:ascii="Arial" w:eastAsia="Arial" w:hAnsi="Arial" w:cs="Arial"/>
        </w:rPr>
        <w:t xml:space="preserve">aprobación y de su </w:t>
      </w:r>
      <w:bookmarkStart w:id="2" w:name="_30j0zll" w:colFirst="0" w:colLast="0"/>
      <w:bookmarkEnd w:id="2"/>
      <w:r w:rsidRPr="000419C5">
        <w:rPr>
          <w:rFonts w:ascii="Arial" w:eastAsia="Arial" w:hAnsi="Arial" w:cs="Arial"/>
        </w:rPr>
        <w:t xml:space="preserve">ejecución </w:t>
      </w:r>
      <w:r w:rsidR="00D357EA" w:rsidRPr="000419C5">
        <w:rPr>
          <w:rFonts w:ascii="Arial" w:eastAsia="Arial" w:hAnsi="Arial" w:cs="Arial"/>
        </w:rPr>
        <w:t>encárguese</w:t>
      </w:r>
      <w:r w:rsidRPr="000419C5">
        <w:rPr>
          <w:rFonts w:ascii="Arial" w:eastAsia="Arial" w:hAnsi="Arial" w:cs="Arial"/>
        </w:rPr>
        <w:t xml:space="preserve"> a la Secretaría de Territorio, Hábitat y Vivienda</w:t>
      </w:r>
      <w:r w:rsidR="00D357EA">
        <w:rPr>
          <w:rFonts w:ascii="Arial" w:eastAsia="Arial" w:hAnsi="Arial" w:cs="Arial"/>
        </w:rPr>
        <w:t>.</w:t>
      </w:r>
    </w:p>
    <w:p w14:paraId="52BE9261" w14:textId="77777777" w:rsidR="000419C5" w:rsidRPr="000419C5" w:rsidRDefault="000419C5" w:rsidP="000419C5">
      <w:pPr>
        <w:jc w:val="both"/>
        <w:rPr>
          <w:rFonts w:ascii="Arial" w:eastAsia="Arial" w:hAnsi="Arial" w:cs="Arial"/>
        </w:rPr>
      </w:pPr>
    </w:p>
    <w:p w14:paraId="15ABC7F0" w14:textId="7581FFF1" w:rsidR="00806D3B" w:rsidRDefault="00D357EA" w:rsidP="000419C5">
      <w:pPr>
        <w:rPr>
          <w:rFonts w:ascii="Arial" w:hAnsi="Arial" w:cs="Arial"/>
        </w:rPr>
      </w:pPr>
      <w:r>
        <w:rPr>
          <w:rFonts w:ascii="Arial" w:hAnsi="Arial" w:cs="Arial"/>
        </w:rPr>
        <w:t>Dado, en la sala de sesiones del Concejo Metropolitano, en la ciudad de Quito, Distrito Metropolitano, a – de -------------- de 2020.</w:t>
      </w:r>
    </w:p>
    <w:p w14:paraId="0BF58EAD" w14:textId="5AAB6054" w:rsidR="00D357EA" w:rsidRDefault="00D357EA" w:rsidP="00D357EA">
      <w:pPr>
        <w:jc w:val="center"/>
        <w:rPr>
          <w:rFonts w:ascii="Arial" w:hAnsi="Arial" w:cs="Arial"/>
        </w:rPr>
      </w:pPr>
    </w:p>
    <w:p w14:paraId="7B9B56F2" w14:textId="1163795A" w:rsidR="00D357EA" w:rsidRDefault="00D357EA" w:rsidP="00D357EA">
      <w:pPr>
        <w:jc w:val="center"/>
        <w:rPr>
          <w:rFonts w:ascii="Arial" w:hAnsi="Arial" w:cs="Arial"/>
        </w:rPr>
      </w:pPr>
    </w:p>
    <w:p w14:paraId="303339DA" w14:textId="383F36F7" w:rsidR="00D357EA" w:rsidRDefault="00D357EA" w:rsidP="00D357EA">
      <w:pPr>
        <w:jc w:val="center"/>
        <w:rPr>
          <w:rFonts w:ascii="Arial" w:hAnsi="Arial" w:cs="Arial"/>
        </w:rPr>
      </w:pPr>
    </w:p>
    <w:p w14:paraId="6C2C623E" w14:textId="77777777" w:rsidR="00D357EA" w:rsidRDefault="00D357EA" w:rsidP="00D357EA">
      <w:pPr>
        <w:jc w:val="center"/>
        <w:rPr>
          <w:rFonts w:ascii="Arial" w:hAnsi="Arial" w:cs="Arial"/>
        </w:rPr>
      </w:pPr>
    </w:p>
    <w:p w14:paraId="323B8737" w14:textId="0EF28D77" w:rsidR="00D357EA" w:rsidRPr="00D357EA" w:rsidRDefault="00D357EA" w:rsidP="00D357EA">
      <w:pPr>
        <w:jc w:val="center"/>
        <w:rPr>
          <w:rFonts w:ascii="Arial" w:hAnsi="Arial" w:cs="Arial"/>
        </w:rPr>
      </w:pPr>
      <w:r w:rsidRPr="00D357EA">
        <w:rPr>
          <w:rFonts w:ascii="Arial" w:hAnsi="Arial" w:cs="Arial"/>
        </w:rPr>
        <w:t>Dr. Jorge Yun</w:t>
      </w:r>
      <w:r>
        <w:rPr>
          <w:rFonts w:ascii="Arial" w:hAnsi="Arial" w:cs="Arial"/>
        </w:rPr>
        <w:t>d</w:t>
      </w:r>
      <w:r w:rsidRPr="00D357EA">
        <w:rPr>
          <w:rFonts w:ascii="Arial" w:hAnsi="Arial" w:cs="Arial"/>
        </w:rPr>
        <w:t>a Machado</w:t>
      </w:r>
    </w:p>
    <w:p w14:paraId="30BF1FF9" w14:textId="77777777" w:rsidR="00D357EA" w:rsidRPr="00D357EA" w:rsidRDefault="00D357EA" w:rsidP="00D357EA">
      <w:pPr>
        <w:jc w:val="center"/>
        <w:rPr>
          <w:rFonts w:ascii="Arial" w:hAnsi="Arial" w:cs="Arial"/>
          <w:b/>
          <w:bCs/>
        </w:rPr>
      </w:pPr>
      <w:r w:rsidRPr="00D357EA">
        <w:rPr>
          <w:rFonts w:ascii="Arial" w:hAnsi="Arial" w:cs="Arial"/>
          <w:b/>
          <w:bCs/>
        </w:rPr>
        <w:t>ALCALDE DEL DISTRITO METROPOLITANO DE QUITO</w:t>
      </w:r>
    </w:p>
    <w:p w14:paraId="2F3A68E0" w14:textId="77777777" w:rsidR="00D357EA" w:rsidRPr="00D357EA" w:rsidRDefault="00D357EA" w:rsidP="00D357EA">
      <w:pPr>
        <w:rPr>
          <w:rFonts w:ascii="Arial" w:hAnsi="Arial" w:cs="Arial"/>
        </w:rPr>
      </w:pPr>
    </w:p>
    <w:p w14:paraId="2ADF1200" w14:textId="0C833AF6" w:rsidR="00D357EA" w:rsidRPr="00D357EA" w:rsidRDefault="00D357EA" w:rsidP="00070780">
      <w:pPr>
        <w:jc w:val="both"/>
        <w:rPr>
          <w:rFonts w:ascii="Arial" w:hAnsi="Arial" w:cs="Arial"/>
        </w:rPr>
      </w:pPr>
      <w:r w:rsidRPr="00D357EA">
        <w:rPr>
          <w:rFonts w:ascii="Arial" w:hAnsi="Arial" w:cs="Arial"/>
          <w:b/>
          <w:bCs/>
        </w:rPr>
        <w:t>CERTIFICO</w:t>
      </w:r>
      <w:r w:rsidRPr="00D357EA">
        <w:rPr>
          <w:rFonts w:ascii="Arial" w:hAnsi="Arial" w:cs="Arial"/>
        </w:rPr>
        <w:t xml:space="preserve">, que la presente </w:t>
      </w:r>
      <w:r>
        <w:rPr>
          <w:rFonts w:ascii="Arial" w:hAnsi="Arial" w:cs="Arial"/>
        </w:rPr>
        <w:t xml:space="preserve">Resolución </w:t>
      </w:r>
      <w:r w:rsidRPr="00D357EA">
        <w:rPr>
          <w:rFonts w:ascii="Arial" w:hAnsi="Arial" w:cs="Arial"/>
        </w:rPr>
        <w:t xml:space="preserve">fue </w:t>
      </w:r>
      <w:r>
        <w:rPr>
          <w:rFonts w:ascii="Arial" w:hAnsi="Arial" w:cs="Arial"/>
        </w:rPr>
        <w:t xml:space="preserve">aprobada </w:t>
      </w:r>
      <w:r w:rsidRPr="00D357EA">
        <w:rPr>
          <w:rFonts w:ascii="Arial" w:hAnsi="Arial" w:cs="Arial"/>
        </w:rPr>
        <w:t xml:space="preserve">por el </w:t>
      </w:r>
      <w:r>
        <w:rPr>
          <w:rFonts w:ascii="Arial" w:hAnsi="Arial" w:cs="Arial"/>
        </w:rPr>
        <w:t xml:space="preserve">Concejo Metropolitano </w:t>
      </w:r>
      <w:r w:rsidR="006B772A">
        <w:rPr>
          <w:rFonts w:ascii="Arial" w:hAnsi="Arial" w:cs="Arial"/>
        </w:rPr>
        <w:t xml:space="preserve">en sesión ordinaria celebrada el – de --------------- de 2020, </w:t>
      </w:r>
      <w:r>
        <w:rPr>
          <w:rFonts w:ascii="Arial" w:hAnsi="Arial" w:cs="Arial"/>
        </w:rPr>
        <w:t xml:space="preserve">y suscrita por el </w:t>
      </w:r>
      <w:r w:rsidRPr="00D357EA">
        <w:rPr>
          <w:rFonts w:ascii="Arial" w:hAnsi="Arial" w:cs="Arial"/>
        </w:rPr>
        <w:t xml:space="preserve">Dr. Jorge Yunda Machado, Alcalde del Distrito Metropolitano de Quito, </w:t>
      </w:r>
      <w:r w:rsidR="006B772A">
        <w:rPr>
          <w:rFonts w:ascii="Arial" w:hAnsi="Arial" w:cs="Arial"/>
        </w:rPr>
        <w:t>la misma fecha</w:t>
      </w:r>
      <w:r>
        <w:rPr>
          <w:rFonts w:ascii="Arial" w:hAnsi="Arial" w:cs="Arial"/>
        </w:rPr>
        <w:t>.</w:t>
      </w:r>
    </w:p>
    <w:p w14:paraId="4AC24245" w14:textId="77777777" w:rsidR="00D357EA" w:rsidRPr="00D357EA" w:rsidRDefault="00D357EA" w:rsidP="006A6F14">
      <w:pPr>
        <w:jc w:val="both"/>
        <w:rPr>
          <w:rFonts w:ascii="Arial" w:hAnsi="Arial" w:cs="Arial"/>
        </w:rPr>
      </w:pPr>
    </w:p>
    <w:p w14:paraId="19753AB8" w14:textId="6366A1D3" w:rsidR="00D357EA" w:rsidRPr="00D357EA" w:rsidRDefault="00070780" w:rsidP="00070780">
      <w:pPr>
        <w:jc w:val="both"/>
        <w:rPr>
          <w:rFonts w:ascii="Arial" w:hAnsi="Arial" w:cs="Arial"/>
        </w:rPr>
      </w:pPr>
      <w:r>
        <w:rPr>
          <w:rFonts w:ascii="Arial" w:hAnsi="Arial" w:cs="Arial"/>
        </w:rPr>
        <w:t>Quito, Distri</w:t>
      </w:r>
      <w:r w:rsidR="006A6F14">
        <w:rPr>
          <w:rFonts w:ascii="Arial" w:hAnsi="Arial" w:cs="Arial"/>
        </w:rPr>
        <w:t xml:space="preserve">to </w:t>
      </w:r>
      <w:r w:rsidR="00F741B3">
        <w:rPr>
          <w:rFonts w:ascii="Arial" w:hAnsi="Arial" w:cs="Arial"/>
        </w:rPr>
        <w:t>M</w:t>
      </w:r>
      <w:r w:rsidR="006A6F14">
        <w:rPr>
          <w:rFonts w:ascii="Arial" w:hAnsi="Arial" w:cs="Arial"/>
        </w:rPr>
        <w:t xml:space="preserve">etropolitano, a </w:t>
      </w:r>
      <w:r w:rsidR="006B772A">
        <w:rPr>
          <w:rFonts w:ascii="Arial" w:hAnsi="Arial" w:cs="Arial"/>
        </w:rPr>
        <w:t>– de ------------- de 2020</w:t>
      </w:r>
    </w:p>
    <w:p w14:paraId="415A5CAA" w14:textId="77777777" w:rsidR="00D357EA" w:rsidRPr="00D357EA" w:rsidRDefault="00D357EA" w:rsidP="00070780">
      <w:pPr>
        <w:jc w:val="center"/>
        <w:rPr>
          <w:rFonts w:ascii="Arial" w:hAnsi="Arial" w:cs="Arial"/>
        </w:rPr>
      </w:pPr>
    </w:p>
    <w:p w14:paraId="42A1CBF6" w14:textId="596CEDE9" w:rsidR="00D357EA" w:rsidRDefault="00D357EA" w:rsidP="00070780">
      <w:pPr>
        <w:jc w:val="center"/>
        <w:rPr>
          <w:rFonts w:ascii="Arial" w:hAnsi="Arial" w:cs="Arial"/>
        </w:rPr>
      </w:pPr>
    </w:p>
    <w:p w14:paraId="42EFE37A" w14:textId="07F6A560" w:rsidR="006A6F14" w:rsidRDefault="006A6F14" w:rsidP="00070780">
      <w:pPr>
        <w:jc w:val="center"/>
        <w:rPr>
          <w:rFonts w:ascii="Arial" w:hAnsi="Arial" w:cs="Arial"/>
        </w:rPr>
      </w:pPr>
    </w:p>
    <w:p w14:paraId="1C33167D" w14:textId="77777777" w:rsidR="006A6F14" w:rsidRPr="00D357EA" w:rsidRDefault="006A6F14" w:rsidP="00070780">
      <w:pPr>
        <w:jc w:val="center"/>
        <w:rPr>
          <w:rFonts w:ascii="Arial" w:hAnsi="Arial" w:cs="Arial"/>
        </w:rPr>
      </w:pPr>
    </w:p>
    <w:p w14:paraId="541A6CEA" w14:textId="77777777" w:rsidR="00D357EA" w:rsidRPr="00D357EA" w:rsidRDefault="00D357EA" w:rsidP="00D357EA">
      <w:pPr>
        <w:jc w:val="center"/>
        <w:rPr>
          <w:rFonts w:ascii="Arial" w:hAnsi="Arial" w:cs="Arial"/>
        </w:rPr>
      </w:pPr>
      <w:r w:rsidRPr="00D357EA">
        <w:rPr>
          <w:rFonts w:ascii="Arial" w:hAnsi="Arial" w:cs="Arial"/>
        </w:rPr>
        <w:t>Ab. Damaris Ortiz Pasuy</w:t>
      </w:r>
    </w:p>
    <w:p w14:paraId="14D130F7" w14:textId="77777777" w:rsidR="00D357EA" w:rsidRPr="00D357EA" w:rsidRDefault="00D357EA" w:rsidP="00D357EA">
      <w:pPr>
        <w:jc w:val="center"/>
        <w:rPr>
          <w:rFonts w:ascii="Arial" w:hAnsi="Arial" w:cs="Arial"/>
          <w:b/>
          <w:bCs/>
        </w:rPr>
      </w:pPr>
      <w:r w:rsidRPr="00D357EA">
        <w:rPr>
          <w:rFonts w:ascii="Arial" w:hAnsi="Arial" w:cs="Arial"/>
          <w:b/>
          <w:bCs/>
        </w:rPr>
        <w:t>SECRETARIA (E) GENERAL DEL CONCEJO METROPOLITANO DE QUITO</w:t>
      </w:r>
    </w:p>
    <w:sectPr w:rsidR="00D357EA" w:rsidRPr="00D357EA" w:rsidSect="008939B0">
      <w:headerReference w:type="even" r:id="rId9"/>
      <w:headerReference w:type="default" r:id="rId10"/>
      <w:footerReference w:type="default" r:id="rId11"/>
      <w:pgSz w:w="11906" w:h="16838" w:code="9"/>
      <w:pgMar w:top="1701" w:right="1701" w:bottom="1701" w:left="1701" w:header="35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E5E2" w14:textId="77777777" w:rsidR="005B463E" w:rsidRDefault="005B463E">
      <w:r>
        <w:separator/>
      </w:r>
    </w:p>
  </w:endnote>
  <w:endnote w:type="continuationSeparator" w:id="0">
    <w:p w14:paraId="3064BFDA" w14:textId="77777777" w:rsidR="005B463E" w:rsidRDefault="005B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6EC9" w14:textId="77777777" w:rsidR="0064145C" w:rsidRPr="0064145C" w:rsidRDefault="00206539" w:rsidP="0064145C">
    <w:pPr>
      <w:widowControl w:val="0"/>
      <w:autoSpaceDE w:val="0"/>
      <w:autoSpaceDN w:val="0"/>
      <w:adjustRightInd w:val="0"/>
      <w:spacing w:line="213" w:lineRule="atLeast"/>
      <w:ind w:right="19"/>
      <w:jc w:val="right"/>
      <w:rPr>
        <w:rFonts w:asciiTheme="minorHAnsi" w:hAnsiTheme="minorHAnsi" w:cstheme="minorHAnsi"/>
        <w:noProof/>
      </w:rPr>
    </w:pPr>
    <w:r>
      <w:rPr>
        <w:noProof/>
      </w:rPr>
      <w:drawing>
        <wp:anchor distT="0" distB="0" distL="114300" distR="114300" simplePos="0" relativeHeight="251658240" behindDoc="0" locked="0" layoutInCell="1" allowOverlap="1" wp14:anchorId="4BA5A57D" wp14:editId="2CCA7DDC">
          <wp:simplePos x="0" y="0"/>
          <wp:positionH relativeFrom="margin">
            <wp:align>left</wp:align>
          </wp:positionH>
          <wp:positionV relativeFrom="paragraph">
            <wp:posOffset>-7316</wp:posOffset>
          </wp:positionV>
          <wp:extent cx="1605915" cy="429370"/>
          <wp:effectExtent l="0" t="0" r="0" b="0"/>
          <wp:wrapThrough wrapText="bothSides">
            <wp:wrapPolygon edited="0">
              <wp:start x="0" y="0"/>
              <wp:lineTo x="0" y="18213"/>
              <wp:lineTo x="19217" y="18213"/>
              <wp:lineTo x="19473" y="15337"/>
              <wp:lineTo x="20498" y="6710"/>
              <wp:lineTo x="18448" y="3834"/>
              <wp:lineTo x="845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0707" b="44017"/>
                  <a:stretch/>
                </pic:blipFill>
                <pic:spPr bwMode="auto">
                  <a:xfrm>
                    <a:off x="0" y="0"/>
                    <a:ext cx="1605915" cy="429370"/>
                  </a:xfrm>
                  <a:prstGeom prst="rect">
                    <a:avLst/>
                  </a:prstGeom>
                  <a:noFill/>
                  <a:ln>
                    <a:noFill/>
                  </a:ln>
                  <a:extLst>
                    <a:ext uri="{53640926-AAD7-44D8-BBD7-CCE9431645EC}">
                      <a14:shadowObscured xmlns:a14="http://schemas.microsoft.com/office/drawing/2010/main"/>
                    </a:ext>
                  </a:extLst>
                </pic:spPr>
              </pic:pic>
            </a:graphicData>
          </a:graphic>
        </wp:anchor>
      </w:drawing>
    </w:r>
  </w:p>
  <w:p w14:paraId="6B94C9B1" w14:textId="77777777" w:rsidR="00C93EB3" w:rsidRPr="00C93EB3" w:rsidRDefault="003F6311" w:rsidP="0064145C">
    <w:pPr>
      <w:widowControl w:val="0"/>
      <w:autoSpaceDE w:val="0"/>
      <w:autoSpaceDN w:val="0"/>
      <w:adjustRightInd w:val="0"/>
      <w:spacing w:line="213" w:lineRule="atLeast"/>
      <w:ind w:right="19"/>
      <w:jc w:val="right"/>
      <w:rPr>
        <w:rFonts w:ascii="Arial" w:hAnsi="Arial" w:cs="Arial"/>
        <w:b/>
        <w:bCs/>
        <w:color w:val="000000"/>
        <w:sz w:val="18"/>
        <w:szCs w:val="18"/>
        <w:lang w:val="en-US"/>
      </w:rPr>
    </w:pPr>
    <w:r>
      <w:rPr>
        <w:noProof/>
        <w:color w:val="000000"/>
      </w:rPr>
      <w:drawing>
        <wp:inline distT="0" distB="0" distL="0" distR="0" wp14:anchorId="6F4B2567" wp14:editId="30E6E15F">
          <wp:extent cx="5386705" cy="244475"/>
          <wp:effectExtent l="0" t="0" r="0" b="0"/>
          <wp:docPr id="2" name="image1.png" descr="../../Desktop/Captura%20de%20pantalla%202019-05-30%20a%20la(s)%2010.48.22.png"/>
          <wp:cNvGraphicFramePr/>
          <a:graphic xmlns:a="http://schemas.openxmlformats.org/drawingml/2006/main">
            <a:graphicData uri="http://schemas.openxmlformats.org/drawingml/2006/picture">
              <pic:pic xmlns:pic="http://schemas.openxmlformats.org/drawingml/2006/picture">
                <pic:nvPicPr>
                  <pic:cNvPr id="0" name="image1.png" descr="../../Desktop/Captura%20de%20pantalla%202019-05-30%20a%20la(s)%2010.48.22.png"/>
                  <pic:cNvPicPr preferRelativeResize="0"/>
                </pic:nvPicPr>
                <pic:blipFill>
                  <a:blip r:embed="rId2"/>
                  <a:srcRect/>
                  <a:stretch>
                    <a:fillRect/>
                  </a:stretch>
                </pic:blipFill>
                <pic:spPr>
                  <a:xfrm>
                    <a:off x="0" y="0"/>
                    <a:ext cx="5386705" cy="2444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1C40B" w14:textId="77777777" w:rsidR="005B463E" w:rsidRDefault="005B463E">
      <w:r>
        <w:separator/>
      </w:r>
    </w:p>
  </w:footnote>
  <w:footnote w:type="continuationSeparator" w:id="0">
    <w:p w14:paraId="59A685E3" w14:textId="77777777" w:rsidR="005B463E" w:rsidRDefault="005B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8CE8" w14:textId="77777777" w:rsidR="000E55A8" w:rsidRDefault="000E55A8">
    <w:pPr>
      <w:pStyle w:val="Encabezado"/>
      <w:rPr>
        <w:rFonts w:ascii="Tahoma" w:hAnsi="Tahoma" w:cs="Tahoma"/>
        <w:sz w:val="18"/>
        <w:szCs w:val="18"/>
      </w:rPr>
    </w:pPr>
  </w:p>
  <w:p w14:paraId="1D2062F8" w14:textId="77777777" w:rsidR="000E55A8" w:rsidRDefault="000E55A8">
    <w:pPr>
      <w:pStyle w:val="Encabezado"/>
      <w:rPr>
        <w:rFonts w:ascii="Tahoma" w:hAnsi="Tahoma" w:cs="Tahoma"/>
        <w:sz w:val="18"/>
        <w:szCs w:val="18"/>
      </w:rPr>
    </w:pPr>
  </w:p>
  <w:p w14:paraId="7E8190E4" w14:textId="77777777" w:rsidR="000E55A8" w:rsidRDefault="000E55A8">
    <w:pPr>
      <w:pStyle w:val="Encabezado"/>
      <w:rPr>
        <w:rFonts w:ascii="Tahoma" w:hAnsi="Tahoma" w:cs="Tahoma"/>
        <w:sz w:val="18"/>
        <w:szCs w:val="18"/>
      </w:rPr>
    </w:pPr>
  </w:p>
  <w:p w14:paraId="4BA08200" w14:textId="77777777" w:rsidR="000E55A8" w:rsidRDefault="000E55A8">
    <w:pPr>
      <w:pStyle w:val="Encabezado"/>
      <w:rPr>
        <w:rFonts w:ascii="Tahoma" w:hAnsi="Tahoma" w:cs="Tahoma"/>
        <w:sz w:val="18"/>
        <w:szCs w:val="18"/>
      </w:rPr>
    </w:pPr>
  </w:p>
  <w:p w14:paraId="67A8078C" w14:textId="77777777" w:rsidR="000E55A8" w:rsidRDefault="000E55A8">
    <w:pPr>
      <w:pStyle w:val="Encabezado"/>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059E" w14:textId="77777777" w:rsidR="00542F21" w:rsidRPr="00066A9A" w:rsidRDefault="00542F21" w:rsidP="00D5386D">
    <w:pPr>
      <w:tabs>
        <w:tab w:val="left" w:pos="4320"/>
      </w:tabs>
      <w:rPr>
        <w:rFonts w:ascii="Tahoma" w:hAnsi="Tahoma" w:cs="Tahoma"/>
        <w:b/>
        <w:color w:val="FFFFFF" w:themeColor="background1"/>
        <w:sz w:val="26"/>
        <w:szCs w:val="26"/>
        <w:lang w:val="es-MX"/>
      </w:rPr>
    </w:pPr>
    <w:r w:rsidRPr="00066A9A">
      <w:rPr>
        <w:rFonts w:ascii="Tahoma" w:hAnsi="Tahoma" w:cs="Tahoma"/>
        <w:b/>
        <w:color w:val="FFFFFF" w:themeColor="background1"/>
        <w:sz w:val="26"/>
        <w:szCs w:val="26"/>
        <w:lang w:val="es-MX"/>
      </w:rPr>
      <w:t xml:space="preserve">Secretaría de </w:t>
    </w:r>
  </w:p>
  <w:p w14:paraId="7D47358B" w14:textId="77777777" w:rsidR="00542F21" w:rsidRPr="00066A9A" w:rsidRDefault="00542F21" w:rsidP="0082389B">
    <w:pPr>
      <w:tabs>
        <w:tab w:val="right" w:pos="8647"/>
      </w:tabs>
      <w:jc w:val="right"/>
      <w:rPr>
        <w:rFonts w:ascii="Tahoma" w:hAnsi="Tahoma" w:cs="Tahoma"/>
        <w:b/>
        <w:color w:val="FFFFFF" w:themeColor="background1"/>
        <w:sz w:val="26"/>
        <w:szCs w:val="26"/>
        <w:lang w:val="es-MX"/>
      </w:rPr>
    </w:pPr>
    <w:r w:rsidRPr="00066A9A">
      <w:rPr>
        <w:rFonts w:ascii="Tahoma" w:hAnsi="Tahoma" w:cs="Tahoma"/>
        <w:b/>
        <w:color w:val="FFFFFF" w:themeColor="background1"/>
        <w:sz w:val="26"/>
        <w:szCs w:val="26"/>
        <w:lang w:val="es-MX"/>
      </w:rPr>
      <w:t>Ter</w:t>
    </w:r>
    <w:r w:rsidR="0082389B">
      <w:rPr>
        <w:noProof/>
        <w:color w:val="000000"/>
      </w:rPr>
      <w:drawing>
        <wp:inline distT="0" distB="0" distL="0" distR="0" wp14:anchorId="16302112" wp14:editId="4F716111">
          <wp:extent cx="1288628" cy="667024"/>
          <wp:effectExtent l="0" t="0" r="0" b="0"/>
          <wp:docPr id="1" name="image2.png" descr="../Desktop/Captura%20de%20pantalla%202019-05-23%20a%20la(s)%2009.12.48.png"/>
          <wp:cNvGraphicFramePr/>
          <a:graphic xmlns:a="http://schemas.openxmlformats.org/drawingml/2006/main">
            <a:graphicData uri="http://schemas.openxmlformats.org/drawingml/2006/picture">
              <pic:pic xmlns:pic="http://schemas.openxmlformats.org/drawingml/2006/picture">
                <pic:nvPicPr>
                  <pic:cNvPr id="0" name="image2.png" descr="../Desktop/Captura%20de%20pantalla%202019-05-23%20a%20la(s)%2009.12.48.png"/>
                  <pic:cNvPicPr preferRelativeResize="0"/>
                </pic:nvPicPr>
                <pic:blipFill>
                  <a:blip r:embed="rId1"/>
                  <a:srcRect/>
                  <a:stretch>
                    <a:fillRect/>
                  </a:stretch>
                </pic:blipFill>
                <pic:spPr>
                  <a:xfrm>
                    <a:off x="0" y="0"/>
                    <a:ext cx="1288628" cy="667024"/>
                  </a:xfrm>
                  <a:prstGeom prst="rect">
                    <a:avLst/>
                  </a:prstGeom>
                  <a:ln/>
                </pic:spPr>
              </pic:pic>
            </a:graphicData>
          </a:graphic>
        </wp:inline>
      </w:drawing>
    </w:r>
  </w:p>
  <w:p w14:paraId="2FDE09B6" w14:textId="77777777" w:rsidR="00542F21" w:rsidRPr="00C93EB3" w:rsidRDefault="00542F21" w:rsidP="00C93EB3">
    <w:pPr>
      <w:tabs>
        <w:tab w:val="left" w:pos="4320"/>
        <w:tab w:val="right" w:pos="8504"/>
      </w:tabs>
      <w:rPr>
        <w:rFonts w:ascii="Tahoma" w:hAnsi="Tahoma" w:cs="Tahoma"/>
        <w:b/>
        <w:color w:val="FFFFFF" w:themeColor="background1"/>
        <w:sz w:val="26"/>
        <w:szCs w:val="2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78A6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0F14DF"/>
    <w:multiLevelType w:val="hybridMultilevel"/>
    <w:tmpl w:val="A0B487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93B45AF"/>
    <w:multiLevelType w:val="hybridMultilevel"/>
    <w:tmpl w:val="23F6E72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0B93310B"/>
    <w:multiLevelType w:val="hybridMultilevel"/>
    <w:tmpl w:val="6A0A84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0FCB03E1"/>
    <w:multiLevelType w:val="hybridMultilevel"/>
    <w:tmpl w:val="EE90BA26"/>
    <w:lvl w:ilvl="0" w:tplc="300A000D">
      <w:start w:val="1"/>
      <w:numFmt w:val="bullet"/>
      <w:lvlText w:val=""/>
      <w:lvlJc w:val="left"/>
      <w:pPr>
        <w:ind w:left="770" w:hanging="360"/>
      </w:pPr>
      <w:rPr>
        <w:rFonts w:ascii="Wingdings" w:hAnsi="Wingdings" w:hint="default"/>
      </w:rPr>
    </w:lvl>
    <w:lvl w:ilvl="1" w:tplc="300A0003" w:tentative="1">
      <w:start w:val="1"/>
      <w:numFmt w:val="bullet"/>
      <w:lvlText w:val="o"/>
      <w:lvlJc w:val="left"/>
      <w:pPr>
        <w:ind w:left="1490" w:hanging="360"/>
      </w:pPr>
      <w:rPr>
        <w:rFonts w:ascii="Courier New" w:hAnsi="Courier New" w:cs="Courier New" w:hint="default"/>
      </w:rPr>
    </w:lvl>
    <w:lvl w:ilvl="2" w:tplc="300A0005" w:tentative="1">
      <w:start w:val="1"/>
      <w:numFmt w:val="bullet"/>
      <w:lvlText w:val=""/>
      <w:lvlJc w:val="left"/>
      <w:pPr>
        <w:ind w:left="2210" w:hanging="360"/>
      </w:pPr>
      <w:rPr>
        <w:rFonts w:ascii="Wingdings" w:hAnsi="Wingdings" w:hint="default"/>
      </w:rPr>
    </w:lvl>
    <w:lvl w:ilvl="3" w:tplc="300A0001" w:tentative="1">
      <w:start w:val="1"/>
      <w:numFmt w:val="bullet"/>
      <w:lvlText w:val=""/>
      <w:lvlJc w:val="left"/>
      <w:pPr>
        <w:ind w:left="2930" w:hanging="360"/>
      </w:pPr>
      <w:rPr>
        <w:rFonts w:ascii="Symbol" w:hAnsi="Symbol" w:hint="default"/>
      </w:rPr>
    </w:lvl>
    <w:lvl w:ilvl="4" w:tplc="300A0003" w:tentative="1">
      <w:start w:val="1"/>
      <w:numFmt w:val="bullet"/>
      <w:lvlText w:val="o"/>
      <w:lvlJc w:val="left"/>
      <w:pPr>
        <w:ind w:left="3650" w:hanging="360"/>
      </w:pPr>
      <w:rPr>
        <w:rFonts w:ascii="Courier New" w:hAnsi="Courier New" w:cs="Courier New" w:hint="default"/>
      </w:rPr>
    </w:lvl>
    <w:lvl w:ilvl="5" w:tplc="300A0005" w:tentative="1">
      <w:start w:val="1"/>
      <w:numFmt w:val="bullet"/>
      <w:lvlText w:val=""/>
      <w:lvlJc w:val="left"/>
      <w:pPr>
        <w:ind w:left="4370" w:hanging="360"/>
      </w:pPr>
      <w:rPr>
        <w:rFonts w:ascii="Wingdings" w:hAnsi="Wingdings" w:hint="default"/>
      </w:rPr>
    </w:lvl>
    <w:lvl w:ilvl="6" w:tplc="300A0001" w:tentative="1">
      <w:start w:val="1"/>
      <w:numFmt w:val="bullet"/>
      <w:lvlText w:val=""/>
      <w:lvlJc w:val="left"/>
      <w:pPr>
        <w:ind w:left="5090" w:hanging="360"/>
      </w:pPr>
      <w:rPr>
        <w:rFonts w:ascii="Symbol" w:hAnsi="Symbol" w:hint="default"/>
      </w:rPr>
    </w:lvl>
    <w:lvl w:ilvl="7" w:tplc="300A0003" w:tentative="1">
      <w:start w:val="1"/>
      <w:numFmt w:val="bullet"/>
      <w:lvlText w:val="o"/>
      <w:lvlJc w:val="left"/>
      <w:pPr>
        <w:ind w:left="5810" w:hanging="360"/>
      </w:pPr>
      <w:rPr>
        <w:rFonts w:ascii="Courier New" w:hAnsi="Courier New" w:cs="Courier New" w:hint="default"/>
      </w:rPr>
    </w:lvl>
    <w:lvl w:ilvl="8" w:tplc="300A0005" w:tentative="1">
      <w:start w:val="1"/>
      <w:numFmt w:val="bullet"/>
      <w:lvlText w:val=""/>
      <w:lvlJc w:val="left"/>
      <w:pPr>
        <w:ind w:left="6530" w:hanging="360"/>
      </w:pPr>
      <w:rPr>
        <w:rFonts w:ascii="Wingdings" w:hAnsi="Wingdings" w:hint="default"/>
      </w:rPr>
    </w:lvl>
  </w:abstractNum>
  <w:abstractNum w:abstractNumId="5">
    <w:nsid w:val="125B585D"/>
    <w:multiLevelType w:val="hybridMultilevel"/>
    <w:tmpl w:val="0B2E349E"/>
    <w:lvl w:ilvl="0" w:tplc="300A0019">
      <w:start w:val="1"/>
      <w:numFmt w:val="lowerLetter"/>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6">
    <w:nsid w:val="1AC81B34"/>
    <w:multiLevelType w:val="hybridMultilevel"/>
    <w:tmpl w:val="A3741F10"/>
    <w:lvl w:ilvl="0" w:tplc="B0B6A3F0">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BED14A2"/>
    <w:multiLevelType w:val="hybridMultilevel"/>
    <w:tmpl w:val="2D44F65E"/>
    <w:lvl w:ilvl="0" w:tplc="300A000F">
      <w:start w:val="1"/>
      <w:numFmt w:val="decimal"/>
      <w:lvlText w:val="%1."/>
      <w:lvlJc w:val="left"/>
      <w:pPr>
        <w:ind w:left="360" w:hanging="360"/>
      </w:pPr>
      <w:rPr>
        <w:rFonts w:cs="Times New Roman"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203B2168"/>
    <w:multiLevelType w:val="hybridMultilevel"/>
    <w:tmpl w:val="AB404438"/>
    <w:lvl w:ilvl="0" w:tplc="30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245E5703"/>
    <w:multiLevelType w:val="hybridMultilevel"/>
    <w:tmpl w:val="B0146F5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49D49F1"/>
    <w:multiLevelType w:val="hybridMultilevel"/>
    <w:tmpl w:val="AE602D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6B76F6D"/>
    <w:multiLevelType w:val="hybridMultilevel"/>
    <w:tmpl w:val="03982330"/>
    <w:lvl w:ilvl="0" w:tplc="30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nsid w:val="29D93751"/>
    <w:multiLevelType w:val="hybridMultilevel"/>
    <w:tmpl w:val="C37C1CF2"/>
    <w:lvl w:ilvl="0" w:tplc="300A0019">
      <w:start w:val="1"/>
      <w:numFmt w:val="lowerLetter"/>
      <w:lvlText w:val="%1."/>
      <w:lvlJc w:val="left"/>
      <w:pPr>
        <w:ind w:left="1353" w:hanging="360"/>
      </w:pPr>
      <w:rPr>
        <w:rFont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3">
    <w:nsid w:val="32F81A78"/>
    <w:multiLevelType w:val="hybridMultilevel"/>
    <w:tmpl w:val="25E888EA"/>
    <w:lvl w:ilvl="0" w:tplc="B0B6A3F0">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478302A"/>
    <w:multiLevelType w:val="hybridMultilevel"/>
    <w:tmpl w:val="072470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6A7711E"/>
    <w:multiLevelType w:val="hybridMultilevel"/>
    <w:tmpl w:val="F11C5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E45489"/>
    <w:multiLevelType w:val="hybridMultilevel"/>
    <w:tmpl w:val="8C54E1B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98F6130"/>
    <w:multiLevelType w:val="hybridMultilevel"/>
    <w:tmpl w:val="8F2C11E2"/>
    <w:lvl w:ilvl="0" w:tplc="300A0019">
      <w:start w:val="1"/>
      <w:numFmt w:val="lowerLetter"/>
      <w:lvlText w:val="%1."/>
      <w:lvlJc w:val="left"/>
      <w:pPr>
        <w:ind w:left="770" w:hanging="360"/>
      </w:p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18">
    <w:nsid w:val="3A324697"/>
    <w:multiLevelType w:val="hybridMultilevel"/>
    <w:tmpl w:val="AFAA87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E156216"/>
    <w:multiLevelType w:val="hybridMultilevel"/>
    <w:tmpl w:val="5066E6D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034575E"/>
    <w:multiLevelType w:val="hybridMultilevel"/>
    <w:tmpl w:val="1EC829D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30D097F"/>
    <w:multiLevelType w:val="hybridMultilevel"/>
    <w:tmpl w:val="0A88542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46086B61"/>
    <w:multiLevelType w:val="hybridMultilevel"/>
    <w:tmpl w:val="732253CC"/>
    <w:lvl w:ilvl="0" w:tplc="E41234DE">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94C1F6B"/>
    <w:multiLevelType w:val="hybridMultilevel"/>
    <w:tmpl w:val="EFA426CC"/>
    <w:lvl w:ilvl="0" w:tplc="EC6439FC">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FFF259F"/>
    <w:multiLevelType w:val="hybridMultilevel"/>
    <w:tmpl w:val="6688E464"/>
    <w:lvl w:ilvl="0" w:tplc="286ABF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D465D9"/>
    <w:multiLevelType w:val="hybridMultilevel"/>
    <w:tmpl w:val="E7E4A7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FF5748"/>
    <w:multiLevelType w:val="hybridMultilevel"/>
    <w:tmpl w:val="574A37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2682415"/>
    <w:multiLevelType w:val="hybridMultilevel"/>
    <w:tmpl w:val="E1AC4560"/>
    <w:lvl w:ilvl="0" w:tplc="6E2265DA">
      <w:numFmt w:val="bullet"/>
      <w:lvlText w:val="-"/>
      <w:lvlJc w:val="left"/>
      <w:pPr>
        <w:ind w:left="720" w:hanging="360"/>
      </w:pPr>
      <w:rPr>
        <w:rFonts w:ascii="Tahoma" w:eastAsia="Times New Roman"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7727DC5"/>
    <w:multiLevelType w:val="hybridMultilevel"/>
    <w:tmpl w:val="2594F190"/>
    <w:lvl w:ilvl="0" w:tplc="30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690EA8"/>
    <w:multiLevelType w:val="hybridMultilevel"/>
    <w:tmpl w:val="D0666670"/>
    <w:lvl w:ilvl="0" w:tplc="18806E3E">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30">
    <w:nsid w:val="5C8104C5"/>
    <w:multiLevelType w:val="hybridMultilevel"/>
    <w:tmpl w:val="5FEC72B4"/>
    <w:lvl w:ilvl="0" w:tplc="300A000F">
      <w:start w:val="1"/>
      <w:numFmt w:val="decimal"/>
      <w:lvlText w:val="%1."/>
      <w:lvlJc w:val="left"/>
      <w:pPr>
        <w:ind w:left="767" w:hanging="360"/>
      </w:pPr>
    </w:lvl>
    <w:lvl w:ilvl="1" w:tplc="300A0019" w:tentative="1">
      <w:start w:val="1"/>
      <w:numFmt w:val="lowerLetter"/>
      <w:lvlText w:val="%2."/>
      <w:lvlJc w:val="left"/>
      <w:pPr>
        <w:ind w:left="1487" w:hanging="360"/>
      </w:pPr>
    </w:lvl>
    <w:lvl w:ilvl="2" w:tplc="300A001B" w:tentative="1">
      <w:start w:val="1"/>
      <w:numFmt w:val="lowerRoman"/>
      <w:lvlText w:val="%3."/>
      <w:lvlJc w:val="right"/>
      <w:pPr>
        <w:ind w:left="2207" w:hanging="180"/>
      </w:pPr>
    </w:lvl>
    <w:lvl w:ilvl="3" w:tplc="300A000F" w:tentative="1">
      <w:start w:val="1"/>
      <w:numFmt w:val="decimal"/>
      <w:lvlText w:val="%4."/>
      <w:lvlJc w:val="left"/>
      <w:pPr>
        <w:ind w:left="2927" w:hanging="360"/>
      </w:pPr>
    </w:lvl>
    <w:lvl w:ilvl="4" w:tplc="300A0019" w:tentative="1">
      <w:start w:val="1"/>
      <w:numFmt w:val="lowerLetter"/>
      <w:lvlText w:val="%5."/>
      <w:lvlJc w:val="left"/>
      <w:pPr>
        <w:ind w:left="3647" w:hanging="360"/>
      </w:pPr>
    </w:lvl>
    <w:lvl w:ilvl="5" w:tplc="300A001B" w:tentative="1">
      <w:start w:val="1"/>
      <w:numFmt w:val="lowerRoman"/>
      <w:lvlText w:val="%6."/>
      <w:lvlJc w:val="right"/>
      <w:pPr>
        <w:ind w:left="4367" w:hanging="180"/>
      </w:pPr>
    </w:lvl>
    <w:lvl w:ilvl="6" w:tplc="300A000F" w:tentative="1">
      <w:start w:val="1"/>
      <w:numFmt w:val="decimal"/>
      <w:lvlText w:val="%7."/>
      <w:lvlJc w:val="left"/>
      <w:pPr>
        <w:ind w:left="5087" w:hanging="360"/>
      </w:pPr>
    </w:lvl>
    <w:lvl w:ilvl="7" w:tplc="300A0019" w:tentative="1">
      <w:start w:val="1"/>
      <w:numFmt w:val="lowerLetter"/>
      <w:lvlText w:val="%8."/>
      <w:lvlJc w:val="left"/>
      <w:pPr>
        <w:ind w:left="5807" w:hanging="360"/>
      </w:pPr>
    </w:lvl>
    <w:lvl w:ilvl="8" w:tplc="300A001B" w:tentative="1">
      <w:start w:val="1"/>
      <w:numFmt w:val="lowerRoman"/>
      <w:lvlText w:val="%9."/>
      <w:lvlJc w:val="right"/>
      <w:pPr>
        <w:ind w:left="6527" w:hanging="180"/>
      </w:pPr>
    </w:lvl>
  </w:abstractNum>
  <w:abstractNum w:abstractNumId="31">
    <w:nsid w:val="5EF22196"/>
    <w:multiLevelType w:val="hybridMultilevel"/>
    <w:tmpl w:val="4F5842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4EC06C9"/>
    <w:multiLevelType w:val="hybridMultilevel"/>
    <w:tmpl w:val="5FEC72B4"/>
    <w:lvl w:ilvl="0" w:tplc="300A000F">
      <w:start w:val="1"/>
      <w:numFmt w:val="decimal"/>
      <w:lvlText w:val="%1."/>
      <w:lvlJc w:val="left"/>
      <w:pPr>
        <w:ind w:left="767" w:hanging="360"/>
      </w:pPr>
    </w:lvl>
    <w:lvl w:ilvl="1" w:tplc="300A0019" w:tentative="1">
      <w:start w:val="1"/>
      <w:numFmt w:val="lowerLetter"/>
      <w:lvlText w:val="%2."/>
      <w:lvlJc w:val="left"/>
      <w:pPr>
        <w:ind w:left="1487" w:hanging="360"/>
      </w:pPr>
    </w:lvl>
    <w:lvl w:ilvl="2" w:tplc="300A001B" w:tentative="1">
      <w:start w:val="1"/>
      <w:numFmt w:val="lowerRoman"/>
      <w:lvlText w:val="%3."/>
      <w:lvlJc w:val="right"/>
      <w:pPr>
        <w:ind w:left="2207" w:hanging="180"/>
      </w:pPr>
    </w:lvl>
    <w:lvl w:ilvl="3" w:tplc="300A000F" w:tentative="1">
      <w:start w:val="1"/>
      <w:numFmt w:val="decimal"/>
      <w:lvlText w:val="%4."/>
      <w:lvlJc w:val="left"/>
      <w:pPr>
        <w:ind w:left="2927" w:hanging="360"/>
      </w:pPr>
    </w:lvl>
    <w:lvl w:ilvl="4" w:tplc="300A0019" w:tentative="1">
      <w:start w:val="1"/>
      <w:numFmt w:val="lowerLetter"/>
      <w:lvlText w:val="%5."/>
      <w:lvlJc w:val="left"/>
      <w:pPr>
        <w:ind w:left="3647" w:hanging="360"/>
      </w:pPr>
    </w:lvl>
    <w:lvl w:ilvl="5" w:tplc="300A001B" w:tentative="1">
      <w:start w:val="1"/>
      <w:numFmt w:val="lowerRoman"/>
      <w:lvlText w:val="%6."/>
      <w:lvlJc w:val="right"/>
      <w:pPr>
        <w:ind w:left="4367" w:hanging="180"/>
      </w:pPr>
    </w:lvl>
    <w:lvl w:ilvl="6" w:tplc="300A000F" w:tentative="1">
      <w:start w:val="1"/>
      <w:numFmt w:val="decimal"/>
      <w:lvlText w:val="%7."/>
      <w:lvlJc w:val="left"/>
      <w:pPr>
        <w:ind w:left="5087" w:hanging="360"/>
      </w:pPr>
    </w:lvl>
    <w:lvl w:ilvl="7" w:tplc="300A0019" w:tentative="1">
      <w:start w:val="1"/>
      <w:numFmt w:val="lowerLetter"/>
      <w:lvlText w:val="%8."/>
      <w:lvlJc w:val="left"/>
      <w:pPr>
        <w:ind w:left="5807" w:hanging="360"/>
      </w:pPr>
    </w:lvl>
    <w:lvl w:ilvl="8" w:tplc="300A001B" w:tentative="1">
      <w:start w:val="1"/>
      <w:numFmt w:val="lowerRoman"/>
      <w:lvlText w:val="%9."/>
      <w:lvlJc w:val="right"/>
      <w:pPr>
        <w:ind w:left="6527" w:hanging="180"/>
      </w:pPr>
    </w:lvl>
  </w:abstractNum>
  <w:abstractNum w:abstractNumId="33">
    <w:nsid w:val="69B10886"/>
    <w:multiLevelType w:val="hybridMultilevel"/>
    <w:tmpl w:val="619E6D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C0F4F26"/>
    <w:multiLevelType w:val="hybridMultilevel"/>
    <w:tmpl w:val="586C826C"/>
    <w:lvl w:ilvl="0" w:tplc="30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D163D1C"/>
    <w:multiLevelType w:val="hybridMultilevel"/>
    <w:tmpl w:val="4236A6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D262B43"/>
    <w:multiLevelType w:val="hybridMultilevel"/>
    <w:tmpl w:val="D05C09C8"/>
    <w:lvl w:ilvl="0" w:tplc="300A0019">
      <w:start w:val="1"/>
      <w:numFmt w:val="lowerLetter"/>
      <w:lvlText w:val="%1."/>
      <w:lvlJc w:val="left"/>
      <w:pPr>
        <w:ind w:left="2136" w:hanging="360"/>
      </w:pPr>
    </w:lvl>
    <w:lvl w:ilvl="1" w:tplc="300A0019" w:tentative="1">
      <w:start w:val="1"/>
      <w:numFmt w:val="lowerLetter"/>
      <w:lvlText w:val="%2."/>
      <w:lvlJc w:val="left"/>
      <w:pPr>
        <w:ind w:left="2856" w:hanging="360"/>
      </w:pPr>
    </w:lvl>
    <w:lvl w:ilvl="2" w:tplc="300A001B" w:tentative="1">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37">
    <w:nsid w:val="70D60E0D"/>
    <w:multiLevelType w:val="hybridMultilevel"/>
    <w:tmpl w:val="0C384028"/>
    <w:lvl w:ilvl="0" w:tplc="B0B6A3F0">
      <w:start w:val="1"/>
      <w:numFmt w:val="bullet"/>
      <w:lvlText w:val="•"/>
      <w:lvlJc w:val="left"/>
      <w:pPr>
        <w:ind w:left="720" w:hanging="360"/>
      </w:pPr>
      <w:rPr>
        <w:rFonts w:ascii="Arial" w:hAnsi="Arial" w:hint="default"/>
      </w:rPr>
    </w:lvl>
    <w:lvl w:ilvl="1" w:tplc="88A465A0">
      <w:numFmt w:val="bullet"/>
      <w:lvlText w:val=""/>
      <w:lvlJc w:val="left"/>
      <w:pPr>
        <w:ind w:left="1440" w:hanging="360"/>
      </w:pPr>
      <w:rPr>
        <w:rFonts w:ascii="Symbol" w:eastAsia="Calibri" w:hAnsi="Symbol"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9">
    <w:nsid w:val="79980EC5"/>
    <w:multiLevelType w:val="hybridMultilevel"/>
    <w:tmpl w:val="A71EBF7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8"/>
  </w:num>
  <w:num w:numId="4">
    <w:abstractNumId w:val="9"/>
  </w:num>
  <w:num w:numId="5">
    <w:abstractNumId w:val="0"/>
  </w:num>
  <w:num w:numId="6">
    <w:abstractNumId w:val="27"/>
  </w:num>
  <w:num w:numId="7">
    <w:abstractNumId w:val="35"/>
  </w:num>
  <w:num w:numId="8">
    <w:abstractNumId w:val="39"/>
  </w:num>
  <w:num w:numId="9">
    <w:abstractNumId w:val="10"/>
  </w:num>
  <w:num w:numId="10">
    <w:abstractNumId w:val="21"/>
  </w:num>
  <w:num w:numId="11">
    <w:abstractNumId w:val="18"/>
  </w:num>
  <w:num w:numId="12">
    <w:abstractNumId w:val="19"/>
  </w:num>
  <w:num w:numId="13">
    <w:abstractNumId w:val="36"/>
  </w:num>
  <w:num w:numId="14">
    <w:abstractNumId w:val="20"/>
  </w:num>
  <w:num w:numId="15">
    <w:abstractNumId w:val="25"/>
  </w:num>
  <w:num w:numId="16">
    <w:abstractNumId w:val="7"/>
  </w:num>
  <w:num w:numId="17">
    <w:abstractNumId w:val="2"/>
  </w:num>
  <w:num w:numId="18">
    <w:abstractNumId w:val="26"/>
  </w:num>
  <w:num w:numId="19">
    <w:abstractNumId w:val="6"/>
  </w:num>
  <w:num w:numId="20">
    <w:abstractNumId w:val="13"/>
  </w:num>
  <w:num w:numId="21">
    <w:abstractNumId w:val="22"/>
  </w:num>
  <w:num w:numId="22">
    <w:abstractNumId w:val="23"/>
  </w:num>
  <w:num w:numId="23">
    <w:abstractNumId w:val="33"/>
  </w:num>
  <w:num w:numId="24">
    <w:abstractNumId w:val="4"/>
  </w:num>
  <w:num w:numId="25">
    <w:abstractNumId w:val="29"/>
  </w:num>
  <w:num w:numId="26">
    <w:abstractNumId w:val="3"/>
  </w:num>
  <w:num w:numId="27">
    <w:abstractNumId w:val="30"/>
  </w:num>
  <w:num w:numId="28">
    <w:abstractNumId w:val="17"/>
  </w:num>
  <w:num w:numId="29">
    <w:abstractNumId w:val="16"/>
  </w:num>
  <w:num w:numId="30">
    <w:abstractNumId w:val="32"/>
  </w:num>
  <w:num w:numId="31">
    <w:abstractNumId w:val="37"/>
  </w:num>
  <w:num w:numId="32">
    <w:abstractNumId w:val="14"/>
  </w:num>
  <w:num w:numId="33">
    <w:abstractNumId w:val="1"/>
  </w:num>
  <w:num w:numId="34">
    <w:abstractNumId w:val="8"/>
  </w:num>
  <w:num w:numId="35">
    <w:abstractNumId w:val="5"/>
  </w:num>
  <w:num w:numId="36">
    <w:abstractNumId w:val="31"/>
  </w:num>
  <w:num w:numId="37">
    <w:abstractNumId w:val="12"/>
  </w:num>
  <w:num w:numId="38">
    <w:abstractNumId w:val="34"/>
  </w:num>
  <w:num w:numId="39">
    <w:abstractNumId w:val="1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o:colormru v:ext="edit" colors="#00006c,#0000a8,#2929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7A"/>
    <w:rsid w:val="00002130"/>
    <w:rsid w:val="00002D39"/>
    <w:rsid w:val="00005516"/>
    <w:rsid w:val="00005C69"/>
    <w:rsid w:val="00006654"/>
    <w:rsid w:val="00007CDA"/>
    <w:rsid w:val="00007DC0"/>
    <w:rsid w:val="000105CE"/>
    <w:rsid w:val="000311E2"/>
    <w:rsid w:val="000321DD"/>
    <w:rsid w:val="00034121"/>
    <w:rsid w:val="000359E6"/>
    <w:rsid w:val="00040E21"/>
    <w:rsid w:val="000415B3"/>
    <w:rsid w:val="000419C5"/>
    <w:rsid w:val="00044C1A"/>
    <w:rsid w:val="00044D10"/>
    <w:rsid w:val="000464C9"/>
    <w:rsid w:val="0005322E"/>
    <w:rsid w:val="000550A2"/>
    <w:rsid w:val="00055A74"/>
    <w:rsid w:val="00060167"/>
    <w:rsid w:val="000601F4"/>
    <w:rsid w:val="00061301"/>
    <w:rsid w:val="00063FCC"/>
    <w:rsid w:val="00064E28"/>
    <w:rsid w:val="0006671F"/>
    <w:rsid w:val="00066A9A"/>
    <w:rsid w:val="00070780"/>
    <w:rsid w:val="00070DFF"/>
    <w:rsid w:val="00072B21"/>
    <w:rsid w:val="00074B26"/>
    <w:rsid w:val="00084FE4"/>
    <w:rsid w:val="00085133"/>
    <w:rsid w:val="000870EC"/>
    <w:rsid w:val="00087611"/>
    <w:rsid w:val="000902CD"/>
    <w:rsid w:val="00092C90"/>
    <w:rsid w:val="000951C9"/>
    <w:rsid w:val="00096E6D"/>
    <w:rsid w:val="000A11F4"/>
    <w:rsid w:val="000A2280"/>
    <w:rsid w:val="000A4BBA"/>
    <w:rsid w:val="000A4F4D"/>
    <w:rsid w:val="000A5399"/>
    <w:rsid w:val="000A580A"/>
    <w:rsid w:val="000B0E4F"/>
    <w:rsid w:val="000B3644"/>
    <w:rsid w:val="000B73FD"/>
    <w:rsid w:val="000C3696"/>
    <w:rsid w:val="000C36A0"/>
    <w:rsid w:val="000C397A"/>
    <w:rsid w:val="000C7C1F"/>
    <w:rsid w:val="000D0B15"/>
    <w:rsid w:val="000D325E"/>
    <w:rsid w:val="000D6469"/>
    <w:rsid w:val="000D6EF8"/>
    <w:rsid w:val="000E03F9"/>
    <w:rsid w:val="000E150F"/>
    <w:rsid w:val="000E55A8"/>
    <w:rsid w:val="000E5A63"/>
    <w:rsid w:val="000E7030"/>
    <w:rsid w:val="000F335A"/>
    <w:rsid w:val="000F3BE3"/>
    <w:rsid w:val="000F6D56"/>
    <w:rsid w:val="00101ABE"/>
    <w:rsid w:val="00102A2B"/>
    <w:rsid w:val="001046BD"/>
    <w:rsid w:val="001118F0"/>
    <w:rsid w:val="001141DF"/>
    <w:rsid w:val="00116408"/>
    <w:rsid w:val="0011655B"/>
    <w:rsid w:val="001255BF"/>
    <w:rsid w:val="00134426"/>
    <w:rsid w:val="001449E1"/>
    <w:rsid w:val="00146A5C"/>
    <w:rsid w:val="00151299"/>
    <w:rsid w:val="001531F2"/>
    <w:rsid w:val="00153538"/>
    <w:rsid w:val="00154666"/>
    <w:rsid w:val="00155889"/>
    <w:rsid w:val="00156169"/>
    <w:rsid w:val="00156AF3"/>
    <w:rsid w:val="00157098"/>
    <w:rsid w:val="001605DF"/>
    <w:rsid w:val="00160A8C"/>
    <w:rsid w:val="00160FDD"/>
    <w:rsid w:val="0016561A"/>
    <w:rsid w:val="00166E1F"/>
    <w:rsid w:val="00167B3F"/>
    <w:rsid w:val="001708BD"/>
    <w:rsid w:val="00171104"/>
    <w:rsid w:val="001751FC"/>
    <w:rsid w:val="00176AF1"/>
    <w:rsid w:val="00180EA4"/>
    <w:rsid w:val="001823DD"/>
    <w:rsid w:val="001825A4"/>
    <w:rsid w:val="0018324F"/>
    <w:rsid w:val="0018478E"/>
    <w:rsid w:val="00191BFA"/>
    <w:rsid w:val="0019224F"/>
    <w:rsid w:val="001922EB"/>
    <w:rsid w:val="001948B6"/>
    <w:rsid w:val="00195E19"/>
    <w:rsid w:val="001974E8"/>
    <w:rsid w:val="00197A17"/>
    <w:rsid w:val="00197B6F"/>
    <w:rsid w:val="00197EF0"/>
    <w:rsid w:val="001A04D7"/>
    <w:rsid w:val="001A1404"/>
    <w:rsid w:val="001A37B7"/>
    <w:rsid w:val="001A6160"/>
    <w:rsid w:val="001B31CB"/>
    <w:rsid w:val="001B5183"/>
    <w:rsid w:val="001B59D9"/>
    <w:rsid w:val="001C2027"/>
    <w:rsid w:val="001C2351"/>
    <w:rsid w:val="001C2CD2"/>
    <w:rsid w:val="001C2D73"/>
    <w:rsid w:val="001C4260"/>
    <w:rsid w:val="001C524F"/>
    <w:rsid w:val="001C6228"/>
    <w:rsid w:val="001D1387"/>
    <w:rsid w:val="001D3209"/>
    <w:rsid w:val="001D3908"/>
    <w:rsid w:val="001E67AE"/>
    <w:rsid w:val="001F1A26"/>
    <w:rsid w:val="001F1E5D"/>
    <w:rsid w:val="001F653B"/>
    <w:rsid w:val="001F6966"/>
    <w:rsid w:val="001F72E7"/>
    <w:rsid w:val="00201F1A"/>
    <w:rsid w:val="0020594A"/>
    <w:rsid w:val="00206539"/>
    <w:rsid w:val="00206BF8"/>
    <w:rsid w:val="00212AA0"/>
    <w:rsid w:val="00220943"/>
    <w:rsid w:val="00220F40"/>
    <w:rsid w:val="0022262E"/>
    <w:rsid w:val="00223BF4"/>
    <w:rsid w:val="00233C4F"/>
    <w:rsid w:val="00236A79"/>
    <w:rsid w:val="00236A97"/>
    <w:rsid w:val="002406EA"/>
    <w:rsid w:val="00240914"/>
    <w:rsid w:val="00242831"/>
    <w:rsid w:val="00244F57"/>
    <w:rsid w:val="00245173"/>
    <w:rsid w:val="002467C4"/>
    <w:rsid w:val="002522FE"/>
    <w:rsid w:val="0025450C"/>
    <w:rsid w:val="0025459F"/>
    <w:rsid w:val="00256486"/>
    <w:rsid w:val="00257021"/>
    <w:rsid w:val="00262B37"/>
    <w:rsid w:val="0026732E"/>
    <w:rsid w:val="002743F2"/>
    <w:rsid w:val="002761DB"/>
    <w:rsid w:val="002767DB"/>
    <w:rsid w:val="002823DA"/>
    <w:rsid w:val="0028286E"/>
    <w:rsid w:val="0028493B"/>
    <w:rsid w:val="0028737C"/>
    <w:rsid w:val="002923FF"/>
    <w:rsid w:val="0029530C"/>
    <w:rsid w:val="00296217"/>
    <w:rsid w:val="002A13E6"/>
    <w:rsid w:val="002B3DAA"/>
    <w:rsid w:val="002B4191"/>
    <w:rsid w:val="002B4905"/>
    <w:rsid w:val="002B5221"/>
    <w:rsid w:val="002B6648"/>
    <w:rsid w:val="002C0B70"/>
    <w:rsid w:val="002C187A"/>
    <w:rsid w:val="002C1C22"/>
    <w:rsid w:val="002C2441"/>
    <w:rsid w:val="002C41CB"/>
    <w:rsid w:val="002C6621"/>
    <w:rsid w:val="002D2408"/>
    <w:rsid w:val="002D334B"/>
    <w:rsid w:val="002D38CA"/>
    <w:rsid w:val="002D715C"/>
    <w:rsid w:val="002D7A2D"/>
    <w:rsid w:val="002E0B54"/>
    <w:rsid w:val="002E1493"/>
    <w:rsid w:val="002E4B4E"/>
    <w:rsid w:val="002E627D"/>
    <w:rsid w:val="002F257C"/>
    <w:rsid w:val="002F3890"/>
    <w:rsid w:val="002F5409"/>
    <w:rsid w:val="002F5D49"/>
    <w:rsid w:val="00300E91"/>
    <w:rsid w:val="003012E9"/>
    <w:rsid w:val="00301F33"/>
    <w:rsid w:val="003024FC"/>
    <w:rsid w:val="003032B8"/>
    <w:rsid w:val="003035C3"/>
    <w:rsid w:val="00305EAD"/>
    <w:rsid w:val="00310F88"/>
    <w:rsid w:val="00314F64"/>
    <w:rsid w:val="00315673"/>
    <w:rsid w:val="00315F16"/>
    <w:rsid w:val="003161DC"/>
    <w:rsid w:val="00316667"/>
    <w:rsid w:val="00316DF9"/>
    <w:rsid w:val="0031716A"/>
    <w:rsid w:val="003221CD"/>
    <w:rsid w:val="00327ABC"/>
    <w:rsid w:val="00334CF3"/>
    <w:rsid w:val="00337110"/>
    <w:rsid w:val="003451DE"/>
    <w:rsid w:val="0034592D"/>
    <w:rsid w:val="00351C71"/>
    <w:rsid w:val="0035329C"/>
    <w:rsid w:val="00354AC2"/>
    <w:rsid w:val="00360412"/>
    <w:rsid w:val="003659F6"/>
    <w:rsid w:val="00370DE7"/>
    <w:rsid w:val="00372399"/>
    <w:rsid w:val="003734B3"/>
    <w:rsid w:val="00375233"/>
    <w:rsid w:val="003761FF"/>
    <w:rsid w:val="00381593"/>
    <w:rsid w:val="00382668"/>
    <w:rsid w:val="003839CA"/>
    <w:rsid w:val="00384318"/>
    <w:rsid w:val="00386379"/>
    <w:rsid w:val="0038731C"/>
    <w:rsid w:val="003879BB"/>
    <w:rsid w:val="003911BF"/>
    <w:rsid w:val="0039191C"/>
    <w:rsid w:val="00396DFB"/>
    <w:rsid w:val="003A1387"/>
    <w:rsid w:val="003A14D5"/>
    <w:rsid w:val="003A1C1B"/>
    <w:rsid w:val="003A1D1D"/>
    <w:rsid w:val="003A296B"/>
    <w:rsid w:val="003A2E73"/>
    <w:rsid w:val="003A2FD7"/>
    <w:rsid w:val="003A584F"/>
    <w:rsid w:val="003A6D93"/>
    <w:rsid w:val="003B5097"/>
    <w:rsid w:val="003C0BAC"/>
    <w:rsid w:val="003C2AE6"/>
    <w:rsid w:val="003C2E10"/>
    <w:rsid w:val="003C3157"/>
    <w:rsid w:val="003C484E"/>
    <w:rsid w:val="003D1F5A"/>
    <w:rsid w:val="003D3565"/>
    <w:rsid w:val="003D37D3"/>
    <w:rsid w:val="003D4EC2"/>
    <w:rsid w:val="003D5F60"/>
    <w:rsid w:val="003D68CF"/>
    <w:rsid w:val="003D6A03"/>
    <w:rsid w:val="003D75B5"/>
    <w:rsid w:val="003E03A5"/>
    <w:rsid w:val="003E0701"/>
    <w:rsid w:val="003E1339"/>
    <w:rsid w:val="003E513F"/>
    <w:rsid w:val="003F2EB6"/>
    <w:rsid w:val="003F514F"/>
    <w:rsid w:val="003F5819"/>
    <w:rsid w:val="003F5835"/>
    <w:rsid w:val="003F6311"/>
    <w:rsid w:val="003F6C75"/>
    <w:rsid w:val="00400867"/>
    <w:rsid w:val="00401ACF"/>
    <w:rsid w:val="00403C7B"/>
    <w:rsid w:val="00404BC0"/>
    <w:rsid w:val="00404E40"/>
    <w:rsid w:val="004070A9"/>
    <w:rsid w:val="00414CB5"/>
    <w:rsid w:val="00425642"/>
    <w:rsid w:val="00425C74"/>
    <w:rsid w:val="00427263"/>
    <w:rsid w:val="00427DED"/>
    <w:rsid w:val="004349C2"/>
    <w:rsid w:val="00434B8F"/>
    <w:rsid w:val="00437F1E"/>
    <w:rsid w:val="00444480"/>
    <w:rsid w:val="00444FC7"/>
    <w:rsid w:val="00450A4A"/>
    <w:rsid w:val="00454835"/>
    <w:rsid w:val="004565A4"/>
    <w:rsid w:val="00456B99"/>
    <w:rsid w:val="00466ED3"/>
    <w:rsid w:val="004713C0"/>
    <w:rsid w:val="00472206"/>
    <w:rsid w:val="00474572"/>
    <w:rsid w:val="004761C7"/>
    <w:rsid w:val="004762B4"/>
    <w:rsid w:val="00476747"/>
    <w:rsid w:val="00482323"/>
    <w:rsid w:val="004848F7"/>
    <w:rsid w:val="00486188"/>
    <w:rsid w:val="00487039"/>
    <w:rsid w:val="004872FD"/>
    <w:rsid w:val="004873F0"/>
    <w:rsid w:val="004906CB"/>
    <w:rsid w:val="00491596"/>
    <w:rsid w:val="004932B0"/>
    <w:rsid w:val="00493F6C"/>
    <w:rsid w:val="0049467D"/>
    <w:rsid w:val="00494BDC"/>
    <w:rsid w:val="00495E01"/>
    <w:rsid w:val="00496DE8"/>
    <w:rsid w:val="004A18F6"/>
    <w:rsid w:val="004A3A23"/>
    <w:rsid w:val="004A3ACA"/>
    <w:rsid w:val="004A3BB4"/>
    <w:rsid w:val="004A5666"/>
    <w:rsid w:val="004A5ADB"/>
    <w:rsid w:val="004A5BC2"/>
    <w:rsid w:val="004A5F7F"/>
    <w:rsid w:val="004A6D5A"/>
    <w:rsid w:val="004B4098"/>
    <w:rsid w:val="004B7D32"/>
    <w:rsid w:val="004C0157"/>
    <w:rsid w:val="004C1A74"/>
    <w:rsid w:val="004C32FD"/>
    <w:rsid w:val="004D1712"/>
    <w:rsid w:val="004D1D06"/>
    <w:rsid w:val="004D1ED1"/>
    <w:rsid w:val="004D395D"/>
    <w:rsid w:val="004D516B"/>
    <w:rsid w:val="004E1C92"/>
    <w:rsid w:val="004E32A7"/>
    <w:rsid w:val="004E5B28"/>
    <w:rsid w:val="004E6268"/>
    <w:rsid w:val="004F12E9"/>
    <w:rsid w:val="004F5C78"/>
    <w:rsid w:val="004F7993"/>
    <w:rsid w:val="00505115"/>
    <w:rsid w:val="0051114E"/>
    <w:rsid w:val="005116F8"/>
    <w:rsid w:val="00511FF7"/>
    <w:rsid w:val="00513F96"/>
    <w:rsid w:val="005145C0"/>
    <w:rsid w:val="00514AE2"/>
    <w:rsid w:val="00515EBF"/>
    <w:rsid w:val="005171BC"/>
    <w:rsid w:val="00520AF1"/>
    <w:rsid w:val="00522579"/>
    <w:rsid w:val="0052341C"/>
    <w:rsid w:val="005262A3"/>
    <w:rsid w:val="00526C1A"/>
    <w:rsid w:val="00530D9E"/>
    <w:rsid w:val="0053630F"/>
    <w:rsid w:val="00536FB4"/>
    <w:rsid w:val="00537616"/>
    <w:rsid w:val="00537F4E"/>
    <w:rsid w:val="00542959"/>
    <w:rsid w:val="00542F21"/>
    <w:rsid w:val="005475B0"/>
    <w:rsid w:val="00550AA7"/>
    <w:rsid w:val="00550B48"/>
    <w:rsid w:val="00552B2A"/>
    <w:rsid w:val="00552B63"/>
    <w:rsid w:val="00553628"/>
    <w:rsid w:val="0055505E"/>
    <w:rsid w:val="0056191B"/>
    <w:rsid w:val="0056315B"/>
    <w:rsid w:val="00565221"/>
    <w:rsid w:val="00567524"/>
    <w:rsid w:val="00571286"/>
    <w:rsid w:val="005714DC"/>
    <w:rsid w:val="00572662"/>
    <w:rsid w:val="005730FB"/>
    <w:rsid w:val="00577F85"/>
    <w:rsid w:val="005800B8"/>
    <w:rsid w:val="005829E6"/>
    <w:rsid w:val="00584289"/>
    <w:rsid w:val="00584FB7"/>
    <w:rsid w:val="00587BE8"/>
    <w:rsid w:val="00591806"/>
    <w:rsid w:val="005926CD"/>
    <w:rsid w:val="00595535"/>
    <w:rsid w:val="005A02F3"/>
    <w:rsid w:val="005A27E8"/>
    <w:rsid w:val="005A3710"/>
    <w:rsid w:val="005A4F50"/>
    <w:rsid w:val="005A6CEF"/>
    <w:rsid w:val="005A7D91"/>
    <w:rsid w:val="005B151C"/>
    <w:rsid w:val="005B25C3"/>
    <w:rsid w:val="005B275C"/>
    <w:rsid w:val="005B463E"/>
    <w:rsid w:val="005B5E82"/>
    <w:rsid w:val="005C3731"/>
    <w:rsid w:val="005C3BEC"/>
    <w:rsid w:val="005C547B"/>
    <w:rsid w:val="005C5752"/>
    <w:rsid w:val="005C5D5A"/>
    <w:rsid w:val="005C6281"/>
    <w:rsid w:val="005C6B00"/>
    <w:rsid w:val="005C7DFA"/>
    <w:rsid w:val="005D0AA9"/>
    <w:rsid w:val="005D4183"/>
    <w:rsid w:val="005D4817"/>
    <w:rsid w:val="005D6E6A"/>
    <w:rsid w:val="005D7107"/>
    <w:rsid w:val="005D7ADB"/>
    <w:rsid w:val="005E2380"/>
    <w:rsid w:val="005E3527"/>
    <w:rsid w:val="005E480B"/>
    <w:rsid w:val="005E7C07"/>
    <w:rsid w:val="005F6A43"/>
    <w:rsid w:val="005F7DD7"/>
    <w:rsid w:val="006029FB"/>
    <w:rsid w:val="006034E9"/>
    <w:rsid w:val="00604DA5"/>
    <w:rsid w:val="006066CF"/>
    <w:rsid w:val="00612580"/>
    <w:rsid w:val="00613A69"/>
    <w:rsid w:val="00614D7C"/>
    <w:rsid w:val="00615026"/>
    <w:rsid w:val="00615F28"/>
    <w:rsid w:val="00620A1C"/>
    <w:rsid w:val="00622DE1"/>
    <w:rsid w:val="006254B3"/>
    <w:rsid w:val="00626A59"/>
    <w:rsid w:val="00631D6F"/>
    <w:rsid w:val="006368E0"/>
    <w:rsid w:val="006371C8"/>
    <w:rsid w:val="0064145C"/>
    <w:rsid w:val="006419BB"/>
    <w:rsid w:val="00644BA2"/>
    <w:rsid w:val="006462AC"/>
    <w:rsid w:val="00646387"/>
    <w:rsid w:val="00653354"/>
    <w:rsid w:val="00654B35"/>
    <w:rsid w:val="0065551E"/>
    <w:rsid w:val="0065576F"/>
    <w:rsid w:val="00655D31"/>
    <w:rsid w:val="00660C2E"/>
    <w:rsid w:val="006638EB"/>
    <w:rsid w:val="006655F5"/>
    <w:rsid w:val="0066772D"/>
    <w:rsid w:val="00670C13"/>
    <w:rsid w:val="00672E97"/>
    <w:rsid w:val="00676B37"/>
    <w:rsid w:val="00677C82"/>
    <w:rsid w:val="00681166"/>
    <w:rsid w:val="00682B66"/>
    <w:rsid w:val="0068709C"/>
    <w:rsid w:val="00687656"/>
    <w:rsid w:val="00692332"/>
    <w:rsid w:val="00693AAA"/>
    <w:rsid w:val="006952C0"/>
    <w:rsid w:val="00697973"/>
    <w:rsid w:val="006A2855"/>
    <w:rsid w:val="006A313A"/>
    <w:rsid w:val="006A65CF"/>
    <w:rsid w:val="006A6E06"/>
    <w:rsid w:val="006A6F14"/>
    <w:rsid w:val="006B2F94"/>
    <w:rsid w:val="006B3691"/>
    <w:rsid w:val="006B5104"/>
    <w:rsid w:val="006B772A"/>
    <w:rsid w:val="006C0EC2"/>
    <w:rsid w:val="006C1170"/>
    <w:rsid w:val="006C244C"/>
    <w:rsid w:val="006C33CA"/>
    <w:rsid w:val="006C36E7"/>
    <w:rsid w:val="006C37A8"/>
    <w:rsid w:val="006C45FF"/>
    <w:rsid w:val="006C470C"/>
    <w:rsid w:val="006C600C"/>
    <w:rsid w:val="006C7093"/>
    <w:rsid w:val="006D156D"/>
    <w:rsid w:val="006D18B0"/>
    <w:rsid w:val="006D2387"/>
    <w:rsid w:val="006D54C0"/>
    <w:rsid w:val="006D5E30"/>
    <w:rsid w:val="006E18BC"/>
    <w:rsid w:val="006E2D7A"/>
    <w:rsid w:val="006E36F9"/>
    <w:rsid w:val="006E6C55"/>
    <w:rsid w:val="006F260F"/>
    <w:rsid w:val="006F4051"/>
    <w:rsid w:val="006F5452"/>
    <w:rsid w:val="006F57FF"/>
    <w:rsid w:val="006F615E"/>
    <w:rsid w:val="006F64F0"/>
    <w:rsid w:val="006F65DA"/>
    <w:rsid w:val="006F7EAC"/>
    <w:rsid w:val="00700866"/>
    <w:rsid w:val="007034CA"/>
    <w:rsid w:val="007101AF"/>
    <w:rsid w:val="00711E88"/>
    <w:rsid w:val="00712516"/>
    <w:rsid w:val="007161FD"/>
    <w:rsid w:val="007208BE"/>
    <w:rsid w:val="00723F93"/>
    <w:rsid w:val="00724852"/>
    <w:rsid w:val="00724D44"/>
    <w:rsid w:val="007267F2"/>
    <w:rsid w:val="007375F7"/>
    <w:rsid w:val="00741CDF"/>
    <w:rsid w:val="00745CA0"/>
    <w:rsid w:val="0074701C"/>
    <w:rsid w:val="00750392"/>
    <w:rsid w:val="00750C19"/>
    <w:rsid w:val="00754A11"/>
    <w:rsid w:val="00754AC7"/>
    <w:rsid w:val="007557FC"/>
    <w:rsid w:val="007576D5"/>
    <w:rsid w:val="00760241"/>
    <w:rsid w:val="00760B31"/>
    <w:rsid w:val="00760DE7"/>
    <w:rsid w:val="00767806"/>
    <w:rsid w:val="0077180E"/>
    <w:rsid w:val="00771B3F"/>
    <w:rsid w:val="00772FAF"/>
    <w:rsid w:val="00772FD4"/>
    <w:rsid w:val="00773519"/>
    <w:rsid w:val="007737B6"/>
    <w:rsid w:val="00780BEE"/>
    <w:rsid w:val="0078239A"/>
    <w:rsid w:val="007841BF"/>
    <w:rsid w:val="00794228"/>
    <w:rsid w:val="00797A39"/>
    <w:rsid w:val="007A04FD"/>
    <w:rsid w:val="007A07E0"/>
    <w:rsid w:val="007A3958"/>
    <w:rsid w:val="007A3B73"/>
    <w:rsid w:val="007A4001"/>
    <w:rsid w:val="007A4558"/>
    <w:rsid w:val="007A4BBE"/>
    <w:rsid w:val="007A5F9D"/>
    <w:rsid w:val="007A6527"/>
    <w:rsid w:val="007B08A8"/>
    <w:rsid w:val="007B1800"/>
    <w:rsid w:val="007B1B21"/>
    <w:rsid w:val="007B24CF"/>
    <w:rsid w:val="007B28DE"/>
    <w:rsid w:val="007B7527"/>
    <w:rsid w:val="007C0DBC"/>
    <w:rsid w:val="007C1DDB"/>
    <w:rsid w:val="007C5679"/>
    <w:rsid w:val="007D043F"/>
    <w:rsid w:val="007D467D"/>
    <w:rsid w:val="007D5F0B"/>
    <w:rsid w:val="007D7ECB"/>
    <w:rsid w:val="007E29A6"/>
    <w:rsid w:val="007E4FED"/>
    <w:rsid w:val="007E5FF4"/>
    <w:rsid w:val="007F1863"/>
    <w:rsid w:val="007F3183"/>
    <w:rsid w:val="007F77A5"/>
    <w:rsid w:val="00800810"/>
    <w:rsid w:val="008014BD"/>
    <w:rsid w:val="008021FC"/>
    <w:rsid w:val="008037F3"/>
    <w:rsid w:val="00806069"/>
    <w:rsid w:val="00806D3B"/>
    <w:rsid w:val="008101E2"/>
    <w:rsid w:val="00810333"/>
    <w:rsid w:val="00812E1F"/>
    <w:rsid w:val="00813783"/>
    <w:rsid w:val="0081445E"/>
    <w:rsid w:val="00816497"/>
    <w:rsid w:val="00820E2A"/>
    <w:rsid w:val="0082232E"/>
    <w:rsid w:val="0082389B"/>
    <w:rsid w:val="00823F73"/>
    <w:rsid w:val="00825139"/>
    <w:rsid w:val="00826CD1"/>
    <w:rsid w:val="00827189"/>
    <w:rsid w:val="0082748C"/>
    <w:rsid w:val="00830CE9"/>
    <w:rsid w:val="008329D0"/>
    <w:rsid w:val="008344F1"/>
    <w:rsid w:val="00834A6E"/>
    <w:rsid w:val="00836D07"/>
    <w:rsid w:val="00841B41"/>
    <w:rsid w:val="0084579B"/>
    <w:rsid w:val="008515C0"/>
    <w:rsid w:val="00852D3F"/>
    <w:rsid w:val="008545A7"/>
    <w:rsid w:val="008574CD"/>
    <w:rsid w:val="00857C65"/>
    <w:rsid w:val="00857CDB"/>
    <w:rsid w:val="008628E5"/>
    <w:rsid w:val="008636B4"/>
    <w:rsid w:val="00864212"/>
    <w:rsid w:val="00866E3A"/>
    <w:rsid w:val="008711BA"/>
    <w:rsid w:val="008747DC"/>
    <w:rsid w:val="00875CF7"/>
    <w:rsid w:val="008773D6"/>
    <w:rsid w:val="00877E85"/>
    <w:rsid w:val="00887102"/>
    <w:rsid w:val="00890107"/>
    <w:rsid w:val="00890969"/>
    <w:rsid w:val="008939B0"/>
    <w:rsid w:val="00894E68"/>
    <w:rsid w:val="008A0572"/>
    <w:rsid w:val="008A5547"/>
    <w:rsid w:val="008A79FF"/>
    <w:rsid w:val="008B1481"/>
    <w:rsid w:val="008B15FF"/>
    <w:rsid w:val="008B1FB5"/>
    <w:rsid w:val="008C4F88"/>
    <w:rsid w:val="008C5494"/>
    <w:rsid w:val="008C79C3"/>
    <w:rsid w:val="008D0A11"/>
    <w:rsid w:val="008D41A2"/>
    <w:rsid w:val="008E254F"/>
    <w:rsid w:val="008E2559"/>
    <w:rsid w:val="008E3B4A"/>
    <w:rsid w:val="008E3E05"/>
    <w:rsid w:val="008E46FC"/>
    <w:rsid w:val="008E5FF2"/>
    <w:rsid w:val="008E77CE"/>
    <w:rsid w:val="008F3F32"/>
    <w:rsid w:val="008F5128"/>
    <w:rsid w:val="008F5EA1"/>
    <w:rsid w:val="008F603A"/>
    <w:rsid w:val="008F65FE"/>
    <w:rsid w:val="00903F59"/>
    <w:rsid w:val="009045C9"/>
    <w:rsid w:val="00904632"/>
    <w:rsid w:val="00904BCE"/>
    <w:rsid w:val="00906140"/>
    <w:rsid w:val="00906877"/>
    <w:rsid w:val="00910E78"/>
    <w:rsid w:val="009123BD"/>
    <w:rsid w:val="00913778"/>
    <w:rsid w:val="009145BF"/>
    <w:rsid w:val="009172E3"/>
    <w:rsid w:val="00921608"/>
    <w:rsid w:val="00921FA3"/>
    <w:rsid w:val="00925480"/>
    <w:rsid w:val="00926803"/>
    <w:rsid w:val="009353B7"/>
    <w:rsid w:val="0093568A"/>
    <w:rsid w:val="009360A7"/>
    <w:rsid w:val="00937381"/>
    <w:rsid w:val="009379F4"/>
    <w:rsid w:val="00941EBA"/>
    <w:rsid w:val="0094387B"/>
    <w:rsid w:val="00950E1B"/>
    <w:rsid w:val="0095336E"/>
    <w:rsid w:val="00957534"/>
    <w:rsid w:val="0096198F"/>
    <w:rsid w:val="00963C60"/>
    <w:rsid w:val="00964C9E"/>
    <w:rsid w:val="00965CCD"/>
    <w:rsid w:val="00965CD1"/>
    <w:rsid w:val="00965D91"/>
    <w:rsid w:val="0096679E"/>
    <w:rsid w:val="0097044D"/>
    <w:rsid w:val="00970B36"/>
    <w:rsid w:val="00976B6E"/>
    <w:rsid w:val="00980870"/>
    <w:rsid w:val="009818A2"/>
    <w:rsid w:val="00981F64"/>
    <w:rsid w:val="00982111"/>
    <w:rsid w:val="00983D5E"/>
    <w:rsid w:val="00984944"/>
    <w:rsid w:val="00985198"/>
    <w:rsid w:val="00987E62"/>
    <w:rsid w:val="00990D1E"/>
    <w:rsid w:val="00991F84"/>
    <w:rsid w:val="00993B7A"/>
    <w:rsid w:val="00995443"/>
    <w:rsid w:val="0099664C"/>
    <w:rsid w:val="009968EE"/>
    <w:rsid w:val="00996B0C"/>
    <w:rsid w:val="00997E81"/>
    <w:rsid w:val="009A4D84"/>
    <w:rsid w:val="009A6630"/>
    <w:rsid w:val="009A66BF"/>
    <w:rsid w:val="009A73DA"/>
    <w:rsid w:val="009B0D4F"/>
    <w:rsid w:val="009B1CB7"/>
    <w:rsid w:val="009B51DE"/>
    <w:rsid w:val="009C0B55"/>
    <w:rsid w:val="009C4B79"/>
    <w:rsid w:val="009C50B9"/>
    <w:rsid w:val="009C61F1"/>
    <w:rsid w:val="009C6F90"/>
    <w:rsid w:val="009C74A8"/>
    <w:rsid w:val="009D036B"/>
    <w:rsid w:val="009D0463"/>
    <w:rsid w:val="009D1AAE"/>
    <w:rsid w:val="009D6F05"/>
    <w:rsid w:val="009E22AC"/>
    <w:rsid w:val="009E301E"/>
    <w:rsid w:val="009E3E66"/>
    <w:rsid w:val="009E4C58"/>
    <w:rsid w:val="009E731C"/>
    <w:rsid w:val="009F230A"/>
    <w:rsid w:val="009F52D0"/>
    <w:rsid w:val="009F70A8"/>
    <w:rsid w:val="00A03CA7"/>
    <w:rsid w:val="00A075B0"/>
    <w:rsid w:val="00A07C6C"/>
    <w:rsid w:val="00A120E2"/>
    <w:rsid w:val="00A143E9"/>
    <w:rsid w:val="00A15010"/>
    <w:rsid w:val="00A159BD"/>
    <w:rsid w:val="00A20511"/>
    <w:rsid w:val="00A213D6"/>
    <w:rsid w:val="00A24E2D"/>
    <w:rsid w:val="00A261C2"/>
    <w:rsid w:val="00A278F7"/>
    <w:rsid w:val="00A27D85"/>
    <w:rsid w:val="00A354B3"/>
    <w:rsid w:val="00A37C2D"/>
    <w:rsid w:val="00A41DDD"/>
    <w:rsid w:val="00A44597"/>
    <w:rsid w:val="00A448D2"/>
    <w:rsid w:val="00A45999"/>
    <w:rsid w:val="00A4708D"/>
    <w:rsid w:val="00A4779B"/>
    <w:rsid w:val="00A47CE9"/>
    <w:rsid w:val="00A47E08"/>
    <w:rsid w:val="00A54220"/>
    <w:rsid w:val="00A54999"/>
    <w:rsid w:val="00A63517"/>
    <w:rsid w:val="00A6447D"/>
    <w:rsid w:val="00A64F37"/>
    <w:rsid w:val="00A65084"/>
    <w:rsid w:val="00A66C6E"/>
    <w:rsid w:val="00A6723E"/>
    <w:rsid w:val="00A718F2"/>
    <w:rsid w:val="00A73FCC"/>
    <w:rsid w:val="00A75360"/>
    <w:rsid w:val="00A75714"/>
    <w:rsid w:val="00A802EC"/>
    <w:rsid w:val="00A8194F"/>
    <w:rsid w:val="00A82560"/>
    <w:rsid w:val="00A83278"/>
    <w:rsid w:val="00A91F7C"/>
    <w:rsid w:val="00A92F1B"/>
    <w:rsid w:val="00A9593C"/>
    <w:rsid w:val="00A960A8"/>
    <w:rsid w:val="00A96CDB"/>
    <w:rsid w:val="00AA33F6"/>
    <w:rsid w:val="00AB1A44"/>
    <w:rsid w:val="00AB2535"/>
    <w:rsid w:val="00AB6EC3"/>
    <w:rsid w:val="00AC02C7"/>
    <w:rsid w:val="00AC06F0"/>
    <w:rsid w:val="00AC1047"/>
    <w:rsid w:val="00AC1277"/>
    <w:rsid w:val="00AC2DD0"/>
    <w:rsid w:val="00AC4A36"/>
    <w:rsid w:val="00AC4EB0"/>
    <w:rsid w:val="00AC6632"/>
    <w:rsid w:val="00AC688E"/>
    <w:rsid w:val="00AC7815"/>
    <w:rsid w:val="00AD6901"/>
    <w:rsid w:val="00AD72B6"/>
    <w:rsid w:val="00AD7943"/>
    <w:rsid w:val="00AE322A"/>
    <w:rsid w:val="00AE3E21"/>
    <w:rsid w:val="00AE7472"/>
    <w:rsid w:val="00AF0924"/>
    <w:rsid w:val="00AF51BB"/>
    <w:rsid w:val="00AF59FC"/>
    <w:rsid w:val="00AF5CF3"/>
    <w:rsid w:val="00AF622F"/>
    <w:rsid w:val="00AF679F"/>
    <w:rsid w:val="00AF6853"/>
    <w:rsid w:val="00B00E7C"/>
    <w:rsid w:val="00B02520"/>
    <w:rsid w:val="00B04859"/>
    <w:rsid w:val="00B05CF5"/>
    <w:rsid w:val="00B12337"/>
    <w:rsid w:val="00B129F3"/>
    <w:rsid w:val="00B1383C"/>
    <w:rsid w:val="00B15427"/>
    <w:rsid w:val="00B17326"/>
    <w:rsid w:val="00B23036"/>
    <w:rsid w:val="00B306B4"/>
    <w:rsid w:val="00B3079C"/>
    <w:rsid w:val="00B31F16"/>
    <w:rsid w:val="00B33857"/>
    <w:rsid w:val="00B35E2F"/>
    <w:rsid w:val="00B36550"/>
    <w:rsid w:val="00B40252"/>
    <w:rsid w:val="00B40361"/>
    <w:rsid w:val="00B430B6"/>
    <w:rsid w:val="00B46CCF"/>
    <w:rsid w:val="00B526C9"/>
    <w:rsid w:val="00B53F5A"/>
    <w:rsid w:val="00B541D2"/>
    <w:rsid w:val="00B541F4"/>
    <w:rsid w:val="00B54AA7"/>
    <w:rsid w:val="00B561C2"/>
    <w:rsid w:val="00B576F7"/>
    <w:rsid w:val="00B61617"/>
    <w:rsid w:val="00B627B8"/>
    <w:rsid w:val="00B633BA"/>
    <w:rsid w:val="00B72A97"/>
    <w:rsid w:val="00B73FAF"/>
    <w:rsid w:val="00B761C3"/>
    <w:rsid w:val="00B8053A"/>
    <w:rsid w:val="00B81E5B"/>
    <w:rsid w:val="00B824A7"/>
    <w:rsid w:val="00B8377C"/>
    <w:rsid w:val="00B854C5"/>
    <w:rsid w:val="00B91284"/>
    <w:rsid w:val="00B9128A"/>
    <w:rsid w:val="00B919E4"/>
    <w:rsid w:val="00B94D29"/>
    <w:rsid w:val="00B9657D"/>
    <w:rsid w:val="00BA12F8"/>
    <w:rsid w:val="00BA1A32"/>
    <w:rsid w:val="00BA1D33"/>
    <w:rsid w:val="00BA3C70"/>
    <w:rsid w:val="00BA4993"/>
    <w:rsid w:val="00BA539E"/>
    <w:rsid w:val="00BA7F61"/>
    <w:rsid w:val="00BB049F"/>
    <w:rsid w:val="00BB1362"/>
    <w:rsid w:val="00BB1562"/>
    <w:rsid w:val="00BB1BF8"/>
    <w:rsid w:val="00BB20C0"/>
    <w:rsid w:val="00BB487B"/>
    <w:rsid w:val="00BB5898"/>
    <w:rsid w:val="00BC06CB"/>
    <w:rsid w:val="00BC1679"/>
    <w:rsid w:val="00BC21E9"/>
    <w:rsid w:val="00BC5935"/>
    <w:rsid w:val="00BD124C"/>
    <w:rsid w:val="00BD215B"/>
    <w:rsid w:val="00BD2F68"/>
    <w:rsid w:val="00BE57A1"/>
    <w:rsid w:val="00BE5B58"/>
    <w:rsid w:val="00BE5F6C"/>
    <w:rsid w:val="00BE7E47"/>
    <w:rsid w:val="00BF0529"/>
    <w:rsid w:val="00BF1B2D"/>
    <w:rsid w:val="00BF21D9"/>
    <w:rsid w:val="00BF36DB"/>
    <w:rsid w:val="00BF4235"/>
    <w:rsid w:val="00BF53A6"/>
    <w:rsid w:val="00BF53E5"/>
    <w:rsid w:val="00BF6082"/>
    <w:rsid w:val="00BF62A1"/>
    <w:rsid w:val="00BF6F59"/>
    <w:rsid w:val="00C00EBB"/>
    <w:rsid w:val="00C01F48"/>
    <w:rsid w:val="00C048FB"/>
    <w:rsid w:val="00C04913"/>
    <w:rsid w:val="00C04D16"/>
    <w:rsid w:val="00C058AC"/>
    <w:rsid w:val="00C06763"/>
    <w:rsid w:val="00C107B6"/>
    <w:rsid w:val="00C10F83"/>
    <w:rsid w:val="00C13E8A"/>
    <w:rsid w:val="00C151ED"/>
    <w:rsid w:val="00C160A4"/>
    <w:rsid w:val="00C161F8"/>
    <w:rsid w:val="00C237E1"/>
    <w:rsid w:val="00C26122"/>
    <w:rsid w:val="00C27FB9"/>
    <w:rsid w:val="00C33E70"/>
    <w:rsid w:val="00C33FB0"/>
    <w:rsid w:val="00C3445D"/>
    <w:rsid w:val="00C344B0"/>
    <w:rsid w:val="00C34CEE"/>
    <w:rsid w:val="00C34D40"/>
    <w:rsid w:val="00C359EC"/>
    <w:rsid w:val="00C402CE"/>
    <w:rsid w:val="00C43276"/>
    <w:rsid w:val="00C45FE0"/>
    <w:rsid w:val="00C52779"/>
    <w:rsid w:val="00C53ADA"/>
    <w:rsid w:val="00C5434F"/>
    <w:rsid w:val="00C57C53"/>
    <w:rsid w:val="00C61FD9"/>
    <w:rsid w:val="00C6419B"/>
    <w:rsid w:val="00C643BD"/>
    <w:rsid w:val="00C64684"/>
    <w:rsid w:val="00C67715"/>
    <w:rsid w:val="00C67E0E"/>
    <w:rsid w:val="00C7197E"/>
    <w:rsid w:val="00C73E57"/>
    <w:rsid w:val="00C74F5C"/>
    <w:rsid w:val="00C84357"/>
    <w:rsid w:val="00C84EB5"/>
    <w:rsid w:val="00C90C28"/>
    <w:rsid w:val="00C93EB3"/>
    <w:rsid w:val="00C95C83"/>
    <w:rsid w:val="00C97A4C"/>
    <w:rsid w:val="00CA3EE4"/>
    <w:rsid w:val="00CA44A7"/>
    <w:rsid w:val="00CA5A39"/>
    <w:rsid w:val="00CA744F"/>
    <w:rsid w:val="00CB1841"/>
    <w:rsid w:val="00CB1AF1"/>
    <w:rsid w:val="00CB3870"/>
    <w:rsid w:val="00CB6DA1"/>
    <w:rsid w:val="00CC3602"/>
    <w:rsid w:val="00CC3DD0"/>
    <w:rsid w:val="00CC54DE"/>
    <w:rsid w:val="00CC646D"/>
    <w:rsid w:val="00CC6D73"/>
    <w:rsid w:val="00CD0473"/>
    <w:rsid w:val="00CD3E14"/>
    <w:rsid w:val="00CD6982"/>
    <w:rsid w:val="00CD6E79"/>
    <w:rsid w:val="00CE0773"/>
    <w:rsid w:val="00CE3029"/>
    <w:rsid w:val="00CF11EA"/>
    <w:rsid w:val="00CF16CD"/>
    <w:rsid w:val="00CF3DBD"/>
    <w:rsid w:val="00CF5BA6"/>
    <w:rsid w:val="00D1295D"/>
    <w:rsid w:val="00D135F7"/>
    <w:rsid w:val="00D14115"/>
    <w:rsid w:val="00D170D0"/>
    <w:rsid w:val="00D20EBC"/>
    <w:rsid w:val="00D213B9"/>
    <w:rsid w:val="00D21D58"/>
    <w:rsid w:val="00D23CCC"/>
    <w:rsid w:val="00D24F9A"/>
    <w:rsid w:val="00D257BC"/>
    <w:rsid w:val="00D279CD"/>
    <w:rsid w:val="00D33261"/>
    <w:rsid w:val="00D33939"/>
    <w:rsid w:val="00D33EE7"/>
    <w:rsid w:val="00D34EA6"/>
    <w:rsid w:val="00D354F8"/>
    <w:rsid w:val="00D357EA"/>
    <w:rsid w:val="00D35AD1"/>
    <w:rsid w:val="00D36597"/>
    <w:rsid w:val="00D413FA"/>
    <w:rsid w:val="00D42062"/>
    <w:rsid w:val="00D42486"/>
    <w:rsid w:val="00D443BF"/>
    <w:rsid w:val="00D45064"/>
    <w:rsid w:val="00D466FA"/>
    <w:rsid w:val="00D47257"/>
    <w:rsid w:val="00D47278"/>
    <w:rsid w:val="00D47655"/>
    <w:rsid w:val="00D47E1F"/>
    <w:rsid w:val="00D47FF1"/>
    <w:rsid w:val="00D512EC"/>
    <w:rsid w:val="00D513FD"/>
    <w:rsid w:val="00D5386D"/>
    <w:rsid w:val="00D54659"/>
    <w:rsid w:val="00D56A78"/>
    <w:rsid w:val="00D57754"/>
    <w:rsid w:val="00D62B66"/>
    <w:rsid w:val="00D64F1C"/>
    <w:rsid w:val="00D652F8"/>
    <w:rsid w:val="00D657AA"/>
    <w:rsid w:val="00D70E0C"/>
    <w:rsid w:val="00D74204"/>
    <w:rsid w:val="00D74D0F"/>
    <w:rsid w:val="00D76A88"/>
    <w:rsid w:val="00D77508"/>
    <w:rsid w:val="00D80394"/>
    <w:rsid w:val="00D84791"/>
    <w:rsid w:val="00D865E6"/>
    <w:rsid w:val="00D8771A"/>
    <w:rsid w:val="00D87EC0"/>
    <w:rsid w:val="00D93AE4"/>
    <w:rsid w:val="00DA09C0"/>
    <w:rsid w:val="00DA365B"/>
    <w:rsid w:val="00DB22C1"/>
    <w:rsid w:val="00DB7D06"/>
    <w:rsid w:val="00DC08B8"/>
    <w:rsid w:val="00DC21BA"/>
    <w:rsid w:val="00DC32B4"/>
    <w:rsid w:val="00DC4932"/>
    <w:rsid w:val="00DC49A8"/>
    <w:rsid w:val="00DC6B1D"/>
    <w:rsid w:val="00DD40CC"/>
    <w:rsid w:val="00DD5B29"/>
    <w:rsid w:val="00DD6933"/>
    <w:rsid w:val="00DD6E11"/>
    <w:rsid w:val="00DD6FDD"/>
    <w:rsid w:val="00DE054D"/>
    <w:rsid w:val="00DE1DEB"/>
    <w:rsid w:val="00DE1EBF"/>
    <w:rsid w:val="00DE3095"/>
    <w:rsid w:val="00DE4D18"/>
    <w:rsid w:val="00DE6BA0"/>
    <w:rsid w:val="00DE6DE9"/>
    <w:rsid w:val="00DF3420"/>
    <w:rsid w:val="00DF3570"/>
    <w:rsid w:val="00DF7E26"/>
    <w:rsid w:val="00E00C7A"/>
    <w:rsid w:val="00E10517"/>
    <w:rsid w:val="00E11C77"/>
    <w:rsid w:val="00E12595"/>
    <w:rsid w:val="00E25588"/>
    <w:rsid w:val="00E27695"/>
    <w:rsid w:val="00E33197"/>
    <w:rsid w:val="00E361F0"/>
    <w:rsid w:val="00E411A4"/>
    <w:rsid w:val="00E414C7"/>
    <w:rsid w:val="00E44A7B"/>
    <w:rsid w:val="00E44C2E"/>
    <w:rsid w:val="00E45D76"/>
    <w:rsid w:val="00E4758A"/>
    <w:rsid w:val="00E53184"/>
    <w:rsid w:val="00E5332D"/>
    <w:rsid w:val="00E535C4"/>
    <w:rsid w:val="00E54508"/>
    <w:rsid w:val="00E56241"/>
    <w:rsid w:val="00E56CB7"/>
    <w:rsid w:val="00E60B59"/>
    <w:rsid w:val="00E65543"/>
    <w:rsid w:val="00E65812"/>
    <w:rsid w:val="00E664F6"/>
    <w:rsid w:val="00E67454"/>
    <w:rsid w:val="00E721C7"/>
    <w:rsid w:val="00E740EF"/>
    <w:rsid w:val="00E752CA"/>
    <w:rsid w:val="00E7634D"/>
    <w:rsid w:val="00E764A8"/>
    <w:rsid w:val="00E7674A"/>
    <w:rsid w:val="00E804C0"/>
    <w:rsid w:val="00E815B9"/>
    <w:rsid w:val="00E8237E"/>
    <w:rsid w:val="00E828A1"/>
    <w:rsid w:val="00E83F59"/>
    <w:rsid w:val="00E84D32"/>
    <w:rsid w:val="00E8524E"/>
    <w:rsid w:val="00E86844"/>
    <w:rsid w:val="00E917DA"/>
    <w:rsid w:val="00E91F9B"/>
    <w:rsid w:val="00E92091"/>
    <w:rsid w:val="00E92A3C"/>
    <w:rsid w:val="00E93728"/>
    <w:rsid w:val="00E97C1C"/>
    <w:rsid w:val="00EA02CC"/>
    <w:rsid w:val="00EA062B"/>
    <w:rsid w:val="00EA0B41"/>
    <w:rsid w:val="00EA4609"/>
    <w:rsid w:val="00EA5305"/>
    <w:rsid w:val="00EA6173"/>
    <w:rsid w:val="00EB05FB"/>
    <w:rsid w:val="00EB21B0"/>
    <w:rsid w:val="00EB5028"/>
    <w:rsid w:val="00EC5CB9"/>
    <w:rsid w:val="00ED1EB4"/>
    <w:rsid w:val="00ED37B6"/>
    <w:rsid w:val="00ED645A"/>
    <w:rsid w:val="00EE200C"/>
    <w:rsid w:val="00EE2EE4"/>
    <w:rsid w:val="00EE6763"/>
    <w:rsid w:val="00EE7173"/>
    <w:rsid w:val="00EF0764"/>
    <w:rsid w:val="00EF0C26"/>
    <w:rsid w:val="00EF312D"/>
    <w:rsid w:val="00EF45C7"/>
    <w:rsid w:val="00EF64A9"/>
    <w:rsid w:val="00F016E7"/>
    <w:rsid w:val="00F036EC"/>
    <w:rsid w:val="00F12A11"/>
    <w:rsid w:val="00F15835"/>
    <w:rsid w:val="00F17382"/>
    <w:rsid w:val="00F23456"/>
    <w:rsid w:val="00F2711A"/>
    <w:rsid w:val="00F27340"/>
    <w:rsid w:val="00F32AEF"/>
    <w:rsid w:val="00F40581"/>
    <w:rsid w:val="00F44B31"/>
    <w:rsid w:val="00F45C57"/>
    <w:rsid w:val="00F46458"/>
    <w:rsid w:val="00F51538"/>
    <w:rsid w:val="00F51825"/>
    <w:rsid w:val="00F51893"/>
    <w:rsid w:val="00F5354C"/>
    <w:rsid w:val="00F54326"/>
    <w:rsid w:val="00F56E7B"/>
    <w:rsid w:val="00F606F4"/>
    <w:rsid w:val="00F6199E"/>
    <w:rsid w:val="00F65486"/>
    <w:rsid w:val="00F66B13"/>
    <w:rsid w:val="00F71882"/>
    <w:rsid w:val="00F72BA9"/>
    <w:rsid w:val="00F7350B"/>
    <w:rsid w:val="00F741B3"/>
    <w:rsid w:val="00F82210"/>
    <w:rsid w:val="00F83251"/>
    <w:rsid w:val="00F836AE"/>
    <w:rsid w:val="00F843A8"/>
    <w:rsid w:val="00F84614"/>
    <w:rsid w:val="00F85332"/>
    <w:rsid w:val="00F86BC7"/>
    <w:rsid w:val="00F8724A"/>
    <w:rsid w:val="00F91FA5"/>
    <w:rsid w:val="00F9253E"/>
    <w:rsid w:val="00F92ACD"/>
    <w:rsid w:val="00F92C37"/>
    <w:rsid w:val="00F969F5"/>
    <w:rsid w:val="00FA0DF8"/>
    <w:rsid w:val="00FA19F2"/>
    <w:rsid w:val="00FA26D6"/>
    <w:rsid w:val="00FA303D"/>
    <w:rsid w:val="00FA3CAD"/>
    <w:rsid w:val="00FA5054"/>
    <w:rsid w:val="00FB130B"/>
    <w:rsid w:val="00FB26DF"/>
    <w:rsid w:val="00FB7DC0"/>
    <w:rsid w:val="00FC094E"/>
    <w:rsid w:val="00FC202F"/>
    <w:rsid w:val="00FC67E3"/>
    <w:rsid w:val="00FC6BD9"/>
    <w:rsid w:val="00FC6DE2"/>
    <w:rsid w:val="00FD0FF4"/>
    <w:rsid w:val="00FD2CA9"/>
    <w:rsid w:val="00FD5294"/>
    <w:rsid w:val="00FD6167"/>
    <w:rsid w:val="00FD7EAF"/>
    <w:rsid w:val="00FE05C0"/>
    <w:rsid w:val="00FE1AAF"/>
    <w:rsid w:val="00FE3930"/>
    <w:rsid w:val="00FE4D3F"/>
    <w:rsid w:val="00FE5414"/>
    <w:rsid w:val="00FF158C"/>
    <w:rsid w:val="00FF1935"/>
    <w:rsid w:val="00FF35F9"/>
    <w:rsid w:val="00FF56E5"/>
    <w:rsid w:val="00FF61A1"/>
    <w:rsid w:val="00FF67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6c,#0000a8,#2929cd"/>
    </o:shapedefaults>
    <o:shapelayout v:ext="edit">
      <o:idmap v:ext="edit" data="1"/>
    </o:shapelayout>
  </w:shapeDefaults>
  <w:decimalSymbol w:val="."/>
  <w:listSeparator w:val=";"/>
  <w14:docId w14:val="2F54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6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187A"/>
    <w:pPr>
      <w:tabs>
        <w:tab w:val="center" w:pos="4252"/>
        <w:tab w:val="right" w:pos="8504"/>
      </w:tabs>
    </w:pPr>
  </w:style>
  <w:style w:type="paragraph" w:styleId="Piedepgina">
    <w:name w:val="footer"/>
    <w:basedOn w:val="Normal"/>
    <w:rsid w:val="002C187A"/>
    <w:pPr>
      <w:tabs>
        <w:tab w:val="center" w:pos="4252"/>
        <w:tab w:val="right" w:pos="8504"/>
      </w:tabs>
    </w:pPr>
  </w:style>
  <w:style w:type="character" w:styleId="Hipervnculo">
    <w:name w:val="Hyperlink"/>
    <w:basedOn w:val="Fuentedeprrafopredeter"/>
    <w:rsid w:val="002C187A"/>
    <w:rPr>
      <w:color w:val="0000FF"/>
      <w:u w:val="single"/>
    </w:rPr>
  </w:style>
  <w:style w:type="paragraph" w:styleId="Listaconvietas">
    <w:name w:val="List Bullet"/>
    <w:basedOn w:val="Normal"/>
    <w:uiPriority w:val="99"/>
    <w:unhideWhenUsed/>
    <w:rsid w:val="00ED1EB4"/>
    <w:pPr>
      <w:numPr>
        <w:numId w:val="5"/>
      </w:numPr>
      <w:contextualSpacing/>
      <w:jc w:val="both"/>
    </w:pPr>
  </w:style>
  <w:style w:type="paragraph" w:styleId="Prrafodelista">
    <w:name w:val="List Paragraph"/>
    <w:aliases w:val="Párrafo de lista SUBCAPITULO,Párrafo de lista1,Colorful List - Accent 11,TIT 2 IND,Texto,List Paragraph"/>
    <w:basedOn w:val="Normal"/>
    <w:link w:val="PrrafodelistaCar"/>
    <w:uiPriority w:val="34"/>
    <w:qFormat/>
    <w:rsid w:val="00990D1E"/>
    <w:pPr>
      <w:ind w:left="720"/>
      <w:contextualSpacing/>
    </w:pPr>
  </w:style>
  <w:style w:type="table" w:styleId="Tablaconcuadrcula">
    <w:name w:val="Table Grid"/>
    <w:basedOn w:val="Tablanormal"/>
    <w:uiPriority w:val="59"/>
    <w:rsid w:val="007841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7841BF"/>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C93EB3"/>
    <w:rPr>
      <w:rFonts w:ascii="Tahoma" w:hAnsi="Tahoma" w:cs="Tahoma"/>
      <w:sz w:val="16"/>
      <w:szCs w:val="16"/>
    </w:rPr>
  </w:style>
  <w:style w:type="character" w:customStyle="1" w:styleId="TextodegloboCar">
    <w:name w:val="Texto de globo Car"/>
    <w:basedOn w:val="Fuentedeprrafopredeter"/>
    <w:link w:val="Textodeglobo"/>
    <w:rsid w:val="00C93EB3"/>
    <w:rPr>
      <w:rFonts w:ascii="Tahoma" w:hAnsi="Tahoma" w:cs="Tahoma"/>
      <w:sz w:val="16"/>
      <w:szCs w:val="16"/>
      <w:lang w:val="es-ES" w:eastAsia="es-ES"/>
    </w:rPr>
  </w:style>
  <w:style w:type="paragraph" w:customStyle="1" w:styleId="Default">
    <w:name w:val="Default"/>
    <w:rsid w:val="00A27D85"/>
    <w:pPr>
      <w:autoSpaceDE w:val="0"/>
      <w:autoSpaceDN w:val="0"/>
      <w:adjustRightInd w:val="0"/>
    </w:pPr>
    <w:rPr>
      <w:rFonts w:ascii="Arial" w:eastAsia="Calibri" w:hAnsi="Arial" w:cs="Arial"/>
      <w:color w:val="000000"/>
      <w:sz w:val="24"/>
      <w:szCs w:val="24"/>
    </w:rPr>
  </w:style>
  <w:style w:type="character" w:customStyle="1" w:styleId="PrrafodelistaCar">
    <w:name w:val="Párrafo de lista Car"/>
    <w:aliases w:val="Párrafo de lista SUBCAPITULO Car,Párrafo de lista1 Car,Colorful List - Accent 11 Car,TIT 2 IND Car,Texto Car,List Paragraph Car"/>
    <w:link w:val="Prrafodelista"/>
    <w:uiPriority w:val="34"/>
    <w:locked/>
    <w:rsid w:val="00A27D85"/>
    <w:rPr>
      <w:sz w:val="24"/>
      <w:szCs w:val="24"/>
      <w:lang w:val="es-ES" w:eastAsia="es-ES"/>
    </w:rPr>
  </w:style>
  <w:style w:type="paragraph" w:styleId="Textodebloque">
    <w:name w:val="Block Text"/>
    <w:basedOn w:val="Normal"/>
    <w:uiPriority w:val="99"/>
    <w:semiHidden/>
    <w:rsid w:val="00A27D85"/>
    <w:pPr>
      <w:spacing w:line="240" w:lineRule="atLeast"/>
      <w:ind w:left="567" w:right="49" w:hanging="567"/>
      <w:jc w:val="both"/>
    </w:pPr>
    <w:rPr>
      <w:sz w:val="22"/>
      <w:szCs w:val="22"/>
    </w:rPr>
  </w:style>
  <w:style w:type="character" w:styleId="Textoennegrita">
    <w:name w:val="Strong"/>
    <w:basedOn w:val="Fuentedeprrafopredeter"/>
    <w:qFormat/>
    <w:rsid w:val="007B1800"/>
    <w:rPr>
      <w:b/>
      <w:bCs/>
    </w:rPr>
  </w:style>
  <w:style w:type="paragraph" w:styleId="Textosinformato">
    <w:name w:val="Plain Text"/>
    <w:basedOn w:val="Default"/>
    <w:next w:val="Default"/>
    <w:link w:val="TextosinformatoCar"/>
    <w:unhideWhenUsed/>
    <w:rsid w:val="00401ACF"/>
    <w:rPr>
      <w:rFonts w:ascii="TimesNewRoman,Bold" w:eastAsia="Times New Roman" w:hAnsi="TimesNewRoman,Bold" w:cs="Times New Roman"/>
      <w:color w:val="auto"/>
      <w:sz w:val="20"/>
      <w:lang w:val="es-ES" w:eastAsia="es-ES"/>
    </w:rPr>
  </w:style>
  <w:style w:type="character" w:customStyle="1" w:styleId="TextosinformatoCar">
    <w:name w:val="Texto sin formato Car"/>
    <w:basedOn w:val="Fuentedeprrafopredeter"/>
    <w:link w:val="Textosinformato"/>
    <w:rsid w:val="00401ACF"/>
    <w:rPr>
      <w:rFonts w:ascii="TimesNewRoman,Bold" w:hAnsi="TimesNewRoman,Bold"/>
      <w:szCs w:val="24"/>
      <w:lang w:val="es-ES" w:eastAsia="es-ES"/>
    </w:rPr>
  </w:style>
  <w:style w:type="paragraph" w:styleId="NormalWeb">
    <w:name w:val="Normal (Web)"/>
    <w:basedOn w:val="Normal"/>
    <w:uiPriority w:val="99"/>
    <w:unhideWhenUsed/>
    <w:rsid w:val="00EB21B0"/>
    <w:pPr>
      <w:spacing w:before="100" w:beforeAutospacing="1" w:after="100" w:afterAutospacing="1"/>
    </w:pPr>
    <w:rPr>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6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187A"/>
    <w:pPr>
      <w:tabs>
        <w:tab w:val="center" w:pos="4252"/>
        <w:tab w:val="right" w:pos="8504"/>
      </w:tabs>
    </w:pPr>
  </w:style>
  <w:style w:type="paragraph" w:styleId="Piedepgina">
    <w:name w:val="footer"/>
    <w:basedOn w:val="Normal"/>
    <w:rsid w:val="002C187A"/>
    <w:pPr>
      <w:tabs>
        <w:tab w:val="center" w:pos="4252"/>
        <w:tab w:val="right" w:pos="8504"/>
      </w:tabs>
    </w:pPr>
  </w:style>
  <w:style w:type="character" w:styleId="Hipervnculo">
    <w:name w:val="Hyperlink"/>
    <w:basedOn w:val="Fuentedeprrafopredeter"/>
    <w:rsid w:val="002C187A"/>
    <w:rPr>
      <w:color w:val="0000FF"/>
      <w:u w:val="single"/>
    </w:rPr>
  </w:style>
  <w:style w:type="paragraph" w:styleId="Listaconvietas">
    <w:name w:val="List Bullet"/>
    <w:basedOn w:val="Normal"/>
    <w:uiPriority w:val="99"/>
    <w:unhideWhenUsed/>
    <w:rsid w:val="00ED1EB4"/>
    <w:pPr>
      <w:numPr>
        <w:numId w:val="5"/>
      </w:numPr>
      <w:contextualSpacing/>
      <w:jc w:val="both"/>
    </w:pPr>
  </w:style>
  <w:style w:type="paragraph" w:styleId="Prrafodelista">
    <w:name w:val="List Paragraph"/>
    <w:aliases w:val="Párrafo de lista SUBCAPITULO,Párrafo de lista1,Colorful List - Accent 11,TIT 2 IND,Texto,List Paragraph"/>
    <w:basedOn w:val="Normal"/>
    <w:link w:val="PrrafodelistaCar"/>
    <w:uiPriority w:val="34"/>
    <w:qFormat/>
    <w:rsid w:val="00990D1E"/>
    <w:pPr>
      <w:ind w:left="720"/>
      <w:contextualSpacing/>
    </w:pPr>
  </w:style>
  <w:style w:type="table" w:styleId="Tablaconcuadrcula">
    <w:name w:val="Table Grid"/>
    <w:basedOn w:val="Tablanormal"/>
    <w:uiPriority w:val="59"/>
    <w:rsid w:val="007841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7841BF"/>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C93EB3"/>
    <w:rPr>
      <w:rFonts w:ascii="Tahoma" w:hAnsi="Tahoma" w:cs="Tahoma"/>
      <w:sz w:val="16"/>
      <w:szCs w:val="16"/>
    </w:rPr>
  </w:style>
  <w:style w:type="character" w:customStyle="1" w:styleId="TextodegloboCar">
    <w:name w:val="Texto de globo Car"/>
    <w:basedOn w:val="Fuentedeprrafopredeter"/>
    <w:link w:val="Textodeglobo"/>
    <w:rsid w:val="00C93EB3"/>
    <w:rPr>
      <w:rFonts w:ascii="Tahoma" w:hAnsi="Tahoma" w:cs="Tahoma"/>
      <w:sz w:val="16"/>
      <w:szCs w:val="16"/>
      <w:lang w:val="es-ES" w:eastAsia="es-ES"/>
    </w:rPr>
  </w:style>
  <w:style w:type="paragraph" w:customStyle="1" w:styleId="Default">
    <w:name w:val="Default"/>
    <w:rsid w:val="00A27D85"/>
    <w:pPr>
      <w:autoSpaceDE w:val="0"/>
      <w:autoSpaceDN w:val="0"/>
      <w:adjustRightInd w:val="0"/>
    </w:pPr>
    <w:rPr>
      <w:rFonts w:ascii="Arial" w:eastAsia="Calibri" w:hAnsi="Arial" w:cs="Arial"/>
      <w:color w:val="000000"/>
      <w:sz w:val="24"/>
      <w:szCs w:val="24"/>
    </w:rPr>
  </w:style>
  <w:style w:type="character" w:customStyle="1" w:styleId="PrrafodelistaCar">
    <w:name w:val="Párrafo de lista Car"/>
    <w:aliases w:val="Párrafo de lista SUBCAPITULO Car,Párrafo de lista1 Car,Colorful List - Accent 11 Car,TIT 2 IND Car,Texto Car,List Paragraph Car"/>
    <w:link w:val="Prrafodelista"/>
    <w:uiPriority w:val="34"/>
    <w:locked/>
    <w:rsid w:val="00A27D85"/>
    <w:rPr>
      <w:sz w:val="24"/>
      <w:szCs w:val="24"/>
      <w:lang w:val="es-ES" w:eastAsia="es-ES"/>
    </w:rPr>
  </w:style>
  <w:style w:type="paragraph" w:styleId="Textodebloque">
    <w:name w:val="Block Text"/>
    <w:basedOn w:val="Normal"/>
    <w:uiPriority w:val="99"/>
    <w:semiHidden/>
    <w:rsid w:val="00A27D85"/>
    <w:pPr>
      <w:spacing w:line="240" w:lineRule="atLeast"/>
      <w:ind w:left="567" w:right="49" w:hanging="567"/>
      <w:jc w:val="both"/>
    </w:pPr>
    <w:rPr>
      <w:sz w:val="22"/>
      <w:szCs w:val="22"/>
    </w:rPr>
  </w:style>
  <w:style w:type="character" w:styleId="Textoennegrita">
    <w:name w:val="Strong"/>
    <w:basedOn w:val="Fuentedeprrafopredeter"/>
    <w:qFormat/>
    <w:rsid w:val="007B1800"/>
    <w:rPr>
      <w:b/>
      <w:bCs/>
    </w:rPr>
  </w:style>
  <w:style w:type="paragraph" w:styleId="Textosinformato">
    <w:name w:val="Plain Text"/>
    <w:basedOn w:val="Default"/>
    <w:next w:val="Default"/>
    <w:link w:val="TextosinformatoCar"/>
    <w:unhideWhenUsed/>
    <w:rsid w:val="00401ACF"/>
    <w:rPr>
      <w:rFonts w:ascii="TimesNewRoman,Bold" w:eastAsia="Times New Roman" w:hAnsi="TimesNewRoman,Bold" w:cs="Times New Roman"/>
      <w:color w:val="auto"/>
      <w:sz w:val="20"/>
      <w:lang w:val="es-ES" w:eastAsia="es-ES"/>
    </w:rPr>
  </w:style>
  <w:style w:type="character" w:customStyle="1" w:styleId="TextosinformatoCar">
    <w:name w:val="Texto sin formato Car"/>
    <w:basedOn w:val="Fuentedeprrafopredeter"/>
    <w:link w:val="Textosinformato"/>
    <w:rsid w:val="00401ACF"/>
    <w:rPr>
      <w:rFonts w:ascii="TimesNewRoman,Bold" w:hAnsi="TimesNewRoman,Bold"/>
      <w:szCs w:val="24"/>
      <w:lang w:val="es-ES" w:eastAsia="es-ES"/>
    </w:rPr>
  </w:style>
  <w:style w:type="paragraph" w:styleId="NormalWeb">
    <w:name w:val="Normal (Web)"/>
    <w:basedOn w:val="Normal"/>
    <w:uiPriority w:val="99"/>
    <w:unhideWhenUsed/>
    <w:rsid w:val="00EB21B0"/>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411">
      <w:bodyDiv w:val="1"/>
      <w:marLeft w:val="0"/>
      <w:marRight w:val="0"/>
      <w:marTop w:val="0"/>
      <w:marBottom w:val="0"/>
      <w:divBdr>
        <w:top w:val="none" w:sz="0" w:space="0" w:color="auto"/>
        <w:left w:val="none" w:sz="0" w:space="0" w:color="auto"/>
        <w:bottom w:val="none" w:sz="0" w:space="0" w:color="auto"/>
        <w:right w:val="none" w:sz="0" w:space="0" w:color="auto"/>
      </w:divBdr>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
    <w:div w:id="1329943383">
      <w:bodyDiv w:val="1"/>
      <w:marLeft w:val="0"/>
      <w:marRight w:val="0"/>
      <w:marTop w:val="0"/>
      <w:marBottom w:val="0"/>
      <w:divBdr>
        <w:top w:val="none" w:sz="0" w:space="0" w:color="auto"/>
        <w:left w:val="none" w:sz="0" w:space="0" w:color="auto"/>
        <w:bottom w:val="none" w:sz="0" w:space="0" w:color="auto"/>
        <w:right w:val="none" w:sz="0" w:space="0" w:color="auto"/>
      </w:divBdr>
    </w:div>
    <w:div w:id="1339039330">
      <w:bodyDiv w:val="1"/>
      <w:marLeft w:val="0"/>
      <w:marRight w:val="0"/>
      <w:marTop w:val="0"/>
      <w:marBottom w:val="0"/>
      <w:divBdr>
        <w:top w:val="none" w:sz="0" w:space="0" w:color="auto"/>
        <w:left w:val="none" w:sz="0" w:space="0" w:color="auto"/>
        <w:bottom w:val="none" w:sz="0" w:space="0" w:color="auto"/>
        <w:right w:val="none" w:sz="0" w:space="0" w:color="auto"/>
      </w:divBdr>
    </w:div>
    <w:div w:id="1529874115">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2057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EDA6-39B9-4AC0-A4FC-6A320007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mdmq</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ktorres</dc:creator>
  <cp:lastModifiedBy>Secretaria de Concejo</cp:lastModifiedBy>
  <cp:revision>2</cp:revision>
  <cp:lastPrinted>2019-06-24T19:36:00Z</cp:lastPrinted>
  <dcterms:created xsi:type="dcterms:W3CDTF">2020-07-24T15:03:00Z</dcterms:created>
  <dcterms:modified xsi:type="dcterms:W3CDTF">2020-07-24T15:03:00Z</dcterms:modified>
</cp:coreProperties>
</file>