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5D3A139B" w:rsidR="005537B2" w:rsidRDefault="00C863F8" w:rsidP="005624AE">
      <w:pPr>
        <w:pBdr>
          <w:top w:val="nil"/>
          <w:left w:val="nil"/>
          <w:bottom w:val="nil"/>
          <w:right w:val="nil"/>
          <w:between w:val="nil"/>
        </w:pBdr>
        <w:jc w:val="center"/>
        <w:rPr>
          <w:rFonts w:ascii="Arial" w:eastAsia="Arial" w:hAnsi="Arial" w:cs="Arial"/>
          <w:b/>
          <w:color w:val="000000"/>
        </w:rPr>
      </w:pPr>
      <w:bookmarkStart w:id="0" w:name="_GoBack"/>
      <w:bookmarkEnd w:id="0"/>
      <w:r>
        <w:rPr>
          <w:rFonts w:ascii="Arial" w:eastAsia="Arial" w:hAnsi="Arial" w:cs="Arial"/>
          <w:b/>
          <w:color w:val="000000"/>
          <w:highlight w:val="white"/>
        </w:rPr>
        <w:t xml:space="preserve">PROYECTO DE </w:t>
      </w:r>
      <w:r>
        <w:rPr>
          <w:rFonts w:ascii="Arial" w:eastAsia="Arial" w:hAnsi="Arial" w:cs="Arial"/>
          <w:b/>
          <w:color w:val="000000"/>
        </w:rPr>
        <w:t xml:space="preserve">ORDENANZA </w:t>
      </w:r>
      <w:r w:rsidR="000912F0">
        <w:rPr>
          <w:rFonts w:ascii="Arial" w:eastAsia="Arial" w:hAnsi="Arial" w:cs="Arial"/>
          <w:b/>
          <w:color w:val="000000"/>
        </w:rPr>
        <w:t>METROPOLITANA</w:t>
      </w:r>
      <w:r>
        <w:rPr>
          <w:rFonts w:ascii="Arial" w:eastAsia="Arial" w:hAnsi="Arial" w:cs="Arial"/>
          <w:b/>
          <w:color w:val="000000"/>
        </w:rPr>
        <w:t xml:space="preserve"> </w:t>
      </w:r>
      <w:r w:rsidR="000912F0">
        <w:rPr>
          <w:rFonts w:ascii="Arial" w:eastAsia="Arial" w:hAnsi="Arial" w:cs="Arial"/>
          <w:b/>
          <w:color w:val="000000"/>
        </w:rPr>
        <w:t>QUE DEFINE INDICADORES SOBRE</w:t>
      </w:r>
      <w:r w:rsidR="00874CE7">
        <w:rPr>
          <w:rFonts w:ascii="Arial" w:eastAsia="Arial" w:hAnsi="Arial" w:cs="Arial"/>
          <w:b/>
          <w:color w:val="000000"/>
        </w:rPr>
        <w:t xml:space="preserve"> LA GESTIÓN DE TURISMO EN EL DISTRITO METROPOLITANO DE QUITO</w:t>
      </w:r>
    </w:p>
    <w:p w14:paraId="00000002" w14:textId="77777777" w:rsidR="005537B2" w:rsidRDefault="005537B2" w:rsidP="005624AE">
      <w:pPr>
        <w:jc w:val="center"/>
        <w:rPr>
          <w:rFonts w:ascii="Arial" w:eastAsia="Arial" w:hAnsi="Arial" w:cs="Arial"/>
          <w:color w:val="000000"/>
          <w:highlight w:val="white"/>
        </w:rPr>
      </w:pPr>
    </w:p>
    <w:p w14:paraId="00000003" w14:textId="77777777" w:rsidR="005537B2" w:rsidRDefault="005537B2">
      <w:pPr>
        <w:jc w:val="both"/>
        <w:rPr>
          <w:rFonts w:ascii="Arial" w:eastAsia="Arial" w:hAnsi="Arial" w:cs="Arial"/>
          <w:color w:val="000000"/>
          <w:highlight w:val="white"/>
        </w:rPr>
      </w:pPr>
    </w:p>
    <w:p w14:paraId="00000004" w14:textId="77777777" w:rsidR="005537B2" w:rsidRDefault="005537B2">
      <w:pPr>
        <w:jc w:val="both"/>
        <w:rPr>
          <w:rFonts w:ascii="Arial" w:eastAsia="Arial" w:hAnsi="Arial" w:cs="Arial"/>
          <w:color w:val="000000"/>
          <w:highlight w:val="white"/>
        </w:rPr>
      </w:pPr>
    </w:p>
    <w:p w14:paraId="00000005" w14:textId="77777777" w:rsidR="005537B2" w:rsidRDefault="00C863F8">
      <w:pPr>
        <w:jc w:val="both"/>
        <w:rPr>
          <w:rFonts w:ascii="Arial" w:eastAsia="Arial" w:hAnsi="Arial" w:cs="Arial"/>
          <w:b/>
          <w:color w:val="000000"/>
          <w:highlight w:val="white"/>
        </w:rPr>
      </w:pPr>
      <w:r>
        <w:rPr>
          <w:rFonts w:ascii="Arial" w:eastAsia="Arial" w:hAnsi="Arial" w:cs="Arial"/>
          <w:b/>
          <w:color w:val="000000"/>
          <w:highlight w:val="white"/>
        </w:rPr>
        <w:t>EXPOSICIÓN DE MOTIVOS</w:t>
      </w:r>
    </w:p>
    <w:p w14:paraId="00000006" w14:textId="77777777" w:rsidR="005537B2" w:rsidRDefault="005537B2">
      <w:pPr>
        <w:jc w:val="both"/>
        <w:rPr>
          <w:rFonts w:ascii="Arial" w:eastAsia="Arial" w:hAnsi="Arial" w:cs="Arial"/>
          <w:b/>
          <w:color w:val="000000"/>
          <w:highlight w:val="white"/>
        </w:rPr>
      </w:pPr>
    </w:p>
    <w:p w14:paraId="2841F1B6" w14:textId="77777777" w:rsidR="00874CE7" w:rsidRDefault="00874CE7" w:rsidP="00153EA5">
      <w:pPr>
        <w:jc w:val="both"/>
        <w:rPr>
          <w:rFonts w:ascii="Arial" w:eastAsia="Arial" w:hAnsi="Arial" w:cs="Arial"/>
          <w:color w:val="000000"/>
        </w:rPr>
      </w:pPr>
    </w:p>
    <w:p w14:paraId="040CC778" w14:textId="15BD1B8C" w:rsidR="00874CE7" w:rsidRDefault="002A06D1" w:rsidP="00153EA5">
      <w:pPr>
        <w:jc w:val="both"/>
        <w:rPr>
          <w:rFonts w:ascii="Arial" w:eastAsia="Arial" w:hAnsi="Arial" w:cs="Arial"/>
          <w:color w:val="000000"/>
        </w:rPr>
      </w:pPr>
      <w:r>
        <w:rPr>
          <w:rFonts w:ascii="Arial" w:eastAsia="Arial" w:hAnsi="Arial" w:cs="Arial"/>
          <w:color w:val="000000"/>
        </w:rPr>
        <w:t>De acuerdo a la Organización Mundial del Turismo – OMT - e</w:t>
      </w:r>
      <w:r w:rsidR="00610126">
        <w:rPr>
          <w:rFonts w:ascii="Arial" w:eastAsia="Arial" w:hAnsi="Arial" w:cs="Arial"/>
          <w:color w:val="000000"/>
        </w:rPr>
        <w:t>l turismo</w:t>
      </w:r>
      <w:r w:rsidRPr="002A06D1">
        <w:rPr>
          <w:rFonts w:ascii="Arial" w:eastAsia="Arial" w:hAnsi="Arial" w:cs="Arial"/>
          <w:color w:val="000000"/>
        </w:rPr>
        <w:t xml:space="preserve"> guarda una estrecha relación con el desarrollo y se ha convertido en un motor clave del progreso </w:t>
      </w:r>
      <w:r w:rsidR="00094880" w:rsidRPr="002A06D1">
        <w:rPr>
          <w:rFonts w:ascii="Arial" w:eastAsia="Arial" w:hAnsi="Arial" w:cs="Arial"/>
          <w:color w:val="000000"/>
        </w:rPr>
        <w:t>socioeconómico</w:t>
      </w:r>
      <w:r w:rsidR="00094880">
        <w:rPr>
          <w:rFonts w:ascii="Arial" w:eastAsia="Arial" w:hAnsi="Arial" w:cs="Arial"/>
          <w:color w:val="000000"/>
        </w:rPr>
        <w:t xml:space="preserve"> y</w:t>
      </w:r>
      <w:r w:rsidR="005624AE">
        <w:rPr>
          <w:rFonts w:ascii="Arial" w:eastAsia="Arial" w:hAnsi="Arial" w:cs="Arial"/>
          <w:color w:val="000000"/>
        </w:rPr>
        <w:t xml:space="preserve"> </w:t>
      </w:r>
      <w:r w:rsidR="006559A2">
        <w:rPr>
          <w:rFonts w:ascii="Arial" w:eastAsia="Arial" w:hAnsi="Arial" w:cs="Arial"/>
          <w:color w:val="000000"/>
        </w:rPr>
        <w:t>es rec</w:t>
      </w:r>
      <w:r>
        <w:rPr>
          <w:rFonts w:ascii="Arial" w:eastAsia="Arial" w:hAnsi="Arial" w:cs="Arial"/>
          <w:color w:val="000000"/>
        </w:rPr>
        <w:t>onocido como un fenómeno social.</w:t>
      </w:r>
    </w:p>
    <w:p w14:paraId="006F0B23" w14:textId="3F0AE7C0" w:rsidR="00610126" w:rsidRDefault="00610126" w:rsidP="00153EA5">
      <w:pPr>
        <w:jc w:val="both"/>
        <w:rPr>
          <w:rFonts w:ascii="Arial" w:eastAsia="Arial" w:hAnsi="Arial" w:cs="Arial"/>
          <w:color w:val="000000"/>
        </w:rPr>
      </w:pPr>
    </w:p>
    <w:p w14:paraId="206986C5" w14:textId="54E98362" w:rsidR="00610126" w:rsidRDefault="002A06D1" w:rsidP="00153EA5">
      <w:pPr>
        <w:jc w:val="both"/>
        <w:rPr>
          <w:rFonts w:ascii="Arial" w:eastAsia="Arial" w:hAnsi="Arial" w:cs="Arial"/>
          <w:color w:val="000000"/>
        </w:rPr>
      </w:pPr>
      <w:r>
        <w:rPr>
          <w:rFonts w:ascii="Arial" w:eastAsia="Arial" w:hAnsi="Arial" w:cs="Arial"/>
          <w:color w:val="000000"/>
        </w:rPr>
        <w:t>Para la OMT, l</w:t>
      </w:r>
      <w:r w:rsidRPr="002A06D1">
        <w:rPr>
          <w:rFonts w:ascii="Arial" w:eastAsia="Arial" w:hAnsi="Arial" w:cs="Arial"/>
          <w:color w:val="000000"/>
        </w:rPr>
        <w:t>a contribución del turismo al bienestar económico depende de la calidad y de las rentas que el turismo ofrezca</w:t>
      </w:r>
      <w:r w:rsidR="000E1374">
        <w:rPr>
          <w:rFonts w:ascii="Arial" w:eastAsia="Arial" w:hAnsi="Arial" w:cs="Arial"/>
          <w:color w:val="000000"/>
        </w:rPr>
        <w:t>.</w:t>
      </w:r>
    </w:p>
    <w:p w14:paraId="18DB1D3E" w14:textId="223950C7" w:rsidR="002A06D1" w:rsidRDefault="002A06D1" w:rsidP="00153EA5">
      <w:pPr>
        <w:jc w:val="both"/>
        <w:rPr>
          <w:rFonts w:ascii="Arial" w:eastAsia="Arial" w:hAnsi="Arial" w:cs="Arial"/>
          <w:color w:val="000000"/>
        </w:rPr>
      </w:pPr>
    </w:p>
    <w:p w14:paraId="0BDC99D1" w14:textId="313BC120" w:rsidR="002A06D1" w:rsidRDefault="002A06D1" w:rsidP="00153EA5">
      <w:pPr>
        <w:jc w:val="both"/>
        <w:rPr>
          <w:rFonts w:ascii="Arial" w:eastAsia="Arial" w:hAnsi="Arial" w:cs="Arial"/>
          <w:color w:val="000000"/>
        </w:rPr>
      </w:pPr>
      <w:r>
        <w:rPr>
          <w:rFonts w:ascii="Arial" w:eastAsia="Arial" w:hAnsi="Arial" w:cs="Arial"/>
          <w:color w:val="000000"/>
        </w:rPr>
        <w:t>De acuerdo a los investigadores Cañada y Gascón, existen 10 mitos sobre el turismo: generación de empleo, impulso a otras actividades, modernización de infraestructuras, valoración a los recursos naturales, equilibrio en la balanza de pagos, cuidado del medio ambiente, intercambio cultural o reducción de pobreza.</w:t>
      </w:r>
    </w:p>
    <w:p w14:paraId="5C6CB2BA" w14:textId="51117C0F" w:rsidR="002A06D1" w:rsidRDefault="002A06D1" w:rsidP="00153EA5">
      <w:pPr>
        <w:jc w:val="both"/>
        <w:rPr>
          <w:rFonts w:ascii="Arial" w:eastAsia="Arial" w:hAnsi="Arial" w:cs="Arial"/>
          <w:color w:val="000000"/>
        </w:rPr>
      </w:pPr>
    </w:p>
    <w:p w14:paraId="43CA3F2F" w14:textId="40185F02" w:rsidR="002B18B5" w:rsidRDefault="009729E1" w:rsidP="00153EA5">
      <w:pPr>
        <w:jc w:val="both"/>
        <w:rPr>
          <w:rFonts w:ascii="Arial" w:eastAsia="Arial" w:hAnsi="Arial" w:cs="Arial"/>
          <w:color w:val="000000"/>
        </w:rPr>
      </w:pPr>
      <w:r>
        <w:rPr>
          <w:rFonts w:ascii="Arial" w:eastAsia="Arial" w:hAnsi="Arial" w:cs="Arial"/>
          <w:color w:val="000000"/>
        </w:rPr>
        <w:t>El índice de competitividad turística del Foro Económico Mundial analiza cuatro índice</w:t>
      </w:r>
      <w:r w:rsidR="002B18B5">
        <w:rPr>
          <w:rFonts w:ascii="Arial" w:eastAsia="Arial" w:hAnsi="Arial" w:cs="Arial"/>
          <w:color w:val="000000"/>
        </w:rPr>
        <w:t>s</w:t>
      </w:r>
      <w:r w:rsidR="00810695">
        <w:rPr>
          <w:rFonts w:ascii="Arial" w:eastAsia="Arial" w:hAnsi="Arial" w:cs="Arial"/>
          <w:color w:val="000000"/>
        </w:rPr>
        <w:t xml:space="preserve">: </w:t>
      </w:r>
      <w:r w:rsidR="002B18B5">
        <w:rPr>
          <w:rFonts w:ascii="Arial" w:eastAsia="Arial" w:hAnsi="Arial" w:cs="Arial"/>
          <w:color w:val="000000"/>
        </w:rPr>
        <w:t xml:space="preserve"> </w:t>
      </w:r>
    </w:p>
    <w:p w14:paraId="0201AB25" w14:textId="77777777" w:rsidR="00040537" w:rsidRDefault="00040537" w:rsidP="00153EA5">
      <w:pPr>
        <w:jc w:val="both"/>
        <w:rPr>
          <w:rFonts w:ascii="Arial" w:eastAsia="Arial" w:hAnsi="Arial" w:cs="Arial"/>
          <w:color w:val="000000"/>
        </w:rPr>
      </w:pPr>
    </w:p>
    <w:p w14:paraId="6F9EB88A" w14:textId="30FAF59C" w:rsidR="002B18B5" w:rsidRDefault="002B18B5" w:rsidP="00153EA5">
      <w:pPr>
        <w:jc w:val="both"/>
        <w:rPr>
          <w:rFonts w:ascii="Arial" w:eastAsia="Arial" w:hAnsi="Arial" w:cs="Arial"/>
          <w:color w:val="000000"/>
        </w:rPr>
      </w:pPr>
      <w:r>
        <w:rPr>
          <w:rFonts w:ascii="Arial" w:eastAsia="Arial" w:hAnsi="Arial" w:cs="Arial"/>
          <w:color w:val="000000"/>
        </w:rPr>
        <w:t>1.- Entorno propicio para el desarrollo turístico.</w:t>
      </w:r>
    </w:p>
    <w:p w14:paraId="43B57866" w14:textId="26AD1FF0" w:rsidR="002B18B5" w:rsidRDefault="002B18B5" w:rsidP="00153EA5">
      <w:pPr>
        <w:jc w:val="both"/>
        <w:rPr>
          <w:rFonts w:ascii="Arial" w:eastAsia="Arial" w:hAnsi="Arial" w:cs="Arial"/>
          <w:color w:val="000000"/>
        </w:rPr>
      </w:pPr>
      <w:r>
        <w:rPr>
          <w:rFonts w:ascii="Arial" w:eastAsia="Arial" w:hAnsi="Arial" w:cs="Arial"/>
          <w:color w:val="000000"/>
        </w:rPr>
        <w:t>2.- Política y condiciones propicias para el desarrollo de viajes y turismo.</w:t>
      </w:r>
    </w:p>
    <w:p w14:paraId="5AAF11DA" w14:textId="3AAEA860" w:rsidR="002B18B5" w:rsidRDefault="002B18B5" w:rsidP="00153EA5">
      <w:pPr>
        <w:jc w:val="both"/>
        <w:rPr>
          <w:rFonts w:ascii="Arial" w:eastAsia="Arial" w:hAnsi="Arial" w:cs="Arial"/>
          <w:color w:val="000000"/>
        </w:rPr>
      </w:pPr>
      <w:r>
        <w:rPr>
          <w:rFonts w:ascii="Arial" w:eastAsia="Arial" w:hAnsi="Arial" w:cs="Arial"/>
          <w:color w:val="000000"/>
        </w:rPr>
        <w:t>3.- Infraestructura turística.</w:t>
      </w:r>
    </w:p>
    <w:p w14:paraId="597E3368" w14:textId="6A7D2F97" w:rsidR="002B18B5" w:rsidRDefault="002B18B5" w:rsidP="00153EA5">
      <w:pPr>
        <w:jc w:val="both"/>
        <w:rPr>
          <w:rFonts w:ascii="Arial" w:eastAsia="Arial" w:hAnsi="Arial" w:cs="Arial"/>
          <w:color w:val="000000"/>
        </w:rPr>
      </w:pPr>
      <w:r>
        <w:rPr>
          <w:rFonts w:ascii="Arial" w:eastAsia="Arial" w:hAnsi="Arial" w:cs="Arial"/>
          <w:color w:val="000000"/>
        </w:rPr>
        <w:t xml:space="preserve">4.- </w:t>
      </w:r>
      <w:r w:rsidR="00D73F65">
        <w:rPr>
          <w:rFonts w:ascii="Arial" w:eastAsia="Arial" w:hAnsi="Arial" w:cs="Arial"/>
          <w:color w:val="000000"/>
        </w:rPr>
        <w:t>Recursos culturales y naturales.</w:t>
      </w:r>
    </w:p>
    <w:p w14:paraId="587049CA" w14:textId="77777777" w:rsidR="00D73F65" w:rsidRDefault="009729E1" w:rsidP="00153EA5">
      <w:pPr>
        <w:jc w:val="both"/>
        <w:rPr>
          <w:rFonts w:ascii="Arial" w:eastAsia="Arial" w:hAnsi="Arial" w:cs="Arial"/>
          <w:color w:val="000000"/>
        </w:rPr>
      </w:pPr>
      <w:r>
        <w:rPr>
          <w:rFonts w:ascii="Arial" w:eastAsia="Arial" w:hAnsi="Arial" w:cs="Arial"/>
          <w:color w:val="000000"/>
        </w:rPr>
        <w:t xml:space="preserve"> </w:t>
      </w:r>
    </w:p>
    <w:p w14:paraId="26D13A45" w14:textId="3B57FD69" w:rsidR="002A06D1" w:rsidRDefault="00D73F65" w:rsidP="00153EA5">
      <w:pPr>
        <w:jc w:val="both"/>
        <w:rPr>
          <w:rFonts w:ascii="Arial" w:eastAsia="Arial" w:hAnsi="Arial" w:cs="Arial"/>
          <w:color w:val="000000"/>
        </w:rPr>
      </w:pPr>
      <w:r>
        <w:rPr>
          <w:rFonts w:ascii="Arial" w:eastAsia="Arial" w:hAnsi="Arial" w:cs="Arial"/>
          <w:color w:val="000000"/>
        </w:rPr>
        <w:t xml:space="preserve">Estos </w:t>
      </w:r>
      <w:r w:rsidR="00840CDF">
        <w:rPr>
          <w:rFonts w:ascii="Arial" w:eastAsia="Arial" w:hAnsi="Arial" w:cs="Arial"/>
          <w:color w:val="000000"/>
        </w:rPr>
        <w:t>índices</w:t>
      </w:r>
      <w:r>
        <w:rPr>
          <w:rFonts w:ascii="Arial" w:eastAsia="Arial" w:hAnsi="Arial" w:cs="Arial"/>
          <w:color w:val="000000"/>
        </w:rPr>
        <w:t xml:space="preserve"> a su </w:t>
      </w:r>
      <w:r w:rsidR="00840CDF">
        <w:rPr>
          <w:rFonts w:ascii="Arial" w:eastAsia="Arial" w:hAnsi="Arial" w:cs="Arial"/>
          <w:color w:val="000000"/>
        </w:rPr>
        <w:t>vez se</w:t>
      </w:r>
      <w:r w:rsidR="009729E1">
        <w:rPr>
          <w:rFonts w:ascii="Arial" w:eastAsia="Arial" w:hAnsi="Arial" w:cs="Arial"/>
          <w:color w:val="000000"/>
        </w:rPr>
        <w:t xml:space="preserve"> dividen en 14 subíndices y 90 indicadores, para medir el nivel de competitividad </w:t>
      </w:r>
      <w:r>
        <w:rPr>
          <w:rFonts w:ascii="Arial" w:eastAsia="Arial" w:hAnsi="Arial" w:cs="Arial"/>
          <w:color w:val="000000"/>
        </w:rPr>
        <w:t xml:space="preserve">turística </w:t>
      </w:r>
      <w:r w:rsidR="009729E1">
        <w:rPr>
          <w:rFonts w:ascii="Arial" w:eastAsia="Arial" w:hAnsi="Arial" w:cs="Arial"/>
          <w:color w:val="000000"/>
        </w:rPr>
        <w:t>de los países a nivel mundial</w:t>
      </w:r>
      <w:r w:rsidR="0097692A">
        <w:rPr>
          <w:rFonts w:ascii="Arial" w:eastAsia="Arial" w:hAnsi="Arial" w:cs="Arial"/>
          <w:color w:val="000000"/>
        </w:rPr>
        <w:t>.</w:t>
      </w:r>
    </w:p>
    <w:p w14:paraId="54537612" w14:textId="77777777" w:rsidR="006059B8" w:rsidRDefault="006059B8" w:rsidP="006059B8">
      <w:pPr>
        <w:jc w:val="both"/>
        <w:rPr>
          <w:rFonts w:ascii="Arial" w:eastAsia="Arial" w:hAnsi="Arial" w:cs="Arial"/>
          <w:color w:val="000000"/>
        </w:rPr>
      </w:pPr>
    </w:p>
    <w:p w14:paraId="65FAB017" w14:textId="0C0B54D5" w:rsidR="006059B8" w:rsidRDefault="006059B8" w:rsidP="006059B8">
      <w:pPr>
        <w:jc w:val="both"/>
        <w:rPr>
          <w:rFonts w:ascii="Arial" w:eastAsia="Arial" w:hAnsi="Arial" w:cs="Arial"/>
          <w:color w:val="000000"/>
        </w:rPr>
      </w:pPr>
      <w:r>
        <w:rPr>
          <w:rFonts w:ascii="Arial" w:eastAsia="Arial" w:hAnsi="Arial" w:cs="Arial"/>
          <w:color w:val="000000"/>
        </w:rPr>
        <w:t>Los indicadores constituyen una de las herramient</w:t>
      </w:r>
      <w:r w:rsidR="00040537">
        <w:rPr>
          <w:rFonts w:ascii="Arial" w:eastAsia="Arial" w:hAnsi="Arial" w:cs="Arial"/>
          <w:color w:val="000000"/>
        </w:rPr>
        <w:t>as que permiten operativizarlas</w:t>
      </w:r>
      <w:r>
        <w:rPr>
          <w:rFonts w:ascii="Arial" w:eastAsia="Arial" w:hAnsi="Arial" w:cs="Arial"/>
          <w:color w:val="000000"/>
        </w:rPr>
        <w:t xml:space="preserve"> de manera de identificar la calidad de cada una de ellas, verificar condiciones,</w:t>
      </w:r>
      <w:r w:rsidR="00040537">
        <w:rPr>
          <w:rFonts w:ascii="Arial" w:eastAsia="Arial" w:hAnsi="Arial" w:cs="Arial"/>
          <w:color w:val="000000"/>
        </w:rPr>
        <w:t xml:space="preserve"> comparar lugares y situaciones,</w:t>
      </w:r>
      <w:r>
        <w:rPr>
          <w:rFonts w:ascii="Arial" w:eastAsia="Arial" w:hAnsi="Arial" w:cs="Arial"/>
          <w:color w:val="000000"/>
        </w:rPr>
        <w:t xml:space="preserve"> administrar info</w:t>
      </w:r>
      <w:r w:rsidR="00040537">
        <w:rPr>
          <w:rFonts w:ascii="Arial" w:eastAsia="Arial" w:hAnsi="Arial" w:cs="Arial"/>
          <w:color w:val="000000"/>
        </w:rPr>
        <w:t>rmación temprana de advertencia</w:t>
      </w:r>
      <w:r>
        <w:rPr>
          <w:rFonts w:ascii="Arial" w:eastAsia="Arial" w:hAnsi="Arial" w:cs="Arial"/>
          <w:color w:val="000000"/>
        </w:rPr>
        <w:t xml:space="preserve"> y</w:t>
      </w:r>
      <w:r w:rsidR="00040537">
        <w:rPr>
          <w:rFonts w:ascii="Arial" w:eastAsia="Arial" w:hAnsi="Arial" w:cs="Arial"/>
          <w:color w:val="000000"/>
        </w:rPr>
        <w:t>,</w:t>
      </w:r>
      <w:r>
        <w:rPr>
          <w:rFonts w:ascii="Arial" w:eastAsia="Arial" w:hAnsi="Arial" w:cs="Arial"/>
          <w:color w:val="000000"/>
        </w:rPr>
        <w:t xml:space="preserve"> anticipar tendencias y condiciones futuras.</w:t>
      </w:r>
    </w:p>
    <w:p w14:paraId="2A85B197" w14:textId="77777777" w:rsidR="006059B8" w:rsidRPr="000E1374" w:rsidRDefault="006059B8" w:rsidP="00153EA5">
      <w:pPr>
        <w:jc w:val="both"/>
        <w:rPr>
          <w:rFonts w:ascii="Arial" w:eastAsia="Arial" w:hAnsi="Arial" w:cs="Arial"/>
          <w:color w:val="FF0000"/>
        </w:rPr>
      </w:pPr>
    </w:p>
    <w:p w14:paraId="3CD01EC9" w14:textId="600FBAE2" w:rsidR="00462FE7" w:rsidRPr="00D73F65" w:rsidRDefault="00D15623" w:rsidP="00153EA5">
      <w:pPr>
        <w:jc w:val="both"/>
        <w:rPr>
          <w:rFonts w:ascii="Arial" w:eastAsia="Arial" w:hAnsi="Arial" w:cs="Arial"/>
          <w:color w:val="FF0000"/>
        </w:rPr>
      </w:pPr>
      <w:r>
        <w:rPr>
          <w:rFonts w:ascii="Arial" w:eastAsia="Arial" w:hAnsi="Arial" w:cs="Arial"/>
          <w:color w:val="000000"/>
        </w:rPr>
        <w:t>La gestión de</w:t>
      </w:r>
      <w:r w:rsidR="004648C9">
        <w:rPr>
          <w:rFonts w:ascii="Arial" w:eastAsia="Arial" w:hAnsi="Arial" w:cs="Arial"/>
          <w:color w:val="000000"/>
        </w:rPr>
        <w:t>l sector turístico se basa en la</w:t>
      </w:r>
      <w:r>
        <w:rPr>
          <w:rFonts w:ascii="Arial" w:eastAsia="Arial" w:hAnsi="Arial" w:cs="Arial"/>
          <w:color w:val="000000"/>
        </w:rPr>
        <w:t xml:space="preserve"> ponderación subjetiva sobre la</w:t>
      </w:r>
      <w:r w:rsidR="004648C9">
        <w:rPr>
          <w:rFonts w:ascii="Arial" w:eastAsia="Arial" w:hAnsi="Arial" w:cs="Arial"/>
          <w:color w:val="000000"/>
        </w:rPr>
        <w:t xml:space="preserve"> prestación de s</w:t>
      </w:r>
      <w:r w:rsidR="009453CA">
        <w:rPr>
          <w:rFonts w:ascii="Arial" w:eastAsia="Arial" w:hAnsi="Arial" w:cs="Arial"/>
          <w:color w:val="000000"/>
        </w:rPr>
        <w:t>ervicios</w:t>
      </w:r>
      <w:r w:rsidR="004648C9">
        <w:rPr>
          <w:rFonts w:ascii="Arial" w:eastAsia="Arial" w:hAnsi="Arial" w:cs="Arial"/>
          <w:color w:val="000000"/>
        </w:rPr>
        <w:t xml:space="preserve"> </w:t>
      </w:r>
      <w:r w:rsidR="009453CA">
        <w:rPr>
          <w:rFonts w:ascii="Arial" w:eastAsia="Arial" w:hAnsi="Arial" w:cs="Arial"/>
          <w:color w:val="000000"/>
        </w:rPr>
        <w:t>que,</w:t>
      </w:r>
      <w:r w:rsidR="004648C9">
        <w:rPr>
          <w:rFonts w:ascii="Arial" w:eastAsia="Arial" w:hAnsi="Arial" w:cs="Arial"/>
          <w:color w:val="000000"/>
        </w:rPr>
        <w:t xml:space="preserve"> debido a la transversalidad del sector, reconocido como fenómeno social por parte de la Organización Mundial del Turismo, genera complejidades en la lectura de desarrollo turístico.</w:t>
      </w:r>
    </w:p>
    <w:p w14:paraId="396B6A97" w14:textId="68E4E384" w:rsidR="009F3CBA" w:rsidRDefault="009F3CBA" w:rsidP="00153EA5">
      <w:pPr>
        <w:jc w:val="both"/>
        <w:rPr>
          <w:rFonts w:ascii="Arial" w:eastAsia="Arial" w:hAnsi="Arial" w:cs="Arial"/>
          <w:color w:val="000000"/>
        </w:rPr>
      </w:pPr>
    </w:p>
    <w:p w14:paraId="333A4746" w14:textId="6539D114" w:rsidR="00343970" w:rsidRDefault="005A015C" w:rsidP="00153EA5">
      <w:pPr>
        <w:jc w:val="both"/>
        <w:rPr>
          <w:rFonts w:ascii="Arial" w:eastAsia="Arial" w:hAnsi="Arial" w:cs="Arial"/>
          <w:color w:val="000000"/>
        </w:rPr>
      </w:pPr>
      <w:r>
        <w:rPr>
          <w:rFonts w:ascii="Arial" w:eastAsia="Arial" w:hAnsi="Arial" w:cs="Arial"/>
          <w:color w:val="000000"/>
        </w:rPr>
        <w:t xml:space="preserve">Según Angulo (2009) </w:t>
      </w:r>
      <w:r w:rsidR="006059B8">
        <w:rPr>
          <w:rFonts w:ascii="Arial" w:eastAsia="Arial" w:hAnsi="Arial" w:cs="Arial"/>
          <w:color w:val="000000"/>
        </w:rPr>
        <w:t>se debe</w:t>
      </w:r>
      <w:r>
        <w:rPr>
          <w:rFonts w:ascii="Arial" w:eastAsia="Arial" w:hAnsi="Arial" w:cs="Arial"/>
          <w:color w:val="000000"/>
        </w:rPr>
        <w:t xml:space="preserve"> observar los procesos urbanos, bajo la </w:t>
      </w:r>
      <w:r w:rsidR="00094880">
        <w:rPr>
          <w:rFonts w:ascii="Arial" w:eastAsia="Arial" w:hAnsi="Arial" w:cs="Arial"/>
          <w:color w:val="000000"/>
        </w:rPr>
        <w:t>supervisión</w:t>
      </w:r>
      <w:r>
        <w:rPr>
          <w:rFonts w:ascii="Arial" w:eastAsia="Arial" w:hAnsi="Arial" w:cs="Arial"/>
          <w:color w:val="000000"/>
        </w:rPr>
        <w:t xml:space="preserve"> </w:t>
      </w:r>
      <w:r w:rsidR="00094880">
        <w:rPr>
          <w:rFonts w:ascii="Arial" w:eastAsia="Arial" w:hAnsi="Arial" w:cs="Arial"/>
          <w:color w:val="000000"/>
        </w:rPr>
        <w:t>científica</w:t>
      </w:r>
      <w:r w:rsidR="00D73F65">
        <w:rPr>
          <w:rFonts w:ascii="Arial" w:eastAsia="Arial" w:hAnsi="Arial" w:cs="Arial"/>
          <w:color w:val="000000"/>
        </w:rPr>
        <w:t xml:space="preserve"> y </w:t>
      </w:r>
      <w:r w:rsidR="00094880">
        <w:rPr>
          <w:rFonts w:ascii="Arial" w:eastAsia="Arial" w:hAnsi="Arial" w:cs="Arial"/>
          <w:color w:val="000000"/>
        </w:rPr>
        <w:t>académica de</w:t>
      </w:r>
      <w:r>
        <w:rPr>
          <w:rFonts w:ascii="Arial" w:eastAsia="Arial" w:hAnsi="Arial" w:cs="Arial"/>
          <w:color w:val="000000"/>
        </w:rPr>
        <w:t xml:space="preserve"> </w:t>
      </w:r>
      <w:r w:rsidR="00D73F65">
        <w:rPr>
          <w:rFonts w:ascii="Arial" w:eastAsia="Arial" w:hAnsi="Arial" w:cs="Arial"/>
          <w:color w:val="000000"/>
        </w:rPr>
        <w:t>á</w:t>
      </w:r>
      <w:r>
        <w:rPr>
          <w:rFonts w:ascii="Arial" w:eastAsia="Arial" w:hAnsi="Arial" w:cs="Arial"/>
          <w:color w:val="000000"/>
        </w:rPr>
        <w:t>reas especializadas.</w:t>
      </w:r>
    </w:p>
    <w:p w14:paraId="22943823" w14:textId="344C4917" w:rsidR="00343970" w:rsidRDefault="00343970" w:rsidP="00153EA5">
      <w:pPr>
        <w:jc w:val="both"/>
        <w:rPr>
          <w:rFonts w:ascii="Arial" w:eastAsia="Arial" w:hAnsi="Arial" w:cs="Arial"/>
          <w:color w:val="000000"/>
        </w:rPr>
      </w:pPr>
    </w:p>
    <w:p w14:paraId="6D9CD77C" w14:textId="705F59B2" w:rsidR="002C769D" w:rsidRDefault="002C769D" w:rsidP="00153EA5">
      <w:pPr>
        <w:jc w:val="both"/>
        <w:rPr>
          <w:rFonts w:ascii="Arial" w:eastAsia="Arial" w:hAnsi="Arial" w:cs="Arial"/>
          <w:color w:val="000000"/>
        </w:rPr>
      </w:pPr>
      <w:r>
        <w:rPr>
          <w:rFonts w:ascii="Arial" w:eastAsia="Arial" w:hAnsi="Arial" w:cs="Arial"/>
          <w:color w:val="000000"/>
        </w:rPr>
        <w:t xml:space="preserve">En el </w:t>
      </w:r>
      <w:r w:rsidR="003E6866">
        <w:rPr>
          <w:rFonts w:ascii="Arial" w:eastAsia="Arial" w:hAnsi="Arial" w:cs="Arial"/>
          <w:color w:val="000000"/>
        </w:rPr>
        <w:t xml:space="preserve">campo </w:t>
      </w:r>
      <w:r>
        <w:rPr>
          <w:rFonts w:ascii="Arial" w:eastAsia="Arial" w:hAnsi="Arial" w:cs="Arial"/>
          <w:color w:val="000000"/>
        </w:rPr>
        <w:t>tur</w:t>
      </w:r>
      <w:r w:rsidR="006059B8">
        <w:rPr>
          <w:rFonts w:ascii="Arial" w:eastAsia="Arial" w:hAnsi="Arial" w:cs="Arial"/>
          <w:color w:val="000000"/>
        </w:rPr>
        <w:t>í</w:t>
      </w:r>
      <w:r>
        <w:rPr>
          <w:rFonts w:ascii="Arial" w:eastAsia="Arial" w:hAnsi="Arial" w:cs="Arial"/>
          <w:color w:val="000000"/>
        </w:rPr>
        <w:t xml:space="preserve">stico se hace necesario disponer de información rigurosamente tratada sobre los distintos aspectos relacionados </w:t>
      </w:r>
      <w:r w:rsidR="003E6866">
        <w:rPr>
          <w:rFonts w:ascii="Arial" w:eastAsia="Arial" w:hAnsi="Arial" w:cs="Arial"/>
          <w:color w:val="000000"/>
        </w:rPr>
        <w:t>con</w:t>
      </w:r>
      <w:r>
        <w:rPr>
          <w:rFonts w:ascii="Arial" w:eastAsia="Arial" w:hAnsi="Arial" w:cs="Arial"/>
          <w:color w:val="000000"/>
        </w:rPr>
        <w:t xml:space="preserve"> los movimientos tur</w:t>
      </w:r>
      <w:r w:rsidR="006059B8">
        <w:rPr>
          <w:rFonts w:ascii="Arial" w:eastAsia="Arial" w:hAnsi="Arial" w:cs="Arial"/>
          <w:color w:val="000000"/>
        </w:rPr>
        <w:t>í</w:t>
      </w:r>
      <w:r>
        <w:rPr>
          <w:rFonts w:ascii="Arial" w:eastAsia="Arial" w:hAnsi="Arial" w:cs="Arial"/>
          <w:color w:val="000000"/>
        </w:rPr>
        <w:t>sticos y sus impactos.</w:t>
      </w:r>
    </w:p>
    <w:p w14:paraId="77457F92" w14:textId="77777777" w:rsidR="00343970" w:rsidRDefault="00343970" w:rsidP="00153EA5">
      <w:pPr>
        <w:jc w:val="both"/>
        <w:rPr>
          <w:rFonts w:ascii="Arial" w:eastAsia="Arial" w:hAnsi="Arial" w:cs="Arial"/>
          <w:color w:val="000000"/>
        </w:rPr>
      </w:pPr>
    </w:p>
    <w:p w14:paraId="2816E772" w14:textId="77777777" w:rsidR="0048272D" w:rsidRDefault="0048272D" w:rsidP="00153EA5">
      <w:pPr>
        <w:jc w:val="both"/>
        <w:rPr>
          <w:rFonts w:ascii="Arial" w:eastAsia="Arial" w:hAnsi="Arial" w:cs="Arial"/>
          <w:color w:val="000000"/>
        </w:rPr>
      </w:pPr>
    </w:p>
    <w:p w14:paraId="61FF3B69" w14:textId="77777777" w:rsidR="006059B8" w:rsidRDefault="006059B8" w:rsidP="00153EA5">
      <w:pPr>
        <w:jc w:val="both"/>
        <w:rPr>
          <w:rFonts w:ascii="Arial" w:eastAsia="Arial" w:hAnsi="Arial" w:cs="Arial"/>
          <w:color w:val="000000"/>
        </w:rPr>
      </w:pPr>
    </w:p>
    <w:p w14:paraId="5AE36E65" w14:textId="29C21512" w:rsidR="006059B8" w:rsidRDefault="00F74B10" w:rsidP="00F74B10">
      <w:pPr>
        <w:jc w:val="both"/>
        <w:rPr>
          <w:rFonts w:ascii="Arial" w:eastAsia="Arial" w:hAnsi="Arial" w:cs="Arial"/>
          <w:color w:val="000000"/>
        </w:rPr>
      </w:pPr>
      <w:r>
        <w:rPr>
          <w:rFonts w:ascii="Arial" w:eastAsia="Arial" w:hAnsi="Arial" w:cs="Arial"/>
          <w:color w:val="000000"/>
        </w:rPr>
        <w:t>El Manual de Indicadores de Desarrollo Sostenible para los Destinos Turísticos, publicado por la OMT en 2005, en el Recuadro 1.4 Información e Indicadores indica: “</w:t>
      </w:r>
      <w:r w:rsidRPr="00F74B10">
        <w:rPr>
          <w:rFonts w:ascii="Arial" w:eastAsia="Arial" w:hAnsi="Arial" w:cs="Arial"/>
          <w:color w:val="000000"/>
        </w:rPr>
        <w:t>Muchas fuentes de datos existentes pueden adaptarse y utilizarse como indicadores para</w:t>
      </w:r>
      <w:r>
        <w:rPr>
          <w:rFonts w:ascii="Arial" w:eastAsia="Arial" w:hAnsi="Arial" w:cs="Arial"/>
          <w:color w:val="000000"/>
        </w:rPr>
        <w:t xml:space="preserve"> </w:t>
      </w:r>
      <w:r w:rsidRPr="00F74B10">
        <w:rPr>
          <w:rFonts w:ascii="Arial" w:eastAsia="Arial" w:hAnsi="Arial" w:cs="Arial"/>
          <w:color w:val="000000"/>
        </w:rPr>
        <w:t>medir la sostenibilidad. Por ejemplo, cabe considerar el número de turistas (una cifra de</w:t>
      </w:r>
      <w:r>
        <w:rPr>
          <w:rFonts w:ascii="Arial" w:eastAsia="Arial" w:hAnsi="Arial" w:cs="Arial"/>
          <w:color w:val="000000"/>
        </w:rPr>
        <w:t xml:space="preserve"> </w:t>
      </w:r>
      <w:r w:rsidRPr="00F74B10">
        <w:rPr>
          <w:rFonts w:ascii="Arial" w:eastAsia="Arial" w:hAnsi="Arial" w:cs="Arial"/>
          <w:color w:val="000000"/>
        </w:rPr>
        <w:t>referencia que se evalúa en casi todos los destinos) como un indicador de la sostenibilidad</w:t>
      </w:r>
      <w:r>
        <w:rPr>
          <w:rFonts w:ascii="Arial" w:eastAsia="Arial" w:hAnsi="Arial" w:cs="Arial"/>
          <w:color w:val="000000"/>
        </w:rPr>
        <w:t xml:space="preserve"> </w:t>
      </w:r>
      <w:r w:rsidRPr="00F74B10">
        <w:rPr>
          <w:rFonts w:ascii="Arial" w:eastAsia="Arial" w:hAnsi="Arial" w:cs="Arial"/>
          <w:color w:val="000000"/>
        </w:rPr>
        <w:t>cuando se relaciona con los niveles deseados de turismo o con los límites conocidos de</w:t>
      </w:r>
      <w:r>
        <w:rPr>
          <w:rFonts w:ascii="Arial" w:eastAsia="Arial" w:hAnsi="Arial" w:cs="Arial"/>
          <w:color w:val="000000"/>
        </w:rPr>
        <w:t xml:space="preserve"> </w:t>
      </w:r>
      <w:r w:rsidRPr="00F74B10">
        <w:rPr>
          <w:rFonts w:ascii="Arial" w:eastAsia="Arial" w:hAnsi="Arial" w:cs="Arial"/>
          <w:color w:val="000000"/>
        </w:rPr>
        <w:t xml:space="preserve">capacidad. </w:t>
      </w:r>
    </w:p>
    <w:p w14:paraId="15AF1508" w14:textId="77777777" w:rsidR="00040537" w:rsidRDefault="00040537" w:rsidP="00F74B10">
      <w:pPr>
        <w:jc w:val="both"/>
        <w:rPr>
          <w:rFonts w:ascii="Arial" w:eastAsia="Arial" w:hAnsi="Arial" w:cs="Arial"/>
          <w:color w:val="000000"/>
        </w:rPr>
      </w:pPr>
    </w:p>
    <w:p w14:paraId="56E478CF" w14:textId="69FE467F" w:rsidR="00F74B10" w:rsidRPr="00F74B10" w:rsidRDefault="00F74B10" w:rsidP="00F74B10">
      <w:pPr>
        <w:jc w:val="both"/>
        <w:rPr>
          <w:rFonts w:ascii="Arial" w:eastAsia="Arial" w:hAnsi="Arial" w:cs="Arial"/>
          <w:color w:val="000000"/>
        </w:rPr>
      </w:pPr>
      <w:r w:rsidRPr="00F74B10">
        <w:rPr>
          <w:rFonts w:ascii="Arial" w:eastAsia="Arial" w:hAnsi="Arial" w:cs="Arial"/>
          <w:color w:val="000000"/>
        </w:rPr>
        <w:t>Como parte de una estimación de la capacidad de acogida turística o de los límites</w:t>
      </w:r>
      <w:r>
        <w:rPr>
          <w:rFonts w:ascii="Arial" w:eastAsia="Arial" w:hAnsi="Arial" w:cs="Arial"/>
          <w:color w:val="000000"/>
        </w:rPr>
        <w:t xml:space="preserve"> </w:t>
      </w:r>
      <w:r w:rsidRPr="00F74B10">
        <w:rPr>
          <w:rFonts w:ascii="Arial" w:eastAsia="Arial" w:hAnsi="Arial" w:cs="Arial"/>
          <w:color w:val="000000"/>
        </w:rPr>
        <w:t>de cambio aceptable, el número de turistas (en particular, las cifras de afluencia máxima)</w:t>
      </w:r>
      <w:r>
        <w:rPr>
          <w:rFonts w:ascii="Arial" w:eastAsia="Arial" w:hAnsi="Arial" w:cs="Arial"/>
          <w:color w:val="000000"/>
        </w:rPr>
        <w:t xml:space="preserve"> </w:t>
      </w:r>
      <w:r w:rsidRPr="00F74B10">
        <w:rPr>
          <w:rFonts w:ascii="Arial" w:eastAsia="Arial" w:hAnsi="Arial" w:cs="Arial"/>
          <w:color w:val="000000"/>
        </w:rPr>
        <w:t>pueden relacionarse con la utilización de recursos naturales (por ejemplo</w:t>
      </w:r>
      <w:r>
        <w:rPr>
          <w:rFonts w:ascii="Arial" w:eastAsia="Arial" w:hAnsi="Arial" w:cs="Arial"/>
          <w:color w:val="000000"/>
        </w:rPr>
        <w:t xml:space="preserve">, consumo medio de </w:t>
      </w:r>
      <w:r w:rsidRPr="00F74B10">
        <w:rPr>
          <w:rFonts w:ascii="Arial" w:eastAsia="Arial" w:hAnsi="Arial" w:cs="Arial"/>
          <w:color w:val="000000"/>
        </w:rPr>
        <w:t>agua por turista) y emplearse para indicar la presión potencial ejercida sobre los sitios</w:t>
      </w:r>
      <w:r>
        <w:rPr>
          <w:rFonts w:ascii="Arial" w:eastAsia="Arial" w:hAnsi="Arial" w:cs="Arial"/>
          <w:color w:val="000000"/>
        </w:rPr>
        <w:t xml:space="preserve"> </w:t>
      </w:r>
      <w:r w:rsidRPr="00F74B10">
        <w:rPr>
          <w:rFonts w:ascii="Arial" w:eastAsia="Arial" w:hAnsi="Arial" w:cs="Arial"/>
          <w:color w:val="000000"/>
        </w:rPr>
        <w:t>naturales o arquitectónicos. Cuando estos mismos números de turistas se comparan con el</w:t>
      </w:r>
      <w:r>
        <w:rPr>
          <w:rFonts w:ascii="Arial" w:eastAsia="Arial" w:hAnsi="Arial" w:cs="Arial"/>
          <w:color w:val="000000"/>
        </w:rPr>
        <w:t xml:space="preserve"> </w:t>
      </w:r>
      <w:r w:rsidRPr="00F74B10">
        <w:rPr>
          <w:rFonts w:ascii="Arial" w:eastAsia="Arial" w:hAnsi="Arial" w:cs="Arial"/>
          <w:color w:val="000000"/>
        </w:rPr>
        <w:t>número de residentes locales, se obtiene una relación que puede servir de indicador de</w:t>
      </w:r>
      <w:r>
        <w:rPr>
          <w:rFonts w:ascii="Arial" w:eastAsia="Arial" w:hAnsi="Arial" w:cs="Arial"/>
          <w:color w:val="000000"/>
        </w:rPr>
        <w:t xml:space="preserve"> </w:t>
      </w:r>
      <w:r w:rsidRPr="00F74B10">
        <w:rPr>
          <w:rFonts w:ascii="Arial" w:eastAsia="Arial" w:hAnsi="Arial" w:cs="Arial"/>
          <w:color w:val="000000"/>
        </w:rPr>
        <w:t>presión social potencial, que es un indicador de la sostenibilidad sociocultural del turismo.</w:t>
      </w:r>
    </w:p>
    <w:p w14:paraId="6F065EC8" w14:textId="112E4DCF" w:rsidR="00F74B10" w:rsidRPr="00F74B10" w:rsidRDefault="00F74B10" w:rsidP="00F74B10">
      <w:pPr>
        <w:jc w:val="both"/>
        <w:rPr>
          <w:rFonts w:ascii="Arial" w:eastAsia="Arial" w:hAnsi="Arial" w:cs="Arial"/>
          <w:color w:val="000000"/>
        </w:rPr>
      </w:pPr>
      <w:r w:rsidRPr="00F74B10">
        <w:rPr>
          <w:rFonts w:ascii="Arial" w:eastAsia="Arial" w:hAnsi="Arial" w:cs="Arial"/>
          <w:color w:val="000000"/>
        </w:rPr>
        <w:t>Cualquier dato puede convertirse en un indicador útil, si se refiere a los problemas</w:t>
      </w:r>
      <w:r>
        <w:rPr>
          <w:rFonts w:ascii="Arial" w:eastAsia="Arial" w:hAnsi="Arial" w:cs="Arial"/>
          <w:color w:val="000000"/>
        </w:rPr>
        <w:t xml:space="preserve"> </w:t>
      </w:r>
      <w:r w:rsidRPr="00F74B10">
        <w:rPr>
          <w:rFonts w:ascii="Arial" w:eastAsia="Arial" w:hAnsi="Arial" w:cs="Arial"/>
          <w:color w:val="000000"/>
        </w:rPr>
        <w:t>importantes de un destino</w:t>
      </w:r>
      <w:r w:rsidR="006059B8">
        <w:rPr>
          <w:rFonts w:ascii="Arial" w:eastAsia="Arial" w:hAnsi="Arial" w:cs="Arial"/>
          <w:color w:val="000000"/>
        </w:rPr>
        <w:t>”</w:t>
      </w:r>
      <w:r w:rsidRPr="00F74B10">
        <w:rPr>
          <w:rFonts w:ascii="Arial" w:eastAsia="Arial" w:hAnsi="Arial" w:cs="Arial"/>
          <w:color w:val="000000"/>
        </w:rPr>
        <w:t>.</w:t>
      </w:r>
    </w:p>
    <w:p w14:paraId="1ACDAF06" w14:textId="6479CFEB" w:rsidR="00F74B10" w:rsidRDefault="00F74B10" w:rsidP="00153EA5">
      <w:pPr>
        <w:jc w:val="both"/>
        <w:rPr>
          <w:rFonts w:ascii="Arial" w:eastAsia="Arial" w:hAnsi="Arial" w:cs="Arial"/>
          <w:color w:val="000000"/>
        </w:rPr>
      </w:pPr>
    </w:p>
    <w:p w14:paraId="4FE3322B" w14:textId="611E1498" w:rsidR="00D15623" w:rsidRDefault="00840CDF" w:rsidP="00153EA5">
      <w:pPr>
        <w:jc w:val="both"/>
        <w:rPr>
          <w:rFonts w:ascii="Arial" w:eastAsia="Arial" w:hAnsi="Arial" w:cs="Arial"/>
          <w:color w:val="000000"/>
        </w:rPr>
      </w:pPr>
      <w:r>
        <w:rPr>
          <w:rFonts w:ascii="Arial" w:eastAsia="Arial" w:hAnsi="Arial" w:cs="Arial"/>
          <w:color w:val="000000"/>
        </w:rPr>
        <w:t xml:space="preserve">De acuerdo al Código Municipal conforme establecen los siguientes títulos se puede evidenciar que en otros ejes si existen indicadores como: </w:t>
      </w:r>
      <w:r w:rsidR="00360683">
        <w:rPr>
          <w:rFonts w:ascii="Arial" w:eastAsia="Arial" w:hAnsi="Arial" w:cs="Arial"/>
          <w:color w:val="000000"/>
        </w:rPr>
        <w:t xml:space="preserve">en </w:t>
      </w:r>
      <w:r>
        <w:rPr>
          <w:rFonts w:ascii="Arial" w:eastAsia="Arial" w:hAnsi="Arial" w:cs="Arial"/>
          <w:color w:val="000000"/>
        </w:rPr>
        <w:t>el Libro</w:t>
      </w:r>
      <w:r w:rsidR="00D15623">
        <w:rPr>
          <w:rFonts w:ascii="Arial" w:eastAsia="Arial" w:hAnsi="Arial" w:cs="Arial"/>
          <w:color w:val="000000"/>
        </w:rPr>
        <w:t xml:space="preserve"> IV, Del Eje Territorial, en su Libro IV.1 Del Uso de Suelo en la Sección II, De los Estándares de Calidad en su artículo 2896. – Indicadores d</w:t>
      </w:r>
      <w:r>
        <w:rPr>
          <w:rFonts w:ascii="Arial" w:eastAsia="Arial" w:hAnsi="Arial" w:cs="Arial"/>
          <w:color w:val="000000"/>
        </w:rPr>
        <w:t>e calidad</w:t>
      </w:r>
      <w:r w:rsidR="00D15623">
        <w:rPr>
          <w:rFonts w:ascii="Arial" w:eastAsia="Arial" w:hAnsi="Arial" w:cs="Arial"/>
          <w:color w:val="000000"/>
        </w:rPr>
        <w:t>: “</w:t>
      </w:r>
      <w:r w:rsidR="00D15623" w:rsidRPr="00D15623">
        <w:rPr>
          <w:rFonts w:ascii="Arial" w:eastAsia="Arial" w:hAnsi="Arial" w:cs="Arial"/>
          <w:color w:val="000000"/>
        </w:rPr>
        <w:t>Sin perjuicio de los parámetros de calidad que las Operadoras deben garantizar conforme la Ley Orgánica de Transporte Terrestre, Tránsito y Seguridad Vial y la normativa local vigente, para el mejoramiento de la calidad en la prestación del servicio de transporte público de pasajeros del Distrito Metropo</w:t>
      </w:r>
      <w:r w:rsidR="00040537">
        <w:rPr>
          <w:rFonts w:ascii="Arial" w:eastAsia="Arial" w:hAnsi="Arial" w:cs="Arial"/>
          <w:color w:val="000000"/>
        </w:rPr>
        <w:t>litano de Quito, las o</w:t>
      </w:r>
      <w:r w:rsidR="00D15623" w:rsidRPr="00D15623">
        <w:rPr>
          <w:rFonts w:ascii="Arial" w:eastAsia="Arial" w:hAnsi="Arial" w:cs="Arial"/>
          <w:color w:val="000000"/>
        </w:rPr>
        <w:t>peradoras, con sus conductores, conductoras y personal administrativo, de los Subsistemas de transporte público de pasajeros, aplicarán obligatoriamente los siguientes indi</w:t>
      </w:r>
      <w:r w:rsidR="00D15623">
        <w:rPr>
          <w:rFonts w:ascii="Arial" w:eastAsia="Arial" w:hAnsi="Arial" w:cs="Arial"/>
          <w:color w:val="000000"/>
        </w:rPr>
        <w:t>c</w:t>
      </w:r>
      <w:r w:rsidR="00D57265">
        <w:rPr>
          <w:rFonts w:ascii="Arial" w:eastAsia="Arial" w:hAnsi="Arial" w:cs="Arial"/>
          <w:color w:val="000000"/>
        </w:rPr>
        <w:t>adores de calidad del servicio…”</w:t>
      </w:r>
      <w:r>
        <w:rPr>
          <w:rFonts w:ascii="Arial" w:eastAsia="Arial" w:hAnsi="Arial" w:cs="Arial"/>
          <w:color w:val="000000"/>
        </w:rPr>
        <w:t>.</w:t>
      </w:r>
    </w:p>
    <w:p w14:paraId="5F2E913E" w14:textId="1886E42C" w:rsidR="00397037" w:rsidRDefault="00397037" w:rsidP="00153EA5">
      <w:pPr>
        <w:jc w:val="both"/>
        <w:rPr>
          <w:rFonts w:ascii="Arial" w:eastAsia="Arial" w:hAnsi="Arial" w:cs="Arial"/>
          <w:color w:val="000000"/>
        </w:rPr>
      </w:pPr>
    </w:p>
    <w:p w14:paraId="09EC2E00" w14:textId="3AB03812" w:rsidR="00397037" w:rsidRDefault="00397037" w:rsidP="00153EA5">
      <w:pPr>
        <w:jc w:val="both"/>
        <w:rPr>
          <w:rFonts w:ascii="Arial" w:eastAsia="Arial" w:hAnsi="Arial" w:cs="Arial"/>
          <w:color w:val="000000"/>
        </w:rPr>
      </w:pPr>
      <w:r>
        <w:rPr>
          <w:rFonts w:ascii="Arial" w:eastAsia="Arial" w:hAnsi="Arial" w:cs="Arial"/>
          <w:color w:val="000000"/>
        </w:rPr>
        <w:t xml:space="preserve">Por este motivo y con el fin de </w:t>
      </w:r>
      <w:r w:rsidR="000245A4">
        <w:rPr>
          <w:rFonts w:ascii="Arial" w:eastAsia="Arial" w:hAnsi="Arial" w:cs="Arial"/>
          <w:color w:val="000000"/>
        </w:rPr>
        <w:t xml:space="preserve">demostrar resultados de las actividades que se </w:t>
      </w:r>
      <w:r>
        <w:rPr>
          <w:rFonts w:ascii="Arial" w:eastAsia="Arial" w:hAnsi="Arial" w:cs="Arial"/>
          <w:color w:val="000000"/>
        </w:rPr>
        <w:t>realiza</w:t>
      </w:r>
      <w:r w:rsidR="000245A4">
        <w:rPr>
          <w:rFonts w:ascii="Arial" w:eastAsia="Arial" w:hAnsi="Arial" w:cs="Arial"/>
          <w:color w:val="000000"/>
        </w:rPr>
        <w:t>n</w:t>
      </w:r>
      <w:r>
        <w:rPr>
          <w:rFonts w:ascii="Arial" w:eastAsia="Arial" w:hAnsi="Arial" w:cs="Arial"/>
          <w:color w:val="000000"/>
        </w:rPr>
        <w:t xml:space="preserve"> en el Distrito Metropol</w:t>
      </w:r>
      <w:r w:rsidR="000245A4">
        <w:rPr>
          <w:rFonts w:ascii="Arial" w:eastAsia="Arial" w:hAnsi="Arial" w:cs="Arial"/>
          <w:color w:val="000000"/>
        </w:rPr>
        <w:t>itano sobre</w:t>
      </w:r>
      <w:r>
        <w:rPr>
          <w:rFonts w:ascii="Arial" w:eastAsia="Arial" w:hAnsi="Arial" w:cs="Arial"/>
          <w:color w:val="000000"/>
        </w:rPr>
        <w:t xml:space="preserve"> Turismo, es necesario establecer indicadores </w:t>
      </w:r>
      <w:r w:rsidR="000245A4">
        <w:rPr>
          <w:rFonts w:ascii="Arial" w:eastAsia="Arial" w:hAnsi="Arial" w:cs="Arial"/>
          <w:color w:val="000000"/>
        </w:rPr>
        <w:t xml:space="preserve">de medición sobre la </w:t>
      </w:r>
      <w:r>
        <w:rPr>
          <w:rFonts w:ascii="Arial" w:eastAsia="Arial" w:hAnsi="Arial" w:cs="Arial"/>
          <w:color w:val="000000"/>
        </w:rPr>
        <w:t xml:space="preserve">gestión de Turismo en el Distrito Metropolitano de Quito, que facilite a los ciudadanos contar con información objetiva y cuantificable, para conocer el desarrollo del Distrito Metropolitano de Quito como destino turístico. </w:t>
      </w:r>
    </w:p>
    <w:p w14:paraId="52998496" w14:textId="668048EE" w:rsidR="00D15623" w:rsidRDefault="00D15623" w:rsidP="00153EA5">
      <w:pPr>
        <w:jc w:val="both"/>
        <w:rPr>
          <w:rFonts w:ascii="Arial" w:eastAsia="Arial" w:hAnsi="Arial" w:cs="Arial"/>
          <w:color w:val="000000"/>
        </w:rPr>
      </w:pPr>
    </w:p>
    <w:p w14:paraId="00000018" w14:textId="77777777" w:rsidR="005537B2" w:rsidRDefault="005537B2">
      <w:pPr>
        <w:jc w:val="both"/>
        <w:rPr>
          <w:rFonts w:ascii="Arial" w:eastAsia="Arial" w:hAnsi="Arial" w:cs="Arial"/>
          <w:color w:val="000000"/>
          <w:highlight w:val="white"/>
        </w:rPr>
      </w:pPr>
    </w:p>
    <w:p w14:paraId="00000019" w14:textId="77777777" w:rsidR="005537B2" w:rsidRDefault="005537B2">
      <w:pPr>
        <w:jc w:val="both"/>
        <w:rPr>
          <w:rFonts w:ascii="Arial" w:eastAsia="Arial" w:hAnsi="Arial" w:cs="Arial"/>
          <w:color w:val="000000"/>
          <w:highlight w:val="white"/>
        </w:rPr>
      </w:pPr>
    </w:p>
    <w:p w14:paraId="0000001A" w14:textId="77777777" w:rsidR="005537B2" w:rsidRDefault="00C863F8">
      <w:pPr>
        <w:jc w:val="center"/>
        <w:rPr>
          <w:rFonts w:ascii="Arial" w:eastAsia="Arial" w:hAnsi="Arial" w:cs="Arial"/>
          <w:b/>
          <w:color w:val="000000"/>
          <w:highlight w:val="white"/>
        </w:rPr>
      </w:pPr>
      <w:r>
        <w:rPr>
          <w:rFonts w:ascii="Arial" w:eastAsia="Arial" w:hAnsi="Arial" w:cs="Arial"/>
          <w:b/>
          <w:color w:val="000000"/>
          <w:highlight w:val="white"/>
        </w:rPr>
        <w:t>ORDENANZA METROPOLITANA No.</w:t>
      </w:r>
    </w:p>
    <w:p w14:paraId="0000001B" w14:textId="77777777" w:rsidR="005537B2" w:rsidRDefault="005537B2">
      <w:pPr>
        <w:jc w:val="center"/>
        <w:rPr>
          <w:rFonts w:ascii="Arial" w:eastAsia="Arial" w:hAnsi="Arial" w:cs="Arial"/>
          <w:color w:val="000000"/>
          <w:highlight w:val="white"/>
        </w:rPr>
      </w:pPr>
    </w:p>
    <w:p w14:paraId="0000001C" w14:textId="77777777" w:rsidR="005537B2" w:rsidRDefault="00C863F8">
      <w:pPr>
        <w:jc w:val="center"/>
        <w:rPr>
          <w:rFonts w:ascii="Arial" w:eastAsia="Arial" w:hAnsi="Arial" w:cs="Arial"/>
          <w:b/>
          <w:color w:val="000000"/>
          <w:highlight w:val="white"/>
        </w:rPr>
      </w:pPr>
      <w:r>
        <w:rPr>
          <w:rFonts w:ascii="Arial" w:eastAsia="Arial" w:hAnsi="Arial" w:cs="Arial"/>
          <w:b/>
          <w:color w:val="000000"/>
          <w:highlight w:val="white"/>
        </w:rPr>
        <w:t>EL CONCEJO METROPOLITANO DE QUITO</w:t>
      </w:r>
    </w:p>
    <w:p w14:paraId="0000001D" w14:textId="77777777" w:rsidR="005537B2" w:rsidRDefault="005537B2">
      <w:pPr>
        <w:jc w:val="center"/>
        <w:rPr>
          <w:rFonts w:ascii="Arial" w:eastAsia="Arial" w:hAnsi="Arial" w:cs="Arial"/>
          <w:b/>
          <w:color w:val="000000"/>
          <w:highlight w:val="white"/>
        </w:rPr>
      </w:pPr>
    </w:p>
    <w:p w14:paraId="0000001E" w14:textId="77777777" w:rsidR="005537B2" w:rsidRDefault="00C863F8">
      <w:pPr>
        <w:jc w:val="center"/>
        <w:rPr>
          <w:rFonts w:ascii="Arial" w:eastAsia="Arial" w:hAnsi="Arial" w:cs="Arial"/>
          <w:b/>
          <w:color w:val="000000"/>
          <w:highlight w:val="white"/>
        </w:rPr>
      </w:pPr>
      <w:r>
        <w:rPr>
          <w:rFonts w:ascii="Arial" w:eastAsia="Arial" w:hAnsi="Arial" w:cs="Arial"/>
          <w:b/>
          <w:color w:val="000000"/>
          <w:highlight w:val="white"/>
        </w:rPr>
        <w:t>CONSIDERANDO:</w:t>
      </w:r>
    </w:p>
    <w:p w14:paraId="0000001F" w14:textId="77777777" w:rsidR="005537B2" w:rsidRDefault="005537B2">
      <w:pPr>
        <w:jc w:val="both"/>
        <w:rPr>
          <w:rFonts w:ascii="Arial" w:eastAsia="Arial" w:hAnsi="Arial" w:cs="Arial"/>
          <w:color w:val="000000"/>
        </w:rPr>
      </w:pPr>
    </w:p>
    <w:p w14:paraId="00000020" w14:textId="77777777" w:rsidR="005537B2" w:rsidRDefault="005537B2">
      <w:pPr>
        <w:jc w:val="both"/>
        <w:rPr>
          <w:rFonts w:ascii="Arial" w:eastAsia="Arial" w:hAnsi="Arial" w:cs="Arial"/>
          <w:color w:val="000000"/>
        </w:rPr>
      </w:pPr>
    </w:p>
    <w:p w14:paraId="00000021" w14:textId="583F5730" w:rsidR="005537B2" w:rsidRDefault="00C863F8">
      <w:pPr>
        <w:jc w:val="both"/>
        <w:rPr>
          <w:rFonts w:ascii="Arial" w:eastAsia="Arial" w:hAnsi="Arial" w:cs="Arial"/>
          <w:color w:val="000000"/>
        </w:rPr>
      </w:pPr>
      <w:r>
        <w:rPr>
          <w:rFonts w:ascii="Arial" w:eastAsia="Arial" w:hAnsi="Arial" w:cs="Arial"/>
          <w:b/>
          <w:color w:val="000000"/>
          <w:highlight w:val="white"/>
        </w:rPr>
        <w:t>Que,</w:t>
      </w:r>
      <w:r>
        <w:rPr>
          <w:rFonts w:ascii="Arial" w:eastAsia="Arial" w:hAnsi="Arial" w:cs="Arial"/>
          <w:color w:val="000000"/>
          <w:highlight w:val="white"/>
        </w:rPr>
        <w:t xml:space="preserve"> el artículo 83 de la Constitución de la República</w:t>
      </w:r>
      <w:r w:rsidR="00D8002A">
        <w:rPr>
          <w:rFonts w:ascii="Arial" w:eastAsia="Arial" w:hAnsi="Arial" w:cs="Arial"/>
          <w:color w:val="000000"/>
          <w:highlight w:val="white"/>
        </w:rPr>
        <w:t xml:space="preserve"> del Ecuador, en adelante “Constitución”</w:t>
      </w:r>
      <w:r>
        <w:rPr>
          <w:rFonts w:ascii="Arial" w:eastAsia="Arial" w:hAnsi="Arial" w:cs="Arial"/>
          <w:color w:val="000000"/>
          <w:highlight w:val="white"/>
        </w:rPr>
        <w:t xml:space="preserve">, al establecer los deberes y responsabilidades de las ecuatorianas </w:t>
      </w:r>
      <w:r>
        <w:rPr>
          <w:rFonts w:ascii="Arial" w:eastAsia="Arial" w:hAnsi="Arial" w:cs="Arial"/>
          <w:color w:val="000000"/>
          <w:highlight w:val="white"/>
        </w:rPr>
        <w:lastRenderedPageBreak/>
        <w:t>y de los ecuatorianos, preceptúa como parte de éstos, el promover el bien común y anteponer el interés general al interés particular, administrar honradamente y con apego irrestricto a la ley el patrimonio público, asumir las funciones públicas como un servicio a la colectividad y rendir cuentas a la sociedad y a la autoridad, conservar el patrimonio cultural y natural del país y cuidar y mantener los bienes públicos, participar en la vida política, cívica y comunitaria del país de manera honesta y transparente. Deberes y responsabilidades que deben observarse también en la relación entre la ciudadanía y el Estado para la administración de las finanzas públicas;</w:t>
      </w:r>
    </w:p>
    <w:p w14:paraId="00000022" w14:textId="77777777" w:rsidR="005537B2" w:rsidRDefault="005537B2">
      <w:pPr>
        <w:jc w:val="both"/>
        <w:rPr>
          <w:rFonts w:ascii="Arial" w:eastAsia="Arial" w:hAnsi="Arial" w:cs="Arial"/>
          <w:color w:val="000000"/>
        </w:rPr>
      </w:pPr>
    </w:p>
    <w:p w14:paraId="00000023" w14:textId="07949D45" w:rsidR="005537B2" w:rsidRDefault="00C863F8">
      <w:pPr>
        <w:jc w:val="both"/>
        <w:rPr>
          <w:rFonts w:ascii="Arial" w:eastAsia="Arial" w:hAnsi="Arial" w:cs="Arial"/>
          <w:color w:val="000000"/>
          <w:highlight w:val="white"/>
        </w:rPr>
      </w:pPr>
      <w:r>
        <w:rPr>
          <w:rFonts w:ascii="Arial" w:eastAsia="Arial" w:hAnsi="Arial" w:cs="Arial"/>
          <w:b/>
          <w:color w:val="000000"/>
          <w:highlight w:val="white"/>
        </w:rPr>
        <w:t>Que,</w:t>
      </w:r>
      <w:r>
        <w:rPr>
          <w:rFonts w:ascii="Arial" w:eastAsia="Arial" w:hAnsi="Arial" w:cs="Arial"/>
          <w:color w:val="000000"/>
          <w:highlight w:val="white"/>
        </w:rPr>
        <w:t xml:space="preserve"> el </w:t>
      </w:r>
      <w:r w:rsidR="00D8002A">
        <w:rPr>
          <w:rFonts w:ascii="Arial" w:eastAsia="Arial" w:hAnsi="Arial" w:cs="Arial"/>
          <w:color w:val="000000"/>
          <w:highlight w:val="white"/>
        </w:rPr>
        <w:t xml:space="preserve">artículo 240 de la Constitución, </w:t>
      </w:r>
      <w:r>
        <w:rPr>
          <w:rFonts w:ascii="Arial" w:eastAsia="Arial" w:hAnsi="Arial" w:cs="Arial"/>
          <w:color w:val="000000"/>
          <w:highlight w:val="white"/>
        </w:rPr>
        <w:t xml:space="preserve">dispone que los gobiernos autónomos descentralizados de los distritos metropolitanos tienen facultades legislativas en el ámbito de sus competencias y jurisdicciones territoriales; </w:t>
      </w:r>
    </w:p>
    <w:p w14:paraId="00000024" w14:textId="77777777" w:rsidR="005537B2" w:rsidRDefault="005537B2">
      <w:pPr>
        <w:jc w:val="both"/>
        <w:rPr>
          <w:rFonts w:ascii="Arial" w:eastAsia="Arial" w:hAnsi="Arial" w:cs="Arial"/>
          <w:b/>
          <w:color w:val="000000"/>
          <w:highlight w:val="white"/>
        </w:rPr>
      </w:pPr>
    </w:p>
    <w:p w14:paraId="00000025" w14:textId="77777777" w:rsidR="005537B2" w:rsidRDefault="00C863F8">
      <w:pPr>
        <w:jc w:val="both"/>
        <w:rPr>
          <w:rFonts w:ascii="Arial" w:eastAsia="Arial" w:hAnsi="Arial" w:cs="Arial"/>
          <w:color w:val="000000"/>
          <w:highlight w:val="white"/>
        </w:rPr>
      </w:pPr>
      <w:r>
        <w:rPr>
          <w:rFonts w:ascii="Arial" w:eastAsia="Arial" w:hAnsi="Arial" w:cs="Arial"/>
          <w:b/>
          <w:color w:val="000000"/>
          <w:highlight w:val="white"/>
        </w:rPr>
        <w:t>Que,</w:t>
      </w:r>
      <w:r>
        <w:rPr>
          <w:rFonts w:ascii="Arial" w:eastAsia="Arial" w:hAnsi="Arial" w:cs="Arial"/>
          <w:color w:val="000000"/>
          <w:highlight w:val="white"/>
        </w:rPr>
        <w:t xml:space="preserve"> el artículo 266 de la Constitución de la República del Ecuador, dispone que: </w:t>
      </w:r>
      <w:r>
        <w:rPr>
          <w:rFonts w:ascii="Arial" w:eastAsia="Arial" w:hAnsi="Arial" w:cs="Arial"/>
          <w:i/>
          <w:color w:val="000000"/>
          <w:highlight w:val="white"/>
        </w:rPr>
        <w:t>"Los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 En el ámbito de sus competencias y territorio, y en uso de sus facultades, expedirán ordenanzas distritales"</w:t>
      </w:r>
      <w:r>
        <w:rPr>
          <w:rFonts w:ascii="Arial" w:eastAsia="Arial" w:hAnsi="Arial" w:cs="Arial"/>
          <w:color w:val="000000"/>
          <w:highlight w:val="white"/>
        </w:rPr>
        <w:t xml:space="preserve">; </w:t>
      </w:r>
    </w:p>
    <w:p w14:paraId="00000026" w14:textId="77777777" w:rsidR="005537B2" w:rsidRDefault="005537B2">
      <w:pPr>
        <w:jc w:val="both"/>
        <w:rPr>
          <w:rFonts w:ascii="Arial" w:eastAsia="Arial" w:hAnsi="Arial" w:cs="Arial"/>
          <w:color w:val="000000"/>
          <w:highlight w:val="white"/>
        </w:rPr>
      </w:pPr>
    </w:p>
    <w:p w14:paraId="00000027" w14:textId="77777777" w:rsidR="005537B2" w:rsidRDefault="00C863F8">
      <w:pPr>
        <w:jc w:val="both"/>
        <w:rPr>
          <w:rFonts w:ascii="Arial" w:eastAsia="Arial" w:hAnsi="Arial" w:cs="Arial"/>
          <w:color w:val="000000"/>
        </w:rPr>
      </w:pPr>
      <w:r>
        <w:rPr>
          <w:rFonts w:ascii="Arial" w:eastAsia="Arial" w:hAnsi="Arial" w:cs="Arial"/>
          <w:b/>
          <w:color w:val="000000"/>
          <w:highlight w:val="white"/>
        </w:rPr>
        <w:t>Que</w:t>
      </w:r>
      <w:r>
        <w:rPr>
          <w:rFonts w:ascii="Arial" w:eastAsia="Arial" w:hAnsi="Arial" w:cs="Arial"/>
          <w:color w:val="000000"/>
          <w:highlight w:val="white"/>
        </w:rPr>
        <w:t>, la Constitución de la República del Ecuador respecto del manejo de las finanzas públicas establece en su artículo 286: </w:t>
      </w:r>
      <w:r>
        <w:rPr>
          <w:rFonts w:ascii="Arial" w:eastAsia="Arial" w:hAnsi="Arial" w:cs="Arial"/>
          <w:i/>
          <w:color w:val="000000"/>
          <w:highlight w:val="white"/>
        </w:rPr>
        <w:t>"Las finanzas públicas, en todos los niveles de gobierno, se conducirán de forma sostenible, responsable y transparente y procurarán la estabilidad económica (...) </w:t>
      </w:r>
      <w:r>
        <w:rPr>
          <w:rFonts w:ascii="Arial" w:eastAsia="Arial" w:hAnsi="Arial" w:cs="Arial"/>
          <w:color w:val="000000"/>
          <w:highlight w:val="white"/>
        </w:rPr>
        <w:t>";</w:t>
      </w:r>
    </w:p>
    <w:p w14:paraId="3A5F2E1C" w14:textId="77777777" w:rsidR="00C863F8" w:rsidRDefault="00C863F8">
      <w:pPr>
        <w:pBdr>
          <w:top w:val="nil"/>
          <w:left w:val="nil"/>
          <w:bottom w:val="nil"/>
          <w:right w:val="nil"/>
          <w:between w:val="nil"/>
        </w:pBdr>
        <w:shd w:val="clear" w:color="auto" w:fill="FFFFFF"/>
        <w:jc w:val="both"/>
        <w:rPr>
          <w:rFonts w:ascii="Arial" w:eastAsia="Arial" w:hAnsi="Arial" w:cs="Arial"/>
          <w:b/>
          <w:color w:val="000000"/>
        </w:rPr>
      </w:pPr>
    </w:p>
    <w:p w14:paraId="00000028" w14:textId="5A08F70A" w:rsidR="005537B2" w:rsidRDefault="00C863F8">
      <w:pPr>
        <w:pBdr>
          <w:top w:val="nil"/>
          <w:left w:val="nil"/>
          <w:bottom w:val="nil"/>
          <w:right w:val="nil"/>
          <w:between w:val="nil"/>
        </w:pBdr>
        <w:shd w:val="clear" w:color="auto" w:fill="FFFFFF"/>
        <w:jc w:val="both"/>
        <w:rPr>
          <w:rFonts w:ascii="Arial" w:eastAsia="Arial" w:hAnsi="Arial" w:cs="Arial"/>
          <w:color w:val="000000"/>
        </w:rPr>
      </w:pPr>
      <w:r>
        <w:rPr>
          <w:rFonts w:ascii="Arial" w:eastAsia="Arial" w:hAnsi="Arial" w:cs="Arial"/>
          <w:b/>
          <w:color w:val="000000"/>
        </w:rPr>
        <w:t>Que,</w:t>
      </w:r>
      <w:r>
        <w:rPr>
          <w:rFonts w:ascii="Arial" w:eastAsia="Arial" w:hAnsi="Arial" w:cs="Arial"/>
          <w:color w:val="000000"/>
        </w:rPr>
        <w:tab/>
        <w:t xml:space="preserve"> el literal a) del artículo 31 del Código Orgánico de Organización Territorial, Autonomía y Descentralización, en adelante “COOTAD”, dispone que</w:t>
      </w:r>
      <w:r w:rsidR="00040537">
        <w:rPr>
          <w:rFonts w:ascii="Arial" w:eastAsia="Arial" w:hAnsi="Arial" w:cs="Arial"/>
          <w:color w:val="000000"/>
        </w:rPr>
        <w:t>,</w:t>
      </w:r>
      <w:r>
        <w:rPr>
          <w:rFonts w:ascii="Arial" w:eastAsia="Arial" w:hAnsi="Arial" w:cs="Arial"/>
          <w:color w:val="000000"/>
        </w:rPr>
        <w:t xml:space="preserve"> para alcanzar los objetivos del buen vivir, los gobiernos autónomos descentralizados y el gobierno central, deben ejecutar acciones articuladas y coordinadas entre ellos, según las competencias establecidas en la Constitución y la ley”; </w:t>
      </w:r>
    </w:p>
    <w:p w14:paraId="6230D059" w14:textId="77777777" w:rsidR="00C863F8" w:rsidRDefault="00C863F8">
      <w:pPr>
        <w:jc w:val="both"/>
        <w:rPr>
          <w:rFonts w:ascii="Arial" w:eastAsia="Arial" w:hAnsi="Arial" w:cs="Arial"/>
          <w:b/>
          <w:color w:val="000000"/>
        </w:rPr>
      </w:pPr>
    </w:p>
    <w:p w14:paraId="00000029" w14:textId="7078B7D1" w:rsidR="005537B2" w:rsidRDefault="00C863F8">
      <w:pPr>
        <w:jc w:val="both"/>
        <w:rPr>
          <w:rFonts w:ascii="Arial" w:eastAsia="Arial" w:hAnsi="Arial" w:cs="Arial"/>
          <w:color w:val="000000"/>
        </w:rPr>
      </w:pPr>
      <w:r>
        <w:rPr>
          <w:rFonts w:ascii="Arial" w:eastAsia="Arial" w:hAnsi="Arial" w:cs="Arial"/>
          <w:b/>
          <w:color w:val="000000"/>
        </w:rPr>
        <w:t>Que,</w:t>
      </w:r>
      <w:r>
        <w:rPr>
          <w:rFonts w:ascii="Arial" w:eastAsia="Arial" w:hAnsi="Arial" w:cs="Arial"/>
          <w:color w:val="000000"/>
        </w:rPr>
        <w:t xml:space="preserve"> </w:t>
      </w:r>
      <w:r>
        <w:rPr>
          <w:rFonts w:ascii="Arial" w:eastAsia="Arial" w:hAnsi="Arial" w:cs="Arial"/>
          <w:color w:val="000000"/>
        </w:rPr>
        <w:tab/>
        <w:t>de conformidad al literal a) del artículo 87 del Código Orgánico de Organización Territorial, Autonomía y Descentralización, en adelante “COOTAD”, entre las atribuciones del Concejo Metropolitano, le corresponde ejercer la facultad normativa en las materias de competencia del gobierno autónomo descentralizado metropolitano, mediante la expedición de ordenanzas metropolitanas, acuerdos y resoluciones;</w:t>
      </w:r>
    </w:p>
    <w:p w14:paraId="0000002A" w14:textId="77777777" w:rsidR="005537B2" w:rsidRDefault="005537B2">
      <w:pPr>
        <w:jc w:val="both"/>
        <w:rPr>
          <w:rFonts w:ascii="Arial" w:eastAsia="Arial" w:hAnsi="Arial" w:cs="Arial"/>
          <w:color w:val="000000"/>
          <w:highlight w:val="white"/>
        </w:rPr>
      </w:pPr>
    </w:p>
    <w:p w14:paraId="00000031" w14:textId="2D231C1D" w:rsidR="005537B2" w:rsidRDefault="0075141A" w:rsidP="0075141A">
      <w:pPr>
        <w:pStyle w:val="Ttulo1"/>
        <w:ind w:left="0"/>
        <w:jc w:val="both"/>
        <w:rPr>
          <w:rFonts w:ascii="Arial" w:eastAsia="Arial" w:hAnsi="Arial" w:cs="Arial"/>
          <w:b w:val="0"/>
          <w:color w:val="000000"/>
        </w:rPr>
      </w:pPr>
      <w:r>
        <w:rPr>
          <w:rFonts w:ascii="Arial" w:eastAsia="Arial" w:hAnsi="Arial" w:cs="Arial"/>
          <w:color w:val="000000"/>
        </w:rPr>
        <w:t xml:space="preserve">Que, </w:t>
      </w:r>
      <w:r w:rsidR="00C863F8" w:rsidRPr="0075141A">
        <w:rPr>
          <w:rFonts w:ascii="Arial" w:eastAsia="Arial" w:hAnsi="Arial" w:cs="Arial"/>
          <w:b w:val="0"/>
          <w:color w:val="000000"/>
        </w:rPr>
        <w:t>En ejercicio de las atribuciones que confieren los artículos 240, numeral 1; y 264 de la Constitución; artículo 87, literal a) y 332 del Código Orgánico de Organización Territorial, Autonomía y Descentralización; y, 8 de la Ley de Orgánica de Régimen para el Distrito Metropolitano de Quito:</w:t>
      </w:r>
    </w:p>
    <w:p w14:paraId="36FA3CF5" w14:textId="3901543A" w:rsidR="00A07913" w:rsidRDefault="00A07913" w:rsidP="00A07913"/>
    <w:p w14:paraId="1FCF63D1" w14:textId="2D13D9CC" w:rsidR="00A07913" w:rsidRDefault="00A07913" w:rsidP="00A07913">
      <w:pPr>
        <w:jc w:val="both"/>
        <w:rPr>
          <w:rFonts w:ascii="Arial" w:hAnsi="Arial" w:cs="Arial"/>
        </w:rPr>
      </w:pPr>
      <w:r>
        <w:rPr>
          <w:rFonts w:ascii="Arial" w:hAnsi="Arial" w:cs="Arial"/>
          <w:b/>
        </w:rPr>
        <w:t xml:space="preserve">Que, </w:t>
      </w:r>
      <w:r w:rsidR="00B31692">
        <w:rPr>
          <w:rFonts w:ascii="Arial" w:hAnsi="Arial" w:cs="Arial"/>
        </w:rPr>
        <w:t xml:space="preserve">el </w:t>
      </w:r>
      <w:r w:rsidRPr="00A07913">
        <w:rPr>
          <w:rFonts w:ascii="Arial" w:hAnsi="Arial" w:cs="Arial"/>
        </w:rPr>
        <w:t xml:space="preserve">Artículo 22.- Ejes </w:t>
      </w:r>
      <w:r w:rsidR="0048272D" w:rsidRPr="00A07913">
        <w:rPr>
          <w:rFonts w:ascii="Arial" w:hAnsi="Arial" w:cs="Arial"/>
        </w:rPr>
        <w:t>estratégicos. -</w:t>
      </w:r>
      <w:r w:rsidRPr="00A07913">
        <w:rPr>
          <w:rFonts w:ascii="Arial" w:hAnsi="Arial" w:cs="Arial"/>
        </w:rPr>
        <w:t xml:space="preserve"> Las Comisiones del Concejo Metropolitano se fundamentan en los cuatro ejes estratégicos de la Administración Metropolitana:</w:t>
      </w:r>
      <w:r>
        <w:rPr>
          <w:rFonts w:ascii="Arial" w:hAnsi="Arial" w:cs="Arial"/>
        </w:rPr>
        <w:t xml:space="preserve"> </w:t>
      </w:r>
    </w:p>
    <w:p w14:paraId="75A70E61" w14:textId="77777777" w:rsidR="00A07913" w:rsidRDefault="00A07913" w:rsidP="00A07913">
      <w:pPr>
        <w:jc w:val="both"/>
        <w:rPr>
          <w:rFonts w:ascii="Arial" w:hAnsi="Arial" w:cs="Arial"/>
        </w:rPr>
      </w:pPr>
    </w:p>
    <w:p w14:paraId="03090B04" w14:textId="791A3F32" w:rsidR="00A07913" w:rsidRDefault="00A07913" w:rsidP="00A07913">
      <w:pPr>
        <w:jc w:val="both"/>
        <w:rPr>
          <w:rFonts w:ascii="Arial" w:hAnsi="Arial" w:cs="Arial"/>
        </w:rPr>
      </w:pPr>
      <w:r w:rsidRPr="00A07913">
        <w:rPr>
          <w:rFonts w:ascii="Arial" w:hAnsi="Arial" w:cs="Arial"/>
        </w:rPr>
        <w:lastRenderedPageBreak/>
        <w:t xml:space="preserve">Eje económico: Que impulse una economía </w:t>
      </w:r>
      <w:r w:rsidRPr="00A07913">
        <w:rPr>
          <w:rFonts w:ascii="Arial" w:hAnsi="Arial" w:cs="Arial"/>
          <w:b/>
        </w:rPr>
        <w:t>productiva</w:t>
      </w:r>
      <w:r w:rsidRPr="00A07913">
        <w:rPr>
          <w:rFonts w:ascii="Arial" w:hAnsi="Arial" w:cs="Arial"/>
        </w:rPr>
        <w:t xml:space="preserve">, </w:t>
      </w:r>
      <w:r w:rsidRPr="00A07913">
        <w:rPr>
          <w:rFonts w:ascii="Arial" w:hAnsi="Arial" w:cs="Arial"/>
          <w:b/>
        </w:rPr>
        <w:t>competitiva</w:t>
      </w:r>
      <w:r w:rsidRPr="00A07913">
        <w:rPr>
          <w:rFonts w:ascii="Arial" w:hAnsi="Arial" w:cs="Arial"/>
        </w:rPr>
        <w:t xml:space="preserve">, </w:t>
      </w:r>
      <w:r w:rsidRPr="00A07913">
        <w:rPr>
          <w:rFonts w:ascii="Arial" w:hAnsi="Arial" w:cs="Arial"/>
          <w:b/>
        </w:rPr>
        <w:t>diversificada</w:t>
      </w:r>
      <w:r w:rsidRPr="00A07913">
        <w:rPr>
          <w:rFonts w:ascii="Arial" w:hAnsi="Arial" w:cs="Arial"/>
        </w:rPr>
        <w:t xml:space="preserve"> y </w:t>
      </w:r>
      <w:r w:rsidRPr="00A07913">
        <w:rPr>
          <w:rFonts w:ascii="Arial" w:hAnsi="Arial" w:cs="Arial"/>
          <w:b/>
        </w:rPr>
        <w:t>solidaria</w:t>
      </w:r>
      <w:r w:rsidRPr="00A07913">
        <w:rPr>
          <w:rFonts w:ascii="Arial" w:hAnsi="Arial" w:cs="Arial"/>
        </w:rPr>
        <w:t xml:space="preserve"> que proporcione bienestar a toda la población y genere empleo y trabajo;</w:t>
      </w:r>
    </w:p>
    <w:p w14:paraId="7EF7505B" w14:textId="70D2A22D" w:rsidR="00B31692" w:rsidRDefault="00B31692" w:rsidP="00A07913">
      <w:pPr>
        <w:jc w:val="both"/>
        <w:rPr>
          <w:rFonts w:ascii="Arial" w:hAnsi="Arial" w:cs="Arial"/>
        </w:rPr>
      </w:pPr>
    </w:p>
    <w:p w14:paraId="179AD167" w14:textId="24FA2316" w:rsidR="00D046F1" w:rsidRDefault="00D046F1">
      <w:pPr>
        <w:pBdr>
          <w:top w:val="nil"/>
          <w:left w:val="nil"/>
          <w:bottom w:val="nil"/>
          <w:right w:val="nil"/>
          <w:between w:val="nil"/>
        </w:pBdr>
        <w:jc w:val="both"/>
        <w:rPr>
          <w:rFonts w:ascii="Arial" w:eastAsia="Arial" w:hAnsi="Arial" w:cs="Arial"/>
          <w:b/>
          <w:color w:val="000000"/>
        </w:rPr>
      </w:pPr>
    </w:p>
    <w:p w14:paraId="00000034" w14:textId="4021FBFB" w:rsidR="005537B2" w:rsidRDefault="00D046F1" w:rsidP="007603CF">
      <w:pPr>
        <w:pBdr>
          <w:top w:val="nil"/>
          <w:left w:val="nil"/>
          <w:bottom w:val="nil"/>
          <w:right w:val="nil"/>
          <w:between w:val="nil"/>
        </w:pBdr>
        <w:jc w:val="both"/>
        <w:rPr>
          <w:rFonts w:ascii="Arial" w:eastAsia="Arial" w:hAnsi="Arial" w:cs="Arial"/>
          <w:b/>
          <w:color w:val="000000"/>
        </w:rPr>
      </w:pPr>
      <w:r w:rsidRPr="00D046F1">
        <w:rPr>
          <w:rFonts w:ascii="Arial" w:eastAsia="Arial" w:hAnsi="Arial" w:cs="Arial"/>
          <w:b/>
          <w:color w:val="000000"/>
        </w:rPr>
        <w:t xml:space="preserve">En ejercicio de las atribuciones que confieren los artículos 240, numeral 1; y 264 de la Constitución; artículo 87, literal a) y 332 del Código Orgánico de Organización Territorial, Autonomía y Descentralización; y, 8 de la Ley de Orgánica de Régimen para el </w:t>
      </w:r>
      <w:r w:rsidR="007603CF">
        <w:rPr>
          <w:rFonts w:ascii="Arial" w:eastAsia="Arial" w:hAnsi="Arial" w:cs="Arial"/>
          <w:b/>
          <w:color w:val="000000"/>
        </w:rPr>
        <w:t>Distrito Metropolitano de Quito, e</w:t>
      </w:r>
      <w:r w:rsidR="00C863F8">
        <w:rPr>
          <w:rFonts w:ascii="Arial" w:eastAsia="Arial" w:hAnsi="Arial" w:cs="Arial"/>
          <w:b/>
          <w:color w:val="000000"/>
        </w:rPr>
        <w:t>xpide</w:t>
      </w:r>
      <w:r w:rsidR="007603CF">
        <w:rPr>
          <w:rFonts w:ascii="Arial" w:eastAsia="Arial" w:hAnsi="Arial" w:cs="Arial"/>
          <w:b/>
          <w:color w:val="000000"/>
        </w:rPr>
        <w:t xml:space="preserve"> la siguiente</w:t>
      </w:r>
      <w:r w:rsidR="00C863F8">
        <w:rPr>
          <w:rFonts w:ascii="Arial" w:eastAsia="Arial" w:hAnsi="Arial" w:cs="Arial"/>
          <w:b/>
          <w:color w:val="000000"/>
        </w:rPr>
        <w:t>:</w:t>
      </w:r>
    </w:p>
    <w:p w14:paraId="72CC977C" w14:textId="77777777" w:rsidR="007603CF" w:rsidRDefault="007603CF" w:rsidP="007603CF">
      <w:pPr>
        <w:pBdr>
          <w:top w:val="nil"/>
          <w:left w:val="nil"/>
          <w:bottom w:val="nil"/>
          <w:right w:val="nil"/>
          <w:between w:val="nil"/>
        </w:pBdr>
        <w:jc w:val="both"/>
        <w:rPr>
          <w:rFonts w:ascii="Arial" w:eastAsia="Arial" w:hAnsi="Arial" w:cs="Arial"/>
          <w:color w:val="000000"/>
        </w:rPr>
      </w:pPr>
    </w:p>
    <w:p w14:paraId="00000035" w14:textId="180F0A5C" w:rsidR="005537B2" w:rsidRDefault="00C863F8">
      <w:pPr>
        <w:pBdr>
          <w:top w:val="nil"/>
          <w:left w:val="nil"/>
          <w:bottom w:val="nil"/>
          <w:right w:val="nil"/>
          <w:between w:val="nil"/>
        </w:pBdr>
        <w:jc w:val="both"/>
        <w:rPr>
          <w:rFonts w:ascii="Arial" w:eastAsia="Arial" w:hAnsi="Arial" w:cs="Arial"/>
          <w:b/>
          <w:color w:val="000000"/>
        </w:rPr>
      </w:pPr>
      <w:r>
        <w:rPr>
          <w:rFonts w:ascii="Arial" w:eastAsia="Arial" w:hAnsi="Arial" w:cs="Arial"/>
          <w:b/>
          <w:color w:val="000000"/>
        </w:rPr>
        <w:t>“</w:t>
      </w:r>
      <w:r w:rsidR="000912F0">
        <w:rPr>
          <w:rFonts w:ascii="Arial" w:eastAsia="Arial" w:hAnsi="Arial" w:cs="Arial"/>
          <w:b/>
          <w:color w:val="000000"/>
        </w:rPr>
        <w:t>ORDENANZA METROPOLITANA</w:t>
      </w:r>
      <w:r w:rsidR="00D15623" w:rsidRPr="00D15623">
        <w:rPr>
          <w:rFonts w:ascii="Arial" w:eastAsia="Arial" w:hAnsi="Arial" w:cs="Arial"/>
          <w:b/>
          <w:color w:val="000000"/>
        </w:rPr>
        <w:t xml:space="preserve"> </w:t>
      </w:r>
      <w:r w:rsidR="000912F0">
        <w:rPr>
          <w:rFonts w:ascii="Arial" w:eastAsia="Arial" w:hAnsi="Arial" w:cs="Arial"/>
          <w:b/>
          <w:color w:val="000000"/>
        </w:rPr>
        <w:t>QUE DEFINE INDICADORES SOBRE</w:t>
      </w:r>
      <w:r w:rsidR="00D15623" w:rsidRPr="00D15623">
        <w:rPr>
          <w:rFonts w:ascii="Arial" w:eastAsia="Arial" w:hAnsi="Arial" w:cs="Arial"/>
          <w:b/>
          <w:color w:val="000000"/>
        </w:rPr>
        <w:t xml:space="preserve"> LA GESTIÓN DE TURISMO EN EL DISTRITO METROPOLITANO DE QUITO</w:t>
      </w:r>
      <w:r>
        <w:rPr>
          <w:rFonts w:ascii="Arial" w:eastAsia="Arial" w:hAnsi="Arial" w:cs="Arial"/>
          <w:b/>
          <w:color w:val="000000"/>
        </w:rPr>
        <w:t>”</w:t>
      </w:r>
    </w:p>
    <w:p w14:paraId="00000036" w14:textId="77777777" w:rsidR="005537B2" w:rsidRDefault="005537B2">
      <w:pPr>
        <w:pBdr>
          <w:top w:val="nil"/>
          <w:left w:val="nil"/>
          <w:bottom w:val="nil"/>
          <w:right w:val="nil"/>
          <w:between w:val="nil"/>
        </w:pBdr>
        <w:jc w:val="both"/>
        <w:rPr>
          <w:rFonts w:ascii="Arial" w:eastAsia="Arial" w:hAnsi="Arial" w:cs="Arial"/>
          <w:color w:val="000000"/>
        </w:rPr>
      </w:pPr>
    </w:p>
    <w:p w14:paraId="443A8847" w14:textId="4074F070" w:rsidR="004C68A2" w:rsidRDefault="008D6682">
      <w:pPr>
        <w:jc w:val="both"/>
        <w:rPr>
          <w:rFonts w:ascii="Arial" w:eastAsia="Arial" w:hAnsi="Arial" w:cs="Arial"/>
          <w:color w:val="000000"/>
        </w:rPr>
      </w:pPr>
      <w:r>
        <w:rPr>
          <w:rFonts w:ascii="Arial" w:eastAsia="Arial" w:hAnsi="Arial" w:cs="Arial"/>
          <w:b/>
          <w:color w:val="000000"/>
        </w:rPr>
        <w:t>Artí</w:t>
      </w:r>
      <w:r w:rsidRPr="008D6682">
        <w:rPr>
          <w:rFonts w:ascii="Arial" w:eastAsia="Arial" w:hAnsi="Arial" w:cs="Arial"/>
          <w:b/>
          <w:color w:val="000000"/>
        </w:rPr>
        <w:t>cu</w:t>
      </w:r>
      <w:r>
        <w:rPr>
          <w:rFonts w:ascii="Arial" w:eastAsia="Arial" w:hAnsi="Arial" w:cs="Arial"/>
          <w:b/>
          <w:color w:val="000000"/>
        </w:rPr>
        <w:t>l</w:t>
      </w:r>
      <w:r w:rsidRPr="008D6682">
        <w:rPr>
          <w:rFonts w:ascii="Arial" w:eastAsia="Arial" w:hAnsi="Arial" w:cs="Arial"/>
          <w:b/>
          <w:color w:val="000000"/>
        </w:rPr>
        <w:t>o</w:t>
      </w:r>
      <w:r>
        <w:rPr>
          <w:rFonts w:ascii="Arial" w:eastAsia="Arial" w:hAnsi="Arial" w:cs="Arial"/>
          <w:b/>
          <w:color w:val="000000"/>
        </w:rPr>
        <w:t xml:space="preserve"> único</w:t>
      </w:r>
      <w:r w:rsidR="004C68A2" w:rsidRPr="008D6682">
        <w:rPr>
          <w:rFonts w:ascii="Arial" w:eastAsia="Arial" w:hAnsi="Arial" w:cs="Arial"/>
          <w:b/>
          <w:color w:val="000000"/>
        </w:rPr>
        <w:t>.</w:t>
      </w:r>
      <w:r>
        <w:rPr>
          <w:rFonts w:ascii="Arial" w:eastAsia="Arial" w:hAnsi="Arial" w:cs="Arial"/>
          <w:b/>
          <w:color w:val="000000"/>
        </w:rPr>
        <w:t xml:space="preserve"> </w:t>
      </w:r>
      <w:r w:rsidR="001D42D8">
        <w:rPr>
          <w:rFonts w:ascii="Arial" w:eastAsia="Arial" w:hAnsi="Arial" w:cs="Arial"/>
          <w:b/>
          <w:color w:val="000000"/>
        </w:rPr>
        <w:t>–</w:t>
      </w:r>
      <w:r w:rsidR="001D42D8">
        <w:rPr>
          <w:rFonts w:ascii="Arial" w:eastAsia="Arial" w:hAnsi="Arial" w:cs="Arial"/>
          <w:color w:val="000000"/>
        </w:rPr>
        <w:t xml:space="preserve"> Incorpórese a continuación del artículo 1327 dentro de </w:t>
      </w:r>
      <w:r w:rsidR="004C68A2">
        <w:rPr>
          <w:rFonts w:ascii="Arial" w:eastAsia="Arial" w:hAnsi="Arial" w:cs="Arial"/>
          <w:color w:val="000000"/>
        </w:rPr>
        <w:t>l</w:t>
      </w:r>
      <w:r w:rsidR="001D42D8">
        <w:rPr>
          <w:rFonts w:ascii="Arial" w:eastAsia="Arial" w:hAnsi="Arial" w:cs="Arial"/>
          <w:color w:val="000000"/>
        </w:rPr>
        <w:t>a Sección I,</w:t>
      </w:r>
      <w:r w:rsidR="004C68A2">
        <w:rPr>
          <w:rFonts w:ascii="Arial" w:eastAsia="Arial" w:hAnsi="Arial" w:cs="Arial"/>
          <w:color w:val="000000"/>
        </w:rPr>
        <w:t xml:space="preserve"> </w:t>
      </w:r>
      <w:r w:rsidR="001D42D8">
        <w:rPr>
          <w:rFonts w:ascii="Arial" w:eastAsia="Arial" w:hAnsi="Arial" w:cs="Arial"/>
          <w:color w:val="000000"/>
        </w:rPr>
        <w:t>Capítulo IV, T</w:t>
      </w:r>
      <w:r>
        <w:rPr>
          <w:rFonts w:ascii="Arial" w:eastAsia="Arial" w:hAnsi="Arial" w:cs="Arial"/>
          <w:color w:val="000000"/>
        </w:rPr>
        <w:t>ítulo</w:t>
      </w:r>
      <w:r w:rsidR="004C68A2">
        <w:rPr>
          <w:rFonts w:ascii="Arial" w:eastAsia="Arial" w:hAnsi="Arial" w:cs="Arial"/>
          <w:color w:val="000000"/>
        </w:rPr>
        <w:t xml:space="preserve"> </w:t>
      </w:r>
      <w:r w:rsidR="009453CA">
        <w:rPr>
          <w:rFonts w:ascii="Arial" w:eastAsia="Arial" w:hAnsi="Arial" w:cs="Arial"/>
          <w:color w:val="000000"/>
        </w:rPr>
        <w:t>I</w:t>
      </w:r>
      <w:r w:rsidR="00E80DF1">
        <w:rPr>
          <w:rFonts w:ascii="Arial" w:eastAsia="Arial" w:hAnsi="Arial" w:cs="Arial"/>
          <w:color w:val="000000"/>
        </w:rPr>
        <w:t xml:space="preserve"> del</w:t>
      </w:r>
      <w:r w:rsidR="004C68A2">
        <w:rPr>
          <w:rFonts w:ascii="Arial" w:eastAsia="Arial" w:hAnsi="Arial" w:cs="Arial"/>
          <w:color w:val="000000"/>
        </w:rPr>
        <w:t xml:space="preserve"> Libro </w:t>
      </w:r>
      <w:r>
        <w:rPr>
          <w:rFonts w:ascii="Arial" w:eastAsia="Arial" w:hAnsi="Arial" w:cs="Arial"/>
          <w:color w:val="000000"/>
        </w:rPr>
        <w:t>I</w:t>
      </w:r>
      <w:r w:rsidR="004C68A2">
        <w:rPr>
          <w:rFonts w:ascii="Arial" w:eastAsia="Arial" w:hAnsi="Arial" w:cs="Arial"/>
          <w:color w:val="000000"/>
        </w:rPr>
        <w:t>II</w:t>
      </w:r>
      <w:r>
        <w:rPr>
          <w:rFonts w:ascii="Arial" w:eastAsia="Arial" w:hAnsi="Arial" w:cs="Arial"/>
          <w:color w:val="000000"/>
        </w:rPr>
        <w:t>.4 de la ordenanza metropolitana N° 001 que cont</w:t>
      </w:r>
      <w:r w:rsidR="009453CA">
        <w:rPr>
          <w:rFonts w:ascii="Arial" w:eastAsia="Arial" w:hAnsi="Arial" w:cs="Arial"/>
          <w:color w:val="000000"/>
        </w:rPr>
        <w:t>iene el código Municipal para el</w:t>
      </w:r>
      <w:r>
        <w:rPr>
          <w:rFonts w:ascii="Arial" w:eastAsia="Arial" w:hAnsi="Arial" w:cs="Arial"/>
          <w:color w:val="000000"/>
        </w:rPr>
        <w:t xml:space="preserve"> Distrito Metropolitano de Qu</w:t>
      </w:r>
      <w:r w:rsidR="00923BFC">
        <w:rPr>
          <w:rFonts w:ascii="Arial" w:eastAsia="Arial" w:hAnsi="Arial" w:cs="Arial"/>
          <w:color w:val="000000"/>
        </w:rPr>
        <w:t>ito,</w:t>
      </w:r>
      <w:r w:rsidR="009453CA">
        <w:rPr>
          <w:rFonts w:ascii="Arial" w:eastAsia="Arial" w:hAnsi="Arial" w:cs="Arial"/>
          <w:color w:val="000000"/>
        </w:rPr>
        <w:t xml:space="preserve"> </w:t>
      </w:r>
      <w:r w:rsidR="001D42D8">
        <w:rPr>
          <w:rFonts w:ascii="Arial" w:eastAsia="Arial" w:hAnsi="Arial" w:cs="Arial"/>
          <w:color w:val="000000"/>
        </w:rPr>
        <w:t>los siguientes artículos:</w:t>
      </w:r>
    </w:p>
    <w:p w14:paraId="210085C1" w14:textId="14305EA9" w:rsidR="008D6682" w:rsidRDefault="008D6682">
      <w:pPr>
        <w:jc w:val="both"/>
        <w:rPr>
          <w:rFonts w:ascii="Arial" w:eastAsia="Arial" w:hAnsi="Arial" w:cs="Arial"/>
          <w:color w:val="000000"/>
        </w:rPr>
      </w:pPr>
    </w:p>
    <w:p w14:paraId="0A90410A" w14:textId="5A61B7BE" w:rsidR="001D42D8" w:rsidRDefault="001D42D8" w:rsidP="001D42D8">
      <w:pPr>
        <w:jc w:val="both"/>
        <w:rPr>
          <w:rFonts w:ascii="Arial" w:eastAsia="Arial" w:hAnsi="Arial" w:cs="Arial"/>
          <w:color w:val="000000"/>
        </w:rPr>
      </w:pPr>
      <w:r>
        <w:rPr>
          <w:rFonts w:ascii="Arial" w:eastAsia="Arial" w:hAnsi="Arial" w:cs="Arial"/>
          <w:color w:val="000000"/>
        </w:rPr>
        <w:t>“</w:t>
      </w:r>
      <w:r>
        <w:rPr>
          <w:rFonts w:ascii="Arial" w:eastAsia="Arial" w:hAnsi="Arial" w:cs="Arial"/>
          <w:b/>
          <w:color w:val="000000"/>
        </w:rPr>
        <w:t xml:space="preserve">Artículo 1327.1. – Glosario de términos de los </w:t>
      </w:r>
      <w:r w:rsidR="000245A4">
        <w:rPr>
          <w:rFonts w:ascii="Arial" w:eastAsia="Arial" w:hAnsi="Arial" w:cs="Arial"/>
          <w:b/>
          <w:color w:val="000000"/>
        </w:rPr>
        <w:t>Indicadores de la Gestión Turística</w:t>
      </w:r>
      <w:r>
        <w:rPr>
          <w:rFonts w:ascii="Arial" w:eastAsia="Arial" w:hAnsi="Arial" w:cs="Arial"/>
          <w:color w:val="000000"/>
        </w:rPr>
        <w:t xml:space="preserve">: </w:t>
      </w:r>
    </w:p>
    <w:p w14:paraId="3DCA9CAA" w14:textId="20E90B4A" w:rsidR="001D42D8" w:rsidRDefault="001D42D8" w:rsidP="001D42D8">
      <w:pPr>
        <w:jc w:val="both"/>
        <w:rPr>
          <w:rFonts w:ascii="Arial" w:eastAsia="Arial" w:hAnsi="Arial" w:cs="Arial"/>
          <w:color w:val="000000"/>
        </w:rPr>
      </w:pPr>
    </w:p>
    <w:p w14:paraId="1488B7F3" w14:textId="77777777" w:rsidR="001D42D8" w:rsidRDefault="001D42D8" w:rsidP="001D42D8">
      <w:pPr>
        <w:pStyle w:val="Prrafodelista"/>
        <w:numPr>
          <w:ilvl w:val="0"/>
          <w:numId w:val="3"/>
        </w:numPr>
        <w:jc w:val="both"/>
        <w:rPr>
          <w:rFonts w:ascii="Arial" w:eastAsia="Arial" w:hAnsi="Arial" w:cs="Arial"/>
          <w:color w:val="000000"/>
        </w:rPr>
      </w:pPr>
      <w:r>
        <w:rPr>
          <w:rFonts w:ascii="Arial" w:eastAsia="Arial" w:hAnsi="Arial" w:cs="Arial"/>
          <w:color w:val="000000"/>
        </w:rPr>
        <w:t>Visitantes</w:t>
      </w:r>
      <w:r w:rsidRPr="001C11DB">
        <w:rPr>
          <w:rFonts w:ascii="Arial" w:eastAsia="Arial" w:hAnsi="Arial" w:cs="Arial"/>
          <w:color w:val="000000"/>
        </w:rPr>
        <w:t xml:space="preserve">: </w:t>
      </w:r>
      <w:r>
        <w:rPr>
          <w:rFonts w:ascii="Arial" w:eastAsia="Arial" w:hAnsi="Arial" w:cs="Arial"/>
          <w:color w:val="000000"/>
        </w:rPr>
        <w:t xml:space="preserve"> Personas que no viven en el Distrito Metropolitano de Quito y los visitan con o sin pernoctación, por motivos de ocio, negocios, religioso; médicos u otros.</w:t>
      </w:r>
    </w:p>
    <w:p w14:paraId="5C05A138" w14:textId="77777777" w:rsidR="001D42D8" w:rsidRDefault="001D42D8" w:rsidP="001D42D8">
      <w:pPr>
        <w:pStyle w:val="Prrafodelista"/>
        <w:jc w:val="both"/>
        <w:rPr>
          <w:rFonts w:ascii="Arial" w:eastAsia="Arial" w:hAnsi="Arial" w:cs="Arial"/>
          <w:color w:val="000000"/>
        </w:rPr>
      </w:pPr>
    </w:p>
    <w:p w14:paraId="5F06C72B" w14:textId="77777777" w:rsidR="001D42D8" w:rsidRDefault="001D42D8" w:rsidP="001D42D8">
      <w:pPr>
        <w:pStyle w:val="Prrafodelista"/>
        <w:numPr>
          <w:ilvl w:val="0"/>
          <w:numId w:val="3"/>
        </w:numPr>
        <w:jc w:val="both"/>
        <w:rPr>
          <w:rFonts w:ascii="Arial" w:eastAsia="Arial" w:hAnsi="Arial" w:cs="Arial"/>
          <w:color w:val="000000"/>
        </w:rPr>
      </w:pPr>
      <w:r>
        <w:rPr>
          <w:rFonts w:ascii="Arial" w:eastAsia="Arial" w:hAnsi="Arial" w:cs="Arial"/>
          <w:color w:val="000000"/>
        </w:rPr>
        <w:t>Servicios turísticos: A</w:t>
      </w:r>
      <w:r w:rsidRPr="00A82A78">
        <w:rPr>
          <w:rFonts w:ascii="Arial" w:eastAsia="Arial" w:hAnsi="Arial" w:cs="Arial"/>
          <w:color w:val="000000"/>
        </w:rPr>
        <w:t>ctividades mediante las cuales se producen</w:t>
      </w:r>
      <w:r>
        <w:rPr>
          <w:rFonts w:ascii="Arial" w:eastAsia="Arial" w:hAnsi="Arial" w:cs="Arial"/>
          <w:color w:val="000000"/>
        </w:rPr>
        <w:t xml:space="preserve"> servicios que </w:t>
      </w:r>
      <w:r w:rsidRPr="00A82A78">
        <w:rPr>
          <w:rFonts w:ascii="Arial" w:eastAsia="Arial" w:hAnsi="Arial" w:cs="Arial"/>
          <w:color w:val="000000"/>
        </w:rPr>
        <w:t>se considera</w:t>
      </w:r>
      <w:r>
        <w:rPr>
          <w:rFonts w:ascii="Arial" w:eastAsia="Arial" w:hAnsi="Arial" w:cs="Arial"/>
          <w:color w:val="000000"/>
        </w:rPr>
        <w:t>n en las actividades turísticas.</w:t>
      </w:r>
    </w:p>
    <w:p w14:paraId="2213B70E" w14:textId="77777777" w:rsidR="001D42D8" w:rsidRPr="00804380" w:rsidRDefault="001D42D8" w:rsidP="001D42D8">
      <w:pPr>
        <w:jc w:val="both"/>
        <w:rPr>
          <w:rFonts w:ascii="Arial" w:eastAsia="Arial" w:hAnsi="Arial" w:cs="Arial"/>
          <w:color w:val="000000"/>
        </w:rPr>
      </w:pPr>
    </w:p>
    <w:p w14:paraId="69626648" w14:textId="77777777" w:rsidR="001D42D8" w:rsidRDefault="001D42D8" w:rsidP="001D42D8">
      <w:pPr>
        <w:pStyle w:val="Prrafodelista"/>
        <w:numPr>
          <w:ilvl w:val="0"/>
          <w:numId w:val="3"/>
        </w:numPr>
        <w:jc w:val="both"/>
        <w:rPr>
          <w:rFonts w:ascii="Arial" w:eastAsia="Arial" w:hAnsi="Arial" w:cs="Arial"/>
          <w:color w:val="000000"/>
        </w:rPr>
      </w:pPr>
      <w:r>
        <w:rPr>
          <w:rFonts w:ascii="Arial" w:eastAsia="Arial" w:hAnsi="Arial" w:cs="Arial"/>
          <w:color w:val="000000"/>
        </w:rPr>
        <w:t xml:space="preserve">Tiempo de estadía promedio: </w:t>
      </w:r>
      <w:r w:rsidRPr="00804380">
        <w:rPr>
          <w:rFonts w:ascii="Arial" w:eastAsia="Arial" w:hAnsi="Arial" w:cs="Arial"/>
          <w:color w:val="000000"/>
        </w:rPr>
        <w:t>Es una aproximación al número de días que por término medio permanece un viajero en un establecimiento. Se calcula mediante el cociente, para cada periodo, del número de pernoctaciones entre el número de entradas de ese mismo periodo</w:t>
      </w:r>
      <w:r>
        <w:rPr>
          <w:rFonts w:ascii="Arial" w:eastAsia="Arial" w:hAnsi="Arial" w:cs="Arial"/>
          <w:color w:val="000000"/>
        </w:rPr>
        <w:t>.</w:t>
      </w:r>
    </w:p>
    <w:p w14:paraId="7EFABBF5" w14:textId="77777777" w:rsidR="001D42D8" w:rsidRPr="00804380" w:rsidRDefault="001D42D8" w:rsidP="001D42D8">
      <w:pPr>
        <w:jc w:val="both"/>
        <w:rPr>
          <w:rFonts w:ascii="Arial" w:eastAsia="Arial" w:hAnsi="Arial" w:cs="Arial"/>
          <w:color w:val="000000"/>
        </w:rPr>
      </w:pPr>
    </w:p>
    <w:p w14:paraId="7409A41B" w14:textId="77777777" w:rsidR="001D42D8" w:rsidRDefault="001D42D8" w:rsidP="001D42D8">
      <w:pPr>
        <w:pStyle w:val="Prrafodelista"/>
        <w:numPr>
          <w:ilvl w:val="0"/>
          <w:numId w:val="3"/>
        </w:numPr>
        <w:jc w:val="both"/>
        <w:rPr>
          <w:rFonts w:ascii="Arial" w:eastAsia="Arial" w:hAnsi="Arial" w:cs="Arial"/>
          <w:color w:val="000000"/>
        </w:rPr>
      </w:pPr>
      <w:r>
        <w:rPr>
          <w:rFonts w:ascii="Arial" w:eastAsia="Arial" w:hAnsi="Arial" w:cs="Arial"/>
          <w:color w:val="000000"/>
        </w:rPr>
        <w:t xml:space="preserve">Actividades turísticas: Las definidas en el código municipal y la ley de turismo </w:t>
      </w:r>
    </w:p>
    <w:p w14:paraId="30E994A0" w14:textId="77777777" w:rsidR="001D42D8" w:rsidRDefault="001D42D8" w:rsidP="001D42D8">
      <w:pPr>
        <w:pStyle w:val="Prrafodelista"/>
        <w:numPr>
          <w:ilvl w:val="0"/>
          <w:numId w:val="3"/>
        </w:numPr>
        <w:jc w:val="both"/>
        <w:rPr>
          <w:rFonts w:ascii="Arial" w:eastAsia="Arial" w:hAnsi="Arial" w:cs="Arial"/>
          <w:color w:val="000000"/>
        </w:rPr>
      </w:pPr>
      <w:r>
        <w:rPr>
          <w:rFonts w:ascii="Arial" w:eastAsia="Arial" w:hAnsi="Arial" w:cs="Arial"/>
          <w:color w:val="000000"/>
        </w:rPr>
        <w:t>Negocios Turísticos: Negocios que cuenta con la LUAE en actividades turísticas</w:t>
      </w:r>
    </w:p>
    <w:p w14:paraId="0BF7787F" w14:textId="77777777" w:rsidR="001D42D8" w:rsidRPr="00804380" w:rsidRDefault="001D42D8" w:rsidP="001D42D8">
      <w:pPr>
        <w:ind w:left="360"/>
        <w:jc w:val="both"/>
        <w:rPr>
          <w:rFonts w:ascii="Arial" w:eastAsia="Arial" w:hAnsi="Arial" w:cs="Arial"/>
          <w:color w:val="000000"/>
        </w:rPr>
      </w:pPr>
    </w:p>
    <w:p w14:paraId="2FD666B8" w14:textId="77777777" w:rsidR="001D42D8" w:rsidRDefault="001D42D8" w:rsidP="001D42D8">
      <w:pPr>
        <w:pStyle w:val="Prrafodelista"/>
        <w:numPr>
          <w:ilvl w:val="0"/>
          <w:numId w:val="3"/>
        </w:numPr>
        <w:jc w:val="both"/>
        <w:rPr>
          <w:rFonts w:ascii="Arial" w:eastAsia="Arial" w:hAnsi="Arial" w:cs="Arial"/>
          <w:color w:val="000000"/>
        </w:rPr>
      </w:pPr>
      <w:r w:rsidRPr="00804380">
        <w:rPr>
          <w:rFonts w:ascii="Arial" w:eastAsia="Arial" w:hAnsi="Arial" w:cs="Arial"/>
          <w:color w:val="000000"/>
        </w:rPr>
        <w:t>Empleos Formales: Empleo genera en los trabajadores una relación laboral reconocida y se cumplen sus derechos laborales</w:t>
      </w:r>
      <w:r>
        <w:rPr>
          <w:rFonts w:ascii="Arial" w:eastAsia="Arial" w:hAnsi="Arial" w:cs="Arial"/>
          <w:color w:val="000000"/>
        </w:rPr>
        <w:t xml:space="preserve"> </w:t>
      </w:r>
      <w:r w:rsidRPr="00804380">
        <w:rPr>
          <w:rFonts w:ascii="Arial" w:eastAsia="Arial" w:hAnsi="Arial" w:cs="Arial"/>
          <w:color w:val="000000"/>
        </w:rPr>
        <w:t>(tales como seguridad social, beneficios no salariales de liquidación o finiquito al término de la relación de trabajo)</w:t>
      </w:r>
      <w:r>
        <w:rPr>
          <w:rFonts w:ascii="Arial" w:eastAsia="Arial" w:hAnsi="Arial" w:cs="Arial"/>
          <w:color w:val="000000"/>
        </w:rPr>
        <w:t>.</w:t>
      </w:r>
    </w:p>
    <w:p w14:paraId="4F2F7EBA" w14:textId="77777777" w:rsidR="001D42D8" w:rsidRPr="00804380" w:rsidRDefault="001D42D8" w:rsidP="001D42D8">
      <w:pPr>
        <w:jc w:val="both"/>
        <w:rPr>
          <w:rFonts w:ascii="Arial" w:eastAsia="Arial" w:hAnsi="Arial" w:cs="Arial"/>
          <w:color w:val="000000"/>
        </w:rPr>
      </w:pPr>
    </w:p>
    <w:p w14:paraId="6C1D9643" w14:textId="77777777" w:rsidR="001D42D8" w:rsidRDefault="001D42D8" w:rsidP="001D42D8">
      <w:pPr>
        <w:pStyle w:val="Prrafodelista"/>
        <w:numPr>
          <w:ilvl w:val="0"/>
          <w:numId w:val="3"/>
        </w:numPr>
        <w:jc w:val="both"/>
        <w:rPr>
          <w:rFonts w:ascii="Arial" w:eastAsia="Arial" w:hAnsi="Arial" w:cs="Arial"/>
          <w:color w:val="000000"/>
        </w:rPr>
      </w:pPr>
      <w:r>
        <w:rPr>
          <w:rFonts w:ascii="Arial" w:eastAsia="Arial" w:hAnsi="Arial" w:cs="Arial"/>
          <w:color w:val="000000"/>
        </w:rPr>
        <w:t xml:space="preserve">Producto Interno Bruto Directo Turístico: </w:t>
      </w:r>
      <w:r w:rsidRPr="00A82A78">
        <w:rPr>
          <w:rFonts w:ascii="Arial" w:eastAsia="Arial" w:hAnsi="Arial" w:cs="Arial"/>
          <w:color w:val="000000"/>
        </w:rPr>
        <w:t xml:space="preserve">El producto interno bruto directo turístico es la suma de la parte del valor añadido bruto (a precios </w:t>
      </w:r>
      <w:r>
        <w:rPr>
          <w:rFonts w:ascii="Arial" w:eastAsia="Arial" w:hAnsi="Arial" w:cs="Arial"/>
          <w:color w:val="000000"/>
        </w:rPr>
        <w:t>básicos</w:t>
      </w:r>
      <w:r w:rsidRPr="00A82A78">
        <w:rPr>
          <w:rFonts w:ascii="Arial" w:eastAsia="Arial" w:hAnsi="Arial" w:cs="Arial"/>
          <w:color w:val="000000"/>
        </w:rPr>
        <w:t>) generada por todas las industrias en respuesta al consu</w:t>
      </w:r>
      <w:r>
        <w:rPr>
          <w:rFonts w:ascii="Arial" w:eastAsia="Arial" w:hAnsi="Arial" w:cs="Arial"/>
          <w:color w:val="000000"/>
        </w:rPr>
        <w:t xml:space="preserve">mo </w:t>
      </w:r>
      <w:r w:rsidRPr="00A82A78">
        <w:rPr>
          <w:rFonts w:ascii="Arial" w:eastAsia="Arial" w:hAnsi="Arial" w:cs="Arial"/>
          <w:color w:val="000000"/>
        </w:rPr>
        <w:t>turístico interno más los impuestos netos sobre los productos e</w:t>
      </w:r>
      <w:r>
        <w:rPr>
          <w:rFonts w:ascii="Arial" w:eastAsia="Arial" w:hAnsi="Arial" w:cs="Arial"/>
          <w:color w:val="000000"/>
        </w:rPr>
        <w:t xml:space="preserve"> </w:t>
      </w:r>
      <w:r w:rsidRPr="00A82A78">
        <w:rPr>
          <w:rFonts w:ascii="Arial" w:eastAsia="Arial" w:hAnsi="Arial" w:cs="Arial"/>
          <w:color w:val="000000"/>
        </w:rPr>
        <w:t>importaciones incluidos en el v</w:t>
      </w:r>
      <w:r>
        <w:rPr>
          <w:rFonts w:ascii="Arial" w:eastAsia="Arial" w:hAnsi="Arial" w:cs="Arial"/>
          <w:color w:val="000000"/>
        </w:rPr>
        <w:t xml:space="preserve">alor de este gasto a precios de </w:t>
      </w:r>
      <w:r w:rsidRPr="00A82A78">
        <w:rPr>
          <w:rFonts w:ascii="Arial" w:eastAsia="Arial" w:hAnsi="Arial" w:cs="Arial"/>
          <w:color w:val="000000"/>
        </w:rPr>
        <w:t>adquisición</w:t>
      </w:r>
      <w:r>
        <w:rPr>
          <w:rFonts w:ascii="Arial" w:eastAsia="Arial" w:hAnsi="Arial" w:cs="Arial"/>
          <w:color w:val="000000"/>
        </w:rPr>
        <w:t>.</w:t>
      </w:r>
    </w:p>
    <w:p w14:paraId="461A695F" w14:textId="77777777" w:rsidR="001D42D8" w:rsidRPr="00804380" w:rsidRDefault="001D42D8" w:rsidP="001D42D8">
      <w:pPr>
        <w:jc w:val="both"/>
        <w:rPr>
          <w:rFonts w:ascii="Arial" w:eastAsia="Arial" w:hAnsi="Arial" w:cs="Arial"/>
          <w:color w:val="000000"/>
        </w:rPr>
      </w:pPr>
    </w:p>
    <w:p w14:paraId="7E49440A" w14:textId="77777777" w:rsidR="001D42D8" w:rsidRPr="00804380" w:rsidRDefault="001D42D8" w:rsidP="001D42D8">
      <w:pPr>
        <w:pStyle w:val="Prrafodelista"/>
        <w:numPr>
          <w:ilvl w:val="0"/>
          <w:numId w:val="3"/>
        </w:numPr>
        <w:jc w:val="both"/>
        <w:rPr>
          <w:rFonts w:ascii="Arial" w:eastAsia="Arial" w:hAnsi="Arial" w:cs="Arial"/>
          <w:color w:val="000000"/>
        </w:rPr>
      </w:pPr>
      <w:r w:rsidRPr="00804380">
        <w:rPr>
          <w:rFonts w:ascii="Arial" w:eastAsia="Arial" w:hAnsi="Arial" w:cs="Arial"/>
          <w:color w:val="000000"/>
        </w:rPr>
        <w:lastRenderedPageBreak/>
        <w:t>Tasa de Retorno:</w:t>
      </w:r>
      <w:r w:rsidRPr="00804380">
        <w:t xml:space="preserve"> </w:t>
      </w:r>
      <w:r w:rsidRPr="00804380">
        <w:rPr>
          <w:rFonts w:ascii="Arial" w:eastAsia="Arial" w:hAnsi="Arial" w:cs="Arial"/>
          <w:color w:val="000000"/>
        </w:rPr>
        <w:t>La Tasa o Índice de Retorno (también denominada fuga o, en su acepción inglesa, leakage) cuantifica el volumen económico</w:t>
      </w:r>
      <w:r>
        <w:rPr>
          <w:rFonts w:ascii="Arial" w:eastAsia="Arial" w:hAnsi="Arial" w:cs="Arial"/>
          <w:color w:val="000000"/>
        </w:rPr>
        <w:t xml:space="preserve"> </w:t>
      </w:r>
      <w:r w:rsidRPr="00804380">
        <w:rPr>
          <w:rFonts w:ascii="Arial" w:eastAsia="Arial" w:hAnsi="Arial" w:cs="Arial"/>
          <w:color w:val="000000"/>
        </w:rPr>
        <w:t>generado por la actividad turística que no se queda (o no llega) en el lugar de destino</w:t>
      </w:r>
      <w:r>
        <w:rPr>
          <w:rFonts w:ascii="Arial" w:eastAsia="Arial" w:hAnsi="Arial" w:cs="Arial"/>
          <w:color w:val="000000"/>
        </w:rPr>
        <w:t xml:space="preserve">. </w:t>
      </w:r>
    </w:p>
    <w:p w14:paraId="2762CE15" w14:textId="77777777" w:rsidR="001D42D8" w:rsidRDefault="001D42D8" w:rsidP="001D42D8">
      <w:pPr>
        <w:jc w:val="both"/>
        <w:rPr>
          <w:rFonts w:ascii="Arial" w:eastAsia="Arial" w:hAnsi="Arial" w:cs="Arial"/>
          <w:color w:val="000000"/>
        </w:rPr>
      </w:pPr>
    </w:p>
    <w:p w14:paraId="234CC8F9" w14:textId="2B20BE69" w:rsidR="001D42D8" w:rsidRDefault="001D42D8">
      <w:pPr>
        <w:jc w:val="both"/>
        <w:rPr>
          <w:rFonts w:ascii="Arial" w:eastAsia="Arial" w:hAnsi="Arial" w:cs="Arial"/>
          <w:color w:val="000000"/>
        </w:rPr>
      </w:pPr>
    </w:p>
    <w:p w14:paraId="00000037" w14:textId="366431E7" w:rsidR="005537B2" w:rsidRDefault="001D42D8">
      <w:pPr>
        <w:jc w:val="both"/>
        <w:rPr>
          <w:rFonts w:ascii="Arial" w:eastAsia="Arial" w:hAnsi="Arial" w:cs="Arial"/>
          <w:color w:val="000000"/>
        </w:rPr>
      </w:pPr>
      <w:r>
        <w:rPr>
          <w:rFonts w:ascii="Arial" w:eastAsia="Arial" w:hAnsi="Arial" w:cs="Arial"/>
          <w:b/>
          <w:color w:val="000000"/>
        </w:rPr>
        <w:t>Artículo 1327.2</w:t>
      </w:r>
      <w:r w:rsidR="00C863F8">
        <w:rPr>
          <w:rFonts w:ascii="Arial" w:eastAsia="Arial" w:hAnsi="Arial" w:cs="Arial"/>
          <w:b/>
          <w:color w:val="000000"/>
        </w:rPr>
        <w:t>.</w:t>
      </w:r>
      <w:r w:rsidR="00C4678B">
        <w:rPr>
          <w:rFonts w:ascii="Arial" w:eastAsia="Arial" w:hAnsi="Arial" w:cs="Arial"/>
          <w:b/>
          <w:color w:val="000000"/>
        </w:rPr>
        <w:t xml:space="preserve"> </w:t>
      </w:r>
      <w:r w:rsidR="003710E6">
        <w:rPr>
          <w:rFonts w:ascii="Arial" w:eastAsia="Arial" w:hAnsi="Arial" w:cs="Arial"/>
          <w:b/>
          <w:color w:val="000000"/>
        </w:rPr>
        <w:t>–</w:t>
      </w:r>
      <w:r w:rsidR="00C863F8">
        <w:rPr>
          <w:rFonts w:ascii="Arial" w:eastAsia="Arial" w:hAnsi="Arial" w:cs="Arial"/>
          <w:b/>
          <w:color w:val="000000"/>
        </w:rPr>
        <w:t xml:space="preserve"> </w:t>
      </w:r>
      <w:r w:rsidR="000245A4">
        <w:rPr>
          <w:rFonts w:ascii="Arial" w:eastAsia="Arial" w:hAnsi="Arial" w:cs="Arial"/>
          <w:b/>
          <w:color w:val="000000"/>
        </w:rPr>
        <w:t>Indicadores</w:t>
      </w:r>
      <w:r w:rsidR="00DB559F">
        <w:rPr>
          <w:rFonts w:ascii="Arial" w:eastAsia="Arial" w:hAnsi="Arial" w:cs="Arial"/>
          <w:b/>
          <w:color w:val="000000"/>
        </w:rPr>
        <w:t xml:space="preserve"> de la Gestión Turística. - </w:t>
      </w:r>
      <w:r w:rsidR="003710E6">
        <w:rPr>
          <w:rFonts w:ascii="Arial" w:eastAsia="Arial" w:hAnsi="Arial" w:cs="Arial"/>
          <w:color w:val="000000"/>
        </w:rPr>
        <w:t>Se reconocerán como indicadores básicos sobre el desarrollo de</w:t>
      </w:r>
      <w:r w:rsidR="003B1A32">
        <w:rPr>
          <w:rFonts w:ascii="Arial" w:eastAsia="Arial" w:hAnsi="Arial" w:cs="Arial"/>
          <w:color w:val="000000"/>
        </w:rPr>
        <w:t xml:space="preserve"> la actividad turística en </w:t>
      </w:r>
      <w:r w:rsidR="003710E6">
        <w:rPr>
          <w:rFonts w:ascii="Arial" w:eastAsia="Arial" w:hAnsi="Arial" w:cs="Arial"/>
          <w:color w:val="000000"/>
        </w:rPr>
        <w:t>el di</w:t>
      </w:r>
      <w:r w:rsidR="00DB559F">
        <w:rPr>
          <w:rFonts w:ascii="Arial" w:eastAsia="Arial" w:hAnsi="Arial" w:cs="Arial"/>
          <w:color w:val="000000"/>
        </w:rPr>
        <w:t xml:space="preserve">strito metropolitano de Quito </w:t>
      </w:r>
      <w:r w:rsidR="003710E6">
        <w:rPr>
          <w:rFonts w:ascii="Arial" w:eastAsia="Arial" w:hAnsi="Arial" w:cs="Arial"/>
          <w:color w:val="000000"/>
        </w:rPr>
        <w:t>los siguientes</w:t>
      </w:r>
      <w:r w:rsidR="00923BFC">
        <w:rPr>
          <w:rFonts w:ascii="Arial" w:eastAsia="Arial" w:hAnsi="Arial" w:cs="Arial"/>
          <w:color w:val="000000"/>
        </w:rPr>
        <w:t xml:space="preserve">: </w:t>
      </w:r>
    </w:p>
    <w:p w14:paraId="22DDE6A4" w14:textId="35E5E025" w:rsidR="003710E6" w:rsidRDefault="003710E6">
      <w:pPr>
        <w:jc w:val="both"/>
        <w:rPr>
          <w:rFonts w:ascii="Arial" w:eastAsia="Arial" w:hAnsi="Arial" w:cs="Arial"/>
          <w:color w:val="000000"/>
        </w:rPr>
      </w:pPr>
    </w:p>
    <w:p w14:paraId="4ED4B89E" w14:textId="4F069AE4" w:rsidR="003710E6" w:rsidRDefault="003710E6" w:rsidP="003710E6">
      <w:pPr>
        <w:pStyle w:val="Prrafodelista"/>
        <w:numPr>
          <w:ilvl w:val="0"/>
          <w:numId w:val="5"/>
        </w:numPr>
        <w:jc w:val="both"/>
        <w:rPr>
          <w:rFonts w:ascii="Arial" w:eastAsia="Arial" w:hAnsi="Arial" w:cs="Arial"/>
          <w:color w:val="000000"/>
        </w:rPr>
      </w:pPr>
      <w:r>
        <w:rPr>
          <w:rFonts w:ascii="Arial" w:eastAsia="Arial" w:hAnsi="Arial" w:cs="Arial"/>
          <w:color w:val="000000"/>
        </w:rPr>
        <w:t>Número de visitantes que llegan al Distrito Metropolitano de Quito, segregado en visitantes nacionales e internacionales</w:t>
      </w:r>
      <w:r w:rsidR="005E1C8F">
        <w:rPr>
          <w:rFonts w:ascii="Arial" w:eastAsia="Arial" w:hAnsi="Arial" w:cs="Arial"/>
          <w:color w:val="000000"/>
        </w:rPr>
        <w:t>.</w:t>
      </w:r>
    </w:p>
    <w:p w14:paraId="12237C8F" w14:textId="4B70FCE3" w:rsidR="003710E6" w:rsidRDefault="003710E6" w:rsidP="003710E6">
      <w:pPr>
        <w:pStyle w:val="Prrafodelista"/>
        <w:numPr>
          <w:ilvl w:val="0"/>
          <w:numId w:val="5"/>
        </w:numPr>
        <w:jc w:val="both"/>
        <w:rPr>
          <w:rFonts w:ascii="Arial" w:eastAsia="Arial" w:hAnsi="Arial" w:cs="Arial"/>
          <w:color w:val="000000"/>
        </w:rPr>
      </w:pPr>
      <w:r>
        <w:rPr>
          <w:rFonts w:ascii="Arial" w:eastAsia="Arial" w:hAnsi="Arial" w:cs="Arial"/>
          <w:color w:val="000000"/>
        </w:rPr>
        <w:t>Gasto realizado en servicios turísticos</w:t>
      </w:r>
      <w:r w:rsidR="005E1C8F">
        <w:rPr>
          <w:rFonts w:ascii="Arial" w:eastAsia="Arial" w:hAnsi="Arial" w:cs="Arial"/>
          <w:color w:val="000000"/>
        </w:rPr>
        <w:t>.</w:t>
      </w:r>
    </w:p>
    <w:p w14:paraId="08BBB253" w14:textId="48A2650F" w:rsidR="003710E6" w:rsidRDefault="003710E6" w:rsidP="003710E6">
      <w:pPr>
        <w:pStyle w:val="Prrafodelista"/>
        <w:numPr>
          <w:ilvl w:val="0"/>
          <w:numId w:val="5"/>
        </w:numPr>
        <w:jc w:val="both"/>
        <w:rPr>
          <w:rFonts w:ascii="Arial" w:eastAsia="Arial" w:hAnsi="Arial" w:cs="Arial"/>
          <w:color w:val="000000"/>
        </w:rPr>
      </w:pPr>
      <w:r>
        <w:rPr>
          <w:rFonts w:ascii="Arial" w:eastAsia="Arial" w:hAnsi="Arial" w:cs="Arial"/>
          <w:color w:val="000000"/>
        </w:rPr>
        <w:t>Tiempo de estadía promedio de las personas en el Distrito Metropolitano de Quito</w:t>
      </w:r>
      <w:r w:rsidR="005E1C8F">
        <w:rPr>
          <w:rFonts w:ascii="Arial" w:eastAsia="Arial" w:hAnsi="Arial" w:cs="Arial"/>
          <w:color w:val="000000"/>
        </w:rPr>
        <w:t>.</w:t>
      </w:r>
    </w:p>
    <w:p w14:paraId="6FE72103" w14:textId="7B90DB98" w:rsidR="003710E6" w:rsidRDefault="003710E6" w:rsidP="003710E6">
      <w:pPr>
        <w:pStyle w:val="Prrafodelista"/>
        <w:numPr>
          <w:ilvl w:val="0"/>
          <w:numId w:val="5"/>
        </w:numPr>
        <w:jc w:val="both"/>
        <w:rPr>
          <w:rFonts w:ascii="Arial" w:eastAsia="Arial" w:hAnsi="Arial" w:cs="Arial"/>
          <w:color w:val="000000"/>
        </w:rPr>
      </w:pPr>
      <w:r>
        <w:rPr>
          <w:rFonts w:ascii="Arial" w:eastAsia="Arial" w:hAnsi="Arial" w:cs="Arial"/>
          <w:color w:val="000000"/>
        </w:rPr>
        <w:t xml:space="preserve">Número y tipología de actividades turísticas registradas en el Distrito Metropolitano de Quito, distribuida geográficamente en función de la administración zonal que corresponda. </w:t>
      </w:r>
    </w:p>
    <w:p w14:paraId="6EDD0C42" w14:textId="3F9AAFE4" w:rsidR="003710E6" w:rsidRDefault="003710E6" w:rsidP="003710E6">
      <w:pPr>
        <w:pStyle w:val="Prrafodelista"/>
        <w:numPr>
          <w:ilvl w:val="0"/>
          <w:numId w:val="5"/>
        </w:numPr>
        <w:jc w:val="both"/>
        <w:rPr>
          <w:rFonts w:ascii="Arial" w:eastAsia="Arial" w:hAnsi="Arial" w:cs="Arial"/>
          <w:color w:val="000000"/>
        </w:rPr>
      </w:pPr>
      <w:r>
        <w:rPr>
          <w:rFonts w:ascii="Arial" w:eastAsia="Arial" w:hAnsi="Arial" w:cs="Arial"/>
          <w:color w:val="000000"/>
        </w:rPr>
        <w:t>Tiempo requerido para la apertura de negocios turísticos</w:t>
      </w:r>
    </w:p>
    <w:p w14:paraId="2C5AA049" w14:textId="2D9791B6" w:rsidR="003710E6" w:rsidRDefault="003710E6" w:rsidP="003710E6">
      <w:pPr>
        <w:pStyle w:val="Prrafodelista"/>
        <w:numPr>
          <w:ilvl w:val="0"/>
          <w:numId w:val="5"/>
        </w:numPr>
        <w:jc w:val="both"/>
        <w:rPr>
          <w:rFonts w:ascii="Arial" w:eastAsia="Arial" w:hAnsi="Arial" w:cs="Arial"/>
          <w:color w:val="000000"/>
        </w:rPr>
      </w:pPr>
      <w:r>
        <w:rPr>
          <w:rFonts w:ascii="Arial" w:eastAsia="Arial" w:hAnsi="Arial" w:cs="Arial"/>
          <w:color w:val="000000"/>
        </w:rPr>
        <w:t>Número de empleos formales en actividades y servicios turísticos dentro del Distrito Metropolitano de Quito</w:t>
      </w:r>
    </w:p>
    <w:p w14:paraId="2ABDC876" w14:textId="69F9AD1B" w:rsidR="003710E6" w:rsidRDefault="003710E6" w:rsidP="003710E6">
      <w:pPr>
        <w:pStyle w:val="Prrafodelista"/>
        <w:numPr>
          <w:ilvl w:val="0"/>
          <w:numId w:val="5"/>
        </w:numPr>
        <w:jc w:val="both"/>
        <w:rPr>
          <w:rFonts w:ascii="Arial" w:eastAsia="Arial" w:hAnsi="Arial" w:cs="Arial"/>
          <w:color w:val="000000"/>
        </w:rPr>
      </w:pPr>
      <w:r>
        <w:rPr>
          <w:rFonts w:ascii="Arial" w:eastAsia="Arial" w:hAnsi="Arial" w:cs="Arial"/>
          <w:color w:val="000000"/>
        </w:rPr>
        <w:t>Produc</w:t>
      </w:r>
      <w:r w:rsidR="00A82A78">
        <w:rPr>
          <w:rFonts w:ascii="Arial" w:eastAsia="Arial" w:hAnsi="Arial" w:cs="Arial"/>
          <w:color w:val="000000"/>
        </w:rPr>
        <w:t xml:space="preserve">to Interno Bruto Directo Turístico </w:t>
      </w:r>
      <w:r>
        <w:rPr>
          <w:rFonts w:ascii="Arial" w:eastAsia="Arial" w:hAnsi="Arial" w:cs="Arial"/>
          <w:color w:val="000000"/>
        </w:rPr>
        <w:t>en el Distrito Metropolitano de Quito</w:t>
      </w:r>
    </w:p>
    <w:p w14:paraId="38E02656" w14:textId="5393F197" w:rsidR="003710E6" w:rsidRDefault="00A82A78" w:rsidP="003710E6">
      <w:pPr>
        <w:pStyle w:val="Prrafodelista"/>
        <w:numPr>
          <w:ilvl w:val="0"/>
          <w:numId w:val="5"/>
        </w:numPr>
        <w:jc w:val="both"/>
        <w:rPr>
          <w:rFonts w:ascii="Arial" w:eastAsia="Arial" w:hAnsi="Arial" w:cs="Arial"/>
          <w:color w:val="000000"/>
        </w:rPr>
      </w:pPr>
      <w:r>
        <w:rPr>
          <w:rFonts w:ascii="Arial" w:eastAsia="Arial" w:hAnsi="Arial" w:cs="Arial"/>
          <w:color w:val="000000"/>
        </w:rPr>
        <w:t xml:space="preserve">Aporte del Producto Interno Bruto Directo Turístico </w:t>
      </w:r>
      <w:r w:rsidR="003710E6">
        <w:rPr>
          <w:rFonts w:ascii="Arial" w:eastAsia="Arial" w:hAnsi="Arial" w:cs="Arial"/>
          <w:color w:val="000000"/>
        </w:rPr>
        <w:t>al PIB de la ciudad</w:t>
      </w:r>
    </w:p>
    <w:p w14:paraId="1D9DCC03" w14:textId="0138249E" w:rsidR="003710E6" w:rsidRDefault="003710E6" w:rsidP="003710E6">
      <w:pPr>
        <w:pStyle w:val="Prrafodelista"/>
        <w:numPr>
          <w:ilvl w:val="0"/>
          <w:numId w:val="5"/>
        </w:numPr>
        <w:jc w:val="both"/>
        <w:rPr>
          <w:rFonts w:ascii="Arial" w:eastAsia="Arial" w:hAnsi="Arial" w:cs="Arial"/>
          <w:color w:val="000000"/>
        </w:rPr>
      </w:pPr>
      <w:r>
        <w:rPr>
          <w:rFonts w:ascii="Arial" w:eastAsia="Arial" w:hAnsi="Arial" w:cs="Arial"/>
          <w:color w:val="000000"/>
        </w:rPr>
        <w:t>Tasa de retorno</w:t>
      </w:r>
      <w:r w:rsidR="00481CB1">
        <w:rPr>
          <w:rFonts w:ascii="Arial" w:eastAsia="Arial" w:hAnsi="Arial" w:cs="Arial"/>
          <w:color w:val="000000"/>
        </w:rPr>
        <w:t xml:space="preserve"> (Leakage)</w:t>
      </w:r>
      <w:r>
        <w:rPr>
          <w:rFonts w:ascii="Arial" w:eastAsia="Arial" w:hAnsi="Arial" w:cs="Arial"/>
          <w:color w:val="000000"/>
        </w:rPr>
        <w:t xml:space="preserve"> sobre </w:t>
      </w:r>
      <w:r w:rsidR="00A82A78">
        <w:rPr>
          <w:rFonts w:ascii="Arial" w:eastAsia="Arial" w:hAnsi="Arial" w:cs="Arial"/>
          <w:color w:val="000000"/>
        </w:rPr>
        <w:t xml:space="preserve">el Producto Interno Bruto Directo Turístico </w:t>
      </w:r>
      <w:r>
        <w:rPr>
          <w:rFonts w:ascii="Arial" w:eastAsia="Arial" w:hAnsi="Arial" w:cs="Arial"/>
          <w:color w:val="000000"/>
        </w:rPr>
        <w:t>del turismo en el Distrito Metropolitano de Quito</w:t>
      </w:r>
      <w:r w:rsidR="001D42D8">
        <w:rPr>
          <w:rFonts w:ascii="Arial" w:eastAsia="Arial" w:hAnsi="Arial" w:cs="Arial"/>
          <w:color w:val="000000"/>
        </w:rPr>
        <w:t>.</w:t>
      </w:r>
    </w:p>
    <w:p w14:paraId="61E17D1D" w14:textId="7B38BA90" w:rsidR="001D42D8" w:rsidRDefault="001D42D8" w:rsidP="001D42D8">
      <w:pPr>
        <w:jc w:val="both"/>
        <w:rPr>
          <w:rFonts w:ascii="Arial" w:eastAsia="Arial" w:hAnsi="Arial" w:cs="Arial"/>
          <w:color w:val="000000"/>
        </w:rPr>
      </w:pPr>
    </w:p>
    <w:p w14:paraId="0FE45E3E" w14:textId="2EEB0F59" w:rsidR="001D42D8" w:rsidRPr="001D42D8" w:rsidRDefault="001D42D8" w:rsidP="001D42D8">
      <w:pPr>
        <w:jc w:val="both"/>
        <w:rPr>
          <w:rFonts w:ascii="Arial" w:eastAsia="Arial" w:hAnsi="Arial" w:cs="Arial"/>
          <w:color w:val="000000"/>
        </w:rPr>
      </w:pPr>
      <w:r>
        <w:rPr>
          <w:rFonts w:ascii="Arial" w:eastAsia="Arial" w:hAnsi="Arial" w:cs="Arial"/>
          <w:color w:val="000000"/>
        </w:rPr>
        <w:t>La definición de estos indicadores será conforme consta en el anexo de la presente ordenanza</w:t>
      </w:r>
    </w:p>
    <w:p w14:paraId="0AC0B6E9" w14:textId="080FC45E" w:rsidR="003710E6" w:rsidRDefault="003710E6" w:rsidP="003710E6">
      <w:pPr>
        <w:jc w:val="both"/>
        <w:rPr>
          <w:rFonts w:ascii="Arial" w:eastAsia="Arial" w:hAnsi="Arial" w:cs="Arial"/>
          <w:color w:val="000000"/>
        </w:rPr>
      </w:pPr>
    </w:p>
    <w:p w14:paraId="31054231" w14:textId="619DB4B0" w:rsidR="00923BFC" w:rsidRDefault="001D42D8" w:rsidP="00923BFC">
      <w:pPr>
        <w:jc w:val="both"/>
        <w:rPr>
          <w:rFonts w:ascii="Arial" w:eastAsia="Arial" w:hAnsi="Arial" w:cs="Arial"/>
          <w:color w:val="000000"/>
        </w:rPr>
      </w:pPr>
      <w:r>
        <w:rPr>
          <w:rFonts w:ascii="Arial" w:eastAsia="Arial" w:hAnsi="Arial" w:cs="Arial"/>
          <w:b/>
          <w:color w:val="000000"/>
        </w:rPr>
        <w:t xml:space="preserve">Artículo 1327.3. – …….. - </w:t>
      </w:r>
      <w:r w:rsidR="00923BFC">
        <w:rPr>
          <w:rFonts w:ascii="Arial" w:eastAsia="Arial" w:hAnsi="Arial" w:cs="Arial"/>
          <w:color w:val="000000"/>
        </w:rPr>
        <w:t xml:space="preserve">La medición, publicación y difusión </w:t>
      </w:r>
      <w:r>
        <w:rPr>
          <w:rFonts w:ascii="Arial" w:eastAsia="Arial" w:hAnsi="Arial" w:cs="Arial"/>
          <w:color w:val="000000"/>
        </w:rPr>
        <w:t xml:space="preserve">de indicadores previstos en el artículo anterior, </w:t>
      </w:r>
      <w:r w:rsidR="00923BFC">
        <w:rPr>
          <w:rFonts w:ascii="Arial" w:eastAsia="Arial" w:hAnsi="Arial" w:cs="Arial"/>
          <w:color w:val="000000"/>
        </w:rPr>
        <w:t xml:space="preserve">estará a cargo de </w:t>
      </w:r>
      <w:r w:rsidR="00923BFC" w:rsidRPr="00481CB1">
        <w:rPr>
          <w:rFonts w:ascii="Arial" w:eastAsia="Arial" w:hAnsi="Arial" w:cs="Arial"/>
          <w:color w:val="000000"/>
        </w:rPr>
        <w:t>la Secretaría de Desarrollo Productivo en coordinación con el Observatorio turístico de</w:t>
      </w:r>
      <w:r w:rsidR="00923BFC">
        <w:rPr>
          <w:rFonts w:ascii="Arial" w:eastAsia="Arial" w:hAnsi="Arial" w:cs="Arial"/>
          <w:color w:val="000000"/>
        </w:rPr>
        <w:t xml:space="preserve"> Quito o quien haga de sus veces; debiendo publicarse por lo menos una vez al año conforme lo resultados de la gestión turística del ejercicio del año inmediatamente anterior. </w:t>
      </w:r>
    </w:p>
    <w:p w14:paraId="78EEBB44" w14:textId="23269F74" w:rsidR="001C11DB" w:rsidRDefault="001C11DB">
      <w:pPr>
        <w:jc w:val="both"/>
        <w:rPr>
          <w:rFonts w:ascii="Arial" w:eastAsia="Arial" w:hAnsi="Arial" w:cs="Arial"/>
          <w:color w:val="000000"/>
        </w:rPr>
      </w:pPr>
    </w:p>
    <w:p w14:paraId="029B1C19" w14:textId="52393C05" w:rsidR="00663F39" w:rsidRDefault="00663F39" w:rsidP="00663F39">
      <w:pPr>
        <w:jc w:val="both"/>
        <w:rPr>
          <w:rFonts w:ascii="Arial" w:eastAsia="Arial" w:hAnsi="Arial" w:cs="Arial"/>
        </w:rPr>
      </w:pPr>
      <w:r>
        <w:rPr>
          <w:rFonts w:ascii="Arial" w:eastAsia="Arial" w:hAnsi="Arial" w:cs="Arial"/>
          <w:b/>
          <w:color w:val="000000"/>
        </w:rPr>
        <w:t>Disposición Tr</w:t>
      </w:r>
      <w:r w:rsidR="00094880">
        <w:rPr>
          <w:rFonts w:ascii="Arial" w:eastAsia="Arial" w:hAnsi="Arial" w:cs="Arial"/>
          <w:b/>
          <w:color w:val="000000"/>
        </w:rPr>
        <w:t xml:space="preserve">ansitoria </w:t>
      </w:r>
      <w:r w:rsidR="003E0EF3">
        <w:rPr>
          <w:rFonts w:ascii="Arial" w:eastAsia="Arial" w:hAnsi="Arial" w:cs="Arial"/>
          <w:b/>
          <w:color w:val="000000"/>
        </w:rPr>
        <w:t>Única</w:t>
      </w:r>
      <w:r>
        <w:rPr>
          <w:rFonts w:ascii="Arial" w:eastAsia="Arial" w:hAnsi="Arial" w:cs="Arial"/>
          <w:b/>
          <w:color w:val="000000"/>
        </w:rPr>
        <w:t xml:space="preserve">. </w:t>
      </w:r>
      <w:r w:rsidR="005C2C05">
        <w:rPr>
          <w:rFonts w:ascii="Arial" w:eastAsia="Arial" w:hAnsi="Arial" w:cs="Arial"/>
          <w:b/>
          <w:color w:val="000000"/>
        </w:rPr>
        <w:t>–</w:t>
      </w:r>
      <w:r>
        <w:rPr>
          <w:rFonts w:ascii="Arial" w:eastAsia="Arial" w:hAnsi="Arial" w:cs="Arial"/>
          <w:b/>
          <w:color w:val="000000"/>
        </w:rPr>
        <w:t xml:space="preserve"> </w:t>
      </w:r>
      <w:r>
        <w:rPr>
          <w:rFonts w:ascii="Arial" w:eastAsia="Arial" w:hAnsi="Arial" w:cs="Arial"/>
        </w:rPr>
        <w:t>La</w:t>
      </w:r>
      <w:r w:rsidR="005C2C05">
        <w:rPr>
          <w:rFonts w:ascii="Arial" w:eastAsia="Arial" w:hAnsi="Arial" w:cs="Arial"/>
        </w:rPr>
        <w:t xml:space="preserve"> Secretaría de Desarrollo Económico contará con hasta 12 meses a partir de la</w:t>
      </w:r>
      <w:r w:rsidR="00094880">
        <w:rPr>
          <w:rFonts w:ascii="Arial" w:eastAsia="Arial" w:hAnsi="Arial" w:cs="Arial"/>
        </w:rPr>
        <w:t xml:space="preserve"> emisión de la ordenanza para</w:t>
      </w:r>
      <w:r w:rsidR="00481CB1">
        <w:rPr>
          <w:rFonts w:ascii="Arial" w:eastAsia="Arial" w:hAnsi="Arial" w:cs="Arial"/>
        </w:rPr>
        <w:t xml:space="preserve"> efectuar la primera </w:t>
      </w:r>
      <w:r w:rsidR="005C2C05">
        <w:rPr>
          <w:rFonts w:ascii="Arial" w:eastAsia="Arial" w:hAnsi="Arial" w:cs="Arial"/>
        </w:rPr>
        <w:t xml:space="preserve">publicación </w:t>
      </w:r>
      <w:r w:rsidR="00481CB1">
        <w:rPr>
          <w:rFonts w:ascii="Arial" w:eastAsia="Arial" w:hAnsi="Arial" w:cs="Arial"/>
        </w:rPr>
        <w:t xml:space="preserve">de </w:t>
      </w:r>
      <w:r w:rsidR="005C2C05">
        <w:rPr>
          <w:rFonts w:ascii="Arial" w:eastAsia="Arial" w:hAnsi="Arial" w:cs="Arial"/>
        </w:rPr>
        <w:t>los indicadores determinados en la presente ordenanza</w:t>
      </w:r>
      <w:r w:rsidR="00D57182">
        <w:rPr>
          <w:rFonts w:ascii="Arial" w:eastAsia="Arial" w:hAnsi="Arial" w:cs="Arial"/>
        </w:rPr>
        <w:t>.</w:t>
      </w:r>
      <w:r w:rsidR="005C2C05">
        <w:rPr>
          <w:rFonts w:ascii="Arial" w:eastAsia="Arial" w:hAnsi="Arial" w:cs="Arial"/>
        </w:rPr>
        <w:t xml:space="preserve"> </w:t>
      </w:r>
    </w:p>
    <w:p w14:paraId="337410EE" w14:textId="06BA5102" w:rsidR="001D42D8" w:rsidRDefault="001D42D8" w:rsidP="00663F39">
      <w:pPr>
        <w:jc w:val="both"/>
        <w:rPr>
          <w:rFonts w:ascii="Arial" w:eastAsia="Arial" w:hAnsi="Arial" w:cs="Arial"/>
        </w:rPr>
      </w:pPr>
    </w:p>
    <w:p w14:paraId="11EC8D1E" w14:textId="3AEE74F7" w:rsidR="003E0EF3" w:rsidRDefault="003E0EF3" w:rsidP="00663F39">
      <w:pPr>
        <w:jc w:val="both"/>
        <w:rPr>
          <w:rFonts w:ascii="Arial" w:eastAsia="Arial" w:hAnsi="Arial" w:cs="Arial"/>
          <w:color w:val="000000"/>
          <w:sz w:val="20"/>
        </w:rPr>
      </w:pPr>
    </w:p>
    <w:p w14:paraId="4021AD41" w14:textId="77777777" w:rsidR="003E0EF3" w:rsidRDefault="003E0EF3" w:rsidP="003E0EF3">
      <w:pPr>
        <w:jc w:val="both"/>
        <w:rPr>
          <w:rFonts w:ascii="Arial" w:eastAsia="Arial" w:hAnsi="Arial" w:cs="Arial"/>
          <w:color w:val="000000"/>
        </w:rPr>
      </w:pPr>
      <w:r>
        <w:rPr>
          <w:rFonts w:ascii="Arial" w:eastAsia="Arial" w:hAnsi="Arial" w:cs="Arial"/>
          <w:b/>
          <w:color w:val="000000"/>
        </w:rPr>
        <w:t>Disposición Final. -</w:t>
      </w:r>
      <w:r>
        <w:rPr>
          <w:rFonts w:ascii="Arial" w:eastAsia="Arial" w:hAnsi="Arial" w:cs="Arial"/>
          <w:color w:val="000000"/>
        </w:rPr>
        <w:t xml:space="preserve"> La presente ordenanza entrará en vigencia a partir de su sanción sin perjuicio de su publicación en la Gaceta Municipal y en la página web institucional y en el Registro Oficial.</w:t>
      </w:r>
    </w:p>
    <w:p w14:paraId="690A02FE" w14:textId="77777777" w:rsidR="003E0EF3" w:rsidRPr="001D42D8" w:rsidRDefault="003E0EF3" w:rsidP="00663F39">
      <w:pPr>
        <w:jc w:val="both"/>
        <w:rPr>
          <w:rFonts w:ascii="Arial" w:eastAsia="Arial" w:hAnsi="Arial" w:cs="Arial"/>
          <w:color w:val="000000"/>
          <w:sz w:val="20"/>
        </w:rPr>
      </w:pPr>
    </w:p>
    <w:sectPr w:rsidR="003E0EF3" w:rsidRPr="001D42D8">
      <w:pgSz w:w="11900" w:h="16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5378D6" w14:textId="77777777" w:rsidR="009F484A" w:rsidRDefault="009F484A">
      <w:r>
        <w:separator/>
      </w:r>
    </w:p>
  </w:endnote>
  <w:endnote w:type="continuationSeparator" w:id="0">
    <w:p w14:paraId="76C8E737" w14:textId="77777777" w:rsidR="009F484A" w:rsidRDefault="009F48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CBB335" w14:textId="77777777" w:rsidR="009F484A" w:rsidRDefault="009F484A">
      <w:r>
        <w:separator/>
      </w:r>
    </w:p>
  </w:footnote>
  <w:footnote w:type="continuationSeparator" w:id="0">
    <w:p w14:paraId="48729B72" w14:textId="77777777" w:rsidR="009F484A" w:rsidRDefault="009F484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35185"/>
    <w:multiLevelType w:val="hybridMultilevel"/>
    <w:tmpl w:val="374E0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ED671A"/>
    <w:multiLevelType w:val="hybridMultilevel"/>
    <w:tmpl w:val="4C62B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8336C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51BA1CC5"/>
    <w:multiLevelType w:val="hybridMultilevel"/>
    <w:tmpl w:val="CED688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257C2E"/>
    <w:multiLevelType w:val="hybridMultilevel"/>
    <w:tmpl w:val="4C56D492"/>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E1547C"/>
    <w:multiLevelType w:val="hybridMultilevel"/>
    <w:tmpl w:val="4C56D492"/>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546FFF"/>
    <w:multiLevelType w:val="hybridMultilevel"/>
    <w:tmpl w:val="AA9A6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5"/>
  </w:num>
  <w:num w:numId="4">
    <w:abstractNumId w:val="1"/>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7B2"/>
    <w:rsid w:val="00020C01"/>
    <w:rsid w:val="000245A4"/>
    <w:rsid w:val="00040537"/>
    <w:rsid w:val="00052683"/>
    <w:rsid w:val="000572C8"/>
    <w:rsid w:val="0006107E"/>
    <w:rsid w:val="000912F0"/>
    <w:rsid w:val="00094880"/>
    <w:rsid w:val="00096A72"/>
    <w:rsid w:val="000A1C02"/>
    <w:rsid w:val="000E1374"/>
    <w:rsid w:val="00153EA5"/>
    <w:rsid w:val="00163DD6"/>
    <w:rsid w:val="00186CCD"/>
    <w:rsid w:val="001C11DB"/>
    <w:rsid w:val="001D42D8"/>
    <w:rsid w:val="00252F1E"/>
    <w:rsid w:val="0027240F"/>
    <w:rsid w:val="00296342"/>
    <w:rsid w:val="002A06D1"/>
    <w:rsid w:val="002B18B5"/>
    <w:rsid w:val="002B587A"/>
    <w:rsid w:val="002C769D"/>
    <w:rsid w:val="002F7224"/>
    <w:rsid w:val="00315103"/>
    <w:rsid w:val="00343970"/>
    <w:rsid w:val="00360683"/>
    <w:rsid w:val="00362384"/>
    <w:rsid w:val="00367FEE"/>
    <w:rsid w:val="003710E6"/>
    <w:rsid w:val="00397037"/>
    <w:rsid w:val="003B1A32"/>
    <w:rsid w:val="003B3F52"/>
    <w:rsid w:val="003E0EF3"/>
    <w:rsid w:val="003E6866"/>
    <w:rsid w:val="003F72DF"/>
    <w:rsid w:val="00462FE7"/>
    <w:rsid w:val="004648C9"/>
    <w:rsid w:val="00480645"/>
    <w:rsid w:val="00481CB1"/>
    <w:rsid w:val="0048272D"/>
    <w:rsid w:val="004A0CC3"/>
    <w:rsid w:val="004A42F7"/>
    <w:rsid w:val="004C68A2"/>
    <w:rsid w:val="004E7A27"/>
    <w:rsid w:val="005078BF"/>
    <w:rsid w:val="00534CA1"/>
    <w:rsid w:val="005537B2"/>
    <w:rsid w:val="005624AE"/>
    <w:rsid w:val="005A015C"/>
    <w:rsid w:val="005C2C05"/>
    <w:rsid w:val="005D0311"/>
    <w:rsid w:val="005E1C8F"/>
    <w:rsid w:val="006059B8"/>
    <w:rsid w:val="00610126"/>
    <w:rsid w:val="006559A2"/>
    <w:rsid w:val="00655DF9"/>
    <w:rsid w:val="00663F39"/>
    <w:rsid w:val="006B7402"/>
    <w:rsid w:val="006C535E"/>
    <w:rsid w:val="0075141A"/>
    <w:rsid w:val="007603CF"/>
    <w:rsid w:val="0078283A"/>
    <w:rsid w:val="007924FB"/>
    <w:rsid w:val="00794708"/>
    <w:rsid w:val="007A3FBD"/>
    <w:rsid w:val="007F7379"/>
    <w:rsid w:val="00804380"/>
    <w:rsid w:val="00810695"/>
    <w:rsid w:val="00824EBE"/>
    <w:rsid w:val="00827DE4"/>
    <w:rsid w:val="00840CDF"/>
    <w:rsid w:val="00874CE7"/>
    <w:rsid w:val="008822BE"/>
    <w:rsid w:val="008B289D"/>
    <w:rsid w:val="008D6682"/>
    <w:rsid w:val="008F2476"/>
    <w:rsid w:val="009135C2"/>
    <w:rsid w:val="00923BFC"/>
    <w:rsid w:val="00940D8A"/>
    <w:rsid w:val="009453CA"/>
    <w:rsid w:val="00960773"/>
    <w:rsid w:val="009729E1"/>
    <w:rsid w:val="0097692A"/>
    <w:rsid w:val="00985B91"/>
    <w:rsid w:val="009F3CBA"/>
    <w:rsid w:val="009F484A"/>
    <w:rsid w:val="00A07913"/>
    <w:rsid w:val="00A82A78"/>
    <w:rsid w:val="00B02F14"/>
    <w:rsid w:val="00B3049D"/>
    <w:rsid w:val="00B31692"/>
    <w:rsid w:val="00B730C1"/>
    <w:rsid w:val="00BA4EA8"/>
    <w:rsid w:val="00C1049F"/>
    <w:rsid w:val="00C13B6E"/>
    <w:rsid w:val="00C44795"/>
    <w:rsid w:val="00C4678B"/>
    <w:rsid w:val="00C47BEB"/>
    <w:rsid w:val="00C863F8"/>
    <w:rsid w:val="00CB5364"/>
    <w:rsid w:val="00CF67D8"/>
    <w:rsid w:val="00D0449D"/>
    <w:rsid w:val="00D046F1"/>
    <w:rsid w:val="00D05B89"/>
    <w:rsid w:val="00D0713E"/>
    <w:rsid w:val="00D15623"/>
    <w:rsid w:val="00D57182"/>
    <w:rsid w:val="00D57265"/>
    <w:rsid w:val="00D736B2"/>
    <w:rsid w:val="00D73F65"/>
    <w:rsid w:val="00D8002A"/>
    <w:rsid w:val="00D902DB"/>
    <w:rsid w:val="00DB559F"/>
    <w:rsid w:val="00DC1B5F"/>
    <w:rsid w:val="00DC7C66"/>
    <w:rsid w:val="00DF3250"/>
    <w:rsid w:val="00E80DF1"/>
    <w:rsid w:val="00E81106"/>
    <w:rsid w:val="00F3392A"/>
    <w:rsid w:val="00F74B10"/>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50523"/>
  <w15:docId w15:val="{CB508E96-D852-8F44-B6DA-8AB6394A3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s-EC" w:eastAsia="es-ES_trad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widowControl w:val="0"/>
      <w:spacing w:before="24"/>
      <w:ind w:left="177" w:right="168"/>
      <w:jc w:val="center"/>
      <w:outlineLvl w:val="0"/>
    </w:pPr>
    <w:rPr>
      <w:rFonts w:ascii="Palatino Linotype" w:eastAsia="Palatino Linotype" w:hAnsi="Palatino Linotype" w:cs="Palatino Linotype"/>
      <w:b/>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ipervnculo">
    <w:name w:val="Hyperlink"/>
    <w:basedOn w:val="Fuentedeprrafopredeter"/>
    <w:uiPriority w:val="99"/>
    <w:unhideWhenUsed/>
    <w:rsid w:val="007A3FBD"/>
    <w:rPr>
      <w:color w:val="0000FF" w:themeColor="hyperlink"/>
      <w:u w:val="single"/>
    </w:rPr>
  </w:style>
  <w:style w:type="paragraph" w:styleId="Prrafodelista">
    <w:name w:val="List Paragraph"/>
    <w:basedOn w:val="Normal"/>
    <w:uiPriority w:val="34"/>
    <w:qFormat/>
    <w:rsid w:val="007A3FBD"/>
    <w:pPr>
      <w:ind w:left="720"/>
      <w:contextualSpacing/>
    </w:pPr>
  </w:style>
  <w:style w:type="paragraph" w:styleId="NormalWeb">
    <w:name w:val="Normal (Web)"/>
    <w:basedOn w:val="Normal"/>
    <w:uiPriority w:val="99"/>
    <w:semiHidden/>
    <w:unhideWhenUsed/>
    <w:rsid w:val="00343970"/>
    <w:pPr>
      <w:spacing w:before="100" w:beforeAutospacing="1" w:after="100" w:afterAutospacing="1"/>
    </w:pPr>
    <w:rPr>
      <w:rFonts w:ascii="Times New Roman" w:eastAsia="Times New Roman" w:hAnsi="Times New Roman"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163353">
      <w:bodyDiv w:val="1"/>
      <w:marLeft w:val="0"/>
      <w:marRight w:val="0"/>
      <w:marTop w:val="0"/>
      <w:marBottom w:val="0"/>
      <w:divBdr>
        <w:top w:val="none" w:sz="0" w:space="0" w:color="auto"/>
        <w:left w:val="none" w:sz="0" w:space="0" w:color="auto"/>
        <w:bottom w:val="none" w:sz="0" w:space="0" w:color="auto"/>
        <w:right w:val="none" w:sz="0" w:space="0" w:color="auto"/>
      </w:divBdr>
      <w:divsChild>
        <w:div w:id="270402818">
          <w:marLeft w:val="0"/>
          <w:marRight w:val="0"/>
          <w:marTop w:val="0"/>
          <w:marBottom w:val="0"/>
          <w:divBdr>
            <w:top w:val="none" w:sz="0" w:space="0" w:color="auto"/>
            <w:left w:val="none" w:sz="0" w:space="0" w:color="auto"/>
            <w:bottom w:val="none" w:sz="0" w:space="0" w:color="auto"/>
            <w:right w:val="none" w:sz="0" w:space="0" w:color="auto"/>
          </w:divBdr>
          <w:divsChild>
            <w:div w:id="386028640">
              <w:marLeft w:val="0"/>
              <w:marRight w:val="0"/>
              <w:marTop w:val="0"/>
              <w:marBottom w:val="0"/>
              <w:divBdr>
                <w:top w:val="none" w:sz="0" w:space="0" w:color="auto"/>
                <w:left w:val="none" w:sz="0" w:space="0" w:color="auto"/>
                <w:bottom w:val="none" w:sz="0" w:space="0" w:color="auto"/>
                <w:right w:val="none" w:sz="0" w:space="0" w:color="auto"/>
              </w:divBdr>
              <w:divsChild>
                <w:div w:id="92615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OMT22</b:Tag>
    <b:SourceType>InternetSite</b:SourceType>
    <b:Guid>{BDEA967C-031D-493C-A826-F3FA56F42154}</b:Guid>
    <b:Title>UNWTO</b:Title>
    <b:Year>2022</b:Year>
    <b:Author>
      <b:Author>
        <b:NameList>
          <b:Person>
            <b:Last>OMT</b:Last>
          </b:Person>
        </b:NameList>
      </b:Author>
    </b:Author>
    <b:Month>03</b:Month>
    <b:Day>21</b:Day>
    <b:URL>https://www.unwto.org/es/turismo</b:URL>
    <b:RefOrder>1</b:RefOrder>
  </b:Source>
  <b:Source>
    <b:Tag>Gas07</b:Tag>
    <b:SourceType>Book</b:SourceType>
    <b:Guid>{DD223DA0-3809-4563-AB8D-2092678F4F9F}</b:Guid>
    <b:Title>El Turismo y sus mitos</b:Title>
    <b:Year>2007</b:Year>
    <b:City>Managua</b:City>
    <b:Publisher>Enlace</b:Publisher>
    <b:Author>
      <b:Author>
        <b:NameList>
          <b:Person>
            <b:Last>Gascón</b:Last>
            <b:First>Jordi</b:First>
          </b:Person>
          <b:Person>
            <b:Last>Cañada</b:Last>
            <b:First>Ernest</b:First>
          </b:Person>
        </b:NameList>
      </b:Author>
    </b:Author>
    <b:RefOrder>2</b:RefOrder>
  </b:Source>
  <b:Source>
    <b:Tag>Lóp08</b:Tag>
    <b:SourceType>JournalArticle</b:SourceType>
    <b:Guid>{AAF27F90-AAFD-407C-8432-7956BD0BB829}</b:Guid>
    <b:Title>Sistema de Indicadores económicos y sociales: la importancia del análisis integrado</b:Title>
    <b:Year>2008</b:Year>
    <b:JournalName>Centro de Investigación, seguimiento y monitoreo del desarrollo</b:JournalName>
    <b:Author>
      <b:Author>
        <b:NameList>
          <b:Person>
            <b:Last>López</b:Last>
            <b:First>María Teresa</b:First>
          </b:Person>
          <b:Person>
            <b:Last>Natcha</b:Last>
            <b:First>Gentile</b:First>
          </b:Person>
        </b:NameList>
      </b:Author>
    </b:Author>
    <b:RefOrder>3</b:RefOrder>
  </b:Source>
</b:Sources>
</file>

<file path=customXml/itemProps1.xml><?xml version="1.0" encoding="utf-8"?>
<ds:datastoreItem xmlns:ds="http://schemas.openxmlformats.org/officeDocument/2006/customXml" ds:itemID="{8640E9BD-1F9A-4F87-AE26-385847C9F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1901</Words>
  <Characters>10456</Characters>
  <Application>Microsoft Office Word</Application>
  <DocSecurity>0</DocSecurity>
  <Lines>87</Lines>
  <Paragraphs>24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Wilson Hoyos</dc:creator>
  <cp:lastModifiedBy>Wilson Hoyos</cp:lastModifiedBy>
  <cp:revision>2</cp:revision>
  <dcterms:created xsi:type="dcterms:W3CDTF">2022-06-13T16:18:00Z</dcterms:created>
  <dcterms:modified xsi:type="dcterms:W3CDTF">2022-06-13T16:18:00Z</dcterms:modified>
</cp:coreProperties>
</file>