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14365" w:rsidRDefault="00601944">
      <w:pPr>
        <w:jc w:val="center"/>
        <w:rPr>
          <w:rFonts w:ascii="Century Gothic" w:eastAsia="Century Gothic" w:hAnsi="Century Gothic" w:cs="Century Gothic"/>
          <w:b/>
        </w:rPr>
      </w:pPr>
      <w:r>
        <w:rPr>
          <w:rFonts w:ascii="Century Gothic" w:eastAsia="Century Gothic" w:hAnsi="Century Gothic" w:cs="Century Gothic"/>
          <w:b/>
        </w:rPr>
        <w:t>PROYECTO DE ORDENANZA XXXXXX</w:t>
      </w:r>
    </w:p>
    <w:p w14:paraId="00000002" w14:textId="77777777" w:rsidR="00214365" w:rsidRDefault="00601944">
      <w:pPr>
        <w:jc w:val="center"/>
        <w:rPr>
          <w:rFonts w:ascii="Century Gothic" w:eastAsia="Century Gothic" w:hAnsi="Century Gothic" w:cs="Century Gothic"/>
          <w:b/>
        </w:rPr>
      </w:pPr>
      <w:r>
        <w:rPr>
          <w:rFonts w:ascii="Century Gothic" w:eastAsia="Century Gothic" w:hAnsi="Century Gothic" w:cs="Century Gothic"/>
          <w:b/>
        </w:rPr>
        <w:t>EXPOSICIÓN DE MOTIVOS</w:t>
      </w:r>
    </w:p>
    <w:p w14:paraId="00000003" w14:textId="77777777" w:rsidR="00214365" w:rsidRDefault="0060194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Quienes ejercen la autoridad de control de tránsito en el Distrito Metropolitano de Quito en cumplimiento a las ordenanzas emitidas y a fin de tener una correcta aplicación de la norma es necesario una actualización y concordancia a los preceptos constituc</w:t>
      </w:r>
      <w:r>
        <w:rPr>
          <w:rFonts w:ascii="Century Gothic" w:eastAsia="Century Gothic" w:hAnsi="Century Gothic" w:cs="Century Gothic"/>
          <w:sz w:val="24"/>
          <w:szCs w:val="24"/>
        </w:rPr>
        <w:t>ionales.</w:t>
      </w:r>
    </w:p>
    <w:p w14:paraId="00000004" w14:textId="6EC32E5E" w:rsidR="00214365" w:rsidRDefault="0060194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el Distrito Metropolitano de Quito, la movilidad digna se ha vuelto un dilema entre el uso del transporte público que en much</w:t>
      </w:r>
      <w:r w:rsidR="00D463B4">
        <w:rPr>
          <w:rFonts w:ascii="Century Gothic" w:eastAsia="Century Gothic" w:hAnsi="Century Gothic" w:cs="Century Gothic"/>
          <w:sz w:val="24"/>
          <w:szCs w:val="24"/>
        </w:rPr>
        <w:t xml:space="preserve">as veces no es suficiente y el </w:t>
      </w:r>
      <w:r>
        <w:rPr>
          <w:rFonts w:ascii="Century Gothic" w:eastAsia="Century Gothic" w:hAnsi="Century Gothic" w:cs="Century Gothic"/>
          <w:sz w:val="24"/>
          <w:szCs w:val="24"/>
        </w:rPr>
        <w:t>muy arraigado sentido de la comodidad, seguridad y disminución de tiempo del traslado d</w:t>
      </w:r>
      <w:r>
        <w:rPr>
          <w:rFonts w:ascii="Century Gothic" w:eastAsia="Century Gothic" w:hAnsi="Century Gothic" w:cs="Century Gothic"/>
          <w:sz w:val="24"/>
          <w:szCs w:val="24"/>
        </w:rPr>
        <w:t>e un lugar a otro q</w:t>
      </w:r>
      <w:r w:rsidR="00D463B4">
        <w:rPr>
          <w:rFonts w:ascii="Century Gothic" w:eastAsia="Century Gothic" w:hAnsi="Century Gothic" w:cs="Century Gothic"/>
          <w:sz w:val="24"/>
          <w:szCs w:val="24"/>
        </w:rPr>
        <w:t xml:space="preserve">ue genera el auto privado, esto </w:t>
      </w:r>
      <w:r>
        <w:rPr>
          <w:rFonts w:ascii="Century Gothic" w:eastAsia="Century Gothic" w:hAnsi="Century Gothic" w:cs="Century Gothic"/>
          <w:sz w:val="24"/>
          <w:szCs w:val="24"/>
        </w:rPr>
        <w:t>conlleva a que el incremento de la carga vehicular que transita en las vías urbanas de la ciudad ca</w:t>
      </w:r>
      <w:r w:rsidR="00D463B4">
        <w:rPr>
          <w:rFonts w:ascii="Century Gothic" w:eastAsia="Century Gothic" w:hAnsi="Century Gothic" w:cs="Century Gothic"/>
          <w:sz w:val="24"/>
          <w:szCs w:val="24"/>
        </w:rPr>
        <w:t>pital no solo genere tráfico si</w:t>
      </w:r>
      <w:r>
        <w:rPr>
          <w:rFonts w:ascii="Century Gothic" w:eastAsia="Century Gothic" w:hAnsi="Century Gothic" w:cs="Century Gothic"/>
          <w:sz w:val="24"/>
          <w:szCs w:val="24"/>
        </w:rPr>
        <w:t xml:space="preserve">no también altas emisiones de Co2, la mitigación a este impacto es contar </w:t>
      </w:r>
      <w:r>
        <w:rPr>
          <w:rFonts w:ascii="Century Gothic" w:eastAsia="Century Gothic" w:hAnsi="Century Gothic" w:cs="Century Gothic"/>
          <w:sz w:val="24"/>
          <w:szCs w:val="24"/>
        </w:rPr>
        <w:t xml:space="preserve">con una política adecuada de inversión en infraestructura vial, señalética horizontal y vertical de la misma, así como también incrementar incentivos a los modos de transporte sostenible. </w:t>
      </w:r>
    </w:p>
    <w:p w14:paraId="00000005" w14:textId="50D6CE60" w:rsidR="00214365" w:rsidRDefault="0060194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uso de las redes viales urbanas se ve saturada a diario y ya no </w:t>
      </w:r>
      <w:r>
        <w:rPr>
          <w:rFonts w:ascii="Century Gothic" w:eastAsia="Century Gothic" w:hAnsi="Century Gothic" w:cs="Century Gothic"/>
          <w:sz w:val="24"/>
          <w:szCs w:val="24"/>
        </w:rPr>
        <w:t>tan solo en horas pico como comúnmente se evidenciaba años atrás y por ello se decidió tomar restricciones vehiculares temporales como el pico y placa con la finalidad de regular el flujo vehicular, sin embargo</w:t>
      </w:r>
      <w:r w:rsidR="00D463B4">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este tipo de medidas no ataca por completo el</w:t>
      </w:r>
      <w:r>
        <w:rPr>
          <w:rFonts w:ascii="Century Gothic" w:eastAsia="Century Gothic" w:hAnsi="Century Gothic" w:cs="Century Gothic"/>
          <w:sz w:val="24"/>
          <w:szCs w:val="24"/>
        </w:rPr>
        <w:t xml:space="preserve"> problema, por el contrario agudiza la dinamización de las compra de vehículos y esto provoca un incremento aún mayor en el parque automotor.</w:t>
      </w:r>
    </w:p>
    <w:p w14:paraId="00000006" w14:textId="0594E719" w:rsidR="00214365" w:rsidRDefault="0060194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El articulado actual del código municipal para la aplicación de la norma por la entidad administrativa de tránsito</w:t>
      </w:r>
      <w:r>
        <w:rPr>
          <w:rFonts w:ascii="Century Gothic" w:eastAsia="Century Gothic" w:hAnsi="Century Gothic" w:cs="Century Gothic"/>
          <w:sz w:val="24"/>
          <w:szCs w:val="24"/>
        </w:rPr>
        <w:t xml:space="preserve"> conlleva a una serie de a</w:t>
      </w:r>
      <w:r w:rsidR="00D463B4">
        <w:rPr>
          <w:rFonts w:ascii="Century Gothic" w:eastAsia="Century Gothic" w:hAnsi="Century Gothic" w:cs="Century Gothic"/>
          <w:sz w:val="24"/>
          <w:szCs w:val="24"/>
        </w:rPr>
        <w:t>busos por parte de quien ejerce</w:t>
      </w:r>
      <w:r>
        <w:rPr>
          <w:rFonts w:ascii="Century Gothic" w:eastAsia="Century Gothic" w:hAnsi="Century Gothic" w:cs="Century Gothic"/>
          <w:sz w:val="24"/>
          <w:szCs w:val="24"/>
        </w:rPr>
        <w:t xml:space="preserve"> el control, vacíos legales dejan a la interpretación de quien ejerce el control del cumplimiento de las ordenanzas, quiera y pueda considerar</w:t>
      </w:r>
      <w:r w:rsidR="00D463B4">
        <w:rPr>
          <w:rFonts w:ascii="Century Gothic" w:eastAsia="Century Gothic" w:hAnsi="Century Gothic" w:cs="Century Gothic"/>
          <w:sz w:val="24"/>
          <w:szCs w:val="24"/>
        </w:rPr>
        <w:t xml:space="preserve"> qué aplicar y qué no, de parte </w:t>
      </w:r>
      <w:r>
        <w:rPr>
          <w:rFonts w:ascii="Century Gothic" w:eastAsia="Century Gothic" w:hAnsi="Century Gothic" w:cs="Century Gothic"/>
          <w:sz w:val="24"/>
          <w:szCs w:val="24"/>
        </w:rPr>
        <w:t>de la ciudadanía ya se h</w:t>
      </w:r>
      <w:r>
        <w:rPr>
          <w:rFonts w:ascii="Century Gothic" w:eastAsia="Century Gothic" w:hAnsi="Century Gothic" w:cs="Century Gothic"/>
          <w:sz w:val="24"/>
          <w:szCs w:val="24"/>
        </w:rPr>
        <w:t>a denunciado y evidenciado casos de mala aplicación</w:t>
      </w:r>
      <w:r w:rsidR="00D463B4">
        <w:rPr>
          <w:rFonts w:ascii="Century Gothic" w:eastAsia="Century Gothic" w:hAnsi="Century Gothic" w:cs="Century Gothic"/>
          <w:sz w:val="24"/>
          <w:szCs w:val="24"/>
        </w:rPr>
        <w:t xml:space="preserve"> de las sanciones, entre tanta </w:t>
      </w:r>
      <w:r>
        <w:rPr>
          <w:rFonts w:ascii="Century Gothic" w:eastAsia="Century Gothic" w:hAnsi="Century Gothic" w:cs="Century Gothic"/>
          <w:sz w:val="24"/>
          <w:szCs w:val="24"/>
        </w:rPr>
        <w:t xml:space="preserve">controversia se puede mencionar, el uso de </w:t>
      </w:r>
      <w:proofErr w:type="spellStart"/>
      <w:r>
        <w:rPr>
          <w:rFonts w:ascii="Century Gothic" w:eastAsia="Century Gothic" w:hAnsi="Century Gothic" w:cs="Century Gothic"/>
          <w:sz w:val="24"/>
          <w:szCs w:val="24"/>
        </w:rPr>
        <w:t>winchas</w:t>
      </w:r>
      <w:proofErr w:type="spellEnd"/>
      <w:r>
        <w:rPr>
          <w:rFonts w:ascii="Century Gothic" w:eastAsia="Century Gothic" w:hAnsi="Century Gothic" w:cs="Century Gothic"/>
          <w:sz w:val="24"/>
          <w:szCs w:val="24"/>
        </w:rPr>
        <w:t xml:space="preserve"> para el traslado de vehículos a los diferentes patios de retención, medios de pago de las multas, requisitos y horarios pa</w:t>
      </w:r>
      <w:r>
        <w:rPr>
          <w:rFonts w:ascii="Century Gothic" w:eastAsia="Century Gothic" w:hAnsi="Century Gothic" w:cs="Century Gothic"/>
          <w:sz w:val="24"/>
          <w:szCs w:val="24"/>
        </w:rPr>
        <w:t>ra liberaciones de vehículos infractores y excepciones expresas de quienes no deben ser considerados dentro de las restricciones vehiculares.</w:t>
      </w:r>
    </w:p>
    <w:p w14:paraId="00000007" w14:textId="77777777" w:rsidR="00214365" w:rsidRDefault="00601944">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CONSIDERANDO</w:t>
      </w:r>
    </w:p>
    <w:p w14:paraId="00000008" w14:textId="77777777" w:rsidR="00214365" w:rsidRDefault="00601944">
      <w:pPr>
        <w:spacing w:after="240" w:line="276" w:lineRule="auto"/>
        <w:ind w:left="720"/>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Que, el artículo 226 de la Constitución de la República, establece: “Las instituciones del Estado, su</w:t>
      </w:r>
      <w:r>
        <w:rPr>
          <w:rFonts w:ascii="Century Gothic" w:eastAsia="Century Gothic" w:hAnsi="Century Gothic" w:cs="Century Gothic"/>
          <w:i/>
          <w:sz w:val="24"/>
          <w:szCs w:val="24"/>
        </w:rPr>
        <w:t xml:space="preserve">s organismos, dependencias, las servidoras </w:t>
      </w:r>
      <w:r>
        <w:rPr>
          <w:rFonts w:ascii="Century Gothic" w:eastAsia="Century Gothic" w:hAnsi="Century Gothic" w:cs="Century Gothic"/>
          <w:i/>
          <w:sz w:val="24"/>
          <w:szCs w:val="24"/>
        </w:rPr>
        <w:lastRenderedPageBreak/>
        <w:t>o servidores públicos y las personas que actúen en virtud de una potestad estatal ejercerán solamente las competencias y facultades que les sean atribuidas en la Constitución y la ley. Tendrán el deber de coordina</w:t>
      </w:r>
      <w:r>
        <w:rPr>
          <w:rFonts w:ascii="Century Gothic" w:eastAsia="Century Gothic" w:hAnsi="Century Gothic" w:cs="Century Gothic"/>
          <w:i/>
          <w:sz w:val="24"/>
          <w:szCs w:val="24"/>
        </w:rPr>
        <w:t>r acciones para el cumplimiento de sus fines y hacer efectivo el goce y ejercicio de los derechos reconocidos en la Constitución.”;</w:t>
      </w:r>
    </w:p>
    <w:p w14:paraId="00000009" w14:textId="77777777" w:rsidR="00214365" w:rsidRDefault="00601944">
      <w:pPr>
        <w:spacing w:after="240" w:line="276" w:lineRule="auto"/>
        <w:ind w:left="720"/>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Que, el artículo 227 de la Constituc</w:t>
      </w:r>
      <w:r>
        <w:rPr>
          <w:rFonts w:ascii="Century Gothic" w:eastAsia="Century Gothic" w:hAnsi="Century Gothic" w:cs="Century Gothic"/>
          <w:sz w:val="24"/>
          <w:szCs w:val="24"/>
        </w:rPr>
        <w:t>i</w:t>
      </w:r>
      <w:r>
        <w:rPr>
          <w:rFonts w:ascii="Century Gothic" w:eastAsia="Century Gothic" w:hAnsi="Century Gothic" w:cs="Century Gothic"/>
          <w:i/>
          <w:sz w:val="24"/>
          <w:szCs w:val="24"/>
        </w:rPr>
        <w:t xml:space="preserve">ón, determina: “La administración pública constituye un servicio a la colectividad que </w:t>
      </w:r>
      <w:r>
        <w:rPr>
          <w:rFonts w:ascii="Century Gothic" w:eastAsia="Century Gothic" w:hAnsi="Century Gothic" w:cs="Century Gothic"/>
          <w:i/>
          <w:sz w:val="24"/>
          <w:szCs w:val="24"/>
        </w:rPr>
        <w:t>se rige por los principios de eficacia, eficiencia, calidad, jerarquía, desconcentración, descentralización, coordinación, participación, planificación, transparencia y evaluación.”;</w:t>
      </w:r>
    </w:p>
    <w:p w14:paraId="0000000A" w14:textId="77777777" w:rsidR="00214365" w:rsidRDefault="00601944">
      <w:pPr>
        <w:spacing w:before="240" w:after="240" w:line="276" w:lineRule="auto"/>
        <w:ind w:left="700"/>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Que,</w:t>
      </w:r>
      <w:r>
        <w:rPr>
          <w:rFonts w:ascii="Century Gothic" w:eastAsia="Century Gothic" w:hAnsi="Century Gothic" w:cs="Century Gothic"/>
          <w:i/>
          <w:sz w:val="24"/>
          <w:szCs w:val="24"/>
        </w:rPr>
        <w:tab/>
        <w:t>el artículo 240 de la Constitución establece que: “Los gobiernos aut</w:t>
      </w:r>
      <w:r>
        <w:rPr>
          <w:rFonts w:ascii="Century Gothic" w:eastAsia="Century Gothic" w:hAnsi="Century Gothic" w:cs="Century Gothic"/>
          <w:i/>
          <w:sz w:val="24"/>
          <w:szCs w:val="24"/>
        </w:rPr>
        <w:t>ónomos descentralizados de las regiones, distritos metropolitanos, provincias y cantones tendrán facultades legislativas en el ámbito de sus competencias y jurisdicciones territoriales (…)”;</w:t>
      </w:r>
    </w:p>
    <w:p w14:paraId="0000000B" w14:textId="77777777" w:rsidR="00214365" w:rsidRDefault="00601944">
      <w:pPr>
        <w:spacing w:before="240" w:after="240" w:line="276" w:lineRule="auto"/>
        <w:ind w:left="720"/>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Que, el numeral 6 del artículo 264 de la Constitución, en concord</w:t>
      </w:r>
      <w:r>
        <w:rPr>
          <w:rFonts w:ascii="Century Gothic" w:eastAsia="Century Gothic" w:hAnsi="Century Gothic" w:cs="Century Gothic"/>
          <w:i/>
          <w:sz w:val="24"/>
          <w:szCs w:val="24"/>
        </w:rPr>
        <w:t xml:space="preserve">ancia con el artículo 266 </w:t>
      </w:r>
      <w:proofErr w:type="spellStart"/>
      <w:r>
        <w:rPr>
          <w:rFonts w:ascii="Century Gothic" w:eastAsia="Century Gothic" w:hAnsi="Century Gothic" w:cs="Century Gothic"/>
          <w:i/>
          <w:sz w:val="24"/>
          <w:szCs w:val="24"/>
        </w:rPr>
        <w:t>ibidem</w:t>
      </w:r>
      <w:proofErr w:type="spellEnd"/>
      <w:r>
        <w:rPr>
          <w:rFonts w:ascii="Century Gothic" w:eastAsia="Century Gothic" w:hAnsi="Century Gothic" w:cs="Century Gothic"/>
          <w:i/>
          <w:sz w:val="24"/>
          <w:szCs w:val="24"/>
        </w:rPr>
        <w:t>, determina que los gobiernos autónomos descentralizados municipales tienen la competencia para planificar, regular y controlar el tránsito y el transporte público dentro de su territorio;</w:t>
      </w:r>
    </w:p>
    <w:p w14:paraId="0000000D" w14:textId="7C688135" w:rsidR="00214365" w:rsidRDefault="00601944" w:rsidP="00BD1D02">
      <w:pPr>
        <w:spacing w:before="240" w:after="240" w:line="276" w:lineRule="auto"/>
        <w:ind w:left="720"/>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 xml:space="preserve">Que, el literal e) del artículo 55 </w:t>
      </w:r>
      <w:r>
        <w:rPr>
          <w:rFonts w:ascii="Century Gothic" w:eastAsia="Century Gothic" w:hAnsi="Century Gothic" w:cs="Century Gothic"/>
          <w:i/>
          <w:sz w:val="24"/>
          <w:szCs w:val="24"/>
        </w:rPr>
        <w:t xml:space="preserve">del </w:t>
      </w:r>
      <w:proofErr w:type="spellStart"/>
      <w:r>
        <w:rPr>
          <w:rFonts w:ascii="Century Gothic" w:eastAsia="Century Gothic" w:hAnsi="Century Gothic" w:cs="Century Gothic"/>
          <w:i/>
          <w:sz w:val="24"/>
          <w:szCs w:val="24"/>
        </w:rPr>
        <w:t>del</w:t>
      </w:r>
      <w:proofErr w:type="spellEnd"/>
      <w:r>
        <w:rPr>
          <w:rFonts w:ascii="Century Gothic" w:eastAsia="Century Gothic" w:hAnsi="Century Gothic" w:cs="Century Gothic"/>
          <w:i/>
          <w:sz w:val="24"/>
          <w:szCs w:val="24"/>
        </w:rPr>
        <w:t xml:space="preserve"> Código Orgánico de Organización Territorial, Autonomía y Descentralizaci</w:t>
      </w:r>
      <w:r>
        <w:rPr>
          <w:rFonts w:ascii="Century Gothic" w:eastAsia="Century Gothic" w:hAnsi="Century Gothic" w:cs="Century Gothic"/>
          <w:sz w:val="24"/>
          <w:szCs w:val="24"/>
        </w:rPr>
        <w:t xml:space="preserve">ón </w:t>
      </w:r>
      <w:r>
        <w:rPr>
          <w:rFonts w:ascii="Century Gothic" w:eastAsia="Century Gothic" w:hAnsi="Century Gothic" w:cs="Century Gothic"/>
          <w:i/>
          <w:sz w:val="24"/>
          <w:szCs w:val="24"/>
        </w:rPr>
        <w:t>dispone: “Los gobiernos autónomos descentralizados municipales tendrán las siguientes competencias exclusivas sin perjuicio de otras que determine la ley: (...) e) Crear, mo</w:t>
      </w:r>
      <w:r>
        <w:rPr>
          <w:rFonts w:ascii="Century Gothic" w:eastAsia="Century Gothic" w:hAnsi="Century Gothic" w:cs="Century Gothic"/>
          <w:i/>
          <w:sz w:val="24"/>
          <w:szCs w:val="24"/>
        </w:rPr>
        <w:t xml:space="preserve">dificar, exonerar o suprimir mediante ordenanzas, tasas, tarifas y contribuciones especiales de </w:t>
      </w:r>
      <w:proofErr w:type="gramStart"/>
      <w:r>
        <w:rPr>
          <w:rFonts w:ascii="Century Gothic" w:eastAsia="Century Gothic" w:hAnsi="Century Gothic" w:cs="Century Gothic"/>
          <w:i/>
          <w:sz w:val="24"/>
          <w:szCs w:val="24"/>
        </w:rPr>
        <w:t>mejoras(</w:t>
      </w:r>
      <w:proofErr w:type="gramEnd"/>
      <w:r>
        <w:rPr>
          <w:rFonts w:ascii="Century Gothic" w:eastAsia="Century Gothic" w:hAnsi="Century Gothic" w:cs="Century Gothic"/>
          <w:i/>
          <w:sz w:val="24"/>
          <w:szCs w:val="24"/>
        </w:rPr>
        <w:t xml:space="preserve">...).”; </w:t>
      </w:r>
    </w:p>
    <w:p w14:paraId="0000000E" w14:textId="77777777" w:rsidR="00214365" w:rsidRDefault="00601944">
      <w:pPr>
        <w:spacing w:before="240" w:after="240" w:line="276" w:lineRule="auto"/>
        <w:ind w:left="720"/>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Que, el artículo 57 del Código Orgánico de Organización Territorial, Autonomía y Descentralización, entre otras señala que son atribuciones de</w:t>
      </w:r>
      <w:r>
        <w:rPr>
          <w:rFonts w:ascii="Century Gothic" w:eastAsia="Century Gothic" w:hAnsi="Century Gothic" w:cs="Century Gothic"/>
          <w:i/>
          <w:sz w:val="24"/>
          <w:szCs w:val="24"/>
        </w:rPr>
        <w:t xml:space="preserve"> los Concejos Municipales “...el ejercicio de la facultad normativa en materia de su competencia mediante la expedición de ordenanzas, acuerdos y resoluciones.”;</w:t>
      </w:r>
    </w:p>
    <w:p w14:paraId="0000000F" w14:textId="77777777" w:rsidR="00214365" w:rsidRDefault="00601944">
      <w:pPr>
        <w:spacing w:before="240" w:after="240" w:line="276" w:lineRule="auto"/>
        <w:ind w:left="700"/>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Que,</w:t>
      </w:r>
      <w:r>
        <w:rPr>
          <w:rFonts w:ascii="Century Gothic" w:eastAsia="Century Gothic" w:hAnsi="Century Gothic" w:cs="Century Gothic"/>
          <w:i/>
          <w:sz w:val="24"/>
          <w:szCs w:val="24"/>
        </w:rPr>
        <w:tab/>
        <w:t xml:space="preserve">el literal a) del artículo 87 del Código Orgánico de Organización Territorial, Autonomía </w:t>
      </w:r>
      <w:r>
        <w:rPr>
          <w:rFonts w:ascii="Century Gothic" w:eastAsia="Century Gothic" w:hAnsi="Century Gothic" w:cs="Century Gothic"/>
          <w:i/>
          <w:sz w:val="24"/>
          <w:szCs w:val="24"/>
        </w:rPr>
        <w:t xml:space="preserve">y descentralización, en adelante, COOTAD, establece que las funciones del Concejo Metropolitano, entre otras, son: “a) Ejercer la facultad normativa en las materias de competencia </w:t>
      </w:r>
      <w:r>
        <w:rPr>
          <w:rFonts w:ascii="Century Gothic" w:eastAsia="Century Gothic" w:hAnsi="Century Gothic" w:cs="Century Gothic"/>
          <w:i/>
          <w:sz w:val="24"/>
          <w:szCs w:val="24"/>
        </w:rPr>
        <w:lastRenderedPageBreak/>
        <w:t xml:space="preserve">del gobierno autónomo descentralizado metropolitano, mediante la expedición </w:t>
      </w:r>
      <w:r>
        <w:rPr>
          <w:rFonts w:ascii="Century Gothic" w:eastAsia="Century Gothic" w:hAnsi="Century Gothic" w:cs="Century Gothic"/>
          <w:i/>
          <w:sz w:val="24"/>
          <w:szCs w:val="24"/>
        </w:rPr>
        <w:t xml:space="preserve">de ordenanzas metropolitanas, acuerdos y resoluciones; (…);  </w:t>
      </w:r>
    </w:p>
    <w:p w14:paraId="00000010" w14:textId="77777777" w:rsidR="00214365" w:rsidRDefault="00601944">
      <w:pPr>
        <w:spacing w:before="240" w:after="240" w:line="276" w:lineRule="auto"/>
        <w:ind w:left="700"/>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Que, los literales b) y q) del artículo 84 del Código Orgánico de Organización Territorial, Autonomía y Descentralización, prevén como funciones del gobierno descentralizado municipal: “... b) d</w:t>
      </w:r>
      <w:r>
        <w:rPr>
          <w:rFonts w:ascii="Century Gothic" w:eastAsia="Century Gothic" w:hAnsi="Century Gothic" w:cs="Century Gothic"/>
          <w:i/>
          <w:sz w:val="24"/>
          <w:szCs w:val="24"/>
        </w:rPr>
        <w:t>iseñar e implementar políticas de promoción y construcción de equidad e inclusión en su territorio, en el marco de sus competencias constitucionales y legales; (...) q) Planificar, regular y controlar el tránsito y el transporte terrestre dentro de su terr</w:t>
      </w:r>
      <w:r>
        <w:rPr>
          <w:rFonts w:ascii="Century Gothic" w:eastAsia="Century Gothic" w:hAnsi="Century Gothic" w:cs="Century Gothic"/>
          <w:i/>
          <w:sz w:val="24"/>
          <w:szCs w:val="24"/>
        </w:rPr>
        <w:t xml:space="preserve">itorio...”; </w:t>
      </w:r>
    </w:p>
    <w:p w14:paraId="00000011" w14:textId="77777777" w:rsidR="00214365" w:rsidRDefault="00601944">
      <w:pPr>
        <w:spacing w:before="240" w:after="240" w:line="276" w:lineRule="auto"/>
        <w:ind w:left="700"/>
        <w:jc w:val="both"/>
        <w:rPr>
          <w:rFonts w:ascii="Century Gothic" w:eastAsia="Century Gothic" w:hAnsi="Century Gothic" w:cs="Century Gothic"/>
          <w:sz w:val="24"/>
          <w:szCs w:val="24"/>
        </w:rPr>
      </w:pPr>
      <w:r>
        <w:rPr>
          <w:rFonts w:ascii="Century Gothic" w:eastAsia="Century Gothic" w:hAnsi="Century Gothic" w:cs="Century Gothic"/>
          <w:i/>
          <w:sz w:val="24"/>
          <w:szCs w:val="24"/>
        </w:rPr>
        <w:t>Que, el segundo inciso del artículo 130 del Código Orgánico de Organización Territorial, Autonomía y Descentralización referente al ejercicio de la competencia de tránsito y transporte señala en su inciso segundo que, a los gobiernos autónomos</w:t>
      </w:r>
      <w:r>
        <w:rPr>
          <w:rFonts w:ascii="Century Gothic" w:eastAsia="Century Gothic" w:hAnsi="Century Gothic" w:cs="Century Gothic"/>
          <w:i/>
          <w:sz w:val="24"/>
          <w:szCs w:val="24"/>
        </w:rPr>
        <w:t xml:space="preserve"> descentralizados municipales les corresponde de forma exclusiva planificar, regular y controlar el tránsito, el transporte y la seguridad vial, dentro de su territorio cantonal;</w:t>
      </w:r>
    </w:p>
    <w:p w14:paraId="00000012" w14:textId="77777777" w:rsidR="00214365" w:rsidRDefault="00601944">
      <w:pPr>
        <w:spacing w:before="240" w:after="240" w:line="276" w:lineRule="auto"/>
        <w:ind w:left="700"/>
        <w:jc w:val="both"/>
        <w:rPr>
          <w:rFonts w:ascii="Century Gothic" w:eastAsia="Century Gothic" w:hAnsi="Century Gothic" w:cs="Century Gothic"/>
          <w:i/>
          <w:sz w:val="24"/>
          <w:szCs w:val="24"/>
        </w:rPr>
      </w:pPr>
      <w:r>
        <w:rPr>
          <w:rFonts w:ascii="Century Gothic" w:eastAsia="Century Gothic" w:hAnsi="Century Gothic" w:cs="Century Gothic"/>
          <w:sz w:val="24"/>
          <w:szCs w:val="24"/>
        </w:rPr>
        <w:t>Que, el artículo 3 de la Ley Orgánica de Transporte Terrestre, Tránsito y Seg</w:t>
      </w:r>
      <w:r>
        <w:rPr>
          <w:rFonts w:ascii="Century Gothic" w:eastAsia="Century Gothic" w:hAnsi="Century Gothic" w:cs="Century Gothic"/>
          <w:sz w:val="24"/>
          <w:szCs w:val="24"/>
        </w:rPr>
        <w:t xml:space="preserve">uridad Vial, en adelante («LOTTTSV»)  determina que </w:t>
      </w:r>
      <w:r>
        <w:rPr>
          <w:rFonts w:ascii="Century Gothic" w:eastAsia="Century Gothic" w:hAnsi="Century Gothic" w:cs="Century Gothic"/>
          <w:i/>
          <w:sz w:val="24"/>
          <w:szCs w:val="24"/>
        </w:rPr>
        <w:t>“el Estado garantizará que la prestación del servicio de transporte público se ajuste a los principios de seguridad, eficiencia, responsabilidad, universalidad, accesibilidad, continuidad y calidad, con t</w:t>
      </w:r>
      <w:r>
        <w:rPr>
          <w:rFonts w:ascii="Century Gothic" w:eastAsia="Century Gothic" w:hAnsi="Century Gothic" w:cs="Century Gothic"/>
          <w:i/>
          <w:sz w:val="24"/>
          <w:szCs w:val="24"/>
        </w:rPr>
        <w:t>arifas socialmente justas.”;</w:t>
      </w:r>
    </w:p>
    <w:p w14:paraId="00000013" w14:textId="77777777" w:rsidR="00214365" w:rsidRDefault="00601944">
      <w:pPr>
        <w:spacing w:before="240" w:after="240" w:line="276" w:lineRule="auto"/>
        <w:ind w:left="720"/>
        <w:jc w:val="both"/>
        <w:rPr>
          <w:rFonts w:ascii="Century Gothic" w:eastAsia="Century Gothic" w:hAnsi="Century Gothic" w:cs="Century Gothic"/>
          <w:i/>
          <w:sz w:val="24"/>
          <w:szCs w:val="24"/>
        </w:rPr>
      </w:pPr>
      <w:r>
        <w:rPr>
          <w:rFonts w:ascii="Century Gothic" w:eastAsia="Century Gothic" w:hAnsi="Century Gothic" w:cs="Century Gothic"/>
          <w:sz w:val="24"/>
          <w:szCs w:val="24"/>
        </w:rPr>
        <w:t>Que</w:t>
      </w:r>
      <w:r>
        <w:rPr>
          <w:rFonts w:ascii="Century Gothic" w:eastAsia="Century Gothic" w:hAnsi="Century Gothic" w:cs="Century Gothic"/>
          <w:i/>
          <w:sz w:val="24"/>
          <w:szCs w:val="24"/>
        </w:rPr>
        <w:t>, en la disposición Trigésima Sexta indica “Los Gobiernos Autónomos Descentralizados podrán establecer la posibilidad de sustituir las sanciones administrativas pecuniarias derivadas de sus Ordenanzas, por un número de horas</w:t>
      </w:r>
      <w:r>
        <w:rPr>
          <w:rFonts w:ascii="Century Gothic" w:eastAsia="Century Gothic" w:hAnsi="Century Gothic" w:cs="Century Gothic"/>
          <w:i/>
          <w:sz w:val="24"/>
          <w:szCs w:val="24"/>
        </w:rPr>
        <w:t xml:space="preserve"> de servicio comunitario en aplicación del principio de proporcionalidad”.</w:t>
      </w:r>
    </w:p>
    <w:p w14:paraId="00000014" w14:textId="77777777" w:rsidR="00214365" w:rsidRDefault="00601944">
      <w:pPr>
        <w:spacing w:before="240" w:after="240" w:line="276" w:lineRule="auto"/>
        <w:ind w:left="720"/>
        <w:jc w:val="both"/>
        <w:rPr>
          <w:rFonts w:ascii="Century Gothic" w:eastAsia="Century Gothic" w:hAnsi="Century Gothic" w:cs="Century Gothic"/>
          <w:i/>
          <w:sz w:val="24"/>
          <w:szCs w:val="24"/>
        </w:rPr>
      </w:pPr>
      <w:r>
        <w:rPr>
          <w:rFonts w:ascii="Century Gothic" w:eastAsia="Century Gothic" w:hAnsi="Century Gothic" w:cs="Century Gothic"/>
          <w:sz w:val="24"/>
          <w:szCs w:val="24"/>
        </w:rPr>
        <w:t>Que</w:t>
      </w:r>
      <w:r>
        <w:rPr>
          <w:rFonts w:ascii="Century Gothic" w:eastAsia="Century Gothic" w:hAnsi="Century Gothic" w:cs="Century Gothic"/>
          <w:i/>
          <w:sz w:val="24"/>
          <w:szCs w:val="24"/>
        </w:rPr>
        <w:t xml:space="preserve">,  en la disposición cuadragésima de la  </w:t>
      </w:r>
      <w:r>
        <w:rPr>
          <w:rFonts w:ascii="Century Gothic" w:eastAsia="Century Gothic" w:hAnsi="Century Gothic" w:cs="Century Gothic"/>
          <w:sz w:val="24"/>
          <w:szCs w:val="24"/>
        </w:rPr>
        <w:t>LOTTTSV determina “</w:t>
      </w:r>
      <w:r>
        <w:rPr>
          <w:rFonts w:ascii="Century Gothic" w:eastAsia="Century Gothic" w:hAnsi="Century Gothic" w:cs="Century Gothic"/>
          <w:i/>
          <w:sz w:val="24"/>
          <w:szCs w:val="24"/>
        </w:rPr>
        <w:t xml:space="preserve">Todo operativo de control de tránsito y transporte dispuesto por los Gobiernos Autónomos Descentralizados, la Policía </w:t>
      </w:r>
      <w:r>
        <w:rPr>
          <w:rFonts w:ascii="Century Gothic" w:eastAsia="Century Gothic" w:hAnsi="Century Gothic" w:cs="Century Gothic"/>
          <w:i/>
          <w:sz w:val="24"/>
          <w:szCs w:val="24"/>
        </w:rPr>
        <w:t>Nacional o la Comisión de Tránsito del Ecuador dentro de sus jurisdicciones y en ámbito de sus competencias, deberá constar dentro de la programación en sus órdenes de cuerpo o servicio, en donde se hará constar; la situación por controlar, el número de pe</w:t>
      </w:r>
      <w:r>
        <w:rPr>
          <w:rFonts w:ascii="Century Gothic" w:eastAsia="Century Gothic" w:hAnsi="Century Gothic" w:cs="Century Gothic"/>
          <w:i/>
          <w:sz w:val="24"/>
          <w:szCs w:val="24"/>
        </w:rPr>
        <w:t xml:space="preserve">rsonal operativo de </w:t>
      </w:r>
      <w:r>
        <w:rPr>
          <w:rFonts w:ascii="Century Gothic" w:eastAsia="Century Gothic" w:hAnsi="Century Gothic" w:cs="Century Gothic"/>
          <w:i/>
          <w:sz w:val="24"/>
          <w:szCs w:val="24"/>
        </w:rPr>
        <w:lastRenderedPageBreak/>
        <w:t>control, el sector o ubicación del operativo, el tiempo de duración, y quién estará a cargo del mismo”.</w:t>
      </w:r>
    </w:p>
    <w:p w14:paraId="00000015" w14:textId="77777777" w:rsidR="00214365" w:rsidRDefault="00601944">
      <w:pPr>
        <w:spacing w:before="240" w:after="240" w:line="276" w:lineRule="auto"/>
        <w:ind w:left="720"/>
        <w:jc w:val="both"/>
        <w:rPr>
          <w:rFonts w:ascii="Century Gothic" w:eastAsia="Century Gothic" w:hAnsi="Century Gothic" w:cs="Century Gothic"/>
          <w:i/>
          <w:sz w:val="24"/>
          <w:szCs w:val="24"/>
        </w:rPr>
      </w:pPr>
      <w:r>
        <w:rPr>
          <w:rFonts w:ascii="Century Gothic" w:eastAsia="Century Gothic" w:hAnsi="Century Gothic" w:cs="Century Gothic"/>
          <w:i/>
          <w:sz w:val="24"/>
          <w:szCs w:val="24"/>
        </w:rPr>
        <w:t>Que, la ley ibídem en sus disposiciones Quincuagésima Cuarta y Derogatoria única, señalan respectivamente lo siguiente: “Por su espe</w:t>
      </w:r>
      <w:r>
        <w:rPr>
          <w:rFonts w:ascii="Century Gothic" w:eastAsia="Century Gothic" w:hAnsi="Century Gothic" w:cs="Century Gothic"/>
          <w:i/>
          <w:sz w:val="24"/>
          <w:szCs w:val="24"/>
        </w:rPr>
        <w:t xml:space="preserve">cificidad en la materia de transporte terrestre, tránsito y seguridad vial, esta Ley prevalecerá sobre cualquier otra de igual o inferior rango.” “(…) Además </w:t>
      </w:r>
      <w:proofErr w:type="spellStart"/>
      <w:r>
        <w:rPr>
          <w:rFonts w:ascii="Century Gothic" w:eastAsia="Century Gothic" w:hAnsi="Century Gothic" w:cs="Century Gothic"/>
          <w:i/>
          <w:sz w:val="24"/>
          <w:szCs w:val="24"/>
        </w:rPr>
        <w:t>derógase</w:t>
      </w:r>
      <w:proofErr w:type="spellEnd"/>
      <w:r>
        <w:rPr>
          <w:rFonts w:ascii="Century Gothic" w:eastAsia="Century Gothic" w:hAnsi="Century Gothic" w:cs="Century Gothic"/>
          <w:i/>
          <w:sz w:val="24"/>
          <w:szCs w:val="24"/>
        </w:rPr>
        <w:t xml:space="preserve"> toda norma de igual o menor jerarquía que se opongan a las disposiciones de la presente L</w:t>
      </w:r>
      <w:r>
        <w:rPr>
          <w:rFonts w:ascii="Century Gothic" w:eastAsia="Century Gothic" w:hAnsi="Century Gothic" w:cs="Century Gothic"/>
          <w:i/>
          <w:sz w:val="24"/>
          <w:szCs w:val="24"/>
        </w:rPr>
        <w:t>ey.”</w:t>
      </w:r>
    </w:p>
    <w:p w14:paraId="00000017" w14:textId="77777777" w:rsidR="00214365" w:rsidRDefault="00214365" w:rsidP="00BD1D02">
      <w:pPr>
        <w:spacing w:before="240" w:after="240" w:line="276" w:lineRule="auto"/>
        <w:jc w:val="both"/>
        <w:rPr>
          <w:rFonts w:ascii="Century Gothic" w:eastAsia="Century Gothic" w:hAnsi="Century Gothic" w:cs="Century Gothic"/>
          <w:i/>
          <w:sz w:val="24"/>
          <w:szCs w:val="24"/>
        </w:rPr>
      </w:pPr>
    </w:p>
    <w:p w14:paraId="00000019" w14:textId="2191574D" w:rsidR="00214365" w:rsidRDefault="00601944" w:rsidP="00BD1D02">
      <w:pPr>
        <w:spacing w:after="200" w:line="276"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En ejercicio de sus atribuciones legales constantes en los artículos 30, 31, 240 y 264 numerales 1 y 2 y 266 de la Constitución de la República del Ecuador; Art. 84 literal c), Art. 87 literales a) y x); Art. 322 del Código Orgánico de Organización Territo</w:t>
      </w:r>
      <w:r>
        <w:rPr>
          <w:rFonts w:ascii="Century Gothic" w:eastAsia="Century Gothic" w:hAnsi="Century Gothic" w:cs="Century Gothic"/>
          <w:b/>
          <w:sz w:val="24"/>
          <w:szCs w:val="24"/>
        </w:rPr>
        <w:t xml:space="preserve">rial Autonomía y Descentralización y, 8 de la Ley Orgánica de Régimen para el Distrito Metropolitano de Quito. </w:t>
      </w:r>
    </w:p>
    <w:p w14:paraId="5FCEE52F" w14:textId="77777777" w:rsidR="00BD1D02" w:rsidRPr="00BD1D02" w:rsidRDefault="00BD1D02" w:rsidP="00BD1D02">
      <w:pPr>
        <w:spacing w:after="200" w:line="276" w:lineRule="auto"/>
        <w:jc w:val="both"/>
        <w:rPr>
          <w:rFonts w:ascii="Century Gothic" w:eastAsia="Century Gothic" w:hAnsi="Century Gothic" w:cs="Century Gothic"/>
          <w:b/>
          <w:sz w:val="24"/>
          <w:szCs w:val="24"/>
        </w:rPr>
      </w:pPr>
    </w:p>
    <w:p w14:paraId="0000001A" w14:textId="77777777" w:rsidR="00214365" w:rsidRDefault="00601944">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EXPIDE LA SIGUIENTE:</w:t>
      </w:r>
    </w:p>
    <w:p w14:paraId="0000001B" w14:textId="3C98B794" w:rsidR="00214365" w:rsidRDefault="00601944">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ORDENANZA METROPOLITANA REFORMATORIA AL CÓDIGO MUNICIPAL REFERENTE A LA REGULAC</w:t>
      </w:r>
      <w:r w:rsidR="00BD1D02">
        <w:rPr>
          <w:rFonts w:ascii="Century Gothic" w:eastAsia="Century Gothic" w:hAnsi="Century Gothic" w:cs="Century Gothic"/>
          <w:b/>
          <w:sz w:val="24"/>
          <w:szCs w:val="24"/>
        </w:rPr>
        <w:t>IÓN DE LA CIRCULACIÓN VEHICULAR</w:t>
      </w:r>
    </w:p>
    <w:p w14:paraId="0000001C" w14:textId="07F84E51" w:rsidR="00214365" w:rsidRDefault="00601944">
      <w:pPr>
        <w:spacing w:before="240" w:after="240"/>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1. -</w:t>
      </w:r>
      <w:r w:rsidR="00BD1D02">
        <w:rPr>
          <w:rFonts w:ascii="Century Gothic" w:eastAsia="Century Gothic" w:hAnsi="Century Gothic" w:cs="Century Gothic"/>
          <w:sz w:val="24"/>
          <w:szCs w:val="24"/>
        </w:rPr>
        <w:t xml:space="preserve"> Reformar el artículo 2617 </w:t>
      </w:r>
      <w:r>
        <w:rPr>
          <w:rFonts w:ascii="Century Gothic" w:eastAsia="Century Gothic" w:hAnsi="Century Gothic" w:cs="Century Gothic"/>
          <w:sz w:val="24"/>
          <w:szCs w:val="24"/>
        </w:rPr>
        <w:t>del Código Municipal agregando el siguiente texto:</w:t>
      </w:r>
    </w:p>
    <w:p w14:paraId="0000001D" w14:textId="77777777" w:rsidR="00214365" w:rsidRDefault="00601944">
      <w:pPr>
        <w:spacing w:before="240" w:after="240"/>
        <w:ind w:left="720"/>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2617.- Medidas de regulación de la circulación vehicular.-</w:t>
      </w:r>
      <w:r>
        <w:rPr>
          <w:rFonts w:ascii="Century Gothic" w:eastAsia="Century Gothic" w:hAnsi="Century Gothic" w:cs="Century Gothic"/>
          <w:sz w:val="24"/>
          <w:szCs w:val="24"/>
        </w:rPr>
        <w:t xml:space="preserve"> El Municipio del Distrito Metropolitano de Quito, podrá implementar medidas de regulación de la</w:t>
      </w:r>
      <w:r>
        <w:rPr>
          <w:rFonts w:ascii="Century Gothic" w:eastAsia="Century Gothic" w:hAnsi="Century Gothic" w:cs="Century Gothic"/>
          <w:sz w:val="24"/>
          <w:szCs w:val="24"/>
        </w:rPr>
        <w:t xml:space="preserve"> circulación vehicular por zonas y/u horarios.</w:t>
      </w:r>
    </w:p>
    <w:p w14:paraId="0000001E" w14:textId="77777777" w:rsidR="00214365" w:rsidRDefault="00601944">
      <w:pPr>
        <w:spacing w:before="240" w:after="240"/>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El Alcalde de Quito expedirá e implementará planes de restricción y regulación de la circulación vehicular de conformidad con el Plan Maestro de Movilidad, con el fin de optimizar la circulación vehicular, agi</w:t>
      </w:r>
      <w:r>
        <w:rPr>
          <w:rFonts w:ascii="Century Gothic" w:eastAsia="Century Gothic" w:hAnsi="Century Gothic" w:cs="Century Gothic"/>
          <w:sz w:val="24"/>
          <w:szCs w:val="24"/>
        </w:rPr>
        <w:t xml:space="preserve">lizar la fluidez del tráfico, procurar una circulación segura y con mayor comodidad, reducir los índices de contaminación ambiental, disminuir el consumo energético y racionalizar los viajes motorizados, las mismas que deberán ser aprobadas por el Concejo </w:t>
      </w:r>
      <w:r>
        <w:rPr>
          <w:rFonts w:ascii="Century Gothic" w:eastAsia="Century Gothic" w:hAnsi="Century Gothic" w:cs="Century Gothic"/>
          <w:sz w:val="24"/>
          <w:szCs w:val="24"/>
        </w:rPr>
        <w:t>Metropolitano.</w:t>
      </w:r>
    </w:p>
    <w:p w14:paraId="0000001F" w14:textId="77777777" w:rsidR="00214365" w:rsidRDefault="00601944">
      <w:pPr>
        <w:spacing w:before="240" w:after="240"/>
        <w:ind w:left="720"/>
        <w:jc w:val="both"/>
        <w:rPr>
          <w:rFonts w:ascii="Century Gothic" w:eastAsia="Century Gothic" w:hAnsi="Century Gothic" w:cs="Century Gothic"/>
          <w:i/>
          <w:sz w:val="24"/>
          <w:szCs w:val="24"/>
        </w:rPr>
      </w:pPr>
      <w:r>
        <w:rPr>
          <w:rFonts w:ascii="Century Gothic" w:eastAsia="Century Gothic" w:hAnsi="Century Gothic" w:cs="Century Gothic"/>
          <w:sz w:val="24"/>
          <w:szCs w:val="24"/>
        </w:rPr>
        <w:lastRenderedPageBreak/>
        <w:t>El Municipio del Distrito Metropolitano de Quito, a fin de garantizar la ejecución de las medidas de restricción y regulación vehicular, realizará operativos de control, a través de sus órganos competentes.</w:t>
      </w:r>
      <w:r>
        <w:rPr>
          <w:rFonts w:ascii="Century Gothic" w:eastAsia="Century Gothic" w:hAnsi="Century Gothic" w:cs="Century Gothic"/>
          <w:i/>
          <w:sz w:val="24"/>
          <w:szCs w:val="24"/>
        </w:rPr>
        <w:t>”</w:t>
      </w:r>
    </w:p>
    <w:p w14:paraId="00000020" w14:textId="77777777" w:rsidR="00214365" w:rsidRDefault="00601944">
      <w:pPr>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2.- </w:t>
      </w:r>
      <w:r>
        <w:rPr>
          <w:rFonts w:ascii="Century Gothic" w:eastAsia="Century Gothic" w:hAnsi="Century Gothic" w:cs="Century Gothic"/>
          <w:sz w:val="24"/>
          <w:szCs w:val="24"/>
        </w:rPr>
        <w:t xml:space="preserve"> Reformar el artícul</w:t>
      </w:r>
      <w:r>
        <w:rPr>
          <w:rFonts w:ascii="Century Gothic" w:eastAsia="Century Gothic" w:hAnsi="Century Gothic" w:cs="Century Gothic"/>
          <w:sz w:val="24"/>
          <w:szCs w:val="24"/>
        </w:rPr>
        <w:t xml:space="preserve">o 2618 modificando el párrafo final por el siguiente texto: </w:t>
      </w:r>
    </w:p>
    <w:p w14:paraId="00000021" w14:textId="77777777" w:rsidR="00214365" w:rsidRDefault="00601944">
      <w:pPr>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r>
        <w:rPr>
          <w:rFonts w:ascii="Century Gothic" w:eastAsia="Century Gothic" w:hAnsi="Century Gothic" w:cs="Century Gothic"/>
          <w:b/>
          <w:sz w:val="24"/>
          <w:szCs w:val="24"/>
        </w:rPr>
        <w:t>Artículo 2618.- Excepción.-</w:t>
      </w:r>
      <w:r>
        <w:rPr>
          <w:rFonts w:ascii="Century Gothic" w:eastAsia="Century Gothic" w:hAnsi="Century Gothic" w:cs="Century Gothic"/>
          <w:sz w:val="24"/>
          <w:szCs w:val="24"/>
        </w:rPr>
        <w:t xml:space="preserve"> Se exceptúa de la disposición del segundo inciso del artículo precedente a los vehículos:</w:t>
      </w:r>
    </w:p>
    <w:p w14:paraId="00000022" w14:textId="77777777" w:rsidR="00214365" w:rsidRDefault="00601944">
      <w:pPr>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c. De transporte de personas con discapacidades</w:t>
      </w:r>
    </w:p>
    <w:p w14:paraId="00000024" w14:textId="5BE13990" w:rsidR="00214365" w:rsidRDefault="00601944" w:rsidP="00BD1D02">
      <w:pPr>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Para el caso del literal c) </w:t>
      </w:r>
      <w:r>
        <w:rPr>
          <w:rFonts w:ascii="Century Gothic" w:eastAsia="Century Gothic" w:hAnsi="Century Gothic" w:cs="Century Gothic"/>
          <w:sz w:val="24"/>
          <w:szCs w:val="24"/>
        </w:rPr>
        <w:t>será suficiente portar el carnet del Consejo Nacional de Discapacidades (CONADIS).¨</w:t>
      </w:r>
    </w:p>
    <w:p w14:paraId="00000025" w14:textId="079C40C5" w:rsidR="00214365" w:rsidRDefault="00601944">
      <w:pPr>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3.-</w:t>
      </w:r>
      <w:r w:rsidR="00D463B4">
        <w:rPr>
          <w:rFonts w:ascii="Century Gothic" w:eastAsia="Century Gothic" w:hAnsi="Century Gothic" w:cs="Century Gothic"/>
          <w:sz w:val="24"/>
          <w:szCs w:val="24"/>
        </w:rPr>
        <w:t xml:space="preserve"> Eliminarse el artículo </w:t>
      </w:r>
      <w:r w:rsidR="00BD1D02">
        <w:rPr>
          <w:rFonts w:ascii="Century Gothic" w:eastAsia="Century Gothic" w:hAnsi="Century Gothic" w:cs="Century Gothic"/>
          <w:sz w:val="24"/>
          <w:szCs w:val="24"/>
        </w:rPr>
        <w:t>2619.</w:t>
      </w:r>
    </w:p>
    <w:p w14:paraId="00000026" w14:textId="5F2D9D88" w:rsidR="00214365" w:rsidRDefault="00601944">
      <w:pPr>
        <w:jc w:val="both"/>
        <w:rPr>
          <w:rFonts w:ascii="Century Gothic" w:eastAsia="Century Gothic" w:hAnsi="Century Gothic" w:cs="Century Gothic"/>
          <w:i/>
          <w:sz w:val="24"/>
          <w:szCs w:val="24"/>
        </w:rPr>
      </w:pPr>
      <w:r>
        <w:rPr>
          <w:rFonts w:ascii="Century Gothic" w:eastAsia="Century Gothic" w:hAnsi="Century Gothic" w:cs="Century Gothic"/>
          <w:b/>
          <w:sz w:val="24"/>
          <w:szCs w:val="24"/>
        </w:rPr>
        <w:t xml:space="preserve">Artículo 4.- </w:t>
      </w:r>
      <w:r>
        <w:rPr>
          <w:rFonts w:ascii="Century Gothic" w:eastAsia="Century Gothic" w:hAnsi="Century Gothic" w:cs="Century Gothic"/>
          <w:sz w:val="24"/>
          <w:szCs w:val="24"/>
        </w:rPr>
        <w:t>Elim</w:t>
      </w:r>
      <w:r w:rsidR="00BD1D02">
        <w:rPr>
          <w:rFonts w:ascii="Century Gothic" w:eastAsia="Century Gothic" w:hAnsi="Century Gothic" w:cs="Century Gothic"/>
          <w:sz w:val="24"/>
          <w:szCs w:val="24"/>
        </w:rPr>
        <w:t xml:space="preserve">inar del artículo 2623 la frase </w:t>
      </w:r>
      <w:r>
        <w:rPr>
          <w:rFonts w:ascii="Century Gothic" w:eastAsia="Century Gothic" w:hAnsi="Century Gothic" w:cs="Century Gothic"/>
          <w:sz w:val="24"/>
          <w:szCs w:val="24"/>
        </w:rPr>
        <w:t xml:space="preserve">“por la comisión </w:t>
      </w:r>
      <w:r w:rsidR="00BD1D02">
        <w:rPr>
          <w:rFonts w:ascii="Century Gothic" w:eastAsia="Century Gothic" w:hAnsi="Century Gothic" w:cs="Century Gothic"/>
          <w:sz w:val="24"/>
          <w:szCs w:val="24"/>
        </w:rPr>
        <w:t>de la infracción administrativa</w:t>
      </w:r>
      <w:r>
        <w:rPr>
          <w:rFonts w:ascii="Century Gothic" w:eastAsia="Century Gothic" w:hAnsi="Century Gothic" w:cs="Century Gothic"/>
          <w:sz w:val="24"/>
          <w:szCs w:val="24"/>
        </w:rPr>
        <w:t xml:space="preserve"> “.</w:t>
      </w:r>
    </w:p>
    <w:p w14:paraId="00000027" w14:textId="1103E37D" w:rsidR="00214365" w:rsidRDefault="00BD1D02">
      <w:pPr>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r w:rsidR="00601944">
        <w:rPr>
          <w:rFonts w:ascii="Century Gothic" w:eastAsia="Century Gothic" w:hAnsi="Century Gothic" w:cs="Century Gothic"/>
          <w:b/>
          <w:sz w:val="24"/>
          <w:szCs w:val="24"/>
        </w:rPr>
        <w:t>Artículo 2623.-</w:t>
      </w:r>
      <w:r w:rsidR="00601944">
        <w:rPr>
          <w:rFonts w:ascii="Century Gothic" w:eastAsia="Century Gothic" w:hAnsi="Century Gothic" w:cs="Century Gothic"/>
          <w:sz w:val="24"/>
          <w:szCs w:val="24"/>
        </w:rPr>
        <w:t xml:space="preserve"> Los prop</w:t>
      </w:r>
      <w:r w:rsidR="00601944">
        <w:rPr>
          <w:rFonts w:ascii="Century Gothic" w:eastAsia="Century Gothic" w:hAnsi="Century Gothic" w:cs="Century Gothic"/>
          <w:sz w:val="24"/>
          <w:szCs w:val="24"/>
        </w:rPr>
        <w:t>ietarios de los vehículos que circulen en contravención de los planes de restricción y de regulación serán sancionados, a través del órgano administrativo competente, por la comisión de la infracción administrativa, con una multa equivalente al 15% de un s</w:t>
      </w:r>
      <w:r w:rsidR="00601944">
        <w:rPr>
          <w:rFonts w:ascii="Century Gothic" w:eastAsia="Century Gothic" w:hAnsi="Century Gothic" w:cs="Century Gothic"/>
          <w:sz w:val="24"/>
          <w:szCs w:val="24"/>
        </w:rPr>
        <w:t>alario básico unificado; en caso de reincidencia, por segunda ocasión, con una multa equivalente al 25% de un salario básico unificado; y, en caso de reincidencia, por tercera ocasión o más, con una multa equivalente al 50% de un salario básico unificado</w:t>
      </w:r>
      <w:r>
        <w:rPr>
          <w:rFonts w:ascii="Century Gothic" w:eastAsia="Century Gothic" w:hAnsi="Century Gothic" w:cs="Century Gothic"/>
          <w:sz w:val="24"/>
          <w:szCs w:val="24"/>
        </w:rPr>
        <w:t>.</w:t>
      </w:r>
    </w:p>
    <w:p w14:paraId="00000028" w14:textId="77777777" w:rsidR="00214365" w:rsidRDefault="00601944">
      <w:pPr>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E</w:t>
      </w:r>
      <w:r>
        <w:rPr>
          <w:rFonts w:ascii="Century Gothic" w:eastAsia="Century Gothic" w:hAnsi="Century Gothic" w:cs="Century Gothic"/>
          <w:sz w:val="24"/>
          <w:szCs w:val="24"/>
        </w:rPr>
        <w:t>n cualquier caso, alternativamente, se podrá pagar la sanción con trabajo comunitario de conformidad con la norma de aplicación respectiva que se expida para el efecto.</w:t>
      </w:r>
    </w:p>
    <w:p w14:paraId="00000029" w14:textId="6EC28282" w:rsidR="00214365" w:rsidRDefault="00601944">
      <w:pPr>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Los recursos recaudados por efectos de las multas aquí establecidas, se utilizarán pref</w:t>
      </w:r>
      <w:r>
        <w:rPr>
          <w:rFonts w:ascii="Century Gothic" w:eastAsia="Century Gothic" w:hAnsi="Century Gothic" w:cs="Century Gothic"/>
          <w:sz w:val="24"/>
          <w:szCs w:val="24"/>
        </w:rPr>
        <w:t>erentemente en la ejecución de obra</w:t>
      </w:r>
      <w:r w:rsidR="00BD1D02">
        <w:rPr>
          <w:rFonts w:ascii="Century Gothic" w:eastAsia="Century Gothic" w:hAnsi="Century Gothic" w:cs="Century Gothic"/>
          <w:sz w:val="24"/>
          <w:szCs w:val="24"/>
        </w:rPr>
        <w:t xml:space="preserve">s tendientes a la construcción, mantenimiento </w:t>
      </w:r>
      <w:r>
        <w:rPr>
          <w:rFonts w:ascii="Century Gothic" w:eastAsia="Century Gothic" w:hAnsi="Century Gothic" w:cs="Century Gothic"/>
          <w:sz w:val="24"/>
          <w:szCs w:val="24"/>
        </w:rPr>
        <w:t>y promoción de la movilidad no motorizada.¨</w:t>
      </w:r>
    </w:p>
    <w:p w14:paraId="0000002A" w14:textId="77777777" w:rsidR="00214365" w:rsidRDefault="00601944">
      <w:pPr>
        <w:jc w:val="both"/>
        <w:rPr>
          <w:rFonts w:ascii="Century Gothic" w:eastAsia="Century Gothic" w:hAnsi="Century Gothic" w:cs="Century Gothic"/>
          <w:i/>
          <w:sz w:val="24"/>
          <w:szCs w:val="24"/>
        </w:rPr>
      </w:pPr>
      <w:r>
        <w:rPr>
          <w:rFonts w:ascii="Century Gothic" w:eastAsia="Century Gothic" w:hAnsi="Century Gothic" w:cs="Century Gothic"/>
          <w:b/>
          <w:sz w:val="24"/>
          <w:szCs w:val="24"/>
        </w:rPr>
        <w:t xml:space="preserve">Artículo 5.- </w:t>
      </w:r>
      <w:r>
        <w:rPr>
          <w:rFonts w:ascii="Century Gothic" w:eastAsia="Century Gothic" w:hAnsi="Century Gothic" w:cs="Century Gothic"/>
          <w:sz w:val="24"/>
          <w:szCs w:val="24"/>
        </w:rPr>
        <w:t>Reformar el artículo 2625 por el siguiente texto:</w:t>
      </w:r>
    </w:p>
    <w:p w14:paraId="0000002B" w14:textId="7696EAC8" w:rsidR="00214365" w:rsidRDefault="00BD1D02">
      <w:pPr>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r w:rsidR="00601944">
        <w:rPr>
          <w:rFonts w:ascii="Century Gothic" w:eastAsia="Century Gothic" w:hAnsi="Century Gothic" w:cs="Century Gothic"/>
          <w:b/>
          <w:sz w:val="24"/>
          <w:szCs w:val="24"/>
        </w:rPr>
        <w:t>A</w:t>
      </w:r>
      <w:r w:rsidR="00601944">
        <w:rPr>
          <w:rFonts w:ascii="Century Gothic" w:eastAsia="Century Gothic" w:hAnsi="Century Gothic" w:cs="Century Gothic"/>
          <w:b/>
          <w:sz w:val="24"/>
          <w:szCs w:val="24"/>
        </w:rPr>
        <w:t>rtículo 2625.-</w:t>
      </w:r>
      <w:r w:rsidR="00601944">
        <w:rPr>
          <w:rFonts w:ascii="Century Gothic" w:eastAsia="Century Gothic" w:hAnsi="Century Gothic" w:cs="Century Gothic"/>
          <w:sz w:val="24"/>
          <w:szCs w:val="24"/>
        </w:rPr>
        <w:t xml:space="preserve"> El Municipio del Distrito Metropolitano de Quito, a</w:t>
      </w:r>
      <w:r w:rsidR="00601944">
        <w:rPr>
          <w:rFonts w:ascii="Century Gothic" w:eastAsia="Century Gothic" w:hAnsi="Century Gothic" w:cs="Century Gothic"/>
          <w:sz w:val="24"/>
          <w:szCs w:val="24"/>
        </w:rPr>
        <w:t xml:space="preserve"> través del órgano administrativo competente, luego de emitir el documento de la infracción, retirará el vehículo de la vía pública a un estacionamiento particular o público cercano </w:t>
      </w:r>
      <w:r>
        <w:rPr>
          <w:rFonts w:ascii="Century Gothic" w:eastAsia="Century Gothic" w:hAnsi="Century Gothic" w:cs="Century Gothic"/>
          <w:sz w:val="24"/>
          <w:szCs w:val="24"/>
        </w:rPr>
        <w:t>o</w:t>
      </w:r>
      <w:r w:rsidR="00601944">
        <w:rPr>
          <w:rFonts w:ascii="Century Gothic" w:eastAsia="Century Gothic" w:hAnsi="Century Gothic" w:cs="Century Gothic"/>
          <w:sz w:val="24"/>
          <w:szCs w:val="24"/>
        </w:rPr>
        <w:t xml:space="preserve"> fuera de los límites de restricción</w:t>
      </w:r>
      <w:r>
        <w:rPr>
          <w:rFonts w:ascii="Century Gothic" w:eastAsia="Century Gothic" w:hAnsi="Century Gothic" w:cs="Century Gothic"/>
          <w:sz w:val="24"/>
          <w:szCs w:val="24"/>
        </w:rPr>
        <w:t xml:space="preserve">, </w:t>
      </w:r>
      <w:r w:rsidR="00601944">
        <w:rPr>
          <w:rFonts w:ascii="Century Gothic" w:eastAsia="Century Gothic" w:hAnsi="Century Gothic" w:cs="Century Gothic"/>
          <w:sz w:val="24"/>
          <w:szCs w:val="24"/>
        </w:rPr>
        <w:t xml:space="preserve">para el efecto no será necesario el </w:t>
      </w:r>
      <w:r w:rsidR="00601944">
        <w:rPr>
          <w:rFonts w:ascii="Century Gothic" w:eastAsia="Century Gothic" w:hAnsi="Century Gothic" w:cs="Century Gothic"/>
          <w:sz w:val="24"/>
          <w:szCs w:val="24"/>
        </w:rPr>
        <w:t xml:space="preserve">uso de </w:t>
      </w:r>
      <w:proofErr w:type="spellStart"/>
      <w:r w:rsidR="00601944">
        <w:rPr>
          <w:rFonts w:ascii="Century Gothic" w:eastAsia="Century Gothic" w:hAnsi="Century Gothic" w:cs="Century Gothic"/>
          <w:sz w:val="24"/>
          <w:szCs w:val="24"/>
        </w:rPr>
        <w:t>winchas</w:t>
      </w:r>
      <w:proofErr w:type="spellEnd"/>
      <w:r w:rsidR="00601944">
        <w:rPr>
          <w:rFonts w:ascii="Century Gothic" w:eastAsia="Century Gothic" w:hAnsi="Century Gothic" w:cs="Century Gothic"/>
          <w:sz w:val="24"/>
          <w:szCs w:val="24"/>
        </w:rPr>
        <w:t xml:space="preserve"> o plataformas </w:t>
      </w:r>
      <w:proofErr w:type="spellStart"/>
      <w:r w:rsidR="00601944">
        <w:rPr>
          <w:rFonts w:ascii="Century Gothic" w:eastAsia="Century Gothic" w:hAnsi="Century Gothic" w:cs="Century Gothic"/>
          <w:sz w:val="24"/>
          <w:szCs w:val="24"/>
        </w:rPr>
        <w:t>autocargables</w:t>
      </w:r>
      <w:proofErr w:type="spellEnd"/>
      <w:r w:rsidR="00601944">
        <w:rPr>
          <w:rFonts w:ascii="Century Gothic" w:eastAsia="Century Gothic" w:hAnsi="Century Gothic" w:cs="Century Gothic"/>
          <w:sz w:val="24"/>
          <w:szCs w:val="24"/>
        </w:rPr>
        <w:t>.</w:t>
      </w:r>
    </w:p>
    <w:p w14:paraId="0000002C" w14:textId="606207C3" w:rsidR="00214365" w:rsidRDefault="00601944">
      <w:pPr>
        <w:jc w:val="both"/>
        <w:rPr>
          <w:rFonts w:ascii="Century Gothic" w:eastAsia="Century Gothic" w:hAnsi="Century Gothic" w:cs="Century Gothic"/>
          <w:i/>
          <w:sz w:val="24"/>
          <w:szCs w:val="24"/>
        </w:rPr>
      </w:pPr>
      <w:r>
        <w:rPr>
          <w:rFonts w:ascii="Century Gothic" w:eastAsia="Century Gothic" w:hAnsi="Century Gothic" w:cs="Century Gothic"/>
          <w:b/>
          <w:sz w:val="24"/>
          <w:szCs w:val="24"/>
        </w:rPr>
        <w:lastRenderedPageBreak/>
        <w:t xml:space="preserve">Artículo 6.- </w:t>
      </w:r>
      <w:r w:rsidR="00D463B4">
        <w:rPr>
          <w:rFonts w:ascii="Century Gothic" w:eastAsia="Century Gothic" w:hAnsi="Century Gothic" w:cs="Century Gothic"/>
          <w:sz w:val="24"/>
          <w:szCs w:val="24"/>
        </w:rPr>
        <w:t>Elimínese</w:t>
      </w:r>
      <w:r>
        <w:rPr>
          <w:rFonts w:ascii="Century Gothic" w:eastAsia="Century Gothic" w:hAnsi="Century Gothic" w:cs="Century Gothic"/>
          <w:sz w:val="24"/>
          <w:szCs w:val="24"/>
        </w:rPr>
        <w:t xml:space="preserve"> el artículo 2766:</w:t>
      </w:r>
    </w:p>
    <w:p w14:paraId="0000002D" w14:textId="7492416E" w:rsidR="00214365" w:rsidRDefault="00BD1D02">
      <w:pPr>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r w:rsidR="00601944">
        <w:rPr>
          <w:rFonts w:ascii="Century Gothic" w:eastAsia="Century Gothic" w:hAnsi="Century Gothic" w:cs="Century Gothic"/>
          <w:b/>
          <w:sz w:val="24"/>
          <w:szCs w:val="24"/>
        </w:rPr>
        <w:t>Artículo 2766.- Las infracciones administrativas</w:t>
      </w:r>
      <w:r w:rsidR="00601944">
        <w:rPr>
          <w:rFonts w:ascii="Century Gothic" w:eastAsia="Century Gothic" w:hAnsi="Century Gothic" w:cs="Century Gothic"/>
          <w:sz w:val="24"/>
          <w:szCs w:val="24"/>
        </w:rPr>
        <w:t xml:space="preserve"> relativas a la medida de restricción de circulación vehicular que hayan sido detectadas en flagrancia, serán sancionadas </w:t>
      </w:r>
      <w:r w:rsidR="00601944">
        <w:rPr>
          <w:rFonts w:ascii="Century Gothic" w:eastAsia="Century Gothic" w:hAnsi="Century Gothic" w:cs="Century Gothic"/>
          <w:sz w:val="24"/>
          <w:szCs w:val="24"/>
        </w:rPr>
        <w:t>según el procedimiento establecido en la normativa metropolitana vigente en la materia, o las disposiciones que las sustituyan.¨</w:t>
      </w:r>
    </w:p>
    <w:p w14:paraId="0000002E" w14:textId="5259F0BB" w:rsidR="00214365" w:rsidRDefault="00601944">
      <w:pPr>
        <w:jc w:val="both"/>
        <w:rPr>
          <w:rFonts w:ascii="Century Gothic" w:eastAsia="Century Gothic" w:hAnsi="Century Gothic" w:cs="Century Gothic"/>
          <w:i/>
          <w:sz w:val="24"/>
          <w:szCs w:val="24"/>
        </w:rPr>
      </w:pPr>
      <w:r>
        <w:rPr>
          <w:rFonts w:ascii="Century Gothic" w:eastAsia="Century Gothic" w:hAnsi="Century Gothic" w:cs="Century Gothic"/>
          <w:b/>
          <w:sz w:val="24"/>
          <w:szCs w:val="24"/>
        </w:rPr>
        <w:t xml:space="preserve">Artículo 8.- </w:t>
      </w:r>
      <w:r w:rsidR="00BD1D02">
        <w:rPr>
          <w:rFonts w:ascii="Century Gothic" w:eastAsia="Century Gothic" w:hAnsi="Century Gothic" w:cs="Century Gothic"/>
          <w:sz w:val="24"/>
          <w:szCs w:val="24"/>
        </w:rPr>
        <w:t>Elimínese</w:t>
      </w:r>
      <w:r>
        <w:rPr>
          <w:rFonts w:ascii="Century Gothic" w:eastAsia="Century Gothic" w:hAnsi="Century Gothic" w:cs="Century Gothic"/>
          <w:sz w:val="24"/>
          <w:szCs w:val="24"/>
        </w:rPr>
        <w:t xml:space="preserve"> el artículo 3128:</w:t>
      </w:r>
    </w:p>
    <w:p w14:paraId="0000002F" w14:textId="3010D6CD" w:rsidR="00214365" w:rsidRDefault="00BD1D02">
      <w:pPr>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w:t>
      </w:r>
      <w:r w:rsidR="00601944">
        <w:rPr>
          <w:rFonts w:ascii="Century Gothic" w:eastAsia="Century Gothic" w:hAnsi="Century Gothic" w:cs="Century Gothic"/>
          <w:b/>
          <w:sz w:val="24"/>
          <w:szCs w:val="24"/>
        </w:rPr>
        <w:t>Artículo 3128.- Cambio en placas de vehículos.-</w:t>
      </w:r>
      <w:r w:rsidR="00601944">
        <w:rPr>
          <w:rFonts w:ascii="Century Gothic" w:eastAsia="Century Gothic" w:hAnsi="Century Gothic" w:cs="Century Gothic"/>
          <w:sz w:val="24"/>
          <w:szCs w:val="24"/>
        </w:rPr>
        <w:t xml:space="preserve"> Con el propósito de facilitar el control de la circulación de los vehículos en el Distrito Metropolitano de Quito, ante la posible decisión de implantar un mecanismo de restricción de la circulación vehicular con fines de mejorar la movilidad y de reducir</w:t>
      </w:r>
      <w:r w:rsidR="00601944">
        <w:rPr>
          <w:rFonts w:ascii="Century Gothic" w:eastAsia="Century Gothic" w:hAnsi="Century Gothic" w:cs="Century Gothic"/>
          <w:sz w:val="24"/>
          <w:szCs w:val="24"/>
        </w:rPr>
        <w:t xml:space="preserve"> la generación de emisiones contaminantes a la atmósfera, las placas de los vehículos matriculados en el Distrito Metropolitano de Quito, tendrán, además de las características previstas en el Reglamento General para la aplicación de la Ley Orgánica de Tra</w:t>
      </w:r>
      <w:r w:rsidR="00601944">
        <w:rPr>
          <w:rFonts w:ascii="Century Gothic" w:eastAsia="Century Gothic" w:hAnsi="Century Gothic" w:cs="Century Gothic"/>
          <w:sz w:val="24"/>
          <w:szCs w:val="24"/>
        </w:rPr>
        <w:t>nsporte Terrestre, Tránsito y Seguridad Vial, letras y números de difer</w:t>
      </w:r>
      <w:r>
        <w:rPr>
          <w:rFonts w:ascii="Century Gothic" w:eastAsia="Century Gothic" w:hAnsi="Century Gothic" w:cs="Century Gothic"/>
          <w:sz w:val="24"/>
          <w:szCs w:val="24"/>
        </w:rPr>
        <w:t>ente color de acuerdo al dígito</w:t>
      </w:r>
      <w:r w:rsidR="00601944">
        <w:rPr>
          <w:rFonts w:ascii="Century Gothic" w:eastAsia="Century Gothic" w:hAnsi="Century Gothic" w:cs="Century Gothic"/>
          <w:sz w:val="24"/>
          <w:szCs w:val="24"/>
        </w:rPr>
        <w:t xml:space="preserve"> final, sea este par o impar.</w:t>
      </w:r>
    </w:p>
    <w:p w14:paraId="00000031" w14:textId="110D3E8F" w:rsidR="00214365" w:rsidRDefault="00601944" w:rsidP="00BD1D02">
      <w:pPr>
        <w:ind w:left="720"/>
        <w:jc w:val="both"/>
        <w:rPr>
          <w:rFonts w:ascii="Century Gothic" w:eastAsia="Century Gothic" w:hAnsi="Century Gothic" w:cs="Century Gothic"/>
          <w:sz w:val="24"/>
          <w:szCs w:val="24"/>
        </w:rPr>
      </w:pPr>
      <w:r>
        <w:rPr>
          <w:rFonts w:ascii="Century Gothic" w:eastAsia="Century Gothic" w:hAnsi="Century Gothic" w:cs="Century Gothic"/>
          <w:sz w:val="24"/>
          <w:szCs w:val="24"/>
        </w:rPr>
        <w:t>Así, las letras y los números de las placas cuyo dígito final sea par, serán de color rojo y las letras y los números de aq</w:t>
      </w:r>
      <w:r>
        <w:rPr>
          <w:rFonts w:ascii="Century Gothic" w:eastAsia="Century Gothic" w:hAnsi="Century Gothic" w:cs="Century Gothic"/>
          <w:sz w:val="24"/>
          <w:szCs w:val="24"/>
        </w:rPr>
        <w:t>uellas cuyo dígito final sea impar serán de color azul.¨</w:t>
      </w:r>
    </w:p>
    <w:p w14:paraId="00000032" w14:textId="0895298C" w:rsidR="00214365" w:rsidRDefault="00601944">
      <w:pPr>
        <w:jc w:val="both"/>
        <w:rPr>
          <w:rFonts w:ascii="Century Gothic" w:eastAsia="Century Gothic" w:hAnsi="Century Gothic" w:cs="Century Gothic"/>
          <w:i/>
          <w:sz w:val="24"/>
          <w:szCs w:val="24"/>
        </w:rPr>
      </w:pPr>
      <w:r>
        <w:rPr>
          <w:rFonts w:ascii="Century Gothic" w:eastAsia="Century Gothic" w:hAnsi="Century Gothic" w:cs="Century Gothic"/>
          <w:b/>
          <w:sz w:val="24"/>
          <w:szCs w:val="24"/>
        </w:rPr>
        <w:t xml:space="preserve">Artículo 8.- </w:t>
      </w:r>
      <w:r w:rsidR="00BD1D02">
        <w:rPr>
          <w:rFonts w:ascii="Century Gothic" w:eastAsia="Century Gothic" w:hAnsi="Century Gothic" w:cs="Century Gothic"/>
          <w:sz w:val="24"/>
          <w:szCs w:val="24"/>
        </w:rPr>
        <w:t>Elimínese</w:t>
      </w:r>
      <w:r>
        <w:rPr>
          <w:rFonts w:ascii="Century Gothic" w:eastAsia="Century Gothic" w:hAnsi="Century Gothic" w:cs="Century Gothic"/>
          <w:sz w:val="24"/>
          <w:szCs w:val="24"/>
        </w:rPr>
        <w:t xml:space="preserve"> el artículo 3883:</w:t>
      </w:r>
    </w:p>
    <w:p w14:paraId="00000033" w14:textId="7213A399" w:rsidR="00214365" w:rsidRDefault="00BD1D02">
      <w:pPr>
        <w:ind w:left="720"/>
        <w:jc w:val="both"/>
        <w:rPr>
          <w:rFonts w:ascii="Century Gothic" w:eastAsia="Century Gothic" w:hAnsi="Century Gothic" w:cs="Century Gothic"/>
          <w:b/>
          <w:sz w:val="24"/>
          <w:szCs w:val="24"/>
        </w:rPr>
      </w:pPr>
      <w:r w:rsidRPr="00BD1D02">
        <w:rPr>
          <w:rFonts w:ascii="Century Gothic" w:eastAsia="Century Gothic" w:hAnsi="Century Gothic" w:cs="Century Gothic"/>
          <w:b/>
          <w:sz w:val="24"/>
          <w:szCs w:val="24"/>
        </w:rPr>
        <w:t>“</w:t>
      </w:r>
      <w:r w:rsidR="00601944" w:rsidRPr="00BD1D02">
        <w:rPr>
          <w:rFonts w:ascii="Century Gothic" w:eastAsia="Century Gothic" w:hAnsi="Century Gothic" w:cs="Century Gothic"/>
          <w:b/>
          <w:sz w:val="24"/>
          <w:szCs w:val="24"/>
        </w:rPr>
        <w:t>Artículo 3883.- Imposición de multas referentes a las medidas de restricción de circulación vehicular.-</w:t>
      </w:r>
      <w:r w:rsidR="00601944">
        <w:rPr>
          <w:rFonts w:ascii="Century Gothic" w:eastAsia="Century Gothic" w:hAnsi="Century Gothic" w:cs="Century Gothic"/>
          <w:sz w:val="24"/>
          <w:szCs w:val="24"/>
        </w:rPr>
        <w:t xml:space="preserve"> La multa determinada en esta ordenanza referente a l</w:t>
      </w:r>
      <w:r w:rsidR="00601944">
        <w:rPr>
          <w:rFonts w:ascii="Century Gothic" w:eastAsia="Century Gothic" w:hAnsi="Century Gothic" w:cs="Century Gothic"/>
          <w:sz w:val="24"/>
          <w:szCs w:val="24"/>
        </w:rPr>
        <w:t>as medidas de restricción vehicular serán impuestas a los infractores por la Agencia Metropolitana de Tránsito; y, para su ejecución contará con la asistencia de los Agentes Civiles de Tránsito y de ser necesario, con el auxilio de la Fuerza Pública y/o la</w:t>
      </w:r>
      <w:r w:rsidR="00601944">
        <w:rPr>
          <w:rFonts w:ascii="Century Gothic" w:eastAsia="Century Gothic" w:hAnsi="Century Gothic" w:cs="Century Gothic"/>
          <w:sz w:val="24"/>
          <w:szCs w:val="24"/>
        </w:rPr>
        <w:t xml:space="preserve"> ejecución de la facultad coactiva.¨</w:t>
      </w:r>
    </w:p>
    <w:p w14:paraId="00000034" w14:textId="6E203350" w:rsidR="00214365" w:rsidRDefault="00601944">
      <w:pPr>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Disposición General.- </w:t>
      </w:r>
      <w:r w:rsidR="002A7C60">
        <w:rPr>
          <w:rFonts w:ascii="Century Gothic" w:eastAsia="Century Gothic" w:hAnsi="Century Gothic" w:cs="Century Gothic"/>
          <w:sz w:val="24"/>
          <w:szCs w:val="24"/>
        </w:rPr>
        <w:t>Encárguese a la Secretaría de C</w:t>
      </w:r>
      <w:r>
        <w:rPr>
          <w:rFonts w:ascii="Century Gothic" w:eastAsia="Century Gothic" w:hAnsi="Century Gothic" w:cs="Century Gothic"/>
          <w:sz w:val="24"/>
          <w:szCs w:val="24"/>
        </w:rPr>
        <w:t>omunicación en coordinación con la Agencia Metropolitana de Tránsito la comunicación y difusión en todos los medios pertinentes a fin de que la ciudadanía pueda tener</w:t>
      </w:r>
      <w:r>
        <w:rPr>
          <w:rFonts w:ascii="Century Gothic" w:eastAsia="Century Gothic" w:hAnsi="Century Gothic" w:cs="Century Gothic"/>
          <w:sz w:val="24"/>
          <w:szCs w:val="24"/>
        </w:rPr>
        <w:t xml:space="preserve"> información actualizada y sepa de la normativa vigente.</w:t>
      </w:r>
    </w:p>
    <w:p w14:paraId="00000035" w14:textId="5E56C950" w:rsidR="00214365" w:rsidRDefault="00601944">
      <w:pPr>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Disposición Transitoria.- </w:t>
      </w:r>
      <w:r w:rsidR="002A7C60">
        <w:rPr>
          <w:rFonts w:ascii="Century Gothic" w:eastAsia="Century Gothic" w:hAnsi="Century Gothic" w:cs="Century Gothic"/>
          <w:sz w:val="24"/>
          <w:szCs w:val="24"/>
        </w:rPr>
        <w:t>Encárguese</w:t>
      </w:r>
      <w:r>
        <w:rPr>
          <w:rFonts w:ascii="Century Gothic" w:eastAsia="Century Gothic" w:hAnsi="Century Gothic" w:cs="Century Gothic"/>
          <w:sz w:val="24"/>
          <w:szCs w:val="24"/>
        </w:rPr>
        <w:t xml:space="preserve"> a la autoridad competente la adecuación del reglamento para la aplicación de norma legal vigente</w:t>
      </w:r>
      <w:r w:rsidR="002A7C60">
        <w:rPr>
          <w:rFonts w:ascii="Century Gothic" w:eastAsia="Century Gothic" w:hAnsi="Century Gothic" w:cs="Century Gothic"/>
          <w:sz w:val="24"/>
          <w:szCs w:val="24"/>
        </w:rPr>
        <w:t>.</w:t>
      </w:r>
    </w:p>
    <w:p w14:paraId="00000036" w14:textId="77777777" w:rsidR="00214365" w:rsidRDefault="00601944">
      <w:pPr>
        <w:jc w:val="both"/>
        <w:rPr>
          <w:rFonts w:ascii="Century Gothic" w:eastAsia="Century Gothic" w:hAnsi="Century Gothic" w:cs="Century Gothic"/>
          <w:i/>
          <w:color w:val="000000"/>
          <w:sz w:val="24"/>
          <w:szCs w:val="24"/>
        </w:rPr>
      </w:pPr>
      <w:r>
        <w:rPr>
          <w:rFonts w:ascii="Century Gothic" w:eastAsia="Century Gothic" w:hAnsi="Century Gothic" w:cs="Century Gothic"/>
          <w:b/>
          <w:sz w:val="24"/>
          <w:szCs w:val="24"/>
        </w:rPr>
        <w:lastRenderedPageBreak/>
        <w:t xml:space="preserve">Disposición Derogatoria.- </w:t>
      </w:r>
      <w:r>
        <w:rPr>
          <w:rFonts w:ascii="Century Gothic" w:eastAsia="Century Gothic" w:hAnsi="Century Gothic" w:cs="Century Gothic"/>
          <w:sz w:val="24"/>
          <w:szCs w:val="24"/>
        </w:rPr>
        <w:t xml:space="preserve">Deróguese todo artículo que no esté en </w:t>
      </w:r>
      <w:r>
        <w:rPr>
          <w:rFonts w:ascii="Century Gothic" w:eastAsia="Century Gothic" w:hAnsi="Century Gothic" w:cs="Century Gothic"/>
          <w:sz w:val="24"/>
          <w:szCs w:val="24"/>
        </w:rPr>
        <w:t xml:space="preserve">concordancia con lo establecido en la presente ordenanza. </w:t>
      </w:r>
    </w:p>
    <w:p w14:paraId="00000038" w14:textId="0DC79AF2" w:rsidR="00214365" w:rsidRDefault="00601944">
      <w:pPr>
        <w:jc w:val="both"/>
        <w:rPr>
          <w:rFonts w:ascii="Century Gothic" w:eastAsia="Century Gothic" w:hAnsi="Century Gothic" w:cs="Century Gothic"/>
          <w:sz w:val="24"/>
          <w:szCs w:val="24"/>
        </w:rPr>
      </w:pPr>
      <w:r>
        <w:rPr>
          <w:rFonts w:ascii="Century Gothic" w:eastAsia="Century Gothic" w:hAnsi="Century Gothic" w:cs="Century Gothic"/>
          <w:b/>
          <w:sz w:val="24"/>
          <w:szCs w:val="24"/>
        </w:rPr>
        <w:t>Disposición Final. -</w:t>
      </w:r>
      <w:r>
        <w:rPr>
          <w:rFonts w:ascii="Century Gothic" w:eastAsia="Century Gothic" w:hAnsi="Century Gothic" w:cs="Century Gothic"/>
          <w:sz w:val="24"/>
          <w:szCs w:val="24"/>
        </w:rPr>
        <w:t xml:space="preserve"> Esta Ordenanza Metropolitana entrará en vigencia a partir de su sanción, sin perjuicio de su publicación Oficial</w:t>
      </w:r>
      <w:r w:rsidR="002A7C60">
        <w:rPr>
          <w:rFonts w:ascii="Century Gothic" w:eastAsia="Century Gothic" w:hAnsi="Century Gothic" w:cs="Century Gothic"/>
          <w:sz w:val="24"/>
          <w:szCs w:val="24"/>
        </w:rPr>
        <w:t>.</w:t>
      </w:r>
      <w:bookmarkStart w:id="0" w:name="_GoBack"/>
      <w:bookmarkEnd w:id="0"/>
    </w:p>
    <w:p w14:paraId="41845BEE" w14:textId="77777777" w:rsidR="002A7C60" w:rsidRDefault="002A7C60">
      <w:pPr>
        <w:jc w:val="both"/>
        <w:rPr>
          <w:rFonts w:ascii="Century Gothic" w:eastAsia="Century Gothic" w:hAnsi="Century Gothic" w:cs="Century Gothic"/>
          <w:sz w:val="24"/>
          <w:szCs w:val="24"/>
        </w:rPr>
      </w:pPr>
    </w:p>
    <w:p w14:paraId="00000039" w14:textId="77777777" w:rsidR="00214365" w:rsidRDefault="0060194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Dado, en el Distrito Metropolitano de Quito, a los xx días del</w:t>
      </w:r>
      <w:r>
        <w:rPr>
          <w:rFonts w:ascii="Century Gothic" w:eastAsia="Century Gothic" w:hAnsi="Century Gothic" w:cs="Century Gothic"/>
          <w:sz w:val="24"/>
          <w:szCs w:val="24"/>
        </w:rPr>
        <w:t xml:space="preserve"> mes de </w:t>
      </w:r>
      <w:proofErr w:type="spellStart"/>
      <w:r>
        <w:rPr>
          <w:rFonts w:ascii="Century Gothic" w:eastAsia="Century Gothic" w:hAnsi="Century Gothic" w:cs="Century Gothic"/>
          <w:sz w:val="24"/>
          <w:szCs w:val="24"/>
        </w:rPr>
        <w:t>xxxxx</w:t>
      </w:r>
      <w:proofErr w:type="spellEnd"/>
      <w:r>
        <w:rPr>
          <w:rFonts w:ascii="Century Gothic" w:eastAsia="Century Gothic" w:hAnsi="Century Gothic" w:cs="Century Gothic"/>
          <w:sz w:val="24"/>
          <w:szCs w:val="24"/>
        </w:rPr>
        <w:t xml:space="preserve"> de 2022.</w:t>
      </w:r>
    </w:p>
    <w:p w14:paraId="0000003A" w14:textId="77777777" w:rsidR="00214365" w:rsidRDefault="00214365">
      <w:pPr>
        <w:jc w:val="both"/>
        <w:rPr>
          <w:rFonts w:ascii="Century Gothic" w:eastAsia="Century Gothic" w:hAnsi="Century Gothic" w:cs="Century Gothic"/>
          <w:sz w:val="24"/>
          <w:szCs w:val="24"/>
        </w:rPr>
      </w:pPr>
    </w:p>
    <w:p w14:paraId="0000003B" w14:textId="77777777" w:rsidR="00214365" w:rsidRDefault="00214365">
      <w:pPr>
        <w:jc w:val="both"/>
        <w:rPr>
          <w:rFonts w:ascii="Century Gothic" w:eastAsia="Century Gothic" w:hAnsi="Century Gothic" w:cs="Century Gothic"/>
        </w:rPr>
      </w:pPr>
    </w:p>
    <w:p w14:paraId="0000003C" w14:textId="77777777" w:rsidR="00214365" w:rsidRDefault="00214365">
      <w:pPr>
        <w:jc w:val="both"/>
        <w:rPr>
          <w:rFonts w:ascii="Century Gothic" w:eastAsia="Century Gothic" w:hAnsi="Century Gothic" w:cs="Century Gothic"/>
        </w:rPr>
      </w:pPr>
    </w:p>
    <w:p w14:paraId="0000003D" w14:textId="77777777" w:rsidR="00214365" w:rsidRDefault="00214365">
      <w:pPr>
        <w:jc w:val="both"/>
        <w:rPr>
          <w:rFonts w:ascii="Century Gothic" w:eastAsia="Century Gothic" w:hAnsi="Century Gothic" w:cs="Century Gothic"/>
        </w:rPr>
      </w:pPr>
    </w:p>
    <w:p w14:paraId="0000003E" w14:textId="77777777" w:rsidR="00214365" w:rsidRDefault="00214365">
      <w:pPr>
        <w:jc w:val="center"/>
        <w:rPr>
          <w:rFonts w:ascii="Century Gothic" w:eastAsia="Century Gothic" w:hAnsi="Century Gothic" w:cs="Century Gothic"/>
          <w:i/>
        </w:rPr>
      </w:pPr>
    </w:p>
    <w:p w14:paraId="0000003F" w14:textId="77777777" w:rsidR="00214365" w:rsidRDefault="00214365">
      <w:pPr>
        <w:jc w:val="center"/>
        <w:rPr>
          <w:rFonts w:ascii="Century Gothic" w:eastAsia="Century Gothic" w:hAnsi="Century Gothic" w:cs="Century Gothic"/>
          <w:b/>
        </w:rPr>
      </w:pPr>
    </w:p>
    <w:p w14:paraId="00000040" w14:textId="77777777" w:rsidR="00214365" w:rsidRDefault="00214365">
      <w:pPr>
        <w:spacing w:after="0" w:line="240" w:lineRule="auto"/>
        <w:jc w:val="center"/>
        <w:rPr>
          <w:rFonts w:ascii="Century Gothic" w:eastAsia="Century Gothic" w:hAnsi="Century Gothic" w:cs="Century Gothic"/>
          <w:b/>
        </w:rPr>
      </w:pPr>
    </w:p>
    <w:sectPr w:rsidR="00214365">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554BB" w14:textId="77777777" w:rsidR="00601944" w:rsidRDefault="00601944">
      <w:pPr>
        <w:spacing w:after="0" w:line="240" w:lineRule="auto"/>
      </w:pPr>
      <w:r>
        <w:separator/>
      </w:r>
    </w:p>
  </w:endnote>
  <w:endnote w:type="continuationSeparator" w:id="0">
    <w:p w14:paraId="20228113" w14:textId="77777777" w:rsidR="00601944" w:rsidRDefault="0060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2EBE0" w14:textId="77777777" w:rsidR="00601944" w:rsidRDefault="00601944">
      <w:pPr>
        <w:spacing w:after="0" w:line="240" w:lineRule="auto"/>
      </w:pPr>
      <w:r>
        <w:separator/>
      </w:r>
    </w:p>
  </w:footnote>
  <w:footnote w:type="continuationSeparator" w:id="0">
    <w:p w14:paraId="24A971D8" w14:textId="77777777" w:rsidR="00601944" w:rsidRDefault="00601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1" w14:textId="77777777" w:rsidR="00214365" w:rsidRDefault="00601944">
    <w:r>
      <w:pict w14:anchorId="1E7EF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6.05pt;height:108.9pt;rotation:315;z-index:-251658752;mso-position-horizontal:center;mso-position-horizontal-relative:margin;mso-position-vertical:center;mso-position-vertical-relative:margin" fillcolor="#e8eaed" stroked="f">
          <v:textpath style="font-family:&quot;&amp;quot&quot;;font-size:1pt;font-weight:bold" string="BORRADO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65"/>
    <w:rsid w:val="00214365"/>
    <w:rsid w:val="002A7C60"/>
    <w:rsid w:val="00601944"/>
    <w:rsid w:val="00BD1D02"/>
    <w:rsid w:val="00D463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63FC94D-EEE5-4AF0-85FE-9F73EA63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1930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052"/>
  </w:style>
  <w:style w:type="paragraph" w:styleId="Piedepgina">
    <w:name w:val="footer"/>
    <w:basedOn w:val="Normal"/>
    <w:link w:val="PiedepginaCar"/>
    <w:uiPriority w:val="99"/>
    <w:unhideWhenUsed/>
    <w:rsid w:val="001930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052"/>
  </w:style>
  <w:style w:type="paragraph" w:styleId="Textosinformato">
    <w:name w:val="Plain Text"/>
    <w:basedOn w:val="Normal"/>
    <w:link w:val="TextosinformatoCar"/>
    <w:uiPriority w:val="99"/>
    <w:unhideWhenUsed/>
    <w:rsid w:val="001D4CAB"/>
    <w:pPr>
      <w:spacing w:after="0" w:line="240" w:lineRule="auto"/>
    </w:pPr>
    <w:rPr>
      <w:rFonts w:ascii="Consolas"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1D4CAB"/>
    <w:rPr>
      <w:rFonts w:ascii="Consolas" w:eastAsia="Calibri" w:hAnsi="Consolas" w:cs="Times New Roman"/>
      <w:sz w:val="21"/>
      <w:szCs w:val="21"/>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xRqF9x7p242QSt1MnJ1KfVCzeA==">AMUW2mUs6JMrLY7nOaLPIaK/sb+ptmZFn6p1pb+Pmci+pV0n+d9nzDoPEEpWSY9UL4aa70OdTbYYJGilj18M7eiiANmKYHYdRsYL+if1bKgeLaxbm5gtvSQ=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2013</Words>
  <Characters>11074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Sampedro</dc:creator>
  <cp:lastModifiedBy>Sandra Marcela Herrera Herrera</cp:lastModifiedBy>
  <cp:revision>4</cp:revision>
  <dcterms:created xsi:type="dcterms:W3CDTF">2022-06-03T15:18:00Z</dcterms:created>
  <dcterms:modified xsi:type="dcterms:W3CDTF">2022-06-03T15:28:00Z</dcterms:modified>
</cp:coreProperties>
</file>