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BD" w:rsidRDefault="00AD2FBD" w:rsidP="00AD2FBD">
      <w:pPr>
        <w:pStyle w:val="Sinespaciado"/>
        <w:jc w:val="center"/>
        <w:rPr>
          <w:rFonts w:ascii="Palatino Linotype" w:eastAsiaTheme="minorHAnsi" w:hAnsi="Palatino Linotype"/>
        </w:rPr>
      </w:pPr>
      <w:r>
        <w:rPr>
          <w:rFonts w:ascii="Palatino Linotype" w:hAnsi="Palatino Linotype"/>
          <w:b/>
        </w:rPr>
        <w:t>ACTA RESOLUTIVA DE LA SESIÓN No. 025–EXTRAORDINARIA DE SUBCOMISIÓN TÉCNICA DE ÁREAS HISTÓRICAS Y PATRIMONIO</w:t>
      </w:r>
    </w:p>
    <w:p w:rsidR="00AD2FBD" w:rsidRDefault="00AD2FBD" w:rsidP="00AD2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AD2FBD" w:rsidRDefault="00AD2FBD" w:rsidP="00AD2FBD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JUEVES 14 DE OCTUBRE DE 2021</w:t>
      </w: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En el Distrito Metropolitano de Quit</w:t>
      </w:r>
      <w:r w:rsidR="005964B9">
        <w:rPr>
          <w:rFonts w:ascii="Palatino Linotype" w:hAnsi="Palatino Linotype"/>
        </w:rPr>
        <w:t>o, siendo las 10h02 del jueves 14</w:t>
      </w:r>
      <w:r>
        <w:rPr>
          <w:rFonts w:ascii="Palatino Linotype" w:hAnsi="Palatino Linotype"/>
        </w:rPr>
        <w:t xml:space="preserve"> de </w:t>
      </w:r>
      <w:r w:rsidR="005964B9">
        <w:rPr>
          <w:rFonts w:ascii="Palatino Linotype" w:hAnsi="Palatino Linotype"/>
        </w:rPr>
        <w:t>octu</w:t>
      </w:r>
      <w:r>
        <w:rPr>
          <w:rFonts w:ascii="Palatino Linotype" w:hAnsi="Palatino Linotype"/>
        </w:rPr>
        <w:t>bre de 2021, conforme a la convocatori</w:t>
      </w:r>
      <w:r w:rsidR="005964B9">
        <w:rPr>
          <w:rFonts w:ascii="Palatino Linotype" w:hAnsi="Palatino Linotype"/>
        </w:rPr>
        <w:t>a efectuada el 12</w:t>
      </w:r>
      <w:r>
        <w:rPr>
          <w:rFonts w:ascii="Palatino Linotype" w:hAnsi="Palatino Linotype"/>
        </w:rPr>
        <w:t xml:space="preserve"> de </w:t>
      </w:r>
      <w:r w:rsidR="005964B9">
        <w:rPr>
          <w:rFonts w:ascii="Palatino Linotype" w:hAnsi="Palatino Linotype"/>
        </w:rPr>
        <w:t>octub</w:t>
      </w:r>
      <w:r>
        <w:rPr>
          <w:rFonts w:ascii="Palatino Linotype" w:hAnsi="Palatino Linotype"/>
        </w:rPr>
        <w:t xml:space="preserve">re de 2021, se lleva a cabo, de manera virtual por medio de la plataforma “Microsoft </w:t>
      </w:r>
      <w:proofErr w:type="spellStart"/>
      <w:r>
        <w:rPr>
          <w:rFonts w:ascii="Palatino Linotype" w:hAnsi="Palatino Linotype"/>
        </w:rPr>
        <w:t>Teams</w:t>
      </w:r>
      <w:proofErr w:type="spellEnd"/>
      <w:r>
        <w:rPr>
          <w:rFonts w:ascii="Palatino Linotype" w:hAnsi="Palatino Linotype"/>
        </w:rPr>
        <w:t>”, la sesión Nro. 02</w:t>
      </w:r>
      <w:r w:rsidR="005964B9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– extraordinaria de la Subcomisión Técnica de Áreas Históricas, presidida por la Arq. Viviana Figueroa.</w:t>
      </w: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color w:val="000000"/>
        </w:rPr>
        <w:t xml:space="preserve">Por </w:t>
      </w:r>
      <w:r>
        <w:rPr>
          <w:rFonts w:ascii="Palatino Linotype" w:hAnsi="Palatino Linotype" w:cs="Tahoma"/>
        </w:rPr>
        <w:t>dispos</w:t>
      </w:r>
      <w:r w:rsidR="005964B9">
        <w:rPr>
          <w:rFonts w:ascii="Palatino Linotype" w:hAnsi="Palatino Linotype" w:cs="Tahoma"/>
        </w:rPr>
        <w:t>ición de la presidenta de la Subc</w:t>
      </w:r>
      <w:r>
        <w:rPr>
          <w:rFonts w:ascii="Palatino Linotype" w:hAnsi="Palatino Linotype" w:cs="Tahoma"/>
        </w:rPr>
        <w:t>omisión, se procede a constatar el quórum reglamentario para la instalación de la sesión, mismo que se encuentra conformado por los siguientes miembros:</w:t>
      </w: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D2FBD" w:rsidTr="00AD2FBD">
        <w:trPr>
          <w:trHeight w:val="25"/>
          <w:jc w:val="center"/>
        </w:trPr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42DB4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</w:t>
            </w:r>
            <w:r w:rsidR="00AD2FBD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Roberto Román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Manuela Sáenz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B61DA3">
        <w:rPr>
          <w:rFonts w:ascii="Palatino Linotype" w:hAnsi="Palatino Linotype"/>
        </w:rPr>
        <w:t xml:space="preserve">Además, se registra la presencia de los siguientes funcionarios: </w:t>
      </w:r>
      <w:r w:rsidRPr="008F66E5">
        <w:rPr>
          <w:rFonts w:ascii="Palatino Linotype" w:hAnsi="Palatino Linotype"/>
        </w:rPr>
        <w:t>Susana Noroña y María Fernanda Vásquez,</w:t>
      </w:r>
      <w:r w:rsidR="008F66E5">
        <w:rPr>
          <w:rFonts w:ascii="Palatino Linotype" w:hAnsi="Palatino Linotype"/>
        </w:rPr>
        <w:t xml:space="preserve"> Dimitri Dávila</w:t>
      </w:r>
      <w:r w:rsidR="008C16BE">
        <w:rPr>
          <w:rFonts w:ascii="Palatino Linotype" w:hAnsi="Palatino Linotype"/>
        </w:rPr>
        <w:t xml:space="preserve">, Henry </w:t>
      </w:r>
      <w:proofErr w:type="spellStart"/>
      <w:r w:rsidR="008C16BE">
        <w:rPr>
          <w:rFonts w:ascii="Palatino Linotype" w:hAnsi="Palatino Linotype"/>
        </w:rPr>
        <w:t>Vásconez</w:t>
      </w:r>
      <w:proofErr w:type="spellEnd"/>
      <w:r w:rsidRPr="008F66E5">
        <w:rPr>
          <w:rFonts w:ascii="Palatino Linotype" w:hAnsi="Palatino Linotype"/>
        </w:rPr>
        <w:t xml:space="preserve"> funcionarios de la Secretaría de Territorio, Hábitat y Vivienda; </w:t>
      </w:r>
      <w:r w:rsidR="008F66E5">
        <w:rPr>
          <w:rFonts w:ascii="Palatino Linotype" w:hAnsi="Palatino Linotype"/>
        </w:rPr>
        <w:t xml:space="preserve">Cinthia Rivera, </w:t>
      </w:r>
      <w:r w:rsidRPr="008F66E5">
        <w:rPr>
          <w:rFonts w:ascii="Palatino Linotype" w:hAnsi="Palatino Linotype"/>
        </w:rPr>
        <w:t xml:space="preserve">Diana Martínez, Carlos Játiva, Leonardo </w:t>
      </w:r>
      <w:proofErr w:type="spellStart"/>
      <w:r w:rsidRPr="008F66E5">
        <w:rPr>
          <w:rFonts w:ascii="Palatino Linotype" w:hAnsi="Palatino Linotype"/>
        </w:rPr>
        <w:t>Gaibor</w:t>
      </w:r>
      <w:proofErr w:type="spellEnd"/>
      <w:r w:rsidR="00B61DA3">
        <w:rPr>
          <w:rFonts w:ascii="Palatino Linotype" w:hAnsi="Palatino Linotype"/>
        </w:rPr>
        <w:t xml:space="preserve"> d</w:t>
      </w:r>
      <w:r w:rsidRPr="008F66E5">
        <w:rPr>
          <w:rFonts w:ascii="Palatino Linotype" w:hAnsi="Palatino Linotype"/>
        </w:rPr>
        <w:t>e la Agencia Metropolitana de Control; Carolina Almeida, delegada de Procuraduría Metropolitana; y, Jaime Guerrero, asesor del despacho del concejal Luis Robles</w:t>
      </w:r>
    </w:p>
    <w:p w:rsidR="00AD2FBD" w:rsidRDefault="00AD2FBD" w:rsidP="00AD2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AD2FBD" w:rsidRDefault="00AD2FBD" w:rsidP="00AD2FBD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Por disposición de la Presidenta de la Subcomisión, por Secretaría se procede a dar lectura del orden del día:</w:t>
      </w:r>
    </w:p>
    <w:p w:rsidR="00AD2FBD" w:rsidRDefault="00AD2FBD" w:rsidP="00AD2FB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F81D55" w:rsidRPr="00F81D55" w:rsidRDefault="00F81D55" w:rsidP="00F81D55">
      <w:pPr>
        <w:rPr>
          <w:rFonts w:ascii="Palatino Linotype" w:hAnsi="Palatino Linotype"/>
        </w:rPr>
      </w:pPr>
      <w:r w:rsidRPr="00F81D55">
        <w:rPr>
          <w:rFonts w:ascii="Palatino Linotype" w:hAnsi="Palatino Linotype"/>
          <w:b/>
        </w:rPr>
        <w:t>1.-</w:t>
      </w:r>
      <w:r w:rsidRPr="00F81D55">
        <w:rPr>
          <w:rFonts w:ascii="Palatino Linotype" w:hAnsi="Palatino Linotype"/>
        </w:rPr>
        <w:t xml:space="preserve"> Conocimiento y aprobación de las siguientes actas: </w:t>
      </w:r>
    </w:p>
    <w:p w:rsidR="00F81D55" w:rsidRPr="00F81D55" w:rsidRDefault="00F81D55" w:rsidP="00F81D55">
      <w:pPr>
        <w:pStyle w:val="Prrafodelista"/>
        <w:numPr>
          <w:ilvl w:val="0"/>
          <w:numId w:val="3"/>
        </w:numPr>
        <w:rPr>
          <w:rFonts w:ascii="Palatino Linotype" w:hAnsi="Palatino Linotype"/>
          <w:sz w:val="22"/>
        </w:rPr>
      </w:pPr>
      <w:r w:rsidRPr="00F81D55">
        <w:rPr>
          <w:rFonts w:ascii="Palatino Linotype" w:hAnsi="Palatino Linotype"/>
          <w:sz w:val="22"/>
        </w:rPr>
        <w:t>Acta de la sesión de 16 de julio de 2021; y,</w:t>
      </w:r>
    </w:p>
    <w:p w:rsidR="00F81D55" w:rsidRPr="00F81D55" w:rsidRDefault="00F81D55" w:rsidP="00F81D55">
      <w:pPr>
        <w:pStyle w:val="Prrafodelista"/>
        <w:numPr>
          <w:ilvl w:val="0"/>
          <w:numId w:val="3"/>
        </w:numPr>
        <w:rPr>
          <w:rFonts w:ascii="Palatino Linotype" w:hAnsi="Palatino Linotype"/>
          <w:sz w:val="22"/>
        </w:rPr>
      </w:pPr>
      <w:r w:rsidRPr="00F81D55">
        <w:rPr>
          <w:rFonts w:ascii="Palatino Linotype" w:hAnsi="Palatino Linotype"/>
          <w:sz w:val="22"/>
        </w:rPr>
        <w:t xml:space="preserve">Acta de la sesión de 12 de agosto de 2021. </w:t>
      </w:r>
    </w:p>
    <w:p w:rsidR="00F81D55" w:rsidRPr="00F81D55" w:rsidRDefault="00F81D55" w:rsidP="00F81D55">
      <w:pPr>
        <w:rPr>
          <w:rFonts w:ascii="Palatino Linotype" w:hAnsi="Palatino Linotype"/>
        </w:rPr>
      </w:pPr>
      <w:r w:rsidRPr="00F81D55">
        <w:rPr>
          <w:rFonts w:ascii="Palatino Linotype" w:hAnsi="Palatino Linotype"/>
          <w:b/>
        </w:rPr>
        <w:t>2.-</w:t>
      </w:r>
      <w:r w:rsidRPr="00F81D55">
        <w:rPr>
          <w:rFonts w:ascii="Palatino Linotype" w:hAnsi="Palatino Linotype"/>
        </w:rPr>
        <w:t xml:space="preserve"> Proyecto definitivo de rehabilitación denominado “ECO MUSEO BIBLIOTECA”, se desarrolla en el lote con predio N°1782 y clave catastral N° 10001 31 005, ubicado en las calles Manabí y Vargas, barrio San Juan, parroquia San Juan, propiedad del Municipio del D</w:t>
      </w:r>
      <w:bookmarkStart w:id="0" w:name="_GoBack"/>
      <w:bookmarkEnd w:id="0"/>
      <w:r w:rsidRPr="00F81D55">
        <w:rPr>
          <w:rFonts w:ascii="Palatino Linotype" w:hAnsi="Palatino Linotype"/>
        </w:rPr>
        <w:t xml:space="preserve">istrito Metropolitano de Quito </w:t>
      </w:r>
    </w:p>
    <w:p w:rsidR="00AD2FBD" w:rsidRPr="00F81D55" w:rsidRDefault="00F81D55" w:rsidP="00953A9F">
      <w:pPr>
        <w:jc w:val="both"/>
        <w:rPr>
          <w:rFonts w:ascii="Palatino Linotype" w:hAnsi="Palatino Linotype"/>
        </w:rPr>
      </w:pPr>
      <w:r w:rsidRPr="00F81D55">
        <w:rPr>
          <w:rFonts w:ascii="Palatino Linotype" w:hAnsi="Palatino Linotype"/>
          <w:b/>
        </w:rPr>
        <w:lastRenderedPageBreak/>
        <w:t>3.-</w:t>
      </w:r>
      <w:r w:rsidRPr="00F81D55">
        <w:rPr>
          <w:rFonts w:ascii="Palatino Linotype" w:hAnsi="Palatino Linotype"/>
        </w:rPr>
        <w:t xml:space="preserve"> PROYECTO DEFINITIVO MODIFICATORIO “ESTACIÓN DE METRO SAN FRANCISCO” Se desarrolla en el lote con predio N° 6813 y clave catastral N° 30001-13-013, ubicado en la calle Antonio José de Sucre, barrio González Suárez, parroquia Centro Histórico, y es de propiedad del Municipio del Distrito Metropolitano de Quito.</w:t>
      </w:r>
    </w:p>
    <w:p w:rsidR="00AD2FBD" w:rsidRDefault="00AD2FBD" w:rsidP="00AD2FBD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AD2FBD" w:rsidRDefault="00AD2FBD" w:rsidP="00AD2FBD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D825ED" w:rsidRPr="00D825ED" w:rsidRDefault="00AD2FBD" w:rsidP="00D825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bCs/>
        </w:rPr>
        <w:t xml:space="preserve">Primer punto: </w:t>
      </w:r>
      <w:r w:rsidR="00D825ED" w:rsidRPr="00D825ED">
        <w:rPr>
          <w:rFonts w:ascii="Palatino Linotype" w:hAnsi="Palatino Linotype"/>
          <w:b/>
        </w:rPr>
        <w:t xml:space="preserve">Conocimiento y aprobación de las siguientes actas: </w:t>
      </w:r>
    </w:p>
    <w:p w:rsidR="00D825ED" w:rsidRPr="00D825ED" w:rsidRDefault="00D825ED" w:rsidP="00D825ED">
      <w:pPr>
        <w:pStyle w:val="Prrafodelista"/>
        <w:numPr>
          <w:ilvl w:val="0"/>
          <w:numId w:val="3"/>
        </w:numPr>
        <w:rPr>
          <w:rFonts w:ascii="Palatino Linotype" w:hAnsi="Palatino Linotype"/>
          <w:b/>
          <w:sz w:val="22"/>
        </w:rPr>
      </w:pPr>
      <w:r w:rsidRPr="00D825ED">
        <w:rPr>
          <w:rFonts w:ascii="Palatino Linotype" w:hAnsi="Palatino Linotype"/>
          <w:b/>
          <w:sz w:val="22"/>
        </w:rPr>
        <w:t>Acta de la sesión de 16 de julio de 2021; y,</w:t>
      </w:r>
    </w:p>
    <w:p w:rsidR="00D825ED" w:rsidRDefault="00D825ED" w:rsidP="00D825ED">
      <w:pPr>
        <w:pStyle w:val="Prrafodelista"/>
        <w:numPr>
          <w:ilvl w:val="0"/>
          <w:numId w:val="3"/>
        </w:numPr>
        <w:rPr>
          <w:rFonts w:ascii="Palatino Linotype" w:hAnsi="Palatino Linotype"/>
          <w:b/>
          <w:sz w:val="22"/>
        </w:rPr>
      </w:pPr>
      <w:r w:rsidRPr="00D825ED">
        <w:rPr>
          <w:rFonts w:ascii="Palatino Linotype" w:hAnsi="Palatino Linotype"/>
          <w:b/>
          <w:sz w:val="22"/>
        </w:rPr>
        <w:t xml:space="preserve">Acta de la sesión de 12 de agosto de 2021. </w:t>
      </w:r>
    </w:p>
    <w:p w:rsidR="00D025C1" w:rsidRDefault="00D025C1" w:rsidP="00D025C1">
      <w:pPr>
        <w:rPr>
          <w:rFonts w:ascii="Palatino Linotype" w:hAnsi="Palatino Linotype"/>
          <w:b/>
        </w:rPr>
      </w:pPr>
    </w:p>
    <w:p w:rsidR="00D025C1" w:rsidRPr="00F456FB" w:rsidRDefault="00D025C1" w:rsidP="00F456FB">
      <w:pPr>
        <w:jc w:val="both"/>
        <w:rPr>
          <w:rFonts w:ascii="Palatino Linotype" w:hAnsi="Palatino Linotype"/>
        </w:rPr>
      </w:pPr>
      <w:r w:rsidRPr="00F456FB">
        <w:rPr>
          <w:rFonts w:ascii="Palatino Linotype" w:hAnsi="Palatino Linotype"/>
        </w:rPr>
        <w:t>Se procede a tomar votación del acta de la sesión de 16 de julio de 2021, registrándose los siguientes resultados.</w:t>
      </w:r>
    </w:p>
    <w:p w:rsidR="00D025C1" w:rsidRPr="00D025C1" w:rsidRDefault="00D025C1" w:rsidP="00D025C1">
      <w:pPr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D025C1" w:rsidRPr="00EC604A" w:rsidTr="00F11D35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104D98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D025C1" w:rsidRPr="0003430F" w:rsidRDefault="00D025C1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F456FB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</w:t>
            </w:r>
            <w:r w:rsidR="00D025C1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Roberto Román</w:t>
            </w: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Manuela Sáenz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Default="00D025C1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025C1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EC604A" w:rsidRDefault="00D025C1" w:rsidP="00F11D3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025C1" w:rsidRPr="00EC604A" w:rsidRDefault="00D025C1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D025C1" w:rsidRPr="00D025C1" w:rsidRDefault="00FE3598" w:rsidP="00FE3598">
      <w:pPr>
        <w:spacing w:before="240"/>
        <w:rPr>
          <w:rFonts w:ascii="Palatino Linotype" w:hAnsi="Palatino Linotype"/>
          <w:b/>
        </w:rPr>
      </w:pPr>
      <w:r w:rsidRPr="00FE3598">
        <w:rPr>
          <w:rFonts w:ascii="Palatino Linotype" w:hAnsi="Palatino Linotype"/>
        </w:rPr>
        <w:t xml:space="preserve">Con cinco votos a favor y por unanimidad de los miembros de la Subcomisión </w:t>
      </w:r>
      <w:r w:rsidR="002C35BB" w:rsidRPr="00FE3598">
        <w:rPr>
          <w:rFonts w:ascii="Palatino Linotype" w:hAnsi="Palatino Linotype"/>
        </w:rPr>
        <w:t>Técnica</w:t>
      </w:r>
      <w:r w:rsidRPr="00FE3598">
        <w:rPr>
          <w:rFonts w:ascii="Palatino Linotype" w:hAnsi="Palatino Linotype"/>
        </w:rPr>
        <w:t xml:space="preserve"> de Áreas Históricas y Patrimonio, se aprobó</w:t>
      </w:r>
      <w:r>
        <w:rPr>
          <w:rFonts w:ascii="Palatino Linotype" w:hAnsi="Palatino Linotype"/>
          <w:b/>
        </w:rPr>
        <w:t xml:space="preserve"> el </w:t>
      </w:r>
      <w:r w:rsidRPr="00F456FB">
        <w:rPr>
          <w:rFonts w:ascii="Palatino Linotype" w:hAnsi="Palatino Linotype"/>
        </w:rPr>
        <w:t>acta de la s</w:t>
      </w:r>
      <w:r>
        <w:rPr>
          <w:rFonts w:ascii="Palatino Linotype" w:hAnsi="Palatino Linotype"/>
        </w:rPr>
        <w:t>esión de 16 de julio de 2021.</w:t>
      </w:r>
    </w:p>
    <w:p w:rsidR="005C4686" w:rsidRDefault="005C4686" w:rsidP="002C35BB">
      <w:pPr>
        <w:jc w:val="both"/>
        <w:rPr>
          <w:rFonts w:ascii="Palatino Linotype" w:hAnsi="Palatino Linotype"/>
        </w:rPr>
      </w:pPr>
      <w:r w:rsidRPr="005C4686">
        <w:rPr>
          <w:rFonts w:ascii="Palatino Linotype" w:hAnsi="Palatino Linotype"/>
        </w:rPr>
        <w:t>Se procede a tomar votación del acta de la sesión de 12 de agosto de 2021</w:t>
      </w:r>
      <w:r>
        <w:rPr>
          <w:rFonts w:ascii="Palatino Linotype" w:hAnsi="Palatino Linotype"/>
          <w:b/>
        </w:rPr>
        <w:t xml:space="preserve">, </w:t>
      </w:r>
      <w:r w:rsidRPr="005C4686">
        <w:rPr>
          <w:rFonts w:ascii="Palatino Linotype" w:hAnsi="Palatino Linotype"/>
        </w:rPr>
        <w:t>registrándose los siguientes resultados</w:t>
      </w:r>
      <w:r w:rsidR="00FE3598">
        <w:rPr>
          <w:rFonts w:ascii="Palatino Linotype" w:hAnsi="Palatino Linotype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5C4686" w:rsidRPr="00EC604A" w:rsidTr="00F11D35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104D98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5C4686" w:rsidRPr="0003430F" w:rsidRDefault="005C4686" w:rsidP="00F11D3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lastRenderedPageBreak/>
              <w:t>Roberto Román</w:t>
            </w: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Manuela Sáenz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Default="005C4686" w:rsidP="00F11D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C4686" w:rsidRPr="00EC604A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EC604A" w:rsidRDefault="005C4686" w:rsidP="00F11D3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4686" w:rsidRPr="00EC604A" w:rsidRDefault="005C4686" w:rsidP="00F11D3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5C4686" w:rsidRDefault="005C4686" w:rsidP="00D825ED">
      <w:pPr>
        <w:jc w:val="both"/>
        <w:rPr>
          <w:rFonts w:ascii="Palatino Linotype" w:hAnsi="Palatino Linotype"/>
        </w:rPr>
      </w:pPr>
    </w:p>
    <w:p w:rsidR="002C35BB" w:rsidRPr="00D025C1" w:rsidRDefault="002C35BB" w:rsidP="002C35BB">
      <w:pPr>
        <w:spacing w:before="240"/>
        <w:jc w:val="both"/>
        <w:rPr>
          <w:rFonts w:ascii="Palatino Linotype" w:hAnsi="Palatino Linotype"/>
          <w:b/>
        </w:rPr>
      </w:pPr>
      <w:r w:rsidRPr="00FE3598">
        <w:rPr>
          <w:rFonts w:ascii="Palatino Linotype" w:hAnsi="Palatino Linotype"/>
        </w:rPr>
        <w:t>Con cinco votos a favor y por unanimidad de los miembros de la Subcomisión Técnica de Áreas Históricas y Patrimonio, se aprobó</w:t>
      </w:r>
      <w:r>
        <w:rPr>
          <w:rFonts w:ascii="Palatino Linotype" w:hAnsi="Palatino Linotype"/>
          <w:b/>
        </w:rPr>
        <w:t xml:space="preserve"> el </w:t>
      </w:r>
      <w:r w:rsidRPr="00F456FB">
        <w:rPr>
          <w:rFonts w:ascii="Palatino Linotype" w:hAnsi="Palatino Linotype"/>
        </w:rPr>
        <w:t>acta de la s</w:t>
      </w:r>
      <w:r>
        <w:rPr>
          <w:rFonts w:ascii="Palatino Linotype" w:hAnsi="Palatino Linotype"/>
        </w:rPr>
        <w:t>esión de 12 de agosto de 2021.</w:t>
      </w:r>
    </w:p>
    <w:p w:rsidR="002C35BB" w:rsidRDefault="002C35BB" w:rsidP="002C35BB">
      <w:pPr>
        <w:jc w:val="both"/>
        <w:rPr>
          <w:rFonts w:ascii="Palatino Linotype" w:hAnsi="Palatino Linotype"/>
          <w:b/>
        </w:rPr>
      </w:pPr>
      <w:r w:rsidRPr="002C35BB">
        <w:rPr>
          <w:rFonts w:ascii="Palatino Linotype" w:hAnsi="Palatino Linotype"/>
          <w:b/>
        </w:rPr>
        <w:t xml:space="preserve">Segundo punto: Proyecto definitivo de rehabilitación denominado “ECO MUSEO BIBLIOTECA”, se desarrolla en el lote con predio N°1782 y clave catastral N° 10001 31 005, ubicado en las calles Manabí y Vargas, barrio San Juan, parroquia San Juan, propiedad del Municipio del </w:t>
      </w:r>
      <w:r>
        <w:rPr>
          <w:rFonts w:ascii="Palatino Linotype" w:hAnsi="Palatino Linotype"/>
          <w:b/>
        </w:rPr>
        <w:t>Distrito Metropolitano de Quito.</w:t>
      </w:r>
    </w:p>
    <w:p w:rsidR="002C35BB" w:rsidRDefault="002F1D0D" w:rsidP="002C35B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la Arq. Viviana Figueroa; </w:t>
      </w:r>
      <w:r>
        <w:rPr>
          <w:rFonts w:ascii="Palatino Linotype" w:hAnsi="Palatino Linotype"/>
        </w:rPr>
        <w:t xml:space="preserve">realiza una introducción, señalando que es una propuesta desarrollada en un predio que tiene una </w:t>
      </w:r>
      <w:r w:rsidR="00F83988">
        <w:rPr>
          <w:rFonts w:ascii="Palatino Linotype" w:hAnsi="Palatino Linotype"/>
        </w:rPr>
        <w:t>catalogación</w:t>
      </w:r>
      <w:r>
        <w:rPr>
          <w:rFonts w:ascii="Palatino Linotype" w:hAnsi="Palatino Linotype"/>
        </w:rPr>
        <w:t xml:space="preserve"> patrimonial </w:t>
      </w:r>
      <w:r w:rsidR="00F83988">
        <w:rPr>
          <w:rFonts w:ascii="Palatino Linotype" w:hAnsi="Palatino Linotype"/>
        </w:rPr>
        <w:t>rehabilitarle</w:t>
      </w:r>
      <w:r>
        <w:rPr>
          <w:rFonts w:ascii="Palatino Linotype" w:hAnsi="Palatino Linotype"/>
        </w:rPr>
        <w:t xml:space="preserve">, luego de revisado en la Secretaría de </w:t>
      </w:r>
      <w:r w:rsidR="00F83988">
        <w:rPr>
          <w:rFonts w:ascii="Palatino Linotype" w:hAnsi="Palatino Linotype"/>
        </w:rPr>
        <w:t>Territorio</w:t>
      </w:r>
      <w:r>
        <w:rPr>
          <w:rFonts w:ascii="Palatino Linotype" w:hAnsi="Palatino Linotype"/>
        </w:rPr>
        <w:t xml:space="preserve"> Hábitat y vivienda, cuenta con los informes favorables de la parte arquitectónica, estructural, eléctrica e hidrosanitaria; así como medios de egreso por parte de bomberos.</w:t>
      </w:r>
    </w:p>
    <w:p w:rsidR="00F83988" w:rsidRDefault="00F83988" w:rsidP="002C35BB">
      <w:pPr>
        <w:jc w:val="both"/>
        <w:rPr>
          <w:rFonts w:ascii="Palatino Linotype" w:hAnsi="Palatino Linotype"/>
        </w:rPr>
      </w:pPr>
      <w:r w:rsidRPr="00591560">
        <w:rPr>
          <w:rFonts w:ascii="Palatino Linotype" w:hAnsi="Palatino Linotype"/>
          <w:b/>
        </w:rPr>
        <w:t>Interviene la Arquitecta Fernanda Vázquez, de la Secretaría d</w:t>
      </w:r>
      <w:r w:rsidR="00591560">
        <w:rPr>
          <w:rFonts w:ascii="Palatino Linotype" w:hAnsi="Palatino Linotype"/>
          <w:b/>
        </w:rPr>
        <w:t xml:space="preserve">e Territorio Hábitat y Vivienda; </w:t>
      </w:r>
      <w:r w:rsidR="006C29B4">
        <w:rPr>
          <w:rFonts w:ascii="Palatino Linotype" w:hAnsi="Palatino Linotype"/>
        </w:rPr>
        <w:t>r</w:t>
      </w:r>
      <w:r w:rsidR="00591560" w:rsidRPr="006C29B4">
        <w:rPr>
          <w:rFonts w:ascii="Palatino Linotype" w:hAnsi="Palatino Linotype"/>
        </w:rPr>
        <w:t>ealiza la presentación, iniciando c</w:t>
      </w:r>
      <w:r w:rsidR="006C29B4" w:rsidRPr="006C29B4">
        <w:rPr>
          <w:rFonts w:ascii="Palatino Linotype" w:hAnsi="Palatino Linotype"/>
        </w:rPr>
        <w:t>o</w:t>
      </w:r>
      <w:r w:rsidR="00591560" w:rsidRPr="006C29B4">
        <w:rPr>
          <w:rFonts w:ascii="Palatino Linotype" w:hAnsi="Palatino Linotype"/>
        </w:rPr>
        <w:t>n los d</w:t>
      </w:r>
      <w:r w:rsidR="0070558F" w:rsidRPr="006C29B4">
        <w:rPr>
          <w:rFonts w:ascii="Palatino Linotype" w:hAnsi="Palatino Linotype"/>
        </w:rPr>
        <w:t xml:space="preserve">atos generales del predio 1782, </w:t>
      </w:r>
      <w:r w:rsidR="006C29B4" w:rsidRPr="006C29B4">
        <w:rPr>
          <w:rFonts w:ascii="Palatino Linotype" w:hAnsi="Palatino Linotype"/>
        </w:rPr>
        <w:t>caracterización</w:t>
      </w:r>
      <w:r w:rsidR="0070558F" w:rsidRPr="006C29B4">
        <w:rPr>
          <w:rFonts w:ascii="Palatino Linotype" w:hAnsi="Palatino Linotype"/>
        </w:rPr>
        <w:t xml:space="preserve"> como Patrimonio Cultural del Estado, imagen </w:t>
      </w:r>
      <w:r w:rsidR="00D6208F" w:rsidRPr="006C29B4">
        <w:rPr>
          <w:rFonts w:ascii="Palatino Linotype" w:hAnsi="Palatino Linotype"/>
        </w:rPr>
        <w:t>satelital</w:t>
      </w:r>
      <w:r w:rsidR="0070558F" w:rsidRPr="006C29B4">
        <w:rPr>
          <w:rFonts w:ascii="Palatino Linotype" w:hAnsi="Palatino Linotype"/>
        </w:rPr>
        <w:t xml:space="preserve"> de la ubicación,</w:t>
      </w:r>
      <w:r w:rsidR="00D6208F" w:rsidRPr="006C29B4">
        <w:rPr>
          <w:rFonts w:ascii="Palatino Linotype" w:hAnsi="Palatino Linotype"/>
        </w:rPr>
        <w:t xml:space="preserve"> fotografías del estado al interior de la edificación con sus patologías</w:t>
      </w:r>
      <w:r w:rsidR="00D6208F" w:rsidRPr="00D920AC">
        <w:rPr>
          <w:rFonts w:ascii="Palatino Linotype" w:hAnsi="Palatino Linotype"/>
        </w:rPr>
        <w:t xml:space="preserve">, </w:t>
      </w:r>
      <w:r w:rsidR="006C29B4" w:rsidRPr="00D920AC">
        <w:rPr>
          <w:rFonts w:ascii="Palatino Linotype" w:hAnsi="Palatino Linotype"/>
        </w:rPr>
        <w:t>eleme</w:t>
      </w:r>
      <w:r w:rsidR="00633E7A" w:rsidRPr="00D920AC">
        <w:rPr>
          <w:rFonts w:ascii="Palatino Linotype" w:hAnsi="Palatino Linotype"/>
        </w:rPr>
        <w:t>ntos que pueden ser rescatados; propuesta de implantación</w:t>
      </w:r>
      <w:r w:rsidR="00D920AC">
        <w:rPr>
          <w:rFonts w:ascii="Palatino Linotype" w:hAnsi="Palatino Linotype"/>
          <w:b/>
        </w:rPr>
        <w:t xml:space="preserve">; </w:t>
      </w:r>
      <w:r w:rsidR="005718A9" w:rsidRPr="001C5170">
        <w:rPr>
          <w:rFonts w:ascii="Palatino Linotype" w:hAnsi="Palatino Linotype"/>
        </w:rPr>
        <w:t xml:space="preserve">detalle del corte de la colocación del domo; </w:t>
      </w:r>
      <w:r w:rsidR="001C5170">
        <w:rPr>
          <w:rFonts w:ascii="Palatino Linotype" w:hAnsi="Palatino Linotype"/>
        </w:rPr>
        <w:t xml:space="preserve">propuesta, propuesta de corte, </w:t>
      </w:r>
      <w:r w:rsidR="00905224">
        <w:rPr>
          <w:rFonts w:ascii="Palatino Linotype" w:hAnsi="Palatino Linotype"/>
        </w:rPr>
        <w:t>propuesta de corte, propuesta de fachadas</w:t>
      </w:r>
      <w:r w:rsidR="00332715">
        <w:rPr>
          <w:rFonts w:ascii="Palatino Linotype" w:hAnsi="Palatino Linotype"/>
        </w:rPr>
        <w:t>.</w:t>
      </w:r>
    </w:p>
    <w:p w:rsidR="00AD2FBD" w:rsidRDefault="00332715" w:rsidP="005C2F5B">
      <w:pPr>
        <w:jc w:val="both"/>
        <w:rPr>
          <w:rFonts w:ascii="Palatino Linotype" w:hAnsi="Palatino Linotype"/>
        </w:rPr>
      </w:pPr>
      <w:r w:rsidRPr="005C2F5B">
        <w:rPr>
          <w:rFonts w:ascii="Palatino Linotype" w:hAnsi="Palatino Linotype"/>
          <w:b/>
        </w:rPr>
        <w:t>Interviene la Arq. Viviana Figueroa;</w:t>
      </w:r>
      <w:r w:rsidR="005C2F5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pregunta si hay alguna inquietud, respecto a la propue</w:t>
      </w:r>
      <w:r w:rsidR="005C2F5B">
        <w:rPr>
          <w:rFonts w:ascii="Palatino Linotype" w:hAnsi="Palatino Linotype"/>
        </w:rPr>
        <w:t xml:space="preserve">sta, de no ser el caso mociona: </w:t>
      </w:r>
      <w:r w:rsidR="005C2F5B" w:rsidRPr="005C2F5B">
        <w:rPr>
          <w:rFonts w:ascii="Palatino Linotype" w:hAnsi="Palatino Linotype"/>
        </w:rPr>
        <w:t>recomendar la aprobación del proyecto definitivo de rehabilitación denominado: “Eco Museo Biblioteca”, se desarrolla en el lote con predio Nro. 1782 y clave catastral Nro.1000131005, ubicado en las calles Manabí y Vargas (esquina), barrio San Juan, parroquia San Juan, propiedad de MUNICIPIO DEL DISTRITO METROPOLITANO DE QUITO.</w:t>
      </w:r>
    </w:p>
    <w:p w:rsidR="00AD2FBD" w:rsidRDefault="00AD2FBD" w:rsidP="00AD2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>Una vez apoyada la moción presentada, fue sometida a votación y se aprobó de conformidad con el siguiente detalle:</w:t>
      </w:r>
    </w:p>
    <w:p w:rsidR="00AD2FBD" w:rsidRDefault="00AD2FBD" w:rsidP="00AD2FBD">
      <w:pPr>
        <w:spacing w:after="0" w:line="240" w:lineRule="auto"/>
        <w:jc w:val="both"/>
        <w:rPr>
          <w:rStyle w:val="Textoennegrita"/>
          <w:rFonts w:cs="Tahoma"/>
          <w:b w:val="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AD2FBD" w:rsidTr="00AD2FBD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5C2F5B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</w:t>
            </w:r>
            <w:r w:rsidR="00AD2FBD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lastRenderedPageBreak/>
              <w:t xml:space="preserve">Roberto Román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Manuela Sáenz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AD2FBD" w:rsidRDefault="00AD2FBD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AD2FBD" w:rsidRDefault="00AD2FBD" w:rsidP="00AD2FBD">
      <w:pPr>
        <w:spacing w:before="240" w:after="0" w:line="240" w:lineRule="auto"/>
        <w:jc w:val="both"/>
      </w:pPr>
      <w:r>
        <w:rPr>
          <w:rFonts w:ascii="Palatino Linotype" w:eastAsia="Times New Roman" w:hAnsi="Palatino Linotype" w:cs="Arial"/>
          <w:snapToGrid w:val="0"/>
          <w:lang w:eastAsia="es-ES"/>
        </w:rPr>
        <w:t>La subcomisión de Áreas His</w:t>
      </w:r>
      <w:r w:rsidR="005C2F5B">
        <w:rPr>
          <w:rFonts w:ascii="Palatino Linotype" w:eastAsia="Times New Roman" w:hAnsi="Palatino Linotype" w:cs="Arial"/>
          <w:snapToGrid w:val="0"/>
          <w:lang w:eastAsia="es-ES"/>
        </w:rPr>
        <w:t>tóricas en sesión realizada el 14</w:t>
      </w:r>
      <w:r>
        <w:rPr>
          <w:rFonts w:ascii="Palatino Linotype" w:eastAsia="Times New Roman" w:hAnsi="Palatino Linotype" w:cs="Arial"/>
          <w:snapToGrid w:val="0"/>
          <w:lang w:eastAsia="es-ES"/>
        </w:rPr>
        <w:t xml:space="preserve"> de </w:t>
      </w:r>
      <w:r w:rsidR="005C2F5B">
        <w:rPr>
          <w:rFonts w:ascii="Palatino Linotype" w:eastAsia="Times New Roman" w:hAnsi="Palatino Linotype" w:cs="Arial"/>
          <w:snapToGrid w:val="0"/>
          <w:lang w:eastAsia="es-ES"/>
        </w:rPr>
        <w:t>octu</w:t>
      </w:r>
      <w:r>
        <w:rPr>
          <w:rFonts w:ascii="Palatino Linotype" w:eastAsia="Times New Roman" w:hAnsi="Palatino Linotype" w:cs="Arial"/>
          <w:snapToGrid w:val="0"/>
          <w:lang w:eastAsia="es-ES"/>
        </w:rPr>
        <w:t xml:space="preserve">bre de 2021, resolvió: </w:t>
      </w:r>
      <w:r w:rsidR="005C2F5B" w:rsidRPr="005C2F5B">
        <w:rPr>
          <w:rFonts w:ascii="Palatino Linotype" w:eastAsia="Times New Roman" w:hAnsi="Palatino Linotype" w:cs="Arial"/>
          <w:snapToGrid w:val="0"/>
          <w:lang w:eastAsia="es-ES"/>
        </w:rPr>
        <w:t>recomendar la aprobación del proyecto definitivo de rehabilitación denominado: “Eco Museo Biblioteca”, se desarrolla en el lote con predio Nro. 1782 y clave catastral Nro.1000131005, ubicado en las calles Manabí y Vargas (esquina), barrio San Juan, parroquia San Juan, propiedad de MUNICIPIO DEL DISTRITO METROPOLITANO DE QUITO.</w:t>
      </w:r>
    </w:p>
    <w:p w:rsidR="00AD2FBD" w:rsidRDefault="00AD2FBD" w:rsidP="00AD2FBD">
      <w:pPr>
        <w:spacing w:after="0" w:line="240" w:lineRule="auto"/>
        <w:jc w:val="both"/>
        <w:rPr>
          <w:rStyle w:val="Textoennegrita"/>
          <w:rFonts w:cs="Tahoma"/>
          <w:b w:val="0"/>
        </w:rPr>
      </w:pPr>
    </w:p>
    <w:p w:rsidR="00953A9F" w:rsidRDefault="00953A9F" w:rsidP="00953A9F">
      <w:pPr>
        <w:jc w:val="both"/>
        <w:rPr>
          <w:rFonts w:ascii="Palatino Linotype" w:hAnsi="Palatino Linotype"/>
          <w:b/>
        </w:rPr>
      </w:pPr>
      <w:r w:rsidRPr="00953A9F">
        <w:rPr>
          <w:rFonts w:ascii="Palatino Linotype" w:hAnsi="Palatino Linotype"/>
          <w:b/>
        </w:rPr>
        <w:t>Tercer punto: PROYECTO DEFINITIVO MODIFICATORIO “ESTACIÓN DE METRO SAN FRANCISCO” Se desarrolla en el lote con predio N° 6813 y clave catastral N° 30001-13-013, ubicado en la calle Antonio José de Sucre, barrio González Suárez, parroquia Centro Histórico, y es de propiedad del Municipio del Distrito Metropolitano de Quito.</w:t>
      </w:r>
    </w:p>
    <w:p w:rsidR="00953A9F" w:rsidRDefault="00953A9F" w:rsidP="00953A9F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Interviene la Arq. Viviana Figueroa; </w:t>
      </w:r>
      <w:r w:rsidR="00BF556A" w:rsidRPr="00BF556A">
        <w:rPr>
          <w:rFonts w:ascii="Palatino Linotype" w:hAnsi="Palatino Linotype"/>
        </w:rPr>
        <w:t>realiza</w:t>
      </w:r>
      <w:r w:rsidRPr="00BF556A">
        <w:rPr>
          <w:rFonts w:ascii="Palatino Linotype" w:hAnsi="Palatino Linotype"/>
        </w:rPr>
        <w:t xml:space="preserve"> una introducción sobre el proyecto, señalando que ya cuenta con una aprobación por parte de la Comisión de Áreas Históricas y Patrimonio, el proyecto modificatoria también aprobado </w:t>
      </w:r>
      <w:proofErr w:type="spellStart"/>
      <w:r w:rsidRPr="00BF556A">
        <w:rPr>
          <w:rFonts w:ascii="Palatino Linotype" w:hAnsi="Palatino Linotype"/>
        </w:rPr>
        <w:t>po</w:t>
      </w:r>
      <w:proofErr w:type="spellEnd"/>
      <w:r w:rsidRPr="00BF556A">
        <w:rPr>
          <w:rFonts w:ascii="Palatino Linotype" w:hAnsi="Palatino Linotype"/>
        </w:rPr>
        <w:t xml:space="preserve"> la comisión en mención, </w:t>
      </w:r>
      <w:r w:rsidR="00491419" w:rsidRPr="00BF556A">
        <w:rPr>
          <w:rFonts w:ascii="Palatino Linotype" w:hAnsi="Palatino Linotype"/>
        </w:rPr>
        <w:t>donde se implanta de estación de salida del metro para la estación San Francisco, una vez que en la ejecución de</w:t>
      </w:r>
      <w:r w:rsidR="00BF556A" w:rsidRPr="00BF556A">
        <w:rPr>
          <w:rFonts w:ascii="Palatino Linotype" w:hAnsi="Palatino Linotype"/>
        </w:rPr>
        <w:t xml:space="preserve"> </w:t>
      </w:r>
      <w:r w:rsidR="00491419" w:rsidRPr="00BF556A">
        <w:rPr>
          <w:rFonts w:ascii="Palatino Linotype" w:hAnsi="Palatino Linotype"/>
        </w:rPr>
        <w:t xml:space="preserve">obra estuvieron realizando el proyecto definitivo, encontraron algunos detalles que son necesarios para mejorar las condiciones y el servicio que se va a prestar en esta </w:t>
      </w:r>
      <w:r w:rsidR="00BF556A" w:rsidRPr="00BF556A">
        <w:rPr>
          <w:rFonts w:ascii="Palatino Linotype" w:hAnsi="Palatino Linotype"/>
        </w:rPr>
        <w:t>parada</w:t>
      </w:r>
      <w:r w:rsidR="00491419" w:rsidRPr="00BF556A">
        <w:rPr>
          <w:rFonts w:ascii="Palatino Linotype" w:hAnsi="Palatino Linotype"/>
        </w:rPr>
        <w:t xml:space="preserve">, en ese sentido se ha presentado un proyecto modificatorio, que se desarrolla en este predio, que tiene una catalogación parcial </w:t>
      </w:r>
      <w:proofErr w:type="spellStart"/>
      <w:r w:rsidR="00491419" w:rsidRPr="00BF556A">
        <w:rPr>
          <w:rFonts w:ascii="Palatino Linotype" w:hAnsi="Palatino Linotype"/>
        </w:rPr>
        <w:t>rehabilitable</w:t>
      </w:r>
      <w:proofErr w:type="spellEnd"/>
      <w:r w:rsidR="00491419" w:rsidRPr="00BF556A">
        <w:rPr>
          <w:rFonts w:ascii="Palatino Linotype" w:hAnsi="Palatino Linotype"/>
        </w:rPr>
        <w:t xml:space="preserve">, y que actualmente cuenta con los informes favorables de la Secretaría de Territorio </w:t>
      </w:r>
      <w:r w:rsidR="00BF556A" w:rsidRPr="00BF556A">
        <w:rPr>
          <w:rFonts w:ascii="Palatino Linotype" w:hAnsi="Palatino Linotype"/>
        </w:rPr>
        <w:t>Hábitat</w:t>
      </w:r>
      <w:r w:rsidR="00491419" w:rsidRPr="00BF556A">
        <w:rPr>
          <w:rFonts w:ascii="Palatino Linotype" w:hAnsi="Palatino Linotype"/>
        </w:rPr>
        <w:t xml:space="preserve"> y </w:t>
      </w:r>
      <w:r w:rsidR="00BF556A" w:rsidRPr="00BF556A">
        <w:rPr>
          <w:rFonts w:ascii="Palatino Linotype" w:hAnsi="Palatino Linotype"/>
        </w:rPr>
        <w:t>Vivienda</w:t>
      </w:r>
      <w:r w:rsidR="00491419" w:rsidRPr="00BF556A">
        <w:rPr>
          <w:rFonts w:ascii="Palatino Linotype" w:hAnsi="Palatino Linotype"/>
        </w:rPr>
        <w:t xml:space="preserve">, respecto a lo arquitectónico, </w:t>
      </w:r>
      <w:r w:rsidR="00BF556A" w:rsidRPr="00BF556A">
        <w:rPr>
          <w:rFonts w:ascii="Palatino Linotype" w:hAnsi="Palatino Linotype"/>
        </w:rPr>
        <w:t>estructural</w:t>
      </w:r>
      <w:r w:rsidR="00491419" w:rsidRPr="00BF556A">
        <w:rPr>
          <w:rFonts w:ascii="Palatino Linotype" w:hAnsi="Palatino Linotype"/>
        </w:rPr>
        <w:t xml:space="preserve">, eléctrico e hidrosanitario; destaca la importancia del sistema de prevención contra </w:t>
      </w:r>
      <w:r w:rsidR="00BF556A" w:rsidRPr="00BF556A">
        <w:rPr>
          <w:rFonts w:ascii="Palatino Linotype" w:hAnsi="Palatino Linotype"/>
        </w:rPr>
        <w:t>incendios</w:t>
      </w:r>
      <w:r w:rsidR="00491419" w:rsidRPr="00BF556A">
        <w:rPr>
          <w:rFonts w:ascii="Palatino Linotype" w:hAnsi="Palatino Linotype"/>
        </w:rPr>
        <w:t xml:space="preserve"> en este proyecto, no tiene un sistema, único, sino es un sistema de prevención que se hace de manera global, que se hace tanto para las rutas de salida co</w:t>
      </w:r>
      <w:r w:rsidR="003D7A31" w:rsidRPr="00BF556A">
        <w:rPr>
          <w:rFonts w:ascii="Palatino Linotype" w:hAnsi="Palatino Linotype"/>
        </w:rPr>
        <w:t>mo para el recorrido del metro.</w:t>
      </w:r>
      <w:r w:rsidR="003D7A31">
        <w:rPr>
          <w:rFonts w:ascii="Palatino Linotype" w:hAnsi="Palatino Linotype"/>
          <w:b/>
        </w:rPr>
        <w:t xml:space="preserve"> </w:t>
      </w:r>
    </w:p>
    <w:p w:rsidR="00FF54D5" w:rsidRDefault="00BF556A" w:rsidP="00953A9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la Arq. Susana Noroña, de la Secretaría de Territorio Hábitat y Vivienda, </w:t>
      </w:r>
      <w:r w:rsidR="005F18CA">
        <w:rPr>
          <w:rFonts w:ascii="Palatino Linotype" w:hAnsi="Palatino Linotype"/>
        </w:rPr>
        <w:t>inicia exponiendo, los datos generales del predio 6813</w:t>
      </w:r>
      <w:r w:rsidR="008C3D8B">
        <w:rPr>
          <w:rFonts w:ascii="Palatino Linotype" w:hAnsi="Palatino Linotype"/>
        </w:rPr>
        <w:t xml:space="preserve">; </w:t>
      </w:r>
      <w:r w:rsidR="00F55222">
        <w:rPr>
          <w:rFonts w:ascii="Palatino Linotype" w:hAnsi="Palatino Linotype"/>
        </w:rPr>
        <w:t>catalo</w:t>
      </w:r>
      <w:r w:rsidR="00FF54D5">
        <w:rPr>
          <w:rFonts w:ascii="Palatino Linotype" w:hAnsi="Palatino Linotype"/>
        </w:rPr>
        <w:t>gación, propuesta modificatoria.</w:t>
      </w:r>
    </w:p>
    <w:p w:rsidR="00BF556A" w:rsidRPr="006D07E9" w:rsidRDefault="00FF54D5" w:rsidP="00953A9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la Arq. Viviana Figueroa; </w:t>
      </w:r>
      <w:r w:rsidRPr="006D07E9">
        <w:rPr>
          <w:rFonts w:ascii="Palatino Linotype" w:hAnsi="Palatino Linotype"/>
        </w:rPr>
        <w:t xml:space="preserve">menciona que las observaciones que se han hecho son para ajustar y mejorar las condiciones del uso que </w:t>
      </w:r>
      <w:r w:rsidR="00C7628E">
        <w:rPr>
          <w:rFonts w:ascii="Palatino Linotype" w:hAnsi="Palatino Linotype"/>
        </w:rPr>
        <w:t>se le va a dar a este inmueble.</w:t>
      </w:r>
    </w:p>
    <w:p w:rsidR="00C07626" w:rsidRDefault="00195F8C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 w:rsidRPr="000F228D">
        <w:rPr>
          <w:rStyle w:val="Textoennegrita"/>
          <w:rFonts w:ascii="Palatino Linotype" w:hAnsi="Palatino Linotype" w:cs="Tahoma"/>
        </w:rPr>
        <w:t>Patricio Guerra, cornista de la ciudad</w:t>
      </w:r>
      <w:r>
        <w:rPr>
          <w:rStyle w:val="Textoennegrita"/>
          <w:rFonts w:ascii="Palatino Linotype" w:hAnsi="Palatino Linotype" w:cs="Tahoma"/>
          <w:b w:val="0"/>
        </w:rPr>
        <w:t xml:space="preserve">, pregunta si ¿el acrecentamiento de muros, afecta en alguna medida las cargas de la </w:t>
      </w:r>
      <w:r w:rsidR="000F228D">
        <w:rPr>
          <w:rStyle w:val="Textoennegrita"/>
          <w:rFonts w:ascii="Palatino Linotype" w:hAnsi="Palatino Linotype" w:cs="Tahoma"/>
          <w:b w:val="0"/>
        </w:rPr>
        <w:t>cimentación?</w:t>
      </w:r>
    </w:p>
    <w:p w:rsidR="000F228D" w:rsidRDefault="000F228D" w:rsidP="00AD2FBD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0F228D" w:rsidRDefault="000F228D" w:rsidP="00AD2FB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 xml:space="preserve">Interviene la Arq. Viviana Figueroa; </w:t>
      </w:r>
      <w:r w:rsidRPr="00091827">
        <w:rPr>
          <w:rFonts w:ascii="Palatino Linotype" w:hAnsi="Palatino Linotype"/>
        </w:rPr>
        <w:t xml:space="preserve">menciona que los nuevos muros de hormigón, tienen todo el estudio estructural, por </w:t>
      </w:r>
      <w:r w:rsidR="00091827" w:rsidRPr="00091827">
        <w:rPr>
          <w:rFonts w:ascii="Palatino Linotype" w:hAnsi="Palatino Linotype"/>
        </w:rPr>
        <w:t>tanto,</w:t>
      </w:r>
      <w:r w:rsidRPr="00091827">
        <w:rPr>
          <w:rFonts w:ascii="Palatino Linotype" w:hAnsi="Palatino Linotype"/>
        </w:rPr>
        <w:t xml:space="preserve"> de ninguna manera afectaría a la cimentación.</w:t>
      </w:r>
    </w:p>
    <w:p w:rsidR="00091827" w:rsidRDefault="00F350C3" w:rsidP="00F350C3">
      <w:pPr>
        <w:spacing w:before="240" w:after="0" w:line="240" w:lineRule="auto"/>
        <w:jc w:val="both"/>
        <w:rPr>
          <w:rFonts w:ascii="Palatino Linotype" w:hAnsi="Palatino Linotype"/>
        </w:rPr>
      </w:pPr>
      <w:r w:rsidRPr="00F350C3">
        <w:rPr>
          <w:rFonts w:ascii="Palatino Linotype" w:hAnsi="Palatino Linotype"/>
          <w:b/>
        </w:rPr>
        <w:t>Dimi</w:t>
      </w:r>
      <w:r w:rsidR="00091827" w:rsidRPr="00F350C3">
        <w:rPr>
          <w:rFonts w:ascii="Palatino Linotype" w:hAnsi="Palatino Linotype"/>
          <w:b/>
        </w:rPr>
        <w:t>tri Dávila, de la Secretaría de Territorio Hábitat y Vivienda</w:t>
      </w:r>
      <w:r w:rsidR="00091827">
        <w:rPr>
          <w:rFonts w:ascii="Palatino Linotype" w:hAnsi="Palatino Linotype"/>
        </w:rPr>
        <w:t xml:space="preserve">, complementa, </w:t>
      </w:r>
      <w:r>
        <w:rPr>
          <w:rFonts w:ascii="Palatino Linotype" w:hAnsi="Palatino Linotype"/>
        </w:rPr>
        <w:t>que,</w:t>
      </w:r>
      <w:r w:rsidR="00091827">
        <w:rPr>
          <w:rFonts w:ascii="Palatino Linotype" w:hAnsi="Palatino Linotype"/>
        </w:rPr>
        <w:t xml:space="preserve"> en cuanto a la cimentación, se han hecho </w:t>
      </w:r>
      <w:r w:rsidR="00C86AB6">
        <w:rPr>
          <w:rFonts w:ascii="Palatino Linotype" w:hAnsi="Palatino Linotype"/>
        </w:rPr>
        <w:t>micro pilotes</w:t>
      </w:r>
      <w:r w:rsidR="00091827">
        <w:rPr>
          <w:rFonts w:ascii="Palatino Linotype" w:hAnsi="Palatino Linotype"/>
        </w:rPr>
        <w:t xml:space="preserve"> para rigidizar las cargas de los muros hacia el suelo de fundación</w:t>
      </w:r>
      <w:r w:rsidR="00DF0D4B">
        <w:rPr>
          <w:rFonts w:ascii="Palatino Linotype" w:hAnsi="Palatino Linotype"/>
        </w:rPr>
        <w:t>.</w:t>
      </w:r>
    </w:p>
    <w:p w:rsidR="00FF54D5" w:rsidRDefault="00C7628E" w:rsidP="00D41B46">
      <w:pPr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la Arq. Viviana Figueroa; </w:t>
      </w:r>
      <w:r>
        <w:rPr>
          <w:rFonts w:ascii="Palatino Linotype" w:hAnsi="Palatino Linotype"/>
        </w:rPr>
        <w:t>pide que, de haber observaciones, sean expuestas; de no ser el caso mociona:</w:t>
      </w:r>
      <w:r w:rsidR="00D41B46">
        <w:rPr>
          <w:rFonts w:ascii="Palatino Linotype" w:hAnsi="Palatino Linotype"/>
        </w:rPr>
        <w:t xml:space="preserve"> </w:t>
      </w:r>
      <w:r w:rsidR="00D41B46" w:rsidRPr="00D41B46">
        <w:rPr>
          <w:rFonts w:ascii="Palatino Linotype" w:hAnsi="Palatino Linotype"/>
        </w:rPr>
        <w:t xml:space="preserve">recomendar la aprobación del proyecto modificatorio definitivo “Estación de Metro San Francisco” en el predio N° 6813 y clave catastral N° 30001-13013, ubicado en la calle Antonio José de Sucre, barrio González Suárez, parroquia Centro Histórico, propiedad del MUNICIPIO DEL DISTRITO METROPOLITANO DE QUITO. </w:t>
      </w:r>
    </w:p>
    <w:p w:rsidR="00FF54D5" w:rsidRDefault="0023628D" w:rsidP="00AA2C7F">
      <w:pPr>
        <w:spacing w:before="240"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>
        <w:rPr>
          <w:rFonts w:ascii="Palatino Linotype" w:hAnsi="Palatino Linotype"/>
        </w:rPr>
        <w:t>Una vez apoyada la moción presentada, fue sometida a votación y se aprobó de conformidad con el siguiente detalle:</w:t>
      </w:r>
    </w:p>
    <w:p w:rsidR="00FF54D5" w:rsidRDefault="00FF54D5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FF54D5" w:rsidTr="00F11D35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23628D" w:rsidP="00F11D35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Roberto Román – </w:t>
            </w:r>
            <w:proofErr w:type="spellStart"/>
            <w:r w:rsidR="00FF54D5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 w:rsidR="00FF54D5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Manuela Sáenz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F54D5" w:rsidTr="00F11D3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F54D5" w:rsidRDefault="00FF54D5" w:rsidP="00F11D35">
            <w:pPr>
              <w:pStyle w:val="Subttulo"/>
              <w:spacing w:line="25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07626" w:rsidRDefault="00C07626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23628D" w:rsidRDefault="0023628D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23628D" w:rsidRDefault="00AA2C7F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>
        <w:rPr>
          <w:rFonts w:ascii="Palatino Linotype" w:eastAsia="Times New Roman" w:hAnsi="Palatino Linotype" w:cs="Arial"/>
          <w:snapToGrid w:val="0"/>
          <w:lang w:eastAsia="es-ES"/>
        </w:rPr>
        <w:t xml:space="preserve">La subcomisión de Áreas Históricas en sesión realizada el 14 de octubre de 2021, resolvió: </w:t>
      </w:r>
      <w:r w:rsidR="0023628D" w:rsidRPr="0023628D">
        <w:rPr>
          <w:rStyle w:val="Textoennegrita"/>
          <w:rFonts w:ascii="Palatino Linotype" w:hAnsi="Palatino Linotype" w:cs="Tahoma"/>
          <w:b w:val="0"/>
        </w:rPr>
        <w:t>recomendar la aprobación del proyecto modificatorio definitivo “Estación de Metro San Francisco” en el predio N° 6813 y clave catastral N° 30001-13013, ubicado en la calle Antonio José de Sucre, barrio González Suárez, parroquia Centro Histórico, propiedad del MUNICIPIO DEL DISTRITO METROPOLITANO DE QUITO.</w:t>
      </w:r>
    </w:p>
    <w:p w:rsidR="00C07626" w:rsidRDefault="00C07626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C07626" w:rsidRDefault="00AA2C7F" w:rsidP="00AD2FBD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>
        <w:rPr>
          <w:rStyle w:val="Textoennegrita"/>
          <w:rFonts w:ascii="Palatino Linotype" w:hAnsi="Palatino Linotype" w:cs="Tahoma"/>
          <w:b w:val="0"/>
        </w:rPr>
        <w:t>Siendo las 10h38 se toma nota de la clausura de la sesión.</w:t>
      </w:r>
    </w:p>
    <w:p w:rsidR="00AD2FBD" w:rsidRDefault="00AD2FBD" w:rsidP="00AA2C7F">
      <w:pPr>
        <w:spacing w:before="240"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>
        <w:rPr>
          <w:rStyle w:val="Textoennegrita"/>
          <w:rFonts w:ascii="Palatino Linotype" w:hAnsi="Palatino Linotype" w:cs="Tahoma"/>
          <w:b w:val="0"/>
        </w:rPr>
        <w:t>Para constancia de lo actuado, firman la Presidenta de la Subc</w:t>
      </w:r>
      <w:r>
        <w:rPr>
          <w:rFonts w:ascii="Palatino Linotype" w:hAnsi="Palatino Linotype"/>
        </w:rPr>
        <w:t xml:space="preserve">omisión Técnica de Áreas Históricas y Patrimonio </w:t>
      </w:r>
      <w:r>
        <w:rPr>
          <w:rStyle w:val="Textoennegrita"/>
          <w:rFonts w:ascii="Palatino Linotype" w:hAnsi="Palatino Linotype" w:cs="Tahoma"/>
          <w:b w:val="0"/>
        </w:rPr>
        <w:t>y el Prosecretario General del Co</w:t>
      </w:r>
      <w:r w:rsidR="0082563A">
        <w:rPr>
          <w:rStyle w:val="Textoennegrita"/>
          <w:rFonts w:ascii="Palatino Linotype" w:hAnsi="Palatino Linotype" w:cs="Tahoma"/>
          <w:b w:val="0"/>
        </w:rPr>
        <w:t>ncejo Metropolitano de Quito</w:t>
      </w:r>
      <w:r>
        <w:rPr>
          <w:rStyle w:val="Textoennegrita"/>
          <w:rFonts w:ascii="Palatino Linotype" w:hAnsi="Palatino Linotype" w:cs="Tahoma"/>
          <w:b w:val="0"/>
        </w:rPr>
        <w:t>.</w:t>
      </w:r>
    </w:p>
    <w:p w:rsidR="00AD2FBD" w:rsidRDefault="00AD2FBD" w:rsidP="00AD2FBD">
      <w:pPr>
        <w:spacing w:after="0" w:line="240" w:lineRule="auto"/>
        <w:jc w:val="both"/>
        <w:rPr>
          <w:color w:val="000000"/>
        </w:rPr>
      </w:pPr>
    </w:p>
    <w:p w:rsidR="00AD2FBD" w:rsidRDefault="00AD2FBD" w:rsidP="00AD2FB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AD2FBD" w:rsidRDefault="00AD2FBD" w:rsidP="00AD2FB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AD2FBD" w:rsidRDefault="00AD2FBD" w:rsidP="00AD2FB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AD2FBD" w:rsidRDefault="00AD2FBD" w:rsidP="00AD2FBD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Arq. Viviana F</w:t>
      </w:r>
      <w:r w:rsidR="00001641">
        <w:rPr>
          <w:rFonts w:ascii="Palatino Linotype" w:hAnsi="Palatino Linotype" w:cs="Tahoma"/>
        </w:rPr>
        <w:t xml:space="preserve">igueroa </w:t>
      </w:r>
      <w:r w:rsidR="00001641">
        <w:rPr>
          <w:rFonts w:ascii="Palatino Linotype" w:hAnsi="Palatino Linotype" w:cs="Tahoma"/>
        </w:rPr>
        <w:tab/>
      </w:r>
      <w:r w:rsidR="00001641">
        <w:rPr>
          <w:rFonts w:ascii="Palatino Linotype" w:hAnsi="Palatino Linotype" w:cs="Tahoma"/>
        </w:rPr>
        <w:tab/>
      </w:r>
      <w:r w:rsidR="00001641">
        <w:rPr>
          <w:rFonts w:ascii="Palatino Linotype" w:hAnsi="Palatino Linotype" w:cs="Tahoma"/>
        </w:rPr>
        <w:tab/>
      </w:r>
      <w:r w:rsidR="00001641">
        <w:rPr>
          <w:rFonts w:ascii="Palatino Linotype" w:hAnsi="Palatino Linotype" w:cs="Tahoma"/>
        </w:rPr>
        <w:tab/>
        <w:t xml:space="preserve">Abg. Samuel </w:t>
      </w:r>
      <w:proofErr w:type="spellStart"/>
      <w:r w:rsidR="00001641">
        <w:rPr>
          <w:rFonts w:ascii="Palatino Linotype" w:hAnsi="Palatino Linotype" w:cs="Tahoma"/>
        </w:rPr>
        <w:t>Byun</w:t>
      </w:r>
      <w:proofErr w:type="spellEnd"/>
      <w:r w:rsidR="00001641">
        <w:rPr>
          <w:rFonts w:ascii="Palatino Linotype" w:hAnsi="Palatino Linotype" w:cs="Tahoma"/>
        </w:rPr>
        <w:t xml:space="preserve"> Olivo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</w:p>
    <w:p w:rsidR="00AD2FBD" w:rsidRDefault="00AD2FBD" w:rsidP="00AD2FBD">
      <w:pPr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PRESIDENTA DE LA SUBCOMISIÓN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  <w:t xml:space="preserve">PROSECRETARIO GENERAL DEL </w:t>
      </w:r>
    </w:p>
    <w:p w:rsidR="00AD2FBD" w:rsidRDefault="00AD2FBD" w:rsidP="00AD2FBD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TÉCNICA DE ÁREAS HISTÓRICAS Y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  <w:t>CONCEJO METROPOLITANO</w:t>
      </w:r>
    </w:p>
    <w:p w:rsidR="00AD2FBD" w:rsidRDefault="00C1679E" w:rsidP="00AD2FBD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PATRIMONIO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  <w:t xml:space="preserve">DE QUITO </w:t>
      </w:r>
    </w:p>
    <w:p w:rsidR="00AD2FBD" w:rsidRDefault="00AD2FBD" w:rsidP="00AD2FBD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AD2FBD" w:rsidRDefault="00AD2FBD" w:rsidP="00AD2FBD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D2FBD" w:rsidTr="00AD2FBD">
        <w:trPr>
          <w:trHeight w:val="25"/>
          <w:jc w:val="center"/>
        </w:trPr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RESUMEN DE ASISTENCIA DE LA SESIÓN</w:t>
            </w: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2C4AD5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Mercedes Cárdenas</w:t>
            </w:r>
            <w:r w:rsidR="00AD2FBD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Roberto Román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Manuela Sáenz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D2FBD" w:rsidTr="00AD2FBD">
        <w:trPr>
          <w:trHeight w:val="2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D2FBD" w:rsidRDefault="00AD2FBD">
            <w:pPr>
              <w:pStyle w:val="Subttulo"/>
              <w:spacing w:line="256" w:lineRule="aut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AD2FBD" w:rsidRDefault="00AD2FBD" w:rsidP="00AD2FBD"/>
    <w:p w:rsidR="0004353A" w:rsidRDefault="0004353A"/>
    <w:sectPr w:rsidR="0004353A" w:rsidSect="00FA2122">
      <w:headerReference w:type="default" r:id="rId7"/>
      <w:pgSz w:w="11906" w:h="16838"/>
      <w:pgMar w:top="1985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B2" w:rsidRDefault="007C2CB2" w:rsidP="00FA2122">
      <w:pPr>
        <w:spacing w:after="0" w:line="240" w:lineRule="auto"/>
      </w:pPr>
      <w:r>
        <w:separator/>
      </w:r>
    </w:p>
  </w:endnote>
  <w:endnote w:type="continuationSeparator" w:id="0">
    <w:p w:rsidR="007C2CB2" w:rsidRDefault="007C2CB2" w:rsidP="00FA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B2" w:rsidRDefault="007C2CB2" w:rsidP="00FA2122">
      <w:pPr>
        <w:spacing w:after="0" w:line="240" w:lineRule="auto"/>
      </w:pPr>
      <w:r>
        <w:separator/>
      </w:r>
    </w:p>
  </w:footnote>
  <w:footnote w:type="continuationSeparator" w:id="0">
    <w:p w:rsidR="007C2CB2" w:rsidRDefault="007C2CB2" w:rsidP="00FA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2" w:rsidRDefault="00FA2122">
    <w:pPr>
      <w:pStyle w:val="Encabezado"/>
    </w:pPr>
    <w:r>
      <w:rPr>
        <w:noProof/>
        <w:lang w:val="es-EC"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4.4pt;margin-top:-118.1pt;width:594pt;height:859.4pt;z-index:-251658240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04818"/>
    <w:multiLevelType w:val="hybridMultilevel"/>
    <w:tmpl w:val="B0B23F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1744"/>
    <w:multiLevelType w:val="hybridMultilevel"/>
    <w:tmpl w:val="E7985E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C"/>
    <w:rsid w:val="00001641"/>
    <w:rsid w:val="0004353A"/>
    <w:rsid w:val="00091827"/>
    <w:rsid w:val="000F228D"/>
    <w:rsid w:val="001514AB"/>
    <w:rsid w:val="00195F8C"/>
    <w:rsid w:val="001C5170"/>
    <w:rsid w:val="0023628D"/>
    <w:rsid w:val="002C35BB"/>
    <w:rsid w:val="002C4AD5"/>
    <w:rsid w:val="002F1D0D"/>
    <w:rsid w:val="00332715"/>
    <w:rsid w:val="003D7A31"/>
    <w:rsid w:val="00491419"/>
    <w:rsid w:val="005718A9"/>
    <w:rsid w:val="00591560"/>
    <w:rsid w:val="005964B9"/>
    <w:rsid w:val="005C2F5B"/>
    <w:rsid w:val="005C4686"/>
    <w:rsid w:val="005F18CA"/>
    <w:rsid w:val="00633E7A"/>
    <w:rsid w:val="006C29B4"/>
    <w:rsid w:val="006D07E9"/>
    <w:rsid w:val="0070558F"/>
    <w:rsid w:val="007C2CB2"/>
    <w:rsid w:val="0082563A"/>
    <w:rsid w:val="008C16BE"/>
    <w:rsid w:val="008C3D8B"/>
    <w:rsid w:val="008F66E5"/>
    <w:rsid w:val="00905224"/>
    <w:rsid w:val="00953A9F"/>
    <w:rsid w:val="00A42DB4"/>
    <w:rsid w:val="00AA2C7F"/>
    <w:rsid w:val="00AD2FBD"/>
    <w:rsid w:val="00B61DA3"/>
    <w:rsid w:val="00BF556A"/>
    <w:rsid w:val="00C07626"/>
    <w:rsid w:val="00C1679E"/>
    <w:rsid w:val="00C7628E"/>
    <w:rsid w:val="00C86AB6"/>
    <w:rsid w:val="00D025C1"/>
    <w:rsid w:val="00D41B46"/>
    <w:rsid w:val="00D6208F"/>
    <w:rsid w:val="00D825ED"/>
    <w:rsid w:val="00D920AC"/>
    <w:rsid w:val="00DF0D4B"/>
    <w:rsid w:val="00EC1E43"/>
    <w:rsid w:val="00F350C3"/>
    <w:rsid w:val="00F456FB"/>
    <w:rsid w:val="00F55222"/>
    <w:rsid w:val="00F81D55"/>
    <w:rsid w:val="00F83988"/>
    <w:rsid w:val="00FA2122"/>
    <w:rsid w:val="00FB000C"/>
    <w:rsid w:val="00FE359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1B8AC8-3E75-4A8E-8478-E0F774E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BD"/>
    <w:pPr>
      <w:spacing w:line="256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D2FBD"/>
    <w:pPr>
      <w:spacing w:after="120" w:line="276" w:lineRule="auto"/>
    </w:pPr>
    <w:rPr>
      <w:rFonts w:ascii="Calibri" w:eastAsia="MS Mincho" w:hAnsi="Calibri" w:cs="Times New Roman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D2FBD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AD2FB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AD2FBD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inespaciadoCar">
    <w:name w:val="Sin espaciado Car"/>
    <w:link w:val="Sinespaciado"/>
    <w:uiPriority w:val="1"/>
    <w:locked/>
    <w:rsid w:val="00AD2FBD"/>
    <w:rPr>
      <w:rFonts w:ascii="Calibri" w:eastAsia="MS Mincho" w:hAnsi="Calibri" w:cs="Times New Roman"/>
    </w:rPr>
  </w:style>
  <w:style w:type="paragraph" w:styleId="Sinespaciado">
    <w:name w:val="No Spacing"/>
    <w:link w:val="SinespaciadoCar"/>
    <w:uiPriority w:val="1"/>
    <w:qFormat/>
    <w:rsid w:val="00AD2FBD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AD2FBD"/>
    <w:pPr>
      <w:spacing w:after="0" w:line="360" w:lineRule="auto"/>
      <w:ind w:left="720"/>
      <w:contextualSpacing/>
      <w:jc w:val="both"/>
    </w:pPr>
    <w:rPr>
      <w:rFonts w:ascii="Bookman Old Style" w:eastAsia="Calibri" w:hAnsi="Bookman Old Style" w:cs="Times New Roman"/>
      <w:sz w:val="24"/>
      <w:lang w:val="es-EC"/>
    </w:rPr>
  </w:style>
  <w:style w:type="character" w:styleId="Textoennegrita">
    <w:name w:val="Strong"/>
    <w:basedOn w:val="Fuentedeprrafopredeter"/>
    <w:uiPriority w:val="22"/>
    <w:qFormat/>
    <w:rsid w:val="00AD2FB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A2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122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FA2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122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1600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55</cp:revision>
  <dcterms:created xsi:type="dcterms:W3CDTF">2021-12-14T14:38:00Z</dcterms:created>
  <dcterms:modified xsi:type="dcterms:W3CDTF">2021-12-14T20:57:00Z</dcterms:modified>
</cp:coreProperties>
</file>