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37" w:rsidRPr="006D08AC" w:rsidRDefault="006F2E37" w:rsidP="006F2E37">
      <w:pPr>
        <w:jc w:val="center"/>
        <w:rPr>
          <w:b/>
        </w:rPr>
      </w:pPr>
      <w:r w:rsidRPr="006D08AC">
        <w:rPr>
          <w:b/>
        </w:rPr>
        <w:t>ACTA</w:t>
      </w:r>
      <w:r w:rsidR="001B600C">
        <w:rPr>
          <w:b/>
        </w:rPr>
        <w:t xml:space="preserve"> RESOLUTIVA DE LA SESIÓN No. 013</w:t>
      </w:r>
      <w:r w:rsidRPr="006D08AC">
        <w:rPr>
          <w:b/>
        </w:rPr>
        <w:t xml:space="preserve"> </w:t>
      </w:r>
      <w:r w:rsidR="00DC3D64">
        <w:rPr>
          <w:b/>
        </w:rPr>
        <w:t>EXTRA</w:t>
      </w:r>
      <w:r w:rsidRPr="006D08AC">
        <w:rPr>
          <w:b/>
        </w:rPr>
        <w:t xml:space="preserve">ORDINARIA </w:t>
      </w:r>
    </w:p>
    <w:p w:rsidR="006F2E37" w:rsidRPr="006D08AC" w:rsidRDefault="006F2E37" w:rsidP="006F2E37">
      <w:pPr>
        <w:jc w:val="center"/>
        <w:rPr>
          <w:b/>
        </w:rPr>
      </w:pPr>
      <w:r w:rsidRPr="006D08AC">
        <w:rPr>
          <w:b/>
        </w:rPr>
        <w:t>DE LA SUBCOMISIÓN TÉCNICA DE ÁREAS HISTÓRICAS Y PATRIMONIO</w:t>
      </w:r>
    </w:p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DC3D64" w:rsidP="006F2E37">
      <w:pPr>
        <w:jc w:val="center"/>
        <w:rPr>
          <w:b/>
        </w:rPr>
      </w:pPr>
      <w:r>
        <w:rPr>
          <w:b/>
        </w:rPr>
        <w:t xml:space="preserve">JUEVES </w:t>
      </w:r>
      <w:r w:rsidR="001B600C">
        <w:rPr>
          <w:b/>
        </w:rPr>
        <w:t>10 DE SEPTIEMBRE</w:t>
      </w:r>
      <w:r w:rsidR="006F2E37" w:rsidRPr="006D08AC">
        <w:rPr>
          <w:b/>
        </w:rPr>
        <w:t xml:space="preserve"> DE 2020</w:t>
      </w:r>
    </w:p>
    <w:p w:rsidR="006F2E37" w:rsidRPr="006D08AC" w:rsidRDefault="006F2E37" w:rsidP="006F2E37">
      <w:pPr>
        <w:jc w:val="center"/>
        <w:rPr>
          <w:b/>
        </w:rPr>
      </w:pP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D08AC">
        <w:rPr>
          <w:rFonts w:ascii="Palatino Linotype" w:hAnsi="Palatino Linotype" w:cs="Tahoma"/>
          <w:bCs/>
          <w:i w:val="0"/>
          <w:sz w:val="22"/>
          <w:szCs w:val="22"/>
        </w:rPr>
        <w:t>En el Distrito Metro</w:t>
      </w:r>
      <w:r w:rsidR="001B600C">
        <w:rPr>
          <w:rFonts w:ascii="Palatino Linotype" w:hAnsi="Palatino Linotype" w:cs="Tahoma"/>
          <w:bCs/>
          <w:i w:val="0"/>
          <w:sz w:val="22"/>
          <w:szCs w:val="22"/>
        </w:rPr>
        <w:t>politano de Quito, siendo las 09H05</w:t>
      </w:r>
      <w:r w:rsidRPr="006D08AC">
        <w:rPr>
          <w:rFonts w:ascii="Palatino Linotype" w:hAnsi="Palatino Linotype" w:cs="Tahoma"/>
          <w:bCs/>
          <w:i w:val="0"/>
          <w:sz w:val="22"/>
          <w:szCs w:val="22"/>
        </w:rPr>
        <w:t xml:space="preserve"> del </w:t>
      </w:r>
      <w:r w:rsidR="001B600C">
        <w:rPr>
          <w:rFonts w:ascii="Palatino Linotype" w:hAnsi="Palatino Linotype" w:cs="Tahoma"/>
          <w:bCs/>
          <w:i w:val="0"/>
          <w:sz w:val="22"/>
          <w:szCs w:val="22"/>
        </w:rPr>
        <w:t>10 de septiembre</w:t>
      </w:r>
      <w:r w:rsidR="00DC3D64">
        <w:rPr>
          <w:rFonts w:ascii="Palatino Linotype" w:hAnsi="Palatino Linotype" w:cs="Tahoma"/>
          <w:bCs/>
          <w:i w:val="0"/>
          <w:sz w:val="22"/>
          <w:szCs w:val="22"/>
        </w:rPr>
        <w:t xml:space="preserve"> de 2020, se lleva a través de la plataforma tecnológica Mi</w:t>
      </w:r>
      <w:r w:rsidR="001B600C">
        <w:rPr>
          <w:rFonts w:ascii="Palatino Linotype" w:hAnsi="Palatino Linotype" w:cs="Tahoma"/>
          <w:bCs/>
          <w:i w:val="0"/>
          <w:sz w:val="22"/>
          <w:szCs w:val="22"/>
        </w:rPr>
        <w:t xml:space="preserve">crosoft </w:t>
      </w:r>
      <w:proofErr w:type="spellStart"/>
      <w:r w:rsidR="001B600C">
        <w:rPr>
          <w:rFonts w:ascii="Palatino Linotype" w:hAnsi="Palatino Linotype" w:cs="Tahoma"/>
          <w:bCs/>
          <w:i w:val="0"/>
          <w:sz w:val="22"/>
          <w:szCs w:val="22"/>
        </w:rPr>
        <w:t>Teams</w:t>
      </w:r>
      <w:proofErr w:type="spellEnd"/>
      <w:r w:rsidR="001B600C">
        <w:rPr>
          <w:rFonts w:ascii="Palatino Linotype" w:hAnsi="Palatino Linotype" w:cs="Tahoma"/>
          <w:bCs/>
          <w:i w:val="0"/>
          <w:sz w:val="22"/>
          <w:szCs w:val="22"/>
        </w:rPr>
        <w:t>, la sesión No. 013</w:t>
      </w:r>
      <w:r w:rsidRPr="006D08AC">
        <w:rPr>
          <w:rFonts w:ascii="Palatino Linotype" w:hAnsi="Palatino Linotype" w:cs="Tahoma"/>
          <w:bCs/>
          <w:i w:val="0"/>
          <w:sz w:val="22"/>
          <w:szCs w:val="22"/>
        </w:rPr>
        <w:t xml:space="preserve"> </w:t>
      </w:r>
      <w:r w:rsidR="00DC3D64">
        <w:rPr>
          <w:rFonts w:ascii="Palatino Linotype" w:hAnsi="Palatino Linotype" w:cs="Tahoma"/>
          <w:bCs/>
          <w:i w:val="0"/>
          <w:sz w:val="22"/>
          <w:szCs w:val="22"/>
        </w:rPr>
        <w:t>extra</w:t>
      </w:r>
      <w:r w:rsidRPr="006D08AC">
        <w:rPr>
          <w:rFonts w:ascii="Palatino Linotype" w:hAnsi="Palatino Linotype" w:cs="Tahoma"/>
          <w:bCs/>
          <w:i w:val="0"/>
          <w:sz w:val="22"/>
          <w:szCs w:val="22"/>
        </w:rPr>
        <w:t>ordinaria de la Subcomisión Técnica de Áreas Históricas y Patrimonio, presidida por la Arq. Viviana Figueroa, Presidenta de la Subcomisión Técnica de Áreas Históricas y Patrimonio.</w:t>
      </w: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  <w:r w:rsidRPr="006D08AC">
        <w:rPr>
          <w:rFonts w:ascii="Palatino Linotype" w:hAnsi="Palatino Linotype" w:cs="Tahoma"/>
          <w:bCs/>
          <w:i w:val="0"/>
          <w:sz w:val="22"/>
          <w:szCs w:val="22"/>
        </w:rPr>
        <w:t>Por disposición de la señora Presidenta de la Subcomisión Técnica de Áreas Históricas, se procede a constatar el quórum reglamentario, el mismo que se encuentra conformado por los funcionarios: Arq. Sofía Pazmiño, delegada de la Administración Zonal Manuela Sáenz; Dr. Patricio Guerra, Cronista de la Ciudad; y, Arq. Viviana Figueroa, Presidenta de la Subcomisión Técnica de Áreas Históricas y Patrimonio, de conformidad con el siguiente detalle:</w:t>
      </w:r>
    </w:p>
    <w:p w:rsidR="006F2E37" w:rsidRPr="006D08AC" w:rsidRDefault="006F2E37" w:rsidP="006F2E37">
      <w:pPr>
        <w:pStyle w:val="Subttulo"/>
        <w:rPr>
          <w:rFonts w:ascii="Palatino Linotype" w:hAnsi="Palatino Linotype" w:cs="Tahoma"/>
          <w:bCs/>
          <w:i w:val="0"/>
          <w:sz w:val="22"/>
          <w:szCs w:val="22"/>
        </w:rPr>
      </w:pPr>
    </w:p>
    <w:tbl>
      <w:tblPr>
        <w:tblW w:w="99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2414"/>
        <w:gridCol w:w="2143"/>
        <w:gridCol w:w="1704"/>
      </w:tblGrid>
      <w:tr w:rsidR="006F2E37" w:rsidRPr="006D08AC" w:rsidTr="00B1619E">
        <w:trPr>
          <w:gridAfter w:val="1"/>
          <w:wAfter w:w="1704" w:type="dxa"/>
          <w:trHeight w:hRule="exact" w:val="372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REGISTRO DE ASISTENCIA – INICIO SESIÓN</w:t>
            </w:r>
          </w:p>
        </w:tc>
      </w:tr>
      <w:tr w:rsidR="006F2E37" w:rsidRPr="006D08AC" w:rsidTr="00B1619E">
        <w:trPr>
          <w:gridAfter w:val="1"/>
          <w:wAfter w:w="1704" w:type="dxa"/>
          <w:trHeight w:hRule="exact" w:val="44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INTEGRANTES SUBCOMISIÓN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F2E37" w:rsidRPr="006D08AC" w:rsidTr="00B1619E">
        <w:trPr>
          <w:trHeight w:hRule="exact" w:val="435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085EBD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571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1B600C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Arq. </w:t>
            </w:r>
            <w:r w:rsidR="001B600C">
              <w:rPr>
                <w:rFonts w:cs="Calibri"/>
                <w:bCs/>
                <w:color w:val="000000"/>
                <w:lang w:eastAsia="es-EC"/>
              </w:rPr>
              <w:t xml:space="preserve">Galo Cruz/ Arq. Sofía Pazmiño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73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1B600C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 w:rsidR="00665F3B">
              <w:rPr>
                <w:rFonts w:cs="Calibri"/>
                <w:bCs/>
                <w:color w:val="000000"/>
                <w:lang w:eastAsia="es-EC"/>
              </w:rPr>
              <w:t>Pablo Mo</w:t>
            </w:r>
            <w:r w:rsidR="001B600C">
              <w:rPr>
                <w:rFonts w:cs="Calibri"/>
                <w:bCs/>
                <w:color w:val="000000"/>
                <w:lang w:eastAsia="es-EC"/>
              </w:rPr>
              <w:t>reira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65F3B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73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>Dr. Patricio Guerra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trHeight w:hRule="exact" w:val="36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37" w:rsidRPr="0089540E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 </w:t>
            </w:r>
          </w:p>
        </w:tc>
        <w:tc>
          <w:tcPr>
            <w:tcW w:w="1704" w:type="dxa"/>
            <w:vAlign w:val="center"/>
          </w:tcPr>
          <w:p w:rsidR="006F2E37" w:rsidRPr="006D08AC" w:rsidRDefault="006F2E37" w:rsidP="00D85E96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6F2E37" w:rsidRPr="006D08AC" w:rsidTr="00B1619E">
        <w:trPr>
          <w:gridAfter w:val="1"/>
          <w:wAfter w:w="1704" w:type="dxa"/>
          <w:trHeight w:hRule="exact" w:val="44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65F3B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65F3B" w:rsidP="00D85E96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1</w:t>
            </w:r>
          </w:p>
        </w:tc>
      </w:tr>
    </w:tbl>
    <w:p w:rsidR="006F2E37" w:rsidRPr="006D08AC" w:rsidRDefault="006F2E37" w:rsidP="006F2E37">
      <w:pPr>
        <w:jc w:val="center"/>
        <w:rPr>
          <w:b/>
        </w:rPr>
      </w:pPr>
    </w:p>
    <w:p w:rsidR="00E6037C" w:rsidRPr="006D08AC" w:rsidRDefault="006F2E37" w:rsidP="00E6037C">
      <w:pPr>
        <w:pStyle w:val="Prrafodelista"/>
        <w:ind w:left="0"/>
        <w:jc w:val="both"/>
        <w:rPr>
          <w:bCs/>
        </w:rPr>
      </w:pPr>
      <w:r w:rsidRPr="006D08AC">
        <w:rPr>
          <w:bCs/>
        </w:rPr>
        <w:t xml:space="preserve">Se encuentran presentes también: Arq. Carolina Proaño, delegada de la Secretaría de Territorio, Hábitat y Vivienda; Abg. Patricia </w:t>
      </w:r>
      <w:proofErr w:type="spellStart"/>
      <w:r w:rsidRPr="006D08AC">
        <w:rPr>
          <w:bCs/>
        </w:rPr>
        <w:t>Gavilanez</w:t>
      </w:r>
      <w:proofErr w:type="spellEnd"/>
      <w:r w:rsidRPr="006D08AC">
        <w:rPr>
          <w:bCs/>
        </w:rPr>
        <w:t xml:space="preserve">, delegada de la Agencia Metropolitana de Control; y, </w:t>
      </w:r>
      <w:r w:rsidR="0046293B" w:rsidRPr="006D08AC">
        <w:rPr>
          <w:bCs/>
        </w:rPr>
        <w:t>Dra</w:t>
      </w:r>
      <w:r w:rsidRPr="006D08AC">
        <w:rPr>
          <w:bCs/>
        </w:rPr>
        <w:t>. Mónica Guzmán, delegad</w:t>
      </w:r>
      <w:r w:rsidR="00DC3D64">
        <w:rPr>
          <w:bCs/>
        </w:rPr>
        <w:t xml:space="preserve">a de Procuraduría Metropolitana; Diego Cevallos, asesor del despacho del concejal Bernardo Abad; Álvaro </w:t>
      </w:r>
      <w:proofErr w:type="spellStart"/>
      <w:r w:rsidR="00DC3D64">
        <w:rPr>
          <w:bCs/>
        </w:rPr>
        <w:t>Orbea</w:t>
      </w:r>
      <w:proofErr w:type="spellEnd"/>
      <w:r w:rsidR="00DC3D64">
        <w:rPr>
          <w:bCs/>
        </w:rPr>
        <w:t>, asesor del despacho de la concejala Luz Elena Coloma; Jaime Guerrero, asesor del de</w:t>
      </w:r>
      <w:r w:rsidR="00E6037C">
        <w:rPr>
          <w:bCs/>
        </w:rPr>
        <w:t xml:space="preserve">spacho del concejal Luis Robles; </w:t>
      </w:r>
      <w:r w:rsidR="00E6037C">
        <w:rPr>
          <w:bCs/>
        </w:rPr>
        <w:t xml:space="preserve">Diana Cruz, delegada del INPC. </w:t>
      </w:r>
    </w:p>
    <w:p w:rsidR="006F2E37" w:rsidRPr="006D08AC" w:rsidRDefault="006F2E37" w:rsidP="006F2E37">
      <w:pPr>
        <w:pStyle w:val="Prrafodelista"/>
        <w:ind w:left="0"/>
        <w:jc w:val="both"/>
        <w:rPr>
          <w:bCs/>
        </w:rPr>
      </w:pPr>
      <w:bookmarkStart w:id="0" w:name="_GoBack"/>
      <w:bookmarkEnd w:id="0"/>
    </w:p>
    <w:p w:rsidR="006F2E37" w:rsidRPr="006D08AC" w:rsidRDefault="006F2E37" w:rsidP="006F2E37">
      <w:pPr>
        <w:pStyle w:val="Prrafodelista"/>
        <w:ind w:left="0"/>
        <w:jc w:val="both"/>
        <w:rPr>
          <w:bCs/>
        </w:rPr>
      </w:pPr>
    </w:p>
    <w:p w:rsidR="00665F3B" w:rsidRDefault="006F2E37" w:rsidP="00665F3B">
      <w:pPr>
        <w:pStyle w:val="Prrafodelista"/>
        <w:ind w:left="0"/>
        <w:jc w:val="both"/>
      </w:pPr>
      <w:r w:rsidRPr="006D08AC">
        <w:lastRenderedPageBreak/>
        <w:t>La</w:t>
      </w:r>
      <w:r w:rsidR="00DC3D64">
        <w:t xml:space="preserve"> señorita</w:t>
      </w:r>
      <w:r w:rsidRPr="006D08AC">
        <w:t xml:space="preserve"> </w:t>
      </w:r>
      <w:r w:rsidR="00DC3D64">
        <w:t>Leslie Guerrero</w:t>
      </w:r>
      <w:r w:rsidRPr="006D08AC">
        <w:t xml:space="preserve">, delegada de la Secretaría General del Concejo Metropolitano de Quito, constata el quórum legal y reglamentario, y procede a dar lectura al orden del día: </w:t>
      </w:r>
    </w:p>
    <w:p w:rsidR="00665F3B" w:rsidRPr="00665F3B" w:rsidRDefault="00665F3B" w:rsidP="00665F3B">
      <w:pPr>
        <w:jc w:val="both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1.- </w:t>
      </w:r>
      <w:r w:rsidRPr="00665F3B">
        <w:rPr>
          <w:color w:val="201F1E"/>
          <w:bdr w:val="none" w:sz="0" w:space="0" w:color="auto" w:frame="1"/>
        </w:rPr>
        <w:t>Presentación por parte del Instituto Metropolitano de Patrimonio del proyecto definitivo de rehabilitación ESTUDIO DE REHABILITACIÓN INTEGRAL DE LA UNIDAD EDUCATIVA FISCOMISIONAL "COLEGIO MARÍA DE NAZARETH" y resolución al respecto</w:t>
      </w:r>
    </w:p>
    <w:p w:rsidR="00665F3B" w:rsidRPr="00665F3B" w:rsidRDefault="00665F3B" w:rsidP="00665F3B">
      <w:pPr>
        <w:pStyle w:val="Prrafodelista"/>
        <w:jc w:val="both"/>
        <w:rPr>
          <w:color w:val="201F1E"/>
          <w:bdr w:val="none" w:sz="0" w:space="0" w:color="auto" w:frame="1"/>
        </w:rPr>
      </w:pPr>
    </w:p>
    <w:p w:rsidR="00D04D32" w:rsidRPr="00665F3B" w:rsidRDefault="00665F3B" w:rsidP="00665F3B">
      <w:pPr>
        <w:pStyle w:val="Prrafodelista"/>
        <w:ind w:left="0"/>
        <w:jc w:val="both"/>
      </w:pPr>
      <w:r w:rsidRPr="00665F3B">
        <w:rPr>
          <w:color w:val="201F1E"/>
          <w:bdr w:val="none" w:sz="0" w:space="0" w:color="auto" w:frame="1"/>
        </w:rPr>
        <w:t>2.-  Presentación del proyecto definitivo ampliatorio y rehabilitación "RESIDENCIA HEREDIA SICLES" y resolución al respecto</w:t>
      </w:r>
      <w:r w:rsidR="00D04D32" w:rsidRPr="006D08AC">
        <w:rPr>
          <w:color w:val="201F1E"/>
          <w:bdr w:val="none" w:sz="0" w:space="0" w:color="auto" w:frame="1"/>
        </w:rPr>
        <w:t> </w:t>
      </w:r>
    </w:p>
    <w:p w:rsidR="00D04D32" w:rsidRPr="006D08AC" w:rsidRDefault="00D04D32" w:rsidP="00D04D32">
      <w:pPr>
        <w:pStyle w:val="xmsolistparagraph"/>
        <w:shd w:val="clear" w:color="auto" w:fill="FFFFFF"/>
        <w:spacing w:before="0" w:beforeAutospacing="0" w:after="0" w:afterAutospacing="0"/>
        <w:ind w:left="765"/>
        <w:jc w:val="both"/>
        <w:rPr>
          <w:rFonts w:ascii="Palatino Linotype" w:hAnsi="Palatino Linotype"/>
          <w:color w:val="201F1E"/>
          <w:sz w:val="22"/>
          <w:szCs w:val="22"/>
        </w:rPr>
      </w:pP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ind w:left="284" w:hanging="66"/>
        <w:jc w:val="center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  <w:r w:rsidRPr="006D08AC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DESARROLLO DE LA SESIÓN </w:t>
      </w: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ind w:left="284" w:hanging="66"/>
        <w:jc w:val="center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</w:p>
    <w:p w:rsidR="006F2E37" w:rsidRPr="00DC3D64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cs="Arial"/>
        </w:rPr>
      </w:pPr>
      <w:r w:rsidRPr="006D08AC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Primer punto: </w:t>
      </w:r>
      <w:r w:rsidR="00665F3B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 xml:space="preserve"> </w:t>
      </w:r>
      <w:r w:rsidR="00665F3B" w:rsidRPr="00665F3B"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  <w:t>Presentación por parte del Instituto Metropolitano de Patrimonio del proyecto definitivo de rehabilitación ESTUDIO DE REHABILITACIÓN INTEGRAL DE LA UNIDAD EDUCATIVA FISCOMISIONAL "COLEGIO MARÍA DE NAZARETH" y resolución al respecto</w:t>
      </w:r>
    </w:p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color w:val="201F1E"/>
          <w:sz w:val="22"/>
          <w:szCs w:val="22"/>
          <w:bdr w:val="none" w:sz="0" w:space="0" w:color="auto" w:frame="1"/>
          <w:lang w:val="es-ES"/>
        </w:rPr>
      </w:pPr>
    </w:p>
    <w:p w:rsidR="008B0998" w:rsidRDefault="00665F3B" w:rsidP="006F2E37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El promotor del proyecto realizó la presentación indicando cada uno de los cambios que se propone realizar en la estructura del predio </w:t>
      </w:r>
    </w:p>
    <w:p w:rsidR="00665F3B" w:rsidRDefault="00665F3B" w:rsidP="006F2E37">
      <w:pPr>
        <w:jc w:val="both"/>
        <w:rPr>
          <w:rFonts w:cs="Tahoma"/>
          <w:bCs/>
        </w:rPr>
      </w:pPr>
    </w:p>
    <w:p w:rsidR="008B0998" w:rsidRDefault="008B0998" w:rsidP="006F2E37">
      <w:pPr>
        <w:jc w:val="both"/>
        <w:rPr>
          <w:i/>
          <w:color w:val="000000" w:themeColor="text1"/>
        </w:rPr>
      </w:pPr>
      <w:r w:rsidRPr="008B0998">
        <w:rPr>
          <w:color w:val="201F1E"/>
        </w:rPr>
        <w:t>Luego de analizar el proyecto por parte de los técnicos de la Subcomisión Técnica de</w:t>
      </w:r>
      <w:r>
        <w:rPr>
          <w:color w:val="201F1E"/>
        </w:rPr>
        <w:t xml:space="preserve"> Áreas Históricas y Patrimonio, la Arq. Viviana Figueroa mocionó </w:t>
      </w:r>
      <w:r w:rsidR="00665F3B" w:rsidRPr="003E159B">
        <w:t>recomendar a la Comisión de Áreas Históricas y Patrimonio la aprobación del proyecto arquitectónico modificatorio definitivo de rehabilitación ESTUDIO DE REHABILITACION INTEGRAL UNIDAD EDUCATIVA FISCOMISIONAL “COLEGIO MARIA DE NAZARETH</w:t>
      </w:r>
      <w:r w:rsidR="00665F3B">
        <w:t>.</w:t>
      </w:r>
    </w:p>
    <w:p w:rsidR="008B0998" w:rsidRPr="006D08AC" w:rsidRDefault="008B0998" w:rsidP="006F2E37">
      <w:pPr>
        <w:jc w:val="both"/>
        <w:rPr>
          <w:color w:val="201F1E"/>
        </w:rPr>
      </w:pPr>
    </w:p>
    <w:p w:rsidR="002E2476" w:rsidRPr="006D08AC" w:rsidRDefault="008B0998" w:rsidP="006F2E37">
      <w:pPr>
        <w:jc w:val="both"/>
        <w:rPr>
          <w:rFonts w:cs="Tahoma"/>
          <w:bCs/>
        </w:rPr>
      </w:pPr>
      <w:r>
        <w:rPr>
          <w:color w:val="201F1E"/>
        </w:rPr>
        <w:t>La m</w:t>
      </w:r>
      <w:r w:rsidR="002E2476" w:rsidRPr="006D08AC">
        <w:rPr>
          <w:color w:val="201F1E"/>
        </w:rPr>
        <w:t>oción que es aprobada conforme el</w:t>
      </w:r>
      <w:r>
        <w:rPr>
          <w:color w:val="201F1E"/>
        </w:rPr>
        <w:t xml:space="preserve"> siguiente</w:t>
      </w:r>
      <w:r w:rsidR="002E2476" w:rsidRPr="006D08AC">
        <w:rPr>
          <w:color w:val="201F1E"/>
        </w:rPr>
        <w:t xml:space="preserve"> registro de votación</w:t>
      </w:r>
      <w:r>
        <w:rPr>
          <w:color w:val="201F1E"/>
        </w:rPr>
        <w:t>:</w:t>
      </w:r>
      <w:r w:rsidR="002E2476" w:rsidRPr="006D08AC">
        <w:rPr>
          <w:color w:val="201F1E"/>
        </w:rPr>
        <w:t xml:space="preserve"> </w:t>
      </w:r>
    </w:p>
    <w:p w:rsidR="002A0DFE" w:rsidRPr="006D08AC" w:rsidRDefault="002A0DFE" w:rsidP="006F2E37">
      <w:pPr>
        <w:jc w:val="both"/>
        <w:rPr>
          <w:rFonts w:cs="Tahoma"/>
          <w:bCs/>
        </w:rPr>
      </w:pPr>
    </w:p>
    <w:tbl>
      <w:tblPr>
        <w:tblStyle w:val="Tablaconcuadrcula"/>
        <w:tblW w:w="9571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2787"/>
        <w:gridCol w:w="1443"/>
        <w:gridCol w:w="1254"/>
        <w:gridCol w:w="1376"/>
        <w:gridCol w:w="1320"/>
        <w:gridCol w:w="1391"/>
      </w:tblGrid>
      <w:tr w:rsidR="006F2E37" w:rsidRPr="006D08AC" w:rsidTr="0089540E">
        <w:trPr>
          <w:trHeight w:val="256"/>
        </w:trPr>
        <w:tc>
          <w:tcPr>
            <w:tcW w:w="9571" w:type="dxa"/>
            <w:gridSpan w:val="6"/>
            <w:shd w:val="clear" w:color="auto" w:fill="0070C0"/>
          </w:tcPr>
          <w:p w:rsidR="006F2E37" w:rsidRPr="006D08AC" w:rsidRDefault="006F2E37" w:rsidP="00D85E96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REGISTRO DE VOTACIÓN</w:t>
            </w:r>
          </w:p>
        </w:tc>
      </w:tr>
      <w:tr w:rsidR="006F2E37" w:rsidRPr="006D08AC" w:rsidTr="0089540E">
        <w:trPr>
          <w:trHeight w:val="794"/>
        </w:trPr>
        <w:tc>
          <w:tcPr>
            <w:tcW w:w="2787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INTEGRANTES SUBCOMISIÓN</w:t>
            </w:r>
          </w:p>
        </w:tc>
        <w:tc>
          <w:tcPr>
            <w:tcW w:w="1443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 FAVOR</w:t>
            </w:r>
          </w:p>
        </w:tc>
        <w:tc>
          <w:tcPr>
            <w:tcW w:w="1254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EN CONTRA</w:t>
            </w:r>
          </w:p>
        </w:tc>
        <w:tc>
          <w:tcPr>
            <w:tcW w:w="1376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AUSENTE</w:t>
            </w:r>
          </w:p>
        </w:tc>
        <w:tc>
          <w:tcPr>
            <w:tcW w:w="1320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BLANCO</w:t>
            </w:r>
          </w:p>
        </w:tc>
        <w:tc>
          <w:tcPr>
            <w:tcW w:w="1388" w:type="dxa"/>
            <w:shd w:val="clear" w:color="auto" w:fill="0070C0"/>
          </w:tcPr>
          <w:p w:rsidR="006F2E37" w:rsidRPr="006D08AC" w:rsidRDefault="006F2E37" w:rsidP="006D08AC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ABSTENCIÓN</w:t>
            </w:r>
          </w:p>
        </w:tc>
      </w:tr>
      <w:tr w:rsidR="006F2E37" w:rsidRPr="006D08AC" w:rsidTr="0089540E">
        <w:trPr>
          <w:trHeight w:val="537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1443" w:type="dxa"/>
          </w:tcPr>
          <w:p w:rsidR="006F2E37" w:rsidRPr="0089540E" w:rsidRDefault="00085EBD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vAlign w:val="center"/>
          </w:tcPr>
          <w:p w:rsidR="006F2E37" w:rsidRPr="0089540E" w:rsidRDefault="006F2E37" w:rsidP="00665F3B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 w:rsidR="00665F3B">
              <w:rPr>
                <w:rFonts w:cs="Calibri"/>
                <w:bCs/>
                <w:color w:val="000000"/>
                <w:lang w:eastAsia="es-EC"/>
              </w:rPr>
              <w:t xml:space="preserve">Sofia Pazmiño </w:t>
            </w:r>
            <w:proofErr w:type="spellStart"/>
            <w:r w:rsidR="006D08AC" w:rsidRPr="0089540E">
              <w:rPr>
                <w:rFonts w:cs="Calibri"/>
                <w:bCs/>
                <w:color w:val="000000"/>
                <w:lang w:eastAsia="es-EC"/>
              </w:rPr>
              <w:t>Adm</w:t>
            </w:r>
            <w:proofErr w:type="spellEnd"/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. </w:t>
            </w:r>
            <w:r w:rsidR="0017568A" w:rsidRPr="0089540E">
              <w:rPr>
                <w:rFonts w:cs="Calibri"/>
                <w:bCs/>
                <w:color w:val="000000"/>
                <w:lang w:eastAsia="es-EC"/>
              </w:rPr>
              <w:t xml:space="preserve">Manuela Sáenz </w:t>
            </w: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 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67"/>
        </w:trPr>
        <w:tc>
          <w:tcPr>
            <w:tcW w:w="2787" w:type="dxa"/>
            <w:vAlign w:val="center"/>
          </w:tcPr>
          <w:p w:rsidR="006F2E37" w:rsidRPr="0089540E" w:rsidRDefault="006F2E37" w:rsidP="00665F3B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 w:rsidR="00665F3B">
              <w:rPr>
                <w:rFonts w:cs="Calibri"/>
                <w:bCs/>
                <w:color w:val="000000"/>
                <w:lang w:eastAsia="es-EC"/>
              </w:rPr>
              <w:t>Pablo Moreira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65F3B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Dr. Patricio Guerra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67"/>
        </w:trPr>
        <w:tc>
          <w:tcPr>
            <w:tcW w:w="2787" w:type="dxa"/>
            <w:vAlign w:val="center"/>
          </w:tcPr>
          <w:p w:rsidR="006F2E37" w:rsidRPr="0089540E" w:rsidRDefault="006F2E37" w:rsidP="00D85E96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1443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F2E37" w:rsidRPr="0089540E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F2E37" w:rsidRPr="0089540E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F2E37" w:rsidRPr="006D08AC" w:rsidTr="0089540E">
        <w:trPr>
          <w:trHeight w:val="256"/>
        </w:trPr>
        <w:tc>
          <w:tcPr>
            <w:tcW w:w="2787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000000"/>
                <w:lang w:eastAsia="es-EC"/>
              </w:rPr>
              <w:lastRenderedPageBreak/>
              <w:t>TOTAL</w:t>
            </w:r>
          </w:p>
        </w:tc>
        <w:tc>
          <w:tcPr>
            <w:tcW w:w="1443" w:type="dxa"/>
            <w:shd w:val="clear" w:color="auto" w:fill="0070C0"/>
          </w:tcPr>
          <w:p w:rsidR="006F2E37" w:rsidRPr="006D08AC" w:rsidRDefault="00665F3B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4</w:t>
            </w:r>
          </w:p>
        </w:tc>
        <w:tc>
          <w:tcPr>
            <w:tcW w:w="1254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  <w:shd w:val="clear" w:color="auto" w:fill="0070C0"/>
          </w:tcPr>
          <w:p w:rsidR="006F2E37" w:rsidRPr="006D08AC" w:rsidRDefault="006F2E37" w:rsidP="00D85E96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  <w:shd w:val="clear" w:color="auto" w:fill="0070C0"/>
          </w:tcPr>
          <w:p w:rsidR="006F2E37" w:rsidRPr="006D08AC" w:rsidRDefault="006F2E37" w:rsidP="00D85E96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</w:tbl>
    <w:p w:rsidR="006F2E37" w:rsidRPr="006D08AC" w:rsidRDefault="006F2E37" w:rsidP="006F2E3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</w:pPr>
    </w:p>
    <w:p w:rsidR="00C41144" w:rsidRPr="008B0998" w:rsidRDefault="00D94119" w:rsidP="00C41144">
      <w:pPr>
        <w:ind w:right="-142"/>
        <w:jc w:val="both"/>
        <w:rPr>
          <w:color w:val="000000" w:themeColor="text1"/>
        </w:rPr>
      </w:pPr>
      <w:r w:rsidRPr="006D08AC">
        <w:t xml:space="preserve">La Subcomisión Técnica de Áreas Históricas y Patrimonio, en sesión realizada el </w:t>
      </w:r>
      <w:r w:rsidR="00DC3D64">
        <w:t xml:space="preserve">jueves </w:t>
      </w:r>
      <w:r w:rsidR="00665F3B">
        <w:t>10 de septiembre</w:t>
      </w:r>
      <w:r w:rsidRPr="006D08AC">
        <w:t xml:space="preserve"> de 2020,</w:t>
      </w:r>
      <w:r w:rsidR="00DC3D64">
        <w:t xml:space="preserve"> </w:t>
      </w:r>
      <w:r w:rsidRPr="006D08AC">
        <w:rPr>
          <w:b/>
        </w:rPr>
        <w:t>acordó</w:t>
      </w:r>
      <w:r w:rsidRPr="006D08AC">
        <w:t xml:space="preserve"> </w:t>
      </w:r>
      <w:r w:rsidR="00665F3B" w:rsidRPr="003E159B">
        <w:t>recomendar a la Comisión de Áreas Históricas y Patrimonio la aprobación del proyecto arquitectónico modificatorio definitivo de rehabilitación ESTUDIO DE REHABILITACION INTEGRAL UNIDAD EDUCATIVA FISCOMISIONAL “COLEGIO MARIA DE NAZARETH</w:t>
      </w:r>
      <w:r w:rsidR="00C41144" w:rsidRPr="000F6CEF">
        <w:rPr>
          <w:i/>
          <w:color w:val="000000" w:themeColor="text1"/>
        </w:rPr>
        <w:t>.</w:t>
      </w:r>
      <w:r w:rsidR="00C41144">
        <w:rPr>
          <w:i/>
          <w:color w:val="000000" w:themeColor="text1"/>
        </w:rPr>
        <w:t xml:space="preserve"> </w:t>
      </w:r>
    </w:p>
    <w:p w:rsidR="00D94119" w:rsidRDefault="00D94119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  <w:lang w:val="es-ES"/>
        </w:rPr>
      </w:pPr>
    </w:p>
    <w:p w:rsidR="00665F3B" w:rsidRDefault="00665F3B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  <w:lang w:val="es-ES"/>
        </w:rPr>
      </w:pPr>
      <w:r>
        <w:rPr>
          <w:rFonts w:ascii="Palatino Linotype" w:hAnsi="Palatino Linotype"/>
          <w:b/>
          <w:sz w:val="22"/>
          <w:szCs w:val="22"/>
          <w:lang w:val="es-ES"/>
        </w:rPr>
        <w:t xml:space="preserve">Segundo Punto: </w:t>
      </w:r>
      <w:r w:rsidRPr="00665F3B">
        <w:rPr>
          <w:rFonts w:ascii="Palatino Linotype" w:hAnsi="Palatino Linotype"/>
          <w:b/>
          <w:sz w:val="22"/>
          <w:szCs w:val="22"/>
          <w:lang w:val="es-ES"/>
        </w:rPr>
        <w:t>Presentación del proyecto definitivo ampliatorio y rehabilitación "RESIDENCIA HEREDIA SICLES" y resolución al respecto</w:t>
      </w:r>
      <w:r>
        <w:rPr>
          <w:rFonts w:ascii="Palatino Linotype" w:hAnsi="Palatino Linotype"/>
          <w:b/>
          <w:sz w:val="22"/>
          <w:szCs w:val="22"/>
          <w:lang w:val="es-ES"/>
        </w:rPr>
        <w:t>.</w:t>
      </w:r>
    </w:p>
    <w:p w:rsidR="00665F3B" w:rsidRDefault="00665F3B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  <w:lang w:val="es-ES"/>
        </w:rPr>
      </w:pPr>
    </w:p>
    <w:p w:rsidR="00665F3B" w:rsidRDefault="00665F3B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  <w:lang w:val="es-ES"/>
        </w:rPr>
      </w:pPr>
      <w:r>
        <w:rPr>
          <w:rFonts w:ascii="Palatino Linotype" w:hAnsi="Palatino Linotype"/>
          <w:sz w:val="22"/>
          <w:szCs w:val="22"/>
          <w:lang w:val="es-ES"/>
        </w:rPr>
        <w:t xml:space="preserve">La Arq. Viviana Figueroa realizó la presentación sobre la propuesta del proyecto indicando cada uno de los cambios que se plantean dentro del predio. </w:t>
      </w:r>
    </w:p>
    <w:p w:rsidR="00665F3B" w:rsidRDefault="00665F3B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  <w:lang w:val="es-ES"/>
        </w:rPr>
      </w:pPr>
    </w:p>
    <w:p w:rsidR="00665F3B" w:rsidRDefault="00665F3B" w:rsidP="00665F3B">
      <w:pPr>
        <w:jc w:val="both"/>
        <w:rPr>
          <w:i/>
          <w:color w:val="000000" w:themeColor="text1"/>
        </w:rPr>
      </w:pPr>
      <w:r>
        <w:rPr>
          <w:b/>
        </w:rPr>
        <w:t xml:space="preserve"> </w:t>
      </w:r>
      <w:r w:rsidRPr="008B0998">
        <w:rPr>
          <w:color w:val="201F1E"/>
        </w:rPr>
        <w:t>Luego de analizar el proyecto por parte de los técnicos de la Subcomisión Técnica de</w:t>
      </w:r>
      <w:r>
        <w:rPr>
          <w:color w:val="201F1E"/>
        </w:rPr>
        <w:t xml:space="preserve"> Áreas Históricas y Patrimonio, la Arq. Viviana Figueroa mocionó </w:t>
      </w:r>
      <w:r w:rsidRPr="003E159B">
        <w:t>recomendar a la Comisión de Áreas Históricas y Patrimonio la aprobación del proyecto arquitectónico modificatorio definitivo de rehabilitación ESTUDIO DE REHABILITACION INTEGRAL UNIDAD EDUCATIVA FISCOMISIONAL “COLEGIO MARIA DE NAZARETH</w:t>
      </w:r>
      <w:r>
        <w:t>.</w:t>
      </w:r>
    </w:p>
    <w:p w:rsidR="00665F3B" w:rsidRPr="006D08AC" w:rsidRDefault="00665F3B" w:rsidP="00665F3B">
      <w:pPr>
        <w:jc w:val="both"/>
        <w:rPr>
          <w:color w:val="201F1E"/>
        </w:rPr>
      </w:pPr>
    </w:p>
    <w:p w:rsidR="00665F3B" w:rsidRPr="006D08AC" w:rsidRDefault="00665F3B" w:rsidP="00665F3B">
      <w:pPr>
        <w:jc w:val="both"/>
        <w:rPr>
          <w:rFonts w:cs="Tahoma"/>
          <w:bCs/>
        </w:rPr>
      </w:pPr>
      <w:r>
        <w:rPr>
          <w:color w:val="201F1E"/>
        </w:rPr>
        <w:t>La m</w:t>
      </w:r>
      <w:r w:rsidRPr="006D08AC">
        <w:rPr>
          <w:color w:val="201F1E"/>
        </w:rPr>
        <w:t>oción que es aprobada conforme el</w:t>
      </w:r>
      <w:r>
        <w:rPr>
          <w:color w:val="201F1E"/>
        </w:rPr>
        <w:t xml:space="preserve"> siguiente</w:t>
      </w:r>
      <w:r w:rsidRPr="006D08AC">
        <w:rPr>
          <w:color w:val="201F1E"/>
        </w:rPr>
        <w:t xml:space="preserve"> registro de votación</w:t>
      </w:r>
      <w:r>
        <w:rPr>
          <w:color w:val="201F1E"/>
        </w:rPr>
        <w:t>:</w:t>
      </w:r>
      <w:r w:rsidRPr="006D08AC">
        <w:rPr>
          <w:color w:val="201F1E"/>
        </w:rPr>
        <w:t xml:space="preserve"> </w:t>
      </w:r>
    </w:p>
    <w:p w:rsidR="00665F3B" w:rsidRPr="006D08AC" w:rsidRDefault="00665F3B" w:rsidP="00665F3B">
      <w:pPr>
        <w:jc w:val="both"/>
        <w:rPr>
          <w:rFonts w:cs="Tahoma"/>
          <w:bCs/>
        </w:rPr>
      </w:pPr>
    </w:p>
    <w:tbl>
      <w:tblPr>
        <w:tblStyle w:val="Tablaconcuadrcula"/>
        <w:tblW w:w="9571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2787"/>
        <w:gridCol w:w="1443"/>
        <w:gridCol w:w="1254"/>
        <w:gridCol w:w="1376"/>
        <w:gridCol w:w="1320"/>
        <w:gridCol w:w="1391"/>
      </w:tblGrid>
      <w:tr w:rsidR="00665F3B" w:rsidRPr="006D08AC" w:rsidTr="00257C24">
        <w:trPr>
          <w:trHeight w:val="256"/>
        </w:trPr>
        <w:tc>
          <w:tcPr>
            <w:tcW w:w="9571" w:type="dxa"/>
            <w:gridSpan w:val="6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REGISTRO DE VOTACIÓN</w:t>
            </w:r>
          </w:p>
        </w:tc>
      </w:tr>
      <w:tr w:rsidR="00665F3B" w:rsidRPr="006D08AC" w:rsidTr="00257C24">
        <w:trPr>
          <w:trHeight w:val="794"/>
        </w:trPr>
        <w:tc>
          <w:tcPr>
            <w:tcW w:w="2787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INTEGRANTES SUBCOMISIÓN</w:t>
            </w:r>
          </w:p>
        </w:tc>
        <w:tc>
          <w:tcPr>
            <w:tcW w:w="1443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 FAVOR</w:t>
            </w:r>
          </w:p>
        </w:tc>
        <w:tc>
          <w:tcPr>
            <w:tcW w:w="1254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EN CONTRA</w:t>
            </w:r>
          </w:p>
        </w:tc>
        <w:tc>
          <w:tcPr>
            <w:tcW w:w="1376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AUSENTE</w:t>
            </w:r>
          </w:p>
        </w:tc>
        <w:tc>
          <w:tcPr>
            <w:tcW w:w="1320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BLANCO</w:t>
            </w:r>
          </w:p>
        </w:tc>
        <w:tc>
          <w:tcPr>
            <w:tcW w:w="1388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b/>
                <w:color w:val="FFFFFF" w:themeColor="background1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FFFFFF" w:themeColor="background1"/>
                <w:lang w:eastAsia="es-EC"/>
              </w:rPr>
              <w:t>ABSTENCIÓN</w:t>
            </w:r>
          </w:p>
        </w:tc>
      </w:tr>
      <w:tr w:rsidR="00665F3B" w:rsidRPr="006D08AC" w:rsidTr="00257C24">
        <w:trPr>
          <w:trHeight w:val="537"/>
        </w:trPr>
        <w:tc>
          <w:tcPr>
            <w:tcW w:w="2787" w:type="dxa"/>
            <w:vAlign w:val="center"/>
          </w:tcPr>
          <w:p w:rsidR="00665F3B" w:rsidRPr="0089540E" w:rsidRDefault="00665F3B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1443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65F3B" w:rsidRPr="006D08AC" w:rsidTr="00257C24">
        <w:trPr>
          <w:trHeight w:val="256"/>
        </w:trPr>
        <w:tc>
          <w:tcPr>
            <w:tcW w:w="2787" w:type="dxa"/>
            <w:vAlign w:val="center"/>
          </w:tcPr>
          <w:p w:rsidR="00665F3B" w:rsidRPr="0089540E" w:rsidRDefault="00665F3B" w:rsidP="00665F3B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>
              <w:rPr>
                <w:rFonts w:cs="Calibri"/>
                <w:bCs/>
                <w:color w:val="000000"/>
                <w:lang w:eastAsia="es-EC"/>
              </w:rPr>
              <w:t xml:space="preserve">Galo Cruz </w:t>
            </w:r>
            <w:proofErr w:type="spellStart"/>
            <w:r w:rsidRPr="0089540E">
              <w:rPr>
                <w:rFonts w:cs="Calibri"/>
                <w:bCs/>
                <w:color w:val="000000"/>
                <w:lang w:eastAsia="es-EC"/>
              </w:rPr>
              <w:t>Adm</w:t>
            </w:r>
            <w:proofErr w:type="spellEnd"/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. </w:t>
            </w:r>
            <w:r>
              <w:rPr>
                <w:rFonts w:cs="Calibri"/>
                <w:bCs/>
                <w:color w:val="000000"/>
                <w:lang w:eastAsia="es-EC"/>
              </w:rPr>
              <w:t>La Delicia</w:t>
            </w: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   </w:t>
            </w:r>
          </w:p>
        </w:tc>
        <w:tc>
          <w:tcPr>
            <w:tcW w:w="1443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65F3B" w:rsidRPr="006D08AC" w:rsidTr="00257C24">
        <w:trPr>
          <w:trHeight w:val="267"/>
        </w:trPr>
        <w:tc>
          <w:tcPr>
            <w:tcW w:w="2787" w:type="dxa"/>
            <w:vAlign w:val="center"/>
          </w:tcPr>
          <w:p w:rsidR="00665F3B" w:rsidRPr="0089540E" w:rsidRDefault="00665F3B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>
              <w:rPr>
                <w:rFonts w:cs="Calibri"/>
                <w:bCs/>
                <w:color w:val="000000"/>
                <w:lang w:eastAsia="es-EC"/>
              </w:rPr>
              <w:t>Pablo Moreira</w:t>
            </w:r>
          </w:p>
        </w:tc>
        <w:tc>
          <w:tcPr>
            <w:tcW w:w="1443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254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320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65F3B" w:rsidRPr="006D08AC" w:rsidTr="00257C24">
        <w:trPr>
          <w:trHeight w:val="256"/>
        </w:trPr>
        <w:tc>
          <w:tcPr>
            <w:tcW w:w="2787" w:type="dxa"/>
            <w:vAlign w:val="center"/>
          </w:tcPr>
          <w:p w:rsidR="00665F3B" w:rsidRPr="0089540E" w:rsidRDefault="00665F3B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Dr. Patricio Guerra </w:t>
            </w:r>
          </w:p>
        </w:tc>
        <w:tc>
          <w:tcPr>
            <w:tcW w:w="1443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65F3B" w:rsidRPr="006D08AC" w:rsidTr="00257C24">
        <w:trPr>
          <w:trHeight w:val="267"/>
        </w:trPr>
        <w:tc>
          <w:tcPr>
            <w:tcW w:w="2787" w:type="dxa"/>
            <w:vAlign w:val="center"/>
          </w:tcPr>
          <w:p w:rsidR="00665F3B" w:rsidRPr="0089540E" w:rsidRDefault="00665F3B" w:rsidP="00257C24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1443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 w:rsidRPr="0089540E">
              <w:rPr>
                <w:rFonts w:eastAsia="Times New Roman" w:cs="Tahoma"/>
                <w:color w:val="000000"/>
                <w:lang w:eastAsia="es-EC"/>
              </w:rPr>
              <w:t>1</w:t>
            </w:r>
          </w:p>
        </w:tc>
        <w:tc>
          <w:tcPr>
            <w:tcW w:w="1254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</w:tcPr>
          <w:p w:rsidR="00665F3B" w:rsidRPr="0089540E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</w:tcPr>
          <w:p w:rsidR="00665F3B" w:rsidRPr="0089540E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  <w:tr w:rsidR="00665F3B" w:rsidRPr="006D08AC" w:rsidTr="00257C24">
        <w:trPr>
          <w:trHeight w:val="256"/>
        </w:trPr>
        <w:tc>
          <w:tcPr>
            <w:tcW w:w="2787" w:type="dxa"/>
            <w:shd w:val="clear" w:color="auto" w:fill="0070C0"/>
          </w:tcPr>
          <w:p w:rsidR="00665F3B" w:rsidRPr="006D08AC" w:rsidRDefault="00665F3B" w:rsidP="00257C24">
            <w:pPr>
              <w:jc w:val="both"/>
              <w:rPr>
                <w:rFonts w:eastAsia="Times New Roman" w:cs="Tahoma"/>
                <w:b/>
                <w:color w:val="000000"/>
                <w:lang w:eastAsia="es-EC"/>
              </w:rPr>
            </w:pPr>
            <w:r w:rsidRPr="006D08AC">
              <w:rPr>
                <w:rFonts w:eastAsia="Times New Roman" w:cs="Tahoma"/>
                <w:b/>
                <w:color w:val="000000"/>
                <w:lang w:eastAsia="es-EC"/>
              </w:rPr>
              <w:t>TOTAL</w:t>
            </w:r>
          </w:p>
        </w:tc>
        <w:tc>
          <w:tcPr>
            <w:tcW w:w="1443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  <w:r>
              <w:rPr>
                <w:rFonts w:eastAsia="Times New Roman" w:cs="Tahoma"/>
                <w:color w:val="000000"/>
                <w:lang w:eastAsia="es-EC"/>
              </w:rPr>
              <w:t>4</w:t>
            </w:r>
          </w:p>
        </w:tc>
        <w:tc>
          <w:tcPr>
            <w:tcW w:w="1254" w:type="dxa"/>
            <w:shd w:val="clear" w:color="auto" w:fill="0070C0"/>
          </w:tcPr>
          <w:p w:rsidR="00665F3B" w:rsidRPr="006D08AC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76" w:type="dxa"/>
            <w:shd w:val="clear" w:color="auto" w:fill="0070C0"/>
          </w:tcPr>
          <w:p w:rsidR="00665F3B" w:rsidRPr="006D08AC" w:rsidRDefault="00665F3B" w:rsidP="00257C24">
            <w:pPr>
              <w:jc w:val="center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20" w:type="dxa"/>
            <w:shd w:val="clear" w:color="auto" w:fill="0070C0"/>
          </w:tcPr>
          <w:p w:rsidR="00665F3B" w:rsidRPr="006D08AC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  <w:tc>
          <w:tcPr>
            <w:tcW w:w="1388" w:type="dxa"/>
            <w:shd w:val="clear" w:color="auto" w:fill="0070C0"/>
          </w:tcPr>
          <w:p w:rsidR="00665F3B" w:rsidRPr="006D08AC" w:rsidRDefault="00665F3B" w:rsidP="00257C24">
            <w:pPr>
              <w:jc w:val="both"/>
              <w:rPr>
                <w:rFonts w:eastAsia="Times New Roman" w:cs="Tahoma"/>
                <w:color w:val="000000"/>
                <w:lang w:eastAsia="es-EC"/>
              </w:rPr>
            </w:pPr>
          </w:p>
        </w:tc>
      </w:tr>
    </w:tbl>
    <w:p w:rsidR="00665F3B" w:rsidRPr="006D08AC" w:rsidRDefault="00665F3B" w:rsidP="00665F3B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color w:val="201F1E"/>
          <w:sz w:val="22"/>
          <w:szCs w:val="22"/>
          <w:bdr w:val="none" w:sz="0" w:space="0" w:color="auto" w:frame="1"/>
          <w:lang w:val="es-ES"/>
        </w:rPr>
      </w:pPr>
    </w:p>
    <w:p w:rsidR="00740AF8" w:rsidRPr="00282B48" w:rsidRDefault="00665F3B" w:rsidP="00740AF8">
      <w:pPr>
        <w:spacing w:line="276" w:lineRule="auto"/>
        <w:ind w:right="-142"/>
        <w:jc w:val="both"/>
        <w:rPr>
          <w:rFonts w:eastAsiaTheme="minorEastAsia" w:cs="Arial"/>
          <w:lang w:eastAsia="es-EC"/>
        </w:rPr>
      </w:pPr>
      <w:r w:rsidRPr="006D08AC">
        <w:t xml:space="preserve">La Subcomisión Técnica de Áreas Históricas y Patrimonio, en sesión realizada el </w:t>
      </w:r>
      <w:r>
        <w:t>jueves 10 de septiembre</w:t>
      </w:r>
      <w:r w:rsidRPr="006D08AC">
        <w:t xml:space="preserve"> de 2020,</w:t>
      </w:r>
      <w:r>
        <w:t xml:space="preserve"> </w:t>
      </w:r>
      <w:r w:rsidRPr="006D08AC">
        <w:rPr>
          <w:b/>
        </w:rPr>
        <w:t>acordó</w:t>
      </w:r>
      <w:r w:rsidR="00740AF8">
        <w:rPr>
          <w:b/>
        </w:rPr>
        <w:t xml:space="preserve"> </w:t>
      </w:r>
      <w:r w:rsidR="00740AF8" w:rsidRPr="00282B48">
        <w:t xml:space="preserve">recomendar a la Comisión de Áreas Históricas y Patrimonio la aprobación del </w:t>
      </w:r>
      <w:r w:rsidR="00740AF8" w:rsidRPr="00282B48">
        <w:rPr>
          <w:rFonts w:cs="Arial"/>
          <w:lang w:val="es-EC"/>
        </w:rPr>
        <w:t xml:space="preserve">proyecto definitivo ampliatorio y rehabilitación </w:t>
      </w:r>
      <w:r w:rsidR="00740AF8" w:rsidRPr="00282B48">
        <w:rPr>
          <w:rFonts w:eastAsiaTheme="minorEastAsia" w:cs="Arial"/>
          <w:lang w:eastAsia="es-EC"/>
        </w:rPr>
        <w:t>“RESIDENCIA HEREDIA SICLES”;</w:t>
      </w:r>
      <w:r w:rsidR="00740AF8" w:rsidRPr="00282B48">
        <w:rPr>
          <w:rFonts w:eastAsiaTheme="minorEastAsia" w:cs="Arial"/>
          <w:i/>
          <w:lang w:eastAsia="es-EC"/>
        </w:rPr>
        <w:t xml:space="preserve"> </w:t>
      </w:r>
      <w:r w:rsidR="00740AF8" w:rsidRPr="00282B48">
        <w:rPr>
          <w:rFonts w:eastAsiaTheme="minorEastAsia" w:cs="Arial"/>
          <w:lang w:eastAsia="es-EC"/>
        </w:rPr>
        <w:t>con las siguientes recomendaciones:</w:t>
      </w:r>
    </w:p>
    <w:p w:rsidR="00740AF8" w:rsidRDefault="00740AF8" w:rsidP="00740AF8">
      <w:pPr>
        <w:pStyle w:val="Prrafodelista"/>
        <w:numPr>
          <w:ilvl w:val="0"/>
          <w:numId w:val="4"/>
        </w:numPr>
        <w:spacing w:after="200" w:line="276" w:lineRule="auto"/>
        <w:ind w:right="-142"/>
        <w:jc w:val="both"/>
      </w:pPr>
      <w:r w:rsidRPr="00254243">
        <w:lastRenderedPageBreak/>
        <w:t>El propietario deberá tomar todas las medidas de precaución para proteger a la edificación patrimonial y a sus colindantes en el momento de las excavaciones para la cimentación de la obra nueva</w:t>
      </w:r>
      <w:r>
        <w:t>,</w:t>
      </w:r>
    </w:p>
    <w:p w:rsidR="00740AF8" w:rsidRPr="00A83388" w:rsidRDefault="00740AF8" w:rsidP="00740AF8">
      <w:pPr>
        <w:pStyle w:val="Prrafodelista"/>
        <w:numPr>
          <w:ilvl w:val="0"/>
          <w:numId w:val="4"/>
        </w:numPr>
        <w:spacing w:after="200" w:line="276" w:lineRule="auto"/>
        <w:ind w:right="-142"/>
        <w:jc w:val="both"/>
      </w:pPr>
      <w:r w:rsidRPr="00A83388">
        <w:t xml:space="preserve">Los propietarios de los tres inmuebles que se encuentran sobre el mismo predio puedan acogerse a los programas desarrollados por el Instituto Metropolitano de Patrimonio para el mantenimiento de cubierta y fachada, </w:t>
      </w:r>
      <w:r>
        <w:t xml:space="preserve">para ello el </w:t>
      </w:r>
      <w:r w:rsidRPr="00A83388">
        <w:t>Instituto Metropolitano de Patrimonio realizará la visita al sitio para la socialización de los programas de incentivos a edificaciones patrimoniales</w:t>
      </w:r>
      <w:r>
        <w:t xml:space="preserve">. </w:t>
      </w:r>
    </w:p>
    <w:p w:rsidR="00665F3B" w:rsidRPr="00665F3B" w:rsidRDefault="00665F3B" w:rsidP="00665F3B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  <w:lang w:val="es-ES"/>
        </w:rPr>
      </w:pPr>
    </w:p>
    <w:p w:rsidR="008B0998" w:rsidRDefault="008B0998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Sin tener más puntos que tratar en el orden del día se clausura la sesión siendo las 1</w:t>
      </w:r>
      <w:r w:rsidR="00740AF8">
        <w:rPr>
          <w:rFonts w:ascii="Palatino Linotype" w:hAnsi="Palatino Linotype"/>
          <w:sz w:val="22"/>
          <w:szCs w:val="22"/>
        </w:rPr>
        <w:t>0h30</w:t>
      </w:r>
      <w:r>
        <w:rPr>
          <w:rFonts w:ascii="Palatino Linotype" w:hAnsi="Palatino Linotype"/>
          <w:sz w:val="22"/>
          <w:szCs w:val="22"/>
        </w:rPr>
        <w:t>.</w:t>
      </w:r>
    </w:p>
    <w:p w:rsidR="008B0998" w:rsidRPr="006D08AC" w:rsidRDefault="008B0998" w:rsidP="00D9411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6F2E37" w:rsidRPr="006D08AC" w:rsidRDefault="006F2E37" w:rsidP="006F2E37">
      <w:pPr>
        <w:pStyle w:val="ecxmsonormal"/>
        <w:shd w:val="clear" w:color="auto" w:fill="FFFFFF"/>
        <w:spacing w:after="0"/>
        <w:jc w:val="both"/>
        <w:rPr>
          <w:rStyle w:val="Textoennegrita"/>
          <w:rFonts w:ascii="Palatino Linotype" w:eastAsia="Calibri" w:hAnsi="Palatino Linotype" w:cs="Tahoma"/>
          <w:b w:val="0"/>
          <w:sz w:val="22"/>
          <w:szCs w:val="22"/>
        </w:rPr>
      </w:pPr>
      <w:r w:rsidRPr="006D08AC">
        <w:rPr>
          <w:rStyle w:val="Textoennegrita"/>
          <w:rFonts w:ascii="Palatino Linotype" w:eastAsia="Calibri" w:hAnsi="Palatino Linotype" w:cs="Tahoma"/>
          <w:b w:val="0"/>
          <w:sz w:val="22"/>
          <w:szCs w:val="22"/>
        </w:rPr>
        <w:t>Para constancia firma la señora presidenta de la Subcomisión Técnica de Áreas Históricas y Patrimonio y el señor Prosecretario General del Concejo Metropolitano. (S)</w:t>
      </w:r>
    </w:p>
    <w:p w:rsidR="006F2E37" w:rsidRPr="006D08AC" w:rsidRDefault="006F2E37" w:rsidP="006F2E37">
      <w:pPr>
        <w:pStyle w:val="Prrafodelista"/>
        <w:ind w:left="0"/>
        <w:jc w:val="both"/>
      </w:pPr>
    </w:p>
    <w:p w:rsidR="006F2E37" w:rsidRPr="006D08AC" w:rsidRDefault="006F2E37" w:rsidP="006F2E37">
      <w:pPr>
        <w:pStyle w:val="Prrafodelista"/>
        <w:ind w:left="0"/>
        <w:jc w:val="both"/>
      </w:pPr>
    </w:p>
    <w:p w:rsidR="006F2E37" w:rsidRPr="006D08AC" w:rsidRDefault="006F2E37" w:rsidP="006F2E37">
      <w:pPr>
        <w:pStyle w:val="Prrafodelista"/>
        <w:ind w:left="0"/>
        <w:jc w:val="both"/>
      </w:pP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F2E37" w:rsidRPr="006D08AC" w:rsidTr="00D85E96">
        <w:trPr>
          <w:trHeight w:val="1273"/>
        </w:trPr>
        <w:tc>
          <w:tcPr>
            <w:tcW w:w="4715" w:type="dxa"/>
          </w:tcPr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>Arq. Viviana Figueroa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Presidenta de la Subcomisión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Técnica de Áreas Históricas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y Patrimonio</w:t>
            </w:r>
          </w:p>
        </w:tc>
        <w:tc>
          <w:tcPr>
            <w:tcW w:w="4715" w:type="dxa"/>
          </w:tcPr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 xml:space="preserve">Abg. Samuel </w:t>
            </w:r>
            <w:proofErr w:type="spellStart"/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>Byun</w:t>
            </w:r>
            <w:proofErr w:type="spellEnd"/>
            <w:r w:rsidRPr="006D08AC">
              <w:rPr>
                <w:rStyle w:val="Textoennegrita"/>
                <w:rFonts w:ascii="Palatino Linotype" w:eastAsia="Calibri" w:hAnsi="Palatino Linotype" w:cs="Tahoma"/>
                <w:b w:val="0"/>
                <w:sz w:val="22"/>
                <w:szCs w:val="22"/>
              </w:rPr>
              <w:t xml:space="preserve"> Olivo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 xml:space="preserve">Prosecretario General del 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  <w:r w:rsidRPr="006D08AC"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  <w:t>Concejo Metropolitano (S)</w:t>
            </w:r>
          </w:p>
          <w:p w:rsidR="006F2E37" w:rsidRPr="006D08AC" w:rsidRDefault="006F2E37" w:rsidP="00D85E96">
            <w:pPr>
              <w:pStyle w:val="ecxmsonormal"/>
              <w:spacing w:after="0"/>
              <w:jc w:val="both"/>
              <w:rPr>
                <w:rStyle w:val="Textoennegrita"/>
                <w:rFonts w:ascii="Palatino Linotype" w:eastAsia="Calibri" w:hAnsi="Palatino Linotype" w:cs="Tahoma"/>
                <w:sz w:val="22"/>
                <w:szCs w:val="22"/>
              </w:rPr>
            </w:pPr>
          </w:p>
        </w:tc>
      </w:tr>
    </w:tbl>
    <w:p w:rsidR="006F2E37" w:rsidRPr="006D08AC" w:rsidRDefault="006F2E37" w:rsidP="006F2E37"/>
    <w:tbl>
      <w:tblPr>
        <w:tblW w:w="99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2414"/>
        <w:gridCol w:w="2143"/>
        <w:gridCol w:w="1704"/>
      </w:tblGrid>
      <w:tr w:rsidR="006F2E37" w:rsidRPr="006D08AC" w:rsidTr="00D85E96">
        <w:trPr>
          <w:gridAfter w:val="1"/>
          <w:wAfter w:w="1704" w:type="dxa"/>
          <w:trHeight w:hRule="exact" w:val="325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REGISTRO DE ASISTENCIA – RESUMEN  SESIÓN</w:t>
            </w:r>
          </w:p>
        </w:tc>
      </w:tr>
      <w:tr w:rsidR="006F2E37" w:rsidRPr="006D08AC" w:rsidTr="00D85E96">
        <w:trPr>
          <w:gridAfter w:val="1"/>
          <w:wAfter w:w="1704" w:type="dxa"/>
          <w:trHeight w:hRule="exact" w:val="38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INTEGRANTES SUBCOMISIÓN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6F2E37" w:rsidRPr="006D08AC" w:rsidRDefault="006F2E37" w:rsidP="00D85E96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740AF8" w:rsidRPr="006D08AC" w:rsidTr="00EA22CC">
        <w:trPr>
          <w:trHeight w:hRule="exact" w:val="380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Ana Lucía Andino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740AF8" w:rsidRPr="006D08AC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740AF8" w:rsidRPr="006D08AC" w:rsidTr="00EA22CC">
        <w:trPr>
          <w:trHeight w:hRule="exact" w:val="319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 Arq. </w:t>
            </w:r>
            <w:r>
              <w:rPr>
                <w:rFonts w:cs="Calibri"/>
                <w:bCs/>
                <w:color w:val="000000"/>
                <w:lang w:eastAsia="es-EC"/>
              </w:rPr>
              <w:t xml:space="preserve">Galo Cruz/ Arq. Sofía Pazmiño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740AF8" w:rsidRPr="006D08AC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740AF8" w:rsidRPr="006D08AC" w:rsidTr="00EA22CC">
        <w:trPr>
          <w:trHeight w:hRule="exact" w:val="32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</w:t>
            </w:r>
            <w:r>
              <w:rPr>
                <w:rFonts w:cs="Calibri"/>
                <w:bCs/>
                <w:color w:val="000000"/>
                <w:lang w:eastAsia="es-EC"/>
              </w:rPr>
              <w:t>Pablo Moreira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  <w:r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1704" w:type="dxa"/>
            <w:vAlign w:val="center"/>
          </w:tcPr>
          <w:p w:rsidR="00740AF8" w:rsidRPr="006D08AC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740AF8" w:rsidRPr="006D08AC" w:rsidTr="00EA22CC">
        <w:trPr>
          <w:trHeight w:hRule="exact" w:val="328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>Dr. Patricio Guerra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  <w:tc>
          <w:tcPr>
            <w:tcW w:w="1704" w:type="dxa"/>
            <w:vAlign w:val="center"/>
          </w:tcPr>
          <w:p w:rsidR="00740AF8" w:rsidRPr="006D08AC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740AF8" w:rsidRPr="006D08AC" w:rsidTr="00EA22CC">
        <w:trPr>
          <w:trHeight w:hRule="exact" w:val="328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both"/>
              <w:rPr>
                <w:rFonts w:cs="Calibri"/>
                <w:bCs/>
                <w:color w:val="000000"/>
                <w:lang w:eastAsia="es-EC"/>
              </w:rPr>
            </w:pPr>
            <w:r w:rsidRPr="0089540E">
              <w:rPr>
                <w:rFonts w:cs="Calibri"/>
                <w:bCs/>
                <w:color w:val="000000"/>
                <w:lang w:eastAsia="es-EC"/>
              </w:rPr>
              <w:t xml:space="preserve">Arq. Viviana Figueroa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AF8" w:rsidRPr="0089540E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  <w:r w:rsidRPr="0089540E">
              <w:rPr>
                <w:rFonts w:cs="Calibri"/>
                <w:color w:val="000000"/>
                <w:lang w:eastAsia="es-EC"/>
              </w:rPr>
              <w:t> </w:t>
            </w:r>
          </w:p>
        </w:tc>
        <w:tc>
          <w:tcPr>
            <w:tcW w:w="1704" w:type="dxa"/>
            <w:vAlign w:val="center"/>
          </w:tcPr>
          <w:p w:rsidR="00740AF8" w:rsidRPr="006D08AC" w:rsidRDefault="00740AF8" w:rsidP="00740AF8">
            <w:pPr>
              <w:jc w:val="center"/>
              <w:rPr>
                <w:rFonts w:cs="Calibri"/>
                <w:color w:val="000000"/>
                <w:lang w:eastAsia="es-EC"/>
              </w:rPr>
            </w:pPr>
          </w:p>
        </w:tc>
      </w:tr>
      <w:tr w:rsidR="00740AF8" w:rsidRPr="006D08AC" w:rsidTr="00EA22CC">
        <w:trPr>
          <w:gridAfter w:val="1"/>
          <w:wAfter w:w="1704" w:type="dxa"/>
          <w:trHeight w:hRule="exact" w:val="384"/>
        </w:trPr>
        <w:tc>
          <w:tcPr>
            <w:tcW w:w="3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740AF8" w:rsidRPr="006D08AC" w:rsidRDefault="00740AF8" w:rsidP="00740AF8">
            <w:pPr>
              <w:jc w:val="center"/>
              <w:rPr>
                <w:rFonts w:cs="Calibri"/>
                <w:b/>
                <w:bCs/>
                <w:color w:val="FFFFFF"/>
                <w:lang w:eastAsia="es-EC"/>
              </w:rPr>
            </w:pPr>
            <w:r w:rsidRPr="006D08AC">
              <w:rPr>
                <w:rFonts w:cs="Calibri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740AF8" w:rsidRPr="006D08AC" w:rsidRDefault="00740AF8" w:rsidP="00740AF8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740AF8" w:rsidRPr="006D08AC" w:rsidRDefault="00740AF8" w:rsidP="00740AF8">
            <w:pPr>
              <w:jc w:val="center"/>
              <w:rPr>
                <w:rFonts w:cs="Calibri"/>
                <w:color w:val="FFFFFF"/>
                <w:lang w:eastAsia="es-EC"/>
              </w:rPr>
            </w:pPr>
            <w:r>
              <w:rPr>
                <w:rFonts w:cs="Calibri"/>
                <w:color w:val="FFFFFF"/>
                <w:lang w:eastAsia="es-EC"/>
              </w:rPr>
              <w:t>1</w:t>
            </w:r>
          </w:p>
        </w:tc>
      </w:tr>
    </w:tbl>
    <w:p w:rsidR="006F2E37" w:rsidRPr="006D08AC" w:rsidRDefault="006F2E37" w:rsidP="006F2E37"/>
    <w:p w:rsidR="0089540E" w:rsidRPr="006D08AC" w:rsidRDefault="0089540E" w:rsidP="006F2E37"/>
    <w:tbl>
      <w:tblPr>
        <w:tblW w:w="533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17"/>
        <w:gridCol w:w="992"/>
        <w:gridCol w:w="993"/>
        <w:gridCol w:w="850"/>
      </w:tblGrid>
      <w:tr w:rsidR="006F2E37" w:rsidRPr="006D08AC" w:rsidTr="00D85E96">
        <w:trPr>
          <w:trHeight w:val="170"/>
        </w:trPr>
        <w:tc>
          <w:tcPr>
            <w:tcW w:w="1084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Acción:</w:t>
            </w:r>
          </w:p>
        </w:tc>
        <w:tc>
          <w:tcPr>
            <w:tcW w:w="1417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 xml:space="preserve">Responsable: </w:t>
            </w:r>
          </w:p>
        </w:tc>
        <w:tc>
          <w:tcPr>
            <w:tcW w:w="992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Unidad:</w:t>
            </w:r>
          </w:p>
        </w:tc>
        <w:tc>
          <w:tcPr>
            <w:tcW w:w="993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b/>
                <w:sz w:val="16"/>
                <w:szCs w:val="16"/>
              </w:rPr>
              <w:t>Sumilla</w:t>
            </w:r>
          </w:p>
        </w:tc>
      </w:tr>
      <w:tr w:rsidR="006F2E37" w:rsidRPr="006D08AC" w:rsidTr="00D85E96">
        <w:trPr>
          <w:trHeight w:val="170"/>
        </w:trPr>
        <w:tc>
          <w:tcPr>
            <w:tcW w:w="1084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 xml:space="preserve">Elaborado </w:t>
            </w:r>
          </w:p>
        </w:tc>
        <w:tc>
          <w:tcPr>
            <w:tcW w:w="1417" w:type="dxa"/>
          </w:tcPr>
          <w:p w:rsidR="006F2E37" w:rsidRPr="006D08AC" w:rsidRDefault="007D707F" w:rsidP="00D85E96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Leslie Guerrero</w:t>
            </w:r>
            <w:r w:rsidR="006F2E37" w:rsidRPr="006D08AC">
              <w:rPr>
                <w:rFonts w:cs="Tahoma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SCAH</w:t>
            </w:r>
          </w:p>
        </w:tc>
        <w:tc>
          <w:tcPr>
            <w:tcW w:w="993" w:type="dxa"/>
          </w:tcPr>
          <w:p w:rsidR="00740AF8" w:rsidRPr="006D08AC" w:rsidRDefault="00740AF8" w:rsidP="002E2476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2021-01-24</w:t>
            </w:r>
          </w:p>
        </w:tc>
        <w:tc>
          <w:tcPr>
            <w:tcW w:w="850" w:type="dxa"/>
          </w:tcPr>
          <w:p w:rsidR="006F2E37" w:rsidRPr="006D08AC" w:rsidRDefault="006F2E37" w:rsidP="00D85E96">
            <w:pPr>
              <w:rPr>
                <w:rFonts w:cs="Tahoma"/>
                <w:sz w:val="16"/>
                <w:szCs w:val="16"/>
              </w:rPr>
            </w:pPr>
          </w:p>
        </w:tc>
      </w:tr>
      <w:tr w:rsidR="00740AF8" w:rsidRPr="006D08AC" w:rsidTr="00D85E96">
        <w:trPr>
          <w:trHeight w:val="170"/>
        </w:trPr>
        <w:tc>
          <w:tcPr>
            <w:tcW w:w="1084" w:type="dxa"/>
          </w:tcPr>
          <w:p w:rsidR="00740AF8" w:rsidRPr="006D08AC" w:rsidRDefault="00740AF8" w:rsidP="00740AF8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 xml:space="preserve">Revisado </w:t>
            </w:r>
          </w:p>
        </w:tc>
        <w:tc>
          <w:tcPr>
            <w:tcW w:w="1417" w:type="dxa"/>
          </w:tcPr>
          <w:p w:rsidR="00740AF8" w:rsidRPr="006D08AC" w:rsidRDefault="00740AF8" w:rsidP="00740AF8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 xml:space="preserve">Samuel </w:t>
            </w:r>
            <w:proofErr w:type="spellStart"/>
            <w:r w:rsidRPr="006D08AC">
              <w:rPr>
                <w:rFonts w:cs="Tahoma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2" w:type="dxa"/>
          </w:tcPr>
          <w:p w:rsidR="00740AF8" w:rsidRPr="006D08AC" w:rsidRDefault="00740AF8" w:rsidP="00740AF8">
            <w:pPr>
              <w:rPr>
                <w:rFonts w:cs="Tahoma"/>
                <w:sz w:val="16"/>
                <w:szCs w:val="16"/>
              </w:rPr>
            </w:pPr>
            <w:r w:rsidRPr="006D08AC">
              <w:rPr>
                <w:rFonts w:cs="Tahoma"/>
                <w:sz w:val="16"/>
                <w:szCs w:val="16"/>
              </w:rPr>
              <w:t>PSGC (S)</w:t>
            </w:r>
          </w:p>
        </w:tc>
        <w:tc>
          <w:tcPr>
            <w:tcW w:w="993" w:type="dxa"/>
          </w:tcPr>
          <w:p w:rsidR="00740AF8" w:rsidRPr="006D08AC" w:rsidRDefault="00740AF8" w:rsidP="00740AF8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2021-01-24</w:t>
            </w:r>
          </w:p>
        </w:tc>
        <w:tc>
          <w:tcPr>
            <w:tcW w:w="850" w:type="dxa"/>
          </w:tcPr>
          <w:p w:rsidR="00740AF8" w:rsidRPr="006D08AC" w:rsidRDefault="00740AF8" w:rsidP="00740AF8">
            <w:pPr>
              <w:rPr>
                <w:rFonts w:cs="Tahoma"/>
                <w:sz w:val="16"/>
                <w:szCs w:val="16"/>
              </w:rPr>
            </w:pPr>
          </w:p>
        </w:tc>
      </w:tr>
    </w:tbl>
    <w:p w:rsidR="007D53A0" w:rsidRPr="006D08AC" w:rsidRDefault="007D53A0" w:rsidP="002E2476"/>
    <w:sectPr w:rsidR="007D53A0" w:rsidRPr="006D08AC" w:rsidSect="00A7622F">
      <w:footerReference w:type="default" r:id="rId7"/>
      <w:pgSz w:w="12240" w:h="15840"/>
      <w:pgMar w:top="2268" w:right="181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67" w:rsidRDefault="003C2567">
      <w:r>
        <w:separator/>
      </w:r>
    </w:p>
  </w:endnote>
  <w:endnote w:type="continuationSeparator" w:id="0">
    <w:p w:rsidR="003C2567" w:rsidRDefault="003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354992"/>
      <w:docPartObj>
        <w:docPartGallery w:val="Page Numbers (Bottom of Page)"/>
        <w:docPartUnique/>
      </w:docPartObj>
    </w:sdtPr>
    <w:sdtEndPr/>
    <w:sdtContent>
      <w:sdt>
        <w:sdtPr>
          <w:id w:val="522292420"/>
          <w:docPartObj>
            <w:docPartGallery w:val="Page Numbers (Top of Page)"/>
            <w:docPartUnique/>
          </w:docPartObj>
        </w:sdtPr>
        <w:sdtEndPr/>
        <w:sdtContent>
          <w:p w:rsidR="00A7622F" w:rsidRDefault="0046293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3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622F" w:rsidRDefault="003C2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67" w:rsidRDefault="003C2567">
      <w:r>
        <w:separator/>
      </w:r>
    </w:p>
  </w:footnote>
  <w:footnote w:type="continuationSeparator" w:id="0">
    <w:p w:rsidR="003C2567" w:rsidRDefault="003C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657"/>
    <w:multiLevelType w:val="hybridMultilevel"/>
    <w:tmpl w:val="EEC8EEF0"/>
    <w:lvl w:ilvl="0" w:tplc="D8527FDE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CB7"/>
    <w:multiLevelType w:val="hybridMultilevel"/>
    <w:tmpl w:val="8214B47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0FEC"/>
    <w:multiLevelType w:val="hybridMultilevel"/>
    <w:tmpl w:val="6A9663A8"/>
    <w:lvl w:ilvl="0" w:tplc="79763C5A">
      <w:start w:val="1"/>
      <w:numFmt w:val="decimal"/>
      <w:lvlText w:val="%1."/>
      <w:lvlJc w:val="left"/>
      <w:pPr>
        <w:ind w:left="765" w:hanging="405"/>
      </w:pPr>
      <w:rPr>
        <w:rFonts w:ascii="Palatino Linotype" w:hAnsi="Palatino Linotype" w:hint="default"/>
        <w:b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1293"/>
    <w:multiLevelType w:val="hybridMultilevel"/>
    <w:tmpl w:val="EEC8EEF0"/>
    <w:lvl w:ilvl="0" w:tplc="D8527FDE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7"/>
    <w:rsid w:val="00085EBD"/>
    <w:rsid w:val="0017568A"/>
    <w:rsid w:val="00177AF9"/>
    <w:rsid w:val="0018550F"/>
    <w:rsid w:val="001B3E15"/>
    <w:rsid w:val="001B600C"/>
    <w:rsid w:val="002A0DFE"/>
    <w:rsid w:val="002E2476"/>
    <w:rsid w:val="003C2567"/>
    <w:rsid w:val="0046293B"/>
    <w:rsid w:val="00665F3B"/>
    <w:rsid w:val="006D08AC"/>
    <w:rsid w:val="006F2E37"/>
    <w:rsid w:val="00740AF8"/>
    <w:rsid w:val="007D53A0"/>
    <w:rsid w:val="007D707F"/>
    <w:rsid w:val="0089540E"/>
    <w:rsid w:val="008B0998"/>
    <w:rsid w:val="00976A03"/>
    <w:rsid w:val="00981ED4"/>
    <w:rsid w:val="00B1619E"/>
    <w:rsid w:val="00C41144"/>
    <w:rsid w:val="00D04D32"/>
    <w:rsid w:val="00D94119"/>
    <w:rsid w:val="00DC3D64"/>
    <w:rsid w:val="00E6037C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F160A"/>
  <w15:docId w15:val="{6444EC66-C5E0-42F2-9CA1-C12BF3F4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37"/>
    <w:pPr>
      <w:spacing w:after="0" w:line="240" w:lineRule="auto"/>
    </w:pPr>
    <w:rPr>
      <w:rFonts w:ascii="Palatino Linotype" w:eastAsia="Calibri" w:hAnsi="Palatino Linotype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6F2E37"/>
    <w:pPr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6F2E37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6F2E37"/>
    <w:pPr>
      <w:ind w:left="720"/>
      <w:contextualSpacing/>
    </w:pPr>
  </w:style>
  <w:style w:type="paragraph" w:customStyle="1" w:styleId="ecxmsonormal">
    <w:name w:val="ecxmsonormal"/>
    <w:basedOn w:val="Normal"/>
    <w:rsid w:val="006F2E37"/>
    <w:pPr>
      <w:spacing w:after="324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F2E3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F2E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E37"/>
    <w:rPr>
      <w:rFonts w:ascii="Palatino Linotype" w:eastAsia="Calibri" w:hAnsi="Palatino Linotype" w:cs="Times New Roman"/>
      <w:lang w:val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basedOn w:val="Fuentedeprrafopredeter"/>
    <w:link w:val="Prrafodelista"/>
    <w:uiPriority w:val="34"/>
    <w:rsid w:val="006F2E37"/>
    <w:rPr>
      <w:rFonts w:ascii="Palatino Linotype" w:eastAsia="Calibri" w:hAnsi="Palatino Linotype" w:cs="Times New Roman"/>
      <w:lang w:val="es-ES"/>
    </w:rPr>
  </w:style>
  <w:style w:type="paragraph" w:customStyle="1" w:styleId="xmsolistparagraph">
    <w:name w:val="x_msolistparagraph"/>
    <w:basedOn w:val="Normal"/>
    <w:rsid w:val="006F2E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39"/>
    <w:rsid w:val="006F2E3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Soraida Aleman Boada</dc:creator>
  <cp:lastModifiedBy>Leslie Sofia Guerrero Revelo</cp:lastModifiedBy>
  <cp:revision>6</cp:revision>
  <dcterms:created xsi:type="dcterms:W3CDTF">2020-03-11T20:14:00Z</dcterms:created>
  <dcterms:modified xsi:type="dcterms:W3CDTF">2021-01-26T01:31:00Z</dcterms:modified>
</cp:coreProperties>
</file>