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3D88" w14:textId="00EEEAAF" w:rsidR="005060A9" w:rsidRPr="00460364" w:rsidRDefault="005060A9" w:rsidP="00460364">
      <w:pPr>
        <w:autoSpaceDE w:val="0"/>
        <w:autoSpaceDN w:val="0"/>
        <w:adjustRightInd w:val="0"/>
        <w:jc w:val="both"/>
        <w:rPr>
          <w:rFonts w:ascii="Century Gothic" w:hAnsi="Century Gothic"/>
          <w:sz w:val="22"/>
          <w:szCs w:val="22"/>
        </w:rPr>
      </w:pPr>
    </w:p>
    <w:p w14:paraId="5D30E807" w14:textId="52D356AF" w:rsidR="003D145D" w:rsidRPr="00460364" w:rsidRDefault="003D145D" w:rsidP="00460364">
      <w:pPr>
        <w:autoSpaceDE w:val="0"/>
        <w:autoSpaceDN w:val="0"/>
        <w:adjustRightInd w:val="0"/>
        <w:jc w:val="both"/>
        <w:rPr>
          <w:rFonts w:ascii="Century Gothic" w:hAnsi="Century Gothic"/>
          <w:sz w:val="22"/>
          <w:szCs w:val="22"/>
        </w:rPr>
      </w:pPr>
      <w:r w:rsidRPr="00460364">
        <w:rPr>
          <w:rFonts w:ascii="Century Gothic" w:hAnsi="Century Gothic"/>
          <w:sz w:val="22"/>
          <w:szCs w:val="22"/>
        </w:rPr>
        <w:t xml:space="preserve">RESOLUCIÓN No. C XXX - 2021 </w:t>
      </w:r>
    </w:p>
    <w:p w14:paraId="10B14DF8" w14:textId="77777777" w:rsidR="005060A9" w:rsidRPr="00460364" w:rsidRDefault="005060A9" w:rsidP="00460364">
      <w:pPr>
        <w:autoSpaceDE w:val="0"/>
        <w:autoSpaceDN w:val="0"/>
        <w:adjustRightInd w:val="0"/>
        <w:jc w:val="both"/>
        <w:rPr>
          <w:rFonts w:ascii="Century Gothic" w:hAnsi="Century Gothic"/>
          <w:sz w:val="22"/>
          <w:szCs w:val="22"/>
        </w:rPr>
      </w:pPr>
    </w:p>
    <w:p w14:paraId="38423474" w14:textId="77777777" w:rsidR="003D145D" w:rsidRPr="00460364" w:rsidRDefault="003D145D" w:rsidP="00460364">
      <w:pPr>
        <w:autoSpaceDE w:val="0"/>
        <w:autoSpaceDN w:val="0"/>
        <w:adjustRightInd w:val="0"/>
        <w:jc w:val="both"/>
        <w:rPr>
          <w:rFonts w:ascii="Century Gothic" w:hAnsi="Century Gothic"/>
          <w:b/>
          <w:sz w:val="22"/>
          <w:szCs w:val="22"/>
        </w:rPr>
      </w:pPr>
      <w:r w:rsidRPr="00460364">
        <w:rPr>
          <w:rFonts w:ascii="Century Gothic" w:hAnsi="Century Gothic"/>
          <w:b/>
          <w:sz w:val="22"/>
          <w:szCs w:val="22"/>
        </w:rPr>
        <w:t>EL CONCEJO METROPOLITANO DE QUITO</w:t>
      </w:r>
    </w:p>
    <w:p w14:paraId="5EE30CCC" w14:textId="77777777" w:rsidR="003D145D" w:rsidRPr="00460364" w:rsidRDefault="003D145D" w:rsidP="00460364">
      <w:pPr>
        <w:autoSpaceDE w:val="0"/>
        <w:autoSpaceDN w:val="0"/>
        <w:adjustRightInd w:val="0"/>
        <w:jc w:val="both"/>
        <w:rPr>
          <w:rFonts w:ascii="Century Gothic" w:hAnsi="Century Gothic"/>
          <w:sz w:val="22"/>
          <w:szCs w:val="22"/>
        </w:rPr>
      </w:pPr>
    </w:p>
    <w:p w14:paraId="476ED2F6" w14:textId="77777777" w:rsidR="003D145D" w:rsidRPr="00460364" w:rsidRDefault="003D145D" w:rsidP="00460364">
      <w:pPr>
        <w:autoSpaceDE w:val="0"/>
        <w:autoSpaceDN w:val="0"/>
        <w:adjustRightInd w:val="0"/>
        <w:jc w:val="both"/>
        <w:rPr>
          <w:rFonts w:ascii="Century Gothic" w:hAnsi="Century Gothic"/>
          <w:b/>
          <w:sz w:val="22"/>
          <w:szCs w:val="22"/>
        </w:rPr>
      </w:pPr>
      <w:r w:rsidRPr="00460364">
        <w:rPr>
          <w:rFonts w:ascii="Century Gothic" w:hAnsi="Century Gothic"/>
          <w:b/>
          <w:sz w:val="22"/>
          <w:szCs w:val="22"/>
        </w:rPr>
        <w:t xml:space="preserve"> CONSIDERANDO:</w:t>
      </w:r>
    </w:p>
    <w:p w14:paraId="01A013F1" w14:textId="77777777" w:rsidR="003D145D" w:rsidRPr="00460364" w:rsidRDefault="003D145D" w:rsidP="00460364">
      <w:pPr>
        <w:autoSpaceDE w:val="0"/>
        <w:autoSpaceDN w:val="0"/>
        <w:adjustRightInd w:val="0"/>
        <w:jc w:val="both"/>
        <w:rPr>
          <w:rFonts w:ascii="Century Gothic" w:hAnsi="Century Gothic"/>
          <w:sz w:val="22"/>
          <w:szCs w:val="22"/>
        </w:rPr>
      </w:pPr>
    </w:p>
    <w:p w14:paraId="7529BF97" w14:textId="77777777" w:rsidR="003D145D" w:rsidRPr="00460364" w:rsidRDefault="003D145D" w:rsidP="00460364">
      <w:pPr>
        <w:autoSpaceDE w:val="0"/>
        <w:autoSpaceDN w:val="0"/>
        <w:adjustRightInd w:val="0"/>
        <w:ind w:left="709" w:hanging="709"/>
        <w:jc w:val="both"/>
        <w:rPr>
          <w:rFonts w:ascii="Century Gothic" w:eastAsiaTheme="minorHAnsi" w:hAnsi="Century Gothic"/>
          <w:sz w:val="22"/>
          <w:szCs w:val="22"/>
          <w:lang w:val="es-EC" w:eastAsia="en-US"/>
        </w:rPr>
      </w:pPr>
    </w:p>
    <w:p w14:paraId="6A575B0B" w14:textId="77777777" w:rsidR="00E27D20" w:rsidRPr="00460364" w:rsidRDefault="00E27D20" w:rsidP="00460364">
      <w:pPr>
        <w:ind w:left="700" w:hanging="700"/>
        <w:jc w:val="both"/>
        <w:rPr>
          <w:rFonts w:ascii="Century Gothic" w:hAnsi="Century Gothic"/>
          <w:sz w:val="22"/>
          <w:szCs w:val="22"/>
          <w:lang w:val="es-ES_tradnl" w:eastAsia="ar-SA"/>
        </w:rPr>
      </w:pPr>
      <w:r w:rsidRPr="00460364">
        <w:rPr>
          <w:rFonts w:ascii="Century Gothic" w:hAnsi="Century Gothic"/>
          <w:b/>
          <w:bCs/>
          <w:sz w:val="22"/>
          <w:szCs w:val="22"/>
          <w:lang w:val="es-ES_tradnl" w:eastAsia="ar-SA"/>
        </w:rPr>
        <w:t>Que,</w:t>
      </w:r>
      <w:r w:rsidRPr="00460364">
        <w:rPr>
          <w:rFonts w:ascii="Century Gothic" w:hAnsi="Century Gothic"/>
          <w:sz w:val="22"/>
          <w:szCs w:val="22"/>
          <w:lang w:val="es-ES_tradnl" w:eastAsia="ar-SA"/>
        </w:rPr>
        <w:tab/>
        <w:t>el art. 226 de la Constitución de la República (la «</w:t>
      </w:r>
      <w:r w:rsidRPr="00460364">
        <w:rPr>
          <w:rFonts w:ascii="Century Gothic" w:hAnsi="Century Gothic"/>
          <w:sz w:val="22"/>
          <w:szCs w:val="22"/>
          <w:u w:val="single"/>
          <w:lang w:val="es-ES_tradnl" w:eastAsia="ar-SA"/>
        </w:rPr>
        <w:t>Constitución</w:t>
      </w:r>
      <w:r w:rsidRPr="00460364">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344C9FEB" w14:textId="77777777" w:rsidR="00E27D20" w:rsidRPr="00460364" w:rsidRDefault="00E27D20" w:rsidP="00460364">
      <w:pPr>
        <w:ind w:left="700" w:hanging="700"/>
        <w:jc w:val="both"/>
        <w:rPr>
          <w:rFonts w:ascii="Century Gothic" w:hAnsi="Century Gothic"/>
          <w:sz w:val="22"/>
          <w:szCs w:val="22"/>
          <w:lang w:val="es-ES_tradnl" w:eastAsia="ar-SA"/>
        </w:rPr>
      </w:pPr>
    </w:p>
    <w:p w14:paraId="7A9FDBED" w14:textId="77777777" w:rsidR="00E27D20" w:rsidRPr="00460364" w:rsidRDefault="00E27D20" w:rsidP="00460364">
      <w:pPr>
        <w:ind w:left="700" w:hanging="700"/>
        <w:jc w:val="both"/>
        <w:rPr>
          <w:rFonts w:ascii="Century Gothic" w:hAnsi="Century Gothic"/>
          <w:iCs/>
          <w:sz w:val="22"/>
          <w:szCs w:val="22"/>
          <w:lang w:val="es-ES_tradnl" w:eastAsia="ar-SA"/>
        </w:rPr>
      </w:pPr>
      <w:r w:rsidRPr="00460364">
        <w:rPr>
          <w:rFonts w:ascii="Century Gothic" w:hAnsi="Century Gothic"/>
          <w:b/>
          <w:bCs/>
          <w:sz w:val="22"/>
          <w:szCs w:val="22"/>
          <w:lang w:val="es-ES_tradnl" w:eastAsia="ar-SA"/>
        </w:rPr>
        <w:t>Que,</w:t>
      </w:r>
      <w:r w:rsidRPr="00460364">
        <w:rPr>
          <w:rFonts w:ascii="Century Gothic" w:hAnsi="Century Gothic"/>
          <w:sz w:val="22"/>
          <w:szCs w:val="22"/>
          <w:lang w:val="es-ES_tradnl" w:eastAsia="ar-SA"/>
        </w:rPr>
        <w:t xml:space="preserve"> </w:t>
      </w:r>
      <w:r w:rsidRPr="00460364">
        <w:rPr>
          <w:rFonts w:ascii="Century Gothic" w:hAnsi="Century Gothic"/>
          <w:sz w:val="22"/>
          <w:szCs w:val="22"/>
          <w:lang w:val="es-ES_tradnl" w:eastAsia="ar-SA"/>
        </w:rPr>
        <w:tab/>
        <w:t xml:space="preserve">de acuerdo con el art. 227 de la Constitución, </w:t>
      </w:r>
      <w:r w:rsidRPr="00460364">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61C4FFF7" w14:textId="77777777" w:rsidR="00E27D20" w:rsidRPr="00460364" w:rsidRDefault="00E27D20" w:rsidP="00460364">
      <w:pPr>
        <w:ind w:left="700" w:hanging="700"/>
        <w:jc w:val="both"/>
        <w:rPr>
          <w:rFonts w:ascii="Century Gothic" w:hAnsi="Century Gothic"/>
          <w:iCs/>
          <w:sz w:val="22"/>
          <w:szCs w:val="22"/>
          <w:lang w:val="es-ES_tradnl" w:eastAsia="ar-SA"/>
        </w:rPr>
      </w:pPr>
    </w:p>
    <w:p w14:paraId="5D9CA416" w14:textId="77777777" w:rsidR="00E27D20" w:rsidRPr="00460364" w:rsidRDefault="00E27D20" w:rsidP="00460364">
      <w:pPr>
        <w:ind w:left="700" w:hanging="700"/>
        <w:jc w:val="both"/>
        <w:rPr>
          <w:rFonts w:ascii="Century Gothic" w:hAnsi="Century Gothic"/>
          <w:iCs/>
          <w:sz w:val="22"/>
          <w:szCs w:val="22"/>
          <w:lang w:val="es-ES_tradnl" w:eastAsia="ar-SA"/>
        </w:rPr>
      </w:pPr>
      <w:r w:rsidRPr="00460364">
        <w:rPr>
          <w:rFonts w:ascii="Century Gothic" w:hAnsi="Century Gothic"/>
          <w:b/>
          <w:bCs/>
          <w:sz w:val="22"/>
          <w:szCs w:val="22"/>
          <w:lang w:val="es-ES_tradnl" w:eastAsia="ar-SA"/>
        </w:rPr>
        <w:t xml:space="preserve">Que,  </w:t>
      </w:r>
      <w:r w:rsidRPr="00460364">
        <w:rPr>
          <w:rFonts w:ascii="Century Gothic" w:hAnsi="Century Gothic"/>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14:paraId="68C1B55B" w14:textId="77777777" w:rsidR="00E27D20" w:rsidRPr="00460364" w:rsidRDefault="00E27D20" w:rsidP="00460364">
      <w:pPr>
        <w:autoSpaceDE w:val="0"/>
        <w:autoSpaceDN w:val="0"/>
        <w:adjustRightInd w:val="0"/>
        <w:ind w:left="709" w:hanging="709"/>
        <w:jc w:val="both"/>
        <w:rPr>
          <w:rFonts w:ascii="Century Gothic" w:eastAsiaTheme="minorHAnsi" w:hAnsi="Century Gothic"/>
          <w:sz w:val="22"/>
          <w:szCs w:val="22"/>
          <w:lang w:val="es-EC" w:eastAsia="en-US"/>
        </w:rPr>
      </w:pPr>
    </w:p>
    <w:p w14:paraId="5DA80927" w14:textId="36A178B8"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r>
      <w:r w:rsidR="00CC6A3E" w:rsidRPr="00460364">
        <w:rPr>
          <w:rFonts w:ascii="Century Gothic" w:eastAsiaTheme="minorHAnsi" w:hAnsi="Century Gothic"/>
          <w:sz w:val="22"/>
          <w:szCs w:val="22"/>
          <w:lang w:val="es-EC" w:eastAsia="en-US"/>
        </w:rPr>
        <w:t xml:space="preserve">el numeral 1, del artículo 264 de </w:t>
      </w:r>
      <w:r w:rsidRPr="00460364">
        <w:rPr>
          <w:rFonts w:ascii="Century Gothic" w:eastAsiaTheme="minorHAnsi" w:hAnsi="Century Gothic"/>
          <w:sz w:val="22"/>
          <w:szCs w:val="22"/>
          <w:lang w:val="es-EC" w:eastAsia="en-US"/>
        </w:rPr>
        <w:t xml:space="preserve">la Constitución, establece que serán competencias exclusivas de los gobiernos municipales, sin perjuicio de otras que determine la ley: </w:t>
      </w:r>
      <w:r w:rsidRPr="00460364">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127407F2" w14:textId="77777777"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p>
    <w:p w14:paraId="08617C2D" w14:textId="77777777" w:rsidR="003D145D" w:rsidRPr="00460364" w:rsidRDefault="003D145D" w:rsidP="00460364">
      <w:pPr>
        <w:autoSpaceDE w:val="0"/>
        <w:autoSpaceDN w:val="0"/>
        <w:adjustRightInd w:val="0"/>
        <w:ind w:left="709" w:hanging="709"/>
        <w:jc w:val="both"/>
        <w:rPr>
          <w:rFonts w:ascii="Century Gothic" w:hAnsi="Century Gothic"/>
          <w:sz w:val="22"/>
          <w:szCs w:val="22"/>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t>el artículo 266 de la Constitución dispone: “</w:t>
      </w:r>
      <w:r w:rsidRPr="00460364">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1EE572BD" w14:textId="77777777" w:rsidR="003D145D" w:rsidRPr="00460364" w:rsidRDefault="003D145D" w:rsidP="00460364">
      <w:pPr>
        <w:autoSpaceDE w:val="0"/>
        <w:autoSpaceDN w:val="0"/>
        <w:adjustRightInd w:val="0"/>
        <w:ind w:left="709" w:hanging="709"/>
        <w:jc w:val="both"/>
        <w:rPr>
          <w:rFonts w:ascii="Century Gothic" w:hAnsi="Century Gothic"/>
          <w:sz w:val="22"/>
          <w:szCs w:val="22"/>
        </w:rPr>
      </w:pPr>
    </w:p>
    <w:p w14:paraId="636F6C76" w14:textId="77777777" w:rsidR="003D145D" w:rsidRPr="00460364" w:rsidRDefault="003D145D" w:rsidP="00460364">
      <w:pPr>
        <w:pStyle w:val="Sinespaciado"/>
        <w:ind w:left="709" w:hanging="709"/>
        <w:rPr>
          <w:rFonts w:ascii="Century Gothic" w:hAnsi="Century Gothic" w:cs="Times New Roman"/>
        </w:rPr>
      </w:pPr>
      <w:r w:rsidRPr="00460364">
        <w:rPr>
          <w:rFonts w:ascii="Century Gothic" w:hAnsi="Century Gothic" w:cs="Times New Roman"/>
          <w:b/>
        </w:rPr>
        <w:t>Que,</w:t>
      </w:r>
      <w:r w:rsidRPr="00460364">
        <w:rPr>
          <w:rFonts w:ascii="Century Gothic" w:hAnsi="Century Gothic" w:cs="Times New Roman"/>
        </w:rPr>
        <w:t xml:space="preserve"> </w:t>
      </w:r>
      <w:r w:rsidRPr="00460364">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44A0E6B9" w14:textId="77777777" w:rsidR="003D145D" w:rsidRPr="00460364" w:rsidRDefault="003D145D" w:rsidP="00460364">
      <w:pPr>
        <w:pStyle w:val="Sinespaciado"/>
        <w:ind w:left="709" w:hanging="709"/>
        <w:rPr>
          <w:rFonts w:ascii="Century Gothic" w:hAnsi="Century Gothic" w:cs="Times New Roman"/>
        </w:rPr>
      </w:pPr>
    </w:p>
    <w:p w14:paraId="6BC02AB6" w14:textId="32D0DB95" w:rsidR="003D145D" w:rsidRPr="00460364" w:rsidRDefault="003D145D" w:rsidP="00460364">
      <w:pPr>
        <w:pStyle w:val="Sinespaciado"/>
        <w:ind w:left="709" w:hanging="709"/>
        <w:rPr>
          <w:rFonts w:ascii="Century Gothic" w:hAnsi="Century Gothic" w:cs="Times New Roman"/>
        </w:rPr>
      </w:pPr>
      <w:r w:rsidRPr="00460364">
        <w:rPr>
          <w:rFonts w:ascii="Century Gothic" w:hAnsi="Century Gothic" w:cs="Times New Roman"/>
          <w:b/>
        </w:rPr>
        <w:lastRenderedPageBreak/>
        <w:t>Que,</w:t>
      </w:r>
      <w:r w:rsidRPr="00460364">
        <w:rPr>
          <w:rFonts w:ascii="Century Gothic" w:hAnsi="Century Gothic" w:cs="Times New Roman"/>
        </w:rPr>
        <w:t xml:space="preserve"> </w:t>
      </w:r>
      <w:r w:rsidRPr="00460364">
        <w:rPr>
          <w:rFonts w:ascii="Century Gothic" w:hAnsi="Century Gothic" w:cs="Times New Roman"/>
        </w:rPr>
        <w:tab/>
        <w:t xml:space="preserve">los literales a) y d) del artículo 87 del Código Orgánico de Organización Territorial, Autonomía y Descentralización, </w:t>
      </w:r>
      <w:r w:rsidR="00CF4C6E" w:rsidRPr="00460364">
        <w:rPr>
          <w:rFonts w:ascii="Century Gothic" w:hAnsi="Century Gothic" w:cs="Times New Roman"/>
        </w:rPr>
        <w:t>(en adelante, «COOTAD»)</w:t>
      </w:r>
      <w:r w:rsidRPr="00460364">
        <w:rPr>
          <w:rFonts w:ascii="Century Gothic" w:hAnsi="Century Gothic" w:cs="Times New Roman"/>
        </w:rPr>
        <w:t xml:space="preserve">,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14:paraId="46336A59" w14:textId="77777777" w:rsidR="003D145D" w:rsidRPr="00460364" w:rsidRDefault="003D145D" w:rsidP="00460364">
      <w:pPr>
        <w:pStyle w:val="Sinespaciado"/>
        <w:ind w:left="709" w:hanging="709"/>
        <w:rPr>
          <w:rFonts w:ascii="Century Gothic" w:hAnsi="Century Gothic" w:cs="Times New Roman"/>
        </w:rPr>
      </w:pPr>
    </w:p>
    <w:p w14:paraId="3D83B744" w14:textId="77777777" w:rsidR="003D145D" w:rsidRPr="00460364" w:rsidRDefault="003D145D" w:rsidP="00460364">
      <w:pPr>
        <w:pStyle w:val="Sinespaciado"/>
        <w:ind w:left="709" w:hanging="709"/>
        <w:rPr>
          <w:rFonts w:ascii="Century Gothic" w:hAnsi="Century Gothic" w:cs="Times New Roman"/>
        </w:rPr>
      </w:pPr>
      <w:r w:rsidRPr="00460364">
        <w:rPr>
          <w:rFonts w:ascii="Century Gothic" w:hAnsi="Century Gothic" w:cs="Times New Roman"/>
          <w:b/>
        </w:rPr>
        <w:t>Que,</w:t>
      </w:r>
      <w:r w:rsidRPr="00460364">
        <w:rPr>
          <w:rFonts w:ascii="Century Gothic" w:hAnsi="Century Gothic" w:cs="Times New Roman"/>
        </w:rPr>
        <w:t xml:space="preserve"> </w:t>
      </w:r>
      <w:r w:rsidRPr="00460364">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011A8ADE" w14:textId="77777777" w:rsidR="003D145D" w:rsidRPr="00460364" w:rsidRDefault="003D145D" w:rsidP="00460364">
      <w:pPr>
        <w:pStyle w:val="Sinespaciado"/>
        <w:ind w:left="709" w:hanging="709"/>
        <w:rPr>
          <w:rFonts w:ascii="Century Gothic" w:hAnsi="Century Gothic" w:cs="Times New Roman"/>
        </w:rPr>
      </w:pPr>
    </w:p>
    <w:p w14:paraId="724E0DFC" w14:textId="5D5C4724"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ab/>
        <w:t xml:space="preserve">el artículo 415 del COOTAD, establece que: </w:t>
      </w:r>
      <w:r w:rsidRPr="00460364">
        <w:rPr>
          <w:rFonts w:ascii="Century Gothic" w:eastAsiaTheme="minorHAnsi" w:hAnsi="Century Gothic"/>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382212D6" w14:textId="77777777" w:rsidR="00E27D20" w:rsidRPr="00460364" w:rsidRDefault="00E27D20" w:rsidP="00460364">
      <w:pPr>
        <w:autoSpaceDE w:val="0"/>
        <w:autoSpaceDN w:val="0"/>
        <w:adjustRightInd w:val="0"/>
        <w:ind w:left="709" w:hanging="709"/>
        <w:jc w:val="both"/>
        <w:rPr>
          <w:rFonts w:ascii="Century Gothic" w:eastAsiaTheme="minorHAnsi" w:hAnsi="Century Gothic"/>
          <w:i/>
          <w:sz w:val="22"/>
          <w:szCs w:val="22"/>
          <w:lang w:val="es-EC" w:eastAsia="en-US"/>
        </w:rPr>
      </w:pPr>
    </w:p>
    <w:p w14:paraId="377B6440" w14:textId="77777777" w:rsidR="003D145D" w:rsidRPr="00460364" w:rsidRDefault="003D145D" w:rsidP="00460364">
      <w:pPr>
        <w:autoSpaceDE w:val="0"/>
        <w:autoSpaceDN w:val="0"/>
        <w:adjustRightInd w:val="0"/>
        <w:jc w:val="both"/>
        <w:rPr>
          <w:rFonts w:ascii="Century Gothic" w:eastAsiaTheme="minorHAnsi" w:hAnsi="Century Gothic"/>
          <w:i/>
          <w:sz w:val="22"/>
          <w:szCs w:val="22"/>
          <w:lang w:val="es-EC" w:eastAsia="en-US"/>
        </w:rPr>
      </w:pPr>
    </w:p>
    <w:p w14:paraId="13C1B941" w14:textId="375733C4"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t xml:space="preserve">el artículo 419 del COOTAD, indica que: </w:t>
      </w:r>
      <w:r w:rsidRPr="00460364">
        <w:rPr>
          <w:rFonts w:ascii="Century Gothic" w:eastAsiaTheme="minorHAnsi" w:hAnsi="Century Gothic"/>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14:paraId="09ECA977" w14:textId="77777777"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p>
    <w:p w14:paraId="572DEC35" w14:textId="77777777"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r>
      <w:r w:rsidRPr="00460364">
        <w:rPr>
          <w:rFonts w:ascii="Century Gothic" w:hAnsi="Century Gothic"/>
          <w:sz w:val="22"/>
          <w:szCs w:val="22"/>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14:paraId="17CB8D04" w14:textId="77777777" w:rsidR="003D145D" w:rsidRPr="00460364" w:rsidRDefault="003D145D" w:rsidP="00460364">
      <w:pPr>
        <w:autoSpaceDE w:val="0"/>
        <w:autoSpaceDN w:val="0"/>
        <w:adjustRightInd w:val="0"/>
        <w:ind w:left="709" w:hanging="709"/>
        <w:jc w:val="both"/>
        <w:rPr>
          <w:rFonts w:ascii="Century Gothic" w:eastAsiaTheme="minorHAnsi" w:hAnsi="Century Gothic"/>
          <w:i/>
          <w:sz w:val="22"/>
          <w:szCs w:val="22"/>
          <w:lang w:val="es-EC" w:eastAsia="en-US"/>
        </w:rPr>
      </w:pPr>
    </w:p>
    <w:p w14:paraId="76ED8B2C" w14:textId="77777777" w:rsidR="003D145D" w:rsidRPr="00460364" w:rsidRDefault="003D145D" w:rsidP="00460364">
      <w:pPr>
        <w:autoSpaceDE w:val="0"/>
        <w:autoSpaceDN w:val="0"/>
        <w:adjustRightInd w:val="0"/>
        <w:ind w:left="705" w:hanging="705"/>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t xml:space="preserve">el artículo 436 del COOTAD, dispone que: </w:t>
      </w:r>
      <w:r w:rsidRPr="00460364">
        <w:rPr>
          <w:rFonts w:ascii="Century Gothic" w:eastAsiaTheme="minorHAnsi" w:hAnsi="Century Gothic"/>
          <w:i/>
          <w:sz w:val="22"/>
          <w:szCs w:val="22"/>
          <w:lang w:val="es-EC" w:eastAsia="en-US"/>
        </w:rPr>
        <w:t xml:space="preserve">"Los consejos, concejos o juntas, podrán acordar y autorizar la venta, donación, hipoteca y permuta de los bienes inmuebles públicos de uso privado o la venta, donación, trueque y prenda de los bienes muebles, con el voto de los dos tercios de </w:t>
      </w:r>
      <w:r w:rsidRPr="00460364">
        <w:rPr>
          <w:rFonts w:ascii="Century Gothic" w:eastAsiaTheme="minorHAnsi" w:hAnsi="Century Gothic"/>
          <w:i/>
          <w:sz w:val="22"/>
          <w:szCs w:val="22"/>
          <w:lang w:val="es-EC" w:eastAsia="en-US"/>
        </w:rPr>
        <w:lastRenderedPageBreak/>
        <w:t>los integrantes. Para la autorización no se podrá contemplar un valor inferior al de la propiedad, de acuerdo con el registro o catastro municipal actualizado.”;</w:t>
      </w:r>
    </w:p>
    <w:p w14:paraId="12010415" w14:textId="77777777" w:rsidR="003D145D" w:rsidRPr="00460364" w:rsidRDefault="003D145D" w:rsidP="00460364">
      <w:pPr>
        <w:autoSpaceDE w:val="0"/>
        <w:autoSpaceDN w:val="0"/>
        <w:adjustRightInd w:val="0"/>
        <w:ind w:left="705" w:hanging="705"/>
        <w:jc w:val="both"/>
        <w:rPr>
          <w:rFonts w:ascii="Century Gothic" w:eastAsiaTheme="minorHAnsi" w:hAnsi="Century Gothic"/>
          <w:sz w:val="22"/>
          <w:szCs w:val="22"/>
          <w:lang w:val="es-EC" w:eastAsia="en-US"/>
        </w:rPr>
      </w:pPr>
    </w:p>
    <w:p w14:paraId="4C065F16" w14:textId="77777777" w:rsidR="003D145D" w:rsidRPr="00460364" w:rsidRDefault="003D145D" w:rsidP="00460364">
      <w:pPr>
        <w:autoSpaceDE w:val="0"/>
        <w:autoSpaceDN w:val="0"/>
        <w:adjustRightInd w:val="0"/>
        <w:ind w:left="705" w:hanging="705"/>
        <w:jc w:val="both"/>
        <w:rPr>
          <w:rFonts w:ascii="Century Gothic" w:hAnsi="Century Gothic"/>
          <w:sz w:val="22"/>
          <w:szCs w:val="22"/>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r>
      <w:r w:rsidRPr="00460364">
        <w:rPr>
          <w:rFonts w:ascii="Century Gothic" w:hAnsi="Century Gothic"/>
          <w:sz w:val="22"/>
          <w:szCs w:val="22"/>
        </w:rP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14:paraId="2B7AB772" w14:textId="77777777" w:rsidR="003D145D" w:rsidRPr="00460364" w:rsidRDefault="003D145D" w:rsidP="00460364">
      <w:pPr>
        <w:autoSpaceDE w:val="0"/>
        <w:autoSpaceDN w:val="0"/>
        <w:adjustRightInd w:val="0"/>
        <w:ind w:left="705" w:hanging="705"/>
        <w:jc w:val="both"/>
        <w:rPr>
          <w:rFonts w:ascii="Century Gothic" w:hAnsi="Century Gothic"/>
          <w:sz w:val="22"/>
          <w:szCs w:val="22"/>
        </w:rPr>
      </w:pPr>
    </w:p>
    <w:p w14:paraId="1DDC4BD6" w14:textId="77777777" w:rsidR="003D145D" w:rsidRPr="00460364" w:rsidRDefault="003D145D" w:rsidP="00460364">
      <w:pPr>
        <w:autoSpaceDE w:val="0"/>
        <w:autoSpaceDN w:val="0"/>
        <w:adjustRightInd w:val="0"/>
        <w:ind w:left="705" w:hanging="705"/>
        <w:jc w:val="both"/>
        <w:rPr>
          <w:rFonts w:ascii="Century Gothic" w:eastAsiaTheme="minorHAnsi" w:hAnsi="Century Gothic"/>
          <w:i/>
          <w:sz w:val="22"/>
          <w:szCs w:val="22"/>
          <w:lang w:val="es-EC" w:eastAsia="en-US"/>
        </w:rPr>
      </w:pPr>
      <w:r w:rsidRPr="00460364">
        <w:rPr>
          <w:rFonts w:ascii="Century Gothic" w:eastAsiaTheme="minorHAnsi" w:hAnsi="Century Gothic"/>
          <w:b/>
          <w:sz w:val="22"/>
          <w:szCs w:val="22"/>
          <w:lang w:val="es-EC" w:eastAsia="en-US"/>
        </w:rPr>
        <w:t>Que,</w:t>
      </w:r>
      <w:r w:rsidRPr="00460364">
        <w:rPr>
          <w:rFonts w:ascii="Century Gothic" w:eastAsiaTheme="minorHAnsi" w:hAnsi="Century Gothic"/>
          <w:sz w:val="22"/>
          <w:szCs w:val="22"/>
          <w:lang w:val="es-EC" w:eastAsia="en-US"/>
        </w:rPr>
        <w:t xml:space="preserve"> </w:t>
      </w:r>
      <w:r w:rsidRPr="00460364">
        <w:rPr>
          <w:rFonts w:ascii="Century Gothic" w:eastAsiaTheme="minorHAnsi" w:hAnsi="Century Gothic"/>
          <w:sz w:val="22"/>
          <w:szCs w:val="22"/>
          <w:lang w:val="es-EC" w:eastAsia="en-US"/>
        </w:rPr>
        <w:tab/>
      </w:r>
      <w:r w:rsidRPr="00460364">
        <w:rPr>
          <w:rFonts w:ascii="Century Gothic" w:hAnsi="Century Gothic"/>
          <w:sz w:val="22"/>
          <w:szCs w:val="22"/>
        </w:rPr>
        <w:t>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14:paraId="275605CB" w14:textId="77777777" w:rsidR="003D145D" w:rsidRPr="00460364" w:rsidRDefault="003D145D" w:rsidP="00460364">
      <w:pPr>
        <w:autoSpaceDE w:val="0"/>
        <w:autoSpaceDN w:val="0"/>
        <w:adjustRightInd w:val="0"/>
        <w:ind w:left="705" w:hanging="705"/>
        <w:jc w:val="both"/>
        <w:rPr>
          <w:rFonts w:ascii="Century Gothic" w:eastAsiaTheme="minorHAnsi" w:hAnsi="Century Gothic"/>
          <w:i/>
          <w:sz w:val="22"/>
          <w:szCs w:val="22"/>
          <w:lang w:val="es-EC" w:eastAsia="en-US"/>
        </w:rPr>
      </w:pPr>
    </w:p>
    <w:p w14:paraId="2A29074D" w14:textId="6184E616" w:rsidR="003D145D" w:rsidRPr="00460364" w:rsidRDefault="00CF4C6E" w:rsidP="00460364">
      <w:pPr>
        <w:autoSpaceDE w:val="0"/>
        <w:autoSpaceDN w:val="0"/>
        <w:adjustRightInd w:val="0"/>
        <w:ind w:left="705" w:hanging="705"/>
        <w:jc w:val="both"/>
        <w:rPr>
          <w:rFonts w:ascii="Century Gothic" w:hAnsi="Century Gothic"/>
          <w:sz w:val="22"/>
          <w:szCs w:val="22"/>
        </w:rPr>
      </w:pPr>
      <w:r w:rsidRPr="00460364">
        <w:rPr>
          <w:rFonts w:ascii="Century Gothic" w:hAnsi="Century Gothic"/>
          <w:b/>
          <w:sz w:val="22"/>
          <w:szCs w:val="22"/>
        </w:rPr>
        <w:t>Que,</w:t>
      </w:r>
      <w:r w:rsidRPr="00460364">
        <w:rPr>
          <w:rFonts w:ascii="Century Gothic" w:hAnsi="Century Gothic"/>
          <w:sz w:val="22"/>
          <w:szCs w:val="22"/>
        </w:rPr>
        <w:tab/>
        <w:t>el artículo 3465</w:t>
      </w:r>
      <w:r w:rsidR="003D145D" w:rsidRPr="00460364">
        <w:rPr>
          <w:rFonts w:ascii="Century Gothic" w:hAnsi="Century Gothic"/>
          <w:sz w:val="22"/>
          <w:szCs w:val="22"/>
        </w:rPr>
        <w:t xml:space="preserve"> del Código Municipal para el Distrito Metropolitano de Quito, </w:t>
      </w:r>
      <w:r w:rsidRPr="00460364">
        <w:rPr>
          <w:rFonts w:ascii="Century Gothic" w:hAnsi="Century Gothic"/>
          <w:sz w:val="22"/>
          <w:szCs w:val="22"/>
        </w:rPr>
        <w:t xml:space="preserve">(en adelante, «Código Municipal») </w:t>
      </w:r>
      <w:r w:rsidR="003D145D" w:rsidRPr="00460364">
        <w:rPr>
          <w:rFonts w:ascii="Century Gothic" w:hAnsi="Century Gothic"/>
          <w:sz w:val="22"/>
          <w:szCs w:val="22"/>
        </w:rPr>
        <w:t>señala que: "La adjudicación de una faja de terreno solamente se podrá hacer en favor de uno o varios de los propietarios colindantes a la misma. La inobservancia de esta norma determinará la nulidad de la adjudicación.";</w:t>
      </w:r>
    </w:p>
    <w:p w14:paraId="0309E48D" w14:textId="77777777" w:rsidR="003D145D" w:rsidRPr="00460364" w:rsidRDefault="003D145D" w:rsidP="00460364">
      <w:pPr>
        <w:autoSpaceDE w:val="0"/>
        <w:autoSpaceDN w:val="0"/>
        <w:adjustRightInd w:val="0"/>
        <w:ind w:left="705" w:hanging="705"/>
        <w:jc w:val="both"/>
        <w:rPr>
          <w:rFonts w:ascii="Century Gothic" w:hAnsi="Century Gothic"/>
          <w:sz w:val="22"/>
          <w:szCs w:val="22"/>
        </w:rPr>
      </w:pPr>
    </w:p>
    <w:p w14:paraId="1375DC32" w14:textId="5842AFC7" w:rsidR="00434D7E" w:rsidRPr="00460364" w:rsidRDefault="00CF4C6E" w:rsidP="00460364">
      <w:pPr>
        <w:pStyle w:val="Sinespaciado"/>
        <w:ind w:left="709" w:hanging="709"/>
        <w:rPr>
          <w:rFonts w:ascii="Century Gothic" w:hAnsi="Century Gothic" w:cs="Times New Roman"/>
        </w:rPr>
      </w:pPr>
      <w:r w:rsidRPr="00460364">
        <w:rPr>
          <w:rFonts w:ascii="Century Gothic" w:hAnsi="Century Gothic" w:cs="Times New Roman"/>
          <w:b/>
        </w:rPr>
        <w:t>Que,</w:t>
      </w:r>
      <w:r w:rsidRPr="00460364">
        <w:rPr>
          <w:rFonts w:ascii="Century Gothic" w:hAnsi="Century Gothic" w:cs="Times New Roman"/>
        </w:rPr>
        <w:tab/>
        <w:t>el artículo 3470</w:t>
      </w:r>
      <w:r w:rsidR="003D145D" w:rsidRPr="00460364">
        <w:rPr>
          <w:rFonts w:ascii="Century Gothic" w:hAnsi="Century Gothic" w:cs="Times New Roman"/>
        </w:rPr>
        <w:t xml:space="preserve"> del Código Municipal,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 </w:t>
      </w:r>
    </w:p>
    <w:p w14:paraId="115E443B" w14:textId="77777777" w:rsidR="005C6D38" w:rsidRPr="00460364" w:rsidRDefault="005C6D38" w:rsidP="00460364">
      <w:pPr>
        <w:pStyle w:val="Sinespaciado"/>
        <w:ind w:left="709" w:hanging="709"/>
        <w:rPr>
          <w:rFonts w:ascii="Century Gothic" w:hAnsi="Century Gothic" w:cs="Times New Roman"/>
        </w:rPr>
      </w:pPr>
    </w:p>
    <w:p w14:paraId="1AF17625" w14:textId="6CF60886" w:rsidR="005C6D38" w:rsidRPr="00460364" w:rsidRDefault="005C6D38" w:rsidP="00460364">
      <w:pPr>
        <w:pStyle w:val="Sinespaciado"/>
        <w:ind w:left="709" w:hanging="709"/>
        <w:rPr>
          <w:rFonts w:ascii="Century Gothic" w:hAnsi="Century Gothic" w:cs="Times New Roman"/>
        </w:rPr>
      </w:pPr>
      <w:r w:rsidRPr="00460364">
        <w:rPr>
          <w:rFonts w:ascii="Century Gothic" w:hAnsi="Century Gothic" w:cs="Times New Roman"/>
          <w:b/>
        </w:rPr>
        <w:t xml:space="preserve">Que,  </w:t>
      </w:r>
      <w:r w:rsidRPr="00460364">
        <w:rPr>
          <w:rFonts w:ascii="Century Gothic" w:hAnsi="Century Gothic" w:cs="Times New Roman"/>
        </w:rPr>
        <w:t xml:space="preserve">mediante </w:t>
      </w:r>
      <w:r w:rsidR="00593239" w:rsidRPr="00460364">
        <w:rPr>
          <w:rFonts w:ascii="Century Gothic" w:hAnsi="Century Gothic" w:cs="Times New Roman"/>
        </w:rPr>
        <w:t>Documento de13 de enero</w:t>
      </w:r>
      <w:r w:rsidR="00185177" w:rsidRPr="00460364">
        <w:rPr>
          <w:rFonts w:ascii="Century Gothic" w:hAnsi="Century Gothic" w:cs="Times New Roman"/>
        </w:rPr>
        <w:t xml:space="preserve"> de</w:t>
      </w:r>
      <w:r w:rsidR="00593239" w:rsidRPr="00460364">
        <w:rPr>
          <w:rFonts w:ascii="Century Gothic" w:hAnsi="Century Gothic" w:cs="Times New Roman"/>
        </w:rPr>
        <w:t xml:space="preserve"> 2016, el señor Carlos Nicolalde</w:t>
      </w:r>
      <w:r w:rsidR="00185177" w:rsidRPr="00460364">
        <w:rPr>
          <w:rFonts w:ascii="Century Gothic" w:hAnsi="Century Gothic" w:cs="Times New Roman"/>
        </w:rPr>
        <w:t>.</w:t>
      </w:r>
      <w:r w:rsidRPr="00460364">
        <w:rPr>
          <w:rFonts w:ascii="Century Gothic" w:hAnsi="Century Gothic" w:cs="Times New Roman"/>
        </w:rPr>
        <w:t xml:space="preserve">, solicitó se le adjudique la faja de terreno que se encuentra ubicada en </w:t>
      </w:r>
      <w:r w:rsidR="00593239" w:rsidRPr="00460364">
        <w:rPr>
          <w:rFonts w:ascii="Century Gothic" w:hAnsi="Century Gothic" w:cs="Times New Roman"/>
        </w:rPr>
        <w:t>Comité del Pueblo, barrio Carretas</w:t>
      </w:r>
      <w:r w:rsidR="00185177" w:rsidRPr="00460364">
        <w:rPr>
          <w:rFonts w:ascii="Century Gothic" w:hAnsi="Century Gothic" w:cs="Times New Roman"/>
        </w:rPr>
        <w:t>, predio No.</w:t>
      </w:r>
      <w:r w:rsidR="00593239" w:rsidRPr="00460364">
        <w:rPr>
          <w:rFonts w:ascii="Century Gothic" w:hAnsi="Century Gothic" w:cs="Times New Roman"/>
        </w:rPr>
        <w:t xml:space="preserve"> 680157</w:t>
      </w:r>
      <w:r w:rsidRPr="00460364">
        <w:rPr>
          <w:rFonts w:ascii="Century Gothic" w:hAnsi="Century Gothic" w:cs="Times New Roman"/>
        </w:rPr>
        <w:t xml:space="preserve"> </w:t>
      </w:r>
    </w:p>
    <w:p w14:paraId="5E555E28" w14:textId="77777777" w:rsidR="00434D7E" w:rsidRPr="00460364" w:rsidRDefault="00434D7E" w:rsidP="00460364">
      <w:pPr>
        <w:pStyle w:val="Sinespaciado"/>
        <w:ind w:left="709" w:hanging="709"/>
        <w:rPr>
          <w:rFonts w:ascii="Century Gothic" w:hAnsi="Century Gothic" w:cs="Times New Roman"/>
        </w:rPr>
      </w:pPr>
    </w:p>
    <w:p w14:paraId="76BE85AF" w14:textId="5DC2336E" w:rsidR="00681C5A" w:rsidRPr="00460364" w:rsidRDefault="00681C5A" w:rsidP="00460364">
      <w:pPr>
        <w:pStyle w:val="Sinespaciado"/>
        <w:ind w:left="709" w:hanging="709"/>
        <w:rPr>
          <w:rFonts w:ascii="Century Gothic" w:hAnsi="Century Gothic" w:cs="Times New Roman"/>
        </w:rPr>
      </w:pPr>
      <w:r w:rsidRPr="00460364">
        <w:rPr>
          <w:rFonts w:ascii="Century Gothic" w:hAnsi="Century Gothic" w:cs="Times New Roman"/>
          <w:b/>
        </w:rPr>
        <w:t xml:space="preserve">Que, </w:t>
      </w:r>
      <w:r w:rsidRPr="00460364">
        <w:rPr>
          <w:rFonts w:ascii="Century Gothic" w:hAnsi="Century Gothic" w:cs="Times New Roman"/>
        </w:rPr>
        <w:t xml:space="preserve">La </w:t>
      </w:r>
      <w:r w:rsidR="003A1E55" w:rsidRPr="00460364">
        <w:rPr>
          <w:rFonts w:ascii="Century Gothic" w:hAnsi="Century Gothic" w:cs="Times New Roman"/>
        </w:rPr>
        <w:t>Comisión</w:t>
      </w:r>
      <w:r w:rsidRPr="00460364">
        <w:rPr>
          <w:rFonts w:ascii="Century Gothic" w:hAnsi="Century Gothic" w:cs="Times New Roman"/>
        </w:rPr>
        <w:t xml:space="preserve"> de Propiedad y Espacio Público en sesión No. 013 extraordinaria del 11 de diciembre de 2019 en referencia a la adjudicación de lote de terreno a favor </w:t>
      </w:r>
      <w:r w:rsidR="00C408C7" w:rsidRPr="00460364">
        <w:rPr>
          <w:rFonts w:ascii="Century Gothic" w:hAnsi="Century Gothic" w:cs="Times New Roman"/>
        </w:rPr>
        <w:t xml:space="preserve">del señor Jorge Nicolalde y otros, </w:t>
      </w:r>
      <w:r w:rsidR="00C408C7" w:rsidRPr="00460364">
        <w:rPr>
          <w:rFonts w:ascii="Century Gothic" w:hAnsi="Century Gothic" w:cs="Times New Roman"/>
        </w:rPr>
        <w:lastRenderedPageBreak/>
        <w:t xml:space="preserve">solicita un informe </w:t>
      </w:r>
      <w:r w:rsidR="003A1E55" w:rsidRPr="00460364">
        <w:rPr>
          <w:rFonts w:ascii="Century Gothic" w:hAnsi="Century Gothic" w:cs="Times New Roman"/>
        </w:rPr>
        <w:t>aclaratorio</w:t>
      </w:r>
      <w:r w:rsidR="00C408C7" w:rsidRPr="00460364">
        <w:rPr>
          <w:rFonts w:ascii="Century Gothic" w:hAnsi="Century Gothic" w:cs="Times New Roman"/>
        </w:rPr>
        <w:t xml:space="preserve"> a la </w:t>
      </w:r>
      <w:r w:rsidR="003A1E55" w:rsidRPr="00460364">
        <w:rPr>
          <w:rFonts w:ascii="Century Gothic" w:hAnsi="Century Gothic" w:cs="Times New Roman"/>
        </w:rPr>
        <w:t>Dirección</w:t>
      </w:r>
      <w:r w:rsidR="00C408C7" w:rsidRPr="00460364">
        <w:rPr>
          <w:rFonts w:ascii="Century Gothic" w:hAnsi="Century Gothic" w:cs="Times New Roman"/>
        </w:rPr>
        <w:t xml:space="preserve"> Metropolitana de Riesgos y </w:t>
      </w:r>
      <w:r w:rsidR="003A1E55" w:rsidRPr="00460364">
        <w:rPr>
          <w:rFonts w:ascii="Century Gothic" w:hAnsi="Century Gothic" w:cs="Times New Roman"/>
        </w:rPr>
        <w:t>Procuraduría</w:t>
      </w:r>
      <w:r w:rsidR="00C408C7" w:rsidRPr="00460364">
        <w:rPr>
          <w:rFonts w:ascii="Century Gothic" w:hAnsi="Century Gothic" w:cs="Times New Roman"/>
        </w:rPr>
        <w:t xml:space="preserve"> Metropolitana en el </w:t>
      </w:r>
      <w:r w:rsidR="003A1E55" w:rsidRPr="00460364">
        <w:rPr>
          <w:rFonts w:ascii="Century Gothic" w:hAnsi="Century Gothic" w:cs="Times New Roman"/>
        </w:rPr>
        <w:t>término</w:t>
      </w:r>
      <w:r w:rsidR="00C408C7" w:rsidRPr="00460364">
        <w:rPr>
          <w:rFonts w:ascii="Century Gothic" w:hAnsi="Century Gothic" w:cs="Times New Roman"/>
        </w:rPr>
        <w:t xml:space="preserve"> de ocho días, respecto a los nombre de </w:t>
      </w:r>
      <w:r w:rsidR="003A1E55" w:rsidRPr="00460364">
        <w:rPr>
          <w:rFonts w:ascii="Century Gothic" w:hAnsi="Century Gothic" w:cs="Times New Roman"/>
        </w:rPr>
        <w:t>los</w:t>
      </w:r>
      <w:r w:rsidR="00C408C7" w:rsidRPr="00460364">
        <w:rPr>
          <w:rFonts w:ascii="Century Gothic" w:hAnsi="Century Gothic" w:cs="Times New Roman"/>
        </w:rPr>
        <w:t xml:space="preserve"> </w:t>
      </w:r>
      <w:r w:rsidR="003A1E55" w:rsidRPr="00460364">
        <w:rPr>
          <w:rFonts w:ascii="Century Gothic" w:hAnsi="Century Gothic" w:cs="Times New Roman"/>
        </w:rPr>
        <w:t>beneficiarios</w:t>
      </w:r>
      <w:r w:rsidR="00C408C7" w:rsidRPr="00460364">
        <w:rPr>
          <w:rFonts w:ascii="Century Gothic" w:hAnsi="Century Gothic" w:cs="Times New Roman"/>
        </w:rPr>
        <w:t xml:space="preserve"> de la adjudicación.</w:t>
      </w:r>
    </w:p>
    <w:p w14:paraId="061B82FD" w14:textId="77777777" w:rsidR="00681C5A" w:rsidRPr="00460364" w:rsidRDefault="00681C5A" w:rsidP="00460364">
      <w:pPr>
        <w:pStyle w:val="Sinespaciado"/>
        <w:ind w:left="709" w:hanging="709"/>
        <w:rPr>
          <w:rFonts w:ascii="Century Gothic" w:hAnsi="Century Gothic" w:cs="Times New Roman"/>
        </w:rPr>
      </w:pPr>
    </w:p>
    <w:p w14:paraId="4771F32B" w14:textId="6888BDF6" w:rsidR="003D145D" w:rsidRPr="00460364" w:rsidRDefault="00C408C7" w:rsidP="00460364">
      <w:pPr>
        <w:autoSpaceDE w:val="0"/>
        <w:autoSpaceDN w:val="0"/>
        <w:adjustRightInd w:val="0"/>
        <w:ind w:left="705" w:hanging="705"/>
        <w:jc w:val="both"/>
        <w:rPr>
          <w:rFonts w:ascii="Century Gothic" w:hAnsi="Century Gothic"/>
          <w:sz w:val="22"/>
          <w:szCs w:val="22"/>
        </w:rPr>
      </w:pPr>
      <w:r w:rsidRPr="00460364">
        <w:rPr>
          <w:rFonts w:ascii="Century Gothic" w:hAnsi="Century Gothic"/>
          <w:b/>
          <w:sz w:val="22"/>
          <w:szCs w:val="22"/>
        </w:rPr>
        <w:t>Que</w:t>
      </w:r>
      <w:r w:rsidR="00460364">
        <w:rPr>
          <w:rFonts w:ascii="Century Gothic" w:hAnsi="Century Gothic"/>
          <w:sz w:val="22"/>
          <w:szCs w:val="22"/>
        </w:rPr>
        <w:t>, Procuradurí</w:t>
      </w:r>
      <w:r w:rsidRPr="00460364">
        <w:rPr>
          <w:rFonts w:ascii="Century Gothic" w:hAnsi="Century Gothic"/>
          <w:sz w:val="22"/>
          <w:szCs w:val="22"/>
        </w:rPr>
        <w:t xml:space="preserve">a Metropolitana con la finalidad de dar atención al pedido contenido en la Resolución No.016-CPP-2019 </w:t>
      </w:r>
      <w:r w:rsidR="00460364" w:rsidRPr="00460364">
        <w:rPr>
          <w:rFonts w:ascii="Century Gothic" w:hAnsi="Century Gothic"/>
          <w:sz w:val="22"/>
          <w:szCs w:val="22"/>
        </w:rPr>
        <w:t>del</w:t>
      </w:r>
      <w:r w:rsidRPr="00460364">
        <w:rPr>
          <w:rFonts w:ascii="Century Gothic" w:hAnsi="Century Gothic"/>
          <w:sz w:val="22"/>
          <w:szCs w:val="22"/>
        </w:rPr>
        <w:t xml:space="preserve"> 11 </w:t>
      </w:r>
      <w:r w:rsidR="00460364" w:rsidRPr="00460364">
        <w:rPr>
          <w:rFonts w:ascii="Century Gothic" w:hAnsi="Century Gothic"/>
          <w:sz w:val="22"/>
          <w:szCs w:val="22"/>
        </w:rPr>
        <w:t xml:space="preserve">de diciembre de </w:t>
      </w:r>
      <w:r w:rsidRPr="00460364">
        <w:rPr>
          <w:rFonts w:ascii="Century Gothic" w:hAnsi="Century Gothic"/>
          <w:sz w:val="22"/>
          <w:szCs w:val="22"/>
        </w:rPr>
        <w:t xml:space="preserve">2019 en la que la omisión de Propiedad y Espacio </w:t>
      </w:r>
      <w:r w:rsidR="003A1E55" w:rsidRPr="00460364">
        <w:rPr>
          <w:rFonts w:ascii="Century Gothic" w:hAnsi="Century Gothic"/>
          <w:sz w:val="22"/>
          <w:szCs w:val="22"/>
        </w:rPr>
        <w:t>Público</w:t>
      </w:r>
      <w:r w:rsidRPr="00460364">
        <w:rPr>
          <w:rFonts w:ascii="Century Gothic" w:hAnsi="Century Gothic"/>
          <w:sz w:val="22"/>
          <w:szCs w:val="22"/>
        </w:rPr>
        <w:t xml:space="preserve"> solicita aclarar los </w:t>
      </w:r>
      <w:r w:rsidR="003A1E55" w:rsidRPr="00460364">
        <w:rPr>
          <w:rFonts w:ascii="Century Gothic" w:hAnsi="Century Gothic"/>
          <w:sz w:val="22"/>
          <w:szCs w:val="22"/>
        </w:rPr>
        <w:t>beneficiarios</w:t>
      </w:r>
      <w:r w:rsidRPr="00460364">
        <w:rPr>
          <w:rFonts w:ascii="Century Gothic" w:hAnsi="Century Gothic"/>
          <w:sz w:val="22"/>
          <w:szCs w:val="22"/>
        </w:rPr>
        <w:t xml:space="preserve"> de la adjudicación de faja (2) de terreno a favor del señor Jorge Nicolalde y otros, s</w:t>
      </w:r>
      <w:r w:rsidR="00E23090" w:rsidRPr="00460364">
        <w:rPr>
          <w:rFonts w:ascii="Century Gothic" w:hAnsi="Century Gothic"/>
          <w:sz w:val="22"/>
          <w:szCs w:val="22"/>
        </w:rPr>
        <w:t>o</w:t>
      </w:r>
      <w:r w:rsidRPr="00460364">
        <w:rPr>
          <w:rFonts w:ascii="Century Gothic" w:hAnsi="Century Gothic"/>
          <w:sz w:val="22"/>
          <w:szCs w:val="22"/>
        </w:rPr>
        <w:t>licita</w:t>
      </w:r>
      <w:r w:rsidR="00E23090" w:rsidRPr="00460364">
        <w:rPr>
          <w:rFonts w:ascii="Century Gothic" w:hAnsi="Century Gothic"/>
          <w:sz w:val="22"/>
          <w:szCs w:val="22"/>
        </w:rPr>
        <w:t xml:space="preserve"> a la Dirección Metropolitana de Catastro </w:t>
      </w:r>
      <w:r w:rsidRPr="00460364">
        <w:rPr>
          <w:rFonts w:ascii="Century Gothic" w:hAnsi="Century Gothic"/>
          <w:sz w:val="22"/>
          <w:szCs w:val="22"/>
        </w:rPr>
        <w:t xml:space="preserve"> ratificar o rectificar el informe y ficha técnica contenida en el oficio No. DMC-CE-12633 de 09 de </w:t>
      </w:r>
      <w:r w:rsidR="00E23090" w:rsidRPr="00460364">
        <w:rPr>
          <w:rFonts w:ascii="Century Gothic" w:hAnsi="Century Gothic"/>
          <w:sz w:val="22"/>
          <w:szCs w:val="22"/>
        </w:rPr>
        <w:t xml:space="preserve">octubre de 2018 predio identificado como No. 680180 calve catastral 13108-02-058 </w:t>
      </w:r>
    </w:p>
    <w:p w14:paraId="5B0A0F6A" w14:textId="77777777" w:rsidR="00C408C7" w:rsidRPr="00460364" w:rsidRDefault="00C408C7" w:rsidP="00460364">
      <w:pPr>
        <w:autoSpaceDE w:val="0"/>
        <w:autoSpaceDN w:val="0"/>
        <w:adjustRightInd w:val="0"/>
        <w:ind w:left="705" w:hanging="705"/>
        <w:jc w:val="both"/>
        <w:rPr>
          <w:rFonts w:ascii="Century Gothic" w:hAnsi="Century Gothic"/>
          <w:sz w:val="22"/>
          <w:szCs w:val="22"/>
        </w:rPr>
      </w:pPr>
    </w:p>
    <w:p w14:paraId="01D6715D" w14:textId="77777777" w:rsidR="009D1DA5" w:rsidRPr="00460364" w:rsidRDefault="009D1DA5" w:rsidP="00460364">
      <w:pPr>
        <w:tabs>
          <w:tab w:val="left" w:pos="426"/>
        </w:tabs>
        <w:ind w:left="705" w:hanging="705"/>
        <w:jc w:val="both"/>
        <w:rPr>
          <w:rFonts w:ascii="Century Gothic" w:hAnsi="Century Gothic"/>
          <w:sz w:val="22"/>
          <w:szCs w:val="22"/>
        </w:rPr>
      </w:pPr>
    </w:p>
    <w:p w14:paraId="48750DD1" w14:textId="50062B3F" w:rsidR="009D1DA5" w:rsidRPr="00460364" w:rsidRDefault="009D1DA5" w:rsidP="00460364">
      <w:pPr>
        <w:tabs>
          <w:tab w:val="left" w:pos="426"/>
        </w:tabs>
        <w:ind w:left="705" w:hanging="705"/>
        <w:jc w:val="both"/>
        <w:rPr>
          <w:rFonts w:ascii="Century Gothic" w:hAnsi="Century Gothic"/>
          <w:b/>
          <w:sz w:val="22"/>
          <w:szCs w:val="22"/>
        </w:rPr>
      </w:pPr>
      <w:r w:rsidRPr="00460364">
        <w:rPr>
          <w:rFonts w:ascii="Century Gothic" w:hAnsi="Century Gothic"/>
          <w:b/>
          <w:sz w:val="22"/>
          <w:szCs w:val="22"/>
        </w:rPr>
        <w:t xml:space="preserve">Que, </w:t>
      </w:r>
      <w:r w:rsidRPr="00460364">
        <w:rPr>
          <w:rFonts w:ascii="Century Gothic" w:hAnsi="Century Gothic"/>
          <w:sz w:val="22"/>
          <w:szCs w:val="22"/>
        </w:rPr>
        <w:t>La Dirección Metropolitana de Catastro</w:t>
      </w:r>
      <w:r w:rsidRPr="00460364">
        <w:rPr>
          <w:rFonts w:ascii="Century Gothic" w:hAnsi="Century Gothic"/>
          <w:b/>
          <w:sz w:val="22"/>
          <w:szCs w:val="22"/>
        </w:rPr>
        <w:t xml:space="preserve"> </w:t>
      </w:r>
      <w:r w:rsidRPr="00460364">
        <w:rPr>
          <w:rFonts w:ascii="Century Gothic" w:hAnsi="Century Gothic"/>
          <w:sz w:val="22"/>
          <w:szCs w:val="22"/>
        </w:rPr>
        <w:t>informa a la Procura</w:t>
      </w:r>
      <w:r w:rsidR="00460364">
        <w:rPr>
          <w:rFonts w:ascii="Century Gothic" w:hAnsi="Century Gothic"/>
          <w:sz w:val="22"/>
          <w:szCs w:val="22"/>
        </w:rPr>
        <w:t>duría Metropolitana que ha remitido la fic</w:t>
      </w:r>
      <w:r w:rsidRPr="00460364">
        <w:rPr>
          <w:rFonts w:ascii="Century Gothic" w:hAnsi="Century Gothic"/>
          <w:sz w:val="22"/>
          <w:szCs w:val="22"/>
        </w:rPr>
        <w:t>h</w:t>
      </w:r>
      <w:r w:rsidR="00460364">
        <w:rPr>
          <w:rFonts w:ascii="Century Gothic" w:hAnsi="Century Gothic"/>
          <w:sz w:val="22"/>
          <w:szCs w:val="22"/>
        </w:rPr>
        <w:t>a</w:t>
      </w:r>
      <w:r w:rsidRPr="00460364">
        <w:rPr>
          <w:rFonts w:ascii="Century Gothic" w:hAnsi="Century Gothic"/>
          <w:sz w:val="22"/>
          <w:szCs w:val="22"/>
        </w:rPr>
        <w:t xml:space="preserve"> técnica solicitada mediante Oficio No. GADDMQ-DMC-GCE-2020-01333-M  del 06 de marzo de 2020</w:t>
      </w:r>
      <w:r w:rsidRPr="00460364">
        <w:rPr>
          <w:rFonts w:ascii="Century Gothic" w:hAnsi="Century Gothic"/>
          <w:b/>
          <w:sz w:val="22"/>
          <w:szCs w:val="22"/>
        </w:rPr>
        <w:t xml:space="preserve"> </w:t>
      </w:r>
    </w:p>
    <w:p w14:paraId="08B674C9" w14:textId="77777777" w:rsidR="009D1DA5" w:rsidRPr="00460364" w:rsidRDefault="009D1DA5" w:rsidP="00460364">
      <w:pPr>
        <w:tabs>
          <w:tab w:val="left" w:pos="426"/>
        </w:tabs>
        <w:ind w:left="705" w:hanging="705"/>
        <w:jc w:val="both"/>
        <w:rPr>
          <w:rFonts w:ascii="Century Gothic" w:hAnsi="Century Gothic"/>
          <w:b/>
          <w:sz w:val="22"/>
          <w:szCs w:val="22"/>
        </w:rPr>
      </w:pPr>
    </w:p>
    <w:p w14:paraId="41EAE3CE" w14:textId="595C32DE" w:rsidR="009D1DA5" w:rsidRPr="00460364" w:rsidRDefault="009D1DA5" w:rsidP="00D13C97">
      <w:pPr>
        <w:autoSpaceDE w:val="0"/>
        <w:autoSpaceDN w:val="0"/>
        <w:adjustRightInd w:val="0"/>
        <w:ind w:left="709" w:hanging="709"/>
        <w:jc w:val="both"/>
        <w:rPr>
          <w:rFonts w:ascii="Century Gothic" w:eastAsiaTheme="minorHAnsi" w:hAnsi="Century Gothic"/>
          <w:sz w:val="22"/>
          <w:szCs w:val="22"/>
          <w:lang w:val="es-EC" w:eastAsia="en-US"/>
        </w:rPr>
      </w:pPr>
      <w:r w:rsidRPr="00460364">
        <w:rPr>
          <w:rFonts w:ascii="Century Gothic" w:hAnsi="Century Gothic"/>
          <w:b/>
          <w:sz w:val="22"/>
          <w:szCs w:val="22"/>
        </w:rPr>
        <w:t xml:space="preserve">Que, </w:t>
      </w:r>
      <w:r w:rsidR="00460364">
        <w:rPr>
          <w:rFonts w:ascii="Century Gothic" w:hAnsi="Century Gothic"/>
          <w:sz w:val="22"/>
          <w:szCs w:val="22"/>
        </w:rPr>
        <w:t xml:space="preserve">Procuraduría </w:t>
      </w:r>
      <w:r w:rsidRPr="00460364">
        <w:rPr>
          <w:rFonts w:ascii="Century Gothic" w:hAnsi="Century Gothic"/>
          <w:sz w:val="22"/>
          <w:szCs w:val="22"/>
        </w:rPr>
        <w:t>Metr</w:t>
      </w:r>
      <w:r w:rsidR="00460364">
        <w:rPr>
          <w:rFonts w:ascii="Century Gothic" w:hAnsi="Century Gothic"/>
          <w:sz w:val="22"/>
          <w:szCs w:val="22"/>
        </w:rPr>
        <w:t>opolitana solicita a la Direcció</w:t>
      </w:r>
      <w:r w:rsidRPr="00460364">
        <w:rPr>
          <w:rFonts w:ascii="Century Gothic" w:hAnsi="Century Gothic"/>
          <w:sz w:val="22"/>
          <w:szCs w:val="22"/>
        </w:rPr>
        <w:t>n Metropolitana de Catastro que</w:t>
      </w:r>
      <w:r w:rsidRPr="00460364">
        <w:rPr>
          <w:rFonts w:ascii="Century Gothic" w:hAnsi="Century Gothic"/>
          <w:b/>
          <w:sz w:val="22"/>
          <w:szCs w:val="22"/>
        </w:rPr>
        <w:t xml:space="preserve"> </w:t>
      </w:r>
      <w:r w:rsidRPr="00D13C97">
        <w:rPr>
          <w:rFonts w:ascii="Century Gothic" w:hAnsi="Century Gothic"/>
          <w:b/>
          <w:i/>
          <w:sz w:val="22"/>
          <w:szCs w:val="22"/>
        </w:rPr>
        <w:t>“</w:t>
      </w:r>
      <w:r w:rsidRPr="00D13C97">
        <w:rPr>
          <w:rFonts w:ascii="Century Gothic" w:eastAsiaTheme="minorHAnsi" w:hAnsi="Century Gothic"/>
          <w:i/>
          <w:sz w:val="22"/>
          <w:szCs w:val="22"/>
          <w:lang w:val="es-EC" w:eastAsia="en-US"/>
        </w:rPr>
        <w:t>En este contexto, se puede advertir que la superficie de t</w:t>
      </w:r>
      <w:r w:rsidR="00460364" w:rsidRPr="00D13C97">
        <w:rPr>
          <w:rFonts w:ascii="Century Gothic" w:eastAsiaTheme="minorHAnsi" w:hAnsi="Century Gothic"/>
          <w:i/>
          <w:sz w:val="22"/>
          <w:szCs w:val="22"/>
          <w:lang w:val="es-EC" w:eastAsia="en-US"/>
        </w:rPr>
        <w:t xml:space="preserve">erreno de la faja No. 1 (338.57 </w:t>
      </w:r>
      <w:r w:rsidRPr="00D13C97">
        <w:rPr>
          <w:rFonts w:ascii="Century Gothic" w:eastAsiaTheme="minorHAnsi" w:hAnsi="Century Gothic"/>
          <w:i/>
          <w:sz w:val="22"/>
          <w:szCs w:val="22"/>
          <w:lang w:val="es-EC" w:eastAsia="en-US"/>
        </w:rPr>
        <w:t>m2) es inferior a la superficie de la faja No. 2 (535.00), si</w:t>
      </w:r>
      <w:r w:rsidR="00460364" w:rsidRPr="00D13C97">
        <w:rPr>
          <w:rFonts w:ascii="Century Gothic" w:eastAsiaTheme="minorHAnsi" w:hAnsi="Century Gothic"/>
          <w:i/>
          <w:sz w:val="22"/>
          <w:szCs w:val="22"/>
          <w:lang w:val="es-EC" w:eastAsia="en-US"/>
        </w:rPr>
        <w:t xml:space="preserve">n embargo, el avalúo de la faja </w:t>
      </w:r>
      <w:r w:rsidRPr="00D13C97">
        <w:rPr>
          <w:rFonts w:ascii="Century Gothic" w:eastAsiaTheme="minorHAnsi" w:hAnsi="Century Gothic"/>
          <w:i/>
          <w:sz w:val="22"/>
          <w:szCs w:val="22"/>
          <w:lang w:val="es-EC" w:eastAsia="en-US"/>
        </w:rPr>
        <w:t xml:space="preserve">No. 1, es superior al avalúo de la faja No. 2, pese a que las </w:t>
      </w:r>
      <w:r w:rsidR="00460364" w:rsidRPr="00D13C97">
        <w:rPr>
          <w:rFonts w:ascii="Century Gothic" w:eastAsiaTheme="minorHAnsi" w:hAnsi="Century Gothic"/>
          <w:i/>
          <w:sz w:val="22"/>
          <w:szCs w:val="22"/>
          <w:lang w:val="es-EC" w:eastAsia="en-US"/>
        </w:rPr>
        <w:t xml:space="preserve">fajas de terreno están ubicadas </w:t>
      </w:r>
      <w:r w:rsidR="00D13C97" w:rsidRPr="00D13C97">
        <w:rPr>
          <w:rFonts w:ascii="Century Gothic" w:eastAsiaTheme="minorHAnsi" w:hAnsi="Century Gothic"/>
          <w:i/>
          <w:sz w:val="22"/>
          <w:szCs w:val="22"/>
          <w:lang w:val="es-EC" w:eastAsia="en-US"/>
        </w:rPr>
        <w:t xml:space="preserve">de forma contigua. (…) </w:t>
      </w:r>
      <w:r w:rsidRPr="00D13C97">
        <w:rPr>
          <w:rFonts w:ascii="Century Gothic" w:eastAsiaTheme="minorHAnsi" w:hAnsi="Century Gothic"/>
          <w:i/>
          <w:sz w:val="22"/>
          <w:szCs w:val="22"/>
          <w:lang w:val="es-EC" w:eastAsia="en-US"/>
        </w:rPr>
        <w:t>En este sentido, una vez que se cuente con el informe suste</w:t>
      </w:r>
      <w:r w:rsidR="00460364" w:rsidRPr="00D13C97">
        <w:rPr>
          <w:rFonts w:ascii="Century Gothic" w:eastAsiaTheme="minorHAnsi" w:hAnsi="Century Gothic"/>
          <w:i/>
          <w:sz w:val="22"/>
          <w:szCs w:val="22"/>
          <w:lang w:val="es-EC" w:eastAsia="en-US"/>
        </w:rPr>
        <w:t xml:space="preserve">ntado respecto del avalúo de la </w:t>
      </w:r>
      <w:r w:rsidRPr="00D13C97">
        <w:rPr>
          <w:rFonts w:ascii="Century Gothic" w:eastAsiaTheme="minorHAnsi" w:hAnsi="Century Gothic"/>
          <w:i/>
          <w:sz w:val="22"/>
          <w:szCs w:val="22"/>
          <w:lang w:val="es-EC" w:eastAsia="en-US"/>
        </w:rPr>
        <w:t xml:space="preserve">faja No. 2, se remitirá conjuntamente con la ficha técnica </w:t>
      </w:r>
      <w:r w:rsidR="00460364" w:rsidRPr="00D13C97">
        <w:rPr>
          <w:rFonts w:ascii="Century Gothic" w:eastAsiaTheme="minorHAnsi" w:hAnsi="Century Gothic"/>
          <w:i/>
          <w:sz w:val="22"/>
          <w:szCs w:val="22"/>
          <w:lang w:val="es-EC" w:eastAsia="en-US"/>
        </w:rPr>
        <w:t xml:space="preserve">correspondiente, a la Dirección </w:t>
      </w:r>
      <w:r w:rsidRPr="00D13C97">
        <w:rPr>
          <w:rFonts w:ascii="Century Gothic" w:eastAsiaTheme="minorHAnsi" w:hAnsi="Century Gothic"/>
          <w:i/>
          <w:sz w:val="22"/>
          <w:szCs w:val="22"/>
          <w:lang w:val="es-EC" w:eastAsia="en-US"/>
        </w:rPr>
        <w:t>Metropolitana de Riesgos, a fin de que emita su informe actualizado.”</w:t>
      </w:r>
    </w:p>
    <w:p w14:paraId="7554CC01" w14:textId="77777777" w:rsidR="009D1DA5" w:rsidRPr="00460364" w:rsidRDefault="009D1DA5" w:rsidP="00D13C97">
      <w:pPr>
        <w:tabs>
          <w:tab w:val="left" w:pos="426"/>
        </w:tabs>
        <w:ind w:left="705" w:hanging="709"/>
        <w:jc w:val="both"/>
        <w:rPr>
          <w:rFonts w:ascii="Century Gothic" w:eastAsiaTheme="minorHAnsi" w:hAnsi="Century Gothic"/>
          <w:sz w:val="22"/>
          <w:szCs w:val="22"/>
          <w:lang w:val="es-EC" w:eastAsia="en-US"/>
        </w:rPr>
      </w:pPr>
    </w:p>
    <w:p w14:paraId="51233394" w14:textId="4661D4AA" w:rsidR="009D1DA5" w:rsidRPr="00D13C97" w:rsidRDefault="00C06E01" w:rsidP="00D13C97">
      <w:pPr>
        <w:autoSpaceDE w:val="0"/>
        <w:autoSpaceDN w:val="0"/>
        <w:adjustRightInd w:val="0"/>
        <w:ind w:left="709" w:hanging="709"/>
        <w:jc w:val="both"/>
        <w:rPr>
          <w:rFonts w:ascii="Century Gothic" w:eastAsiaTheme="minorHAnsi" w:hAnsi="Century Gothic"/>
          <w:sz w:val="20"/>
          <w:szCs w:val="20"/>
          <w:lang w:val="es-EC" w:eastAsia="en-US"/>
        </w:rPr>
      </w:pPr>
      <w:r w:rsidRPr="00460364">
        <w:rPr>
          <w:rFonts w:ascii="Century Gothic" w:hAnsi="Century Gothic"/>
          <w:b/>
          <w:sz w:val="22"/>
          <w:szCs w:val="22"/>
        </w:rPr>
        <w:t>Que</w:t>
      </w:r>
      <w:r w:rsidR="00D13C97">
        <w:rPr>
          <w:rFonts w:ascii="Century Gothic" w:hAnsi="Century Gothic"/>
          <w:b/>
          <w:sz w:val="22"/>
          <w:szCs w:val="22"/>
        </w:rPr>
        <w:t xml:space="preserve">, </w:t>
      </w:r>
      <w:r w:rsidRPr="00460364">
        <w:rPr>
          <w:rFonts w:ascii="Century Gothic" w:hAnsi="Century Gothic"/>
          <w:b/>
          <w:sz w:val="22"/>
          <w:szCs w:val="22"/>
        </w:rPr>
        <w:t xml:space="preserve"> </w:t>
      </w:r>
      <w:r w:rsidRPr="00D13C97">
        <w:rPr>
          <w:rFonts w:ascii="Century Gothic" w:hAnsi="Century Gothic"/>
          <w:sz w:val="22"/>
          <w:szCs w:val="22"/>
        </w:rPr>
        <w:t>la Secretaria General de Segurid</w:t>
      </w:r>
      <w:r w:rsidR="00D13C97" w:rsidRPr="00D13C97">
        <w:rPr>
          <w:rFonts w:ascii="Century Gothic" w:hAnsi="Century Gothic"/>
          <w:sz w:val="22"/>
          <w:szCs w:val="22"/>
        </w:rPr>
        <w:t>a</w:t>
      </w:r>
      <w:r w:rsidRPr="00D13C97">
        <w:rPr>
          <w:rFonts w:ascii="Century Gothic" w:hAnsi="Century Gothic"/>
          <w:sz w:val="22"/>
          <w:szCs w:val="22"/>
        </w:rPr>
        <w:t xml:space="preserve">d, </w:t>
      </w:r>
      <w:r w:rsidR="00D13C97" w:rsidRPr="00D13C97">
        <w:rPr>
          <w:rFonts w:ascii="Century Gothic" w:eastAsiaTheme="minorHAnsi" w:hAnsi="Century Gothic"/>
          <w:sz w:val="20"/>
          <w:szCs w:val="20"/>
          <w:lang w:val="es-EC" w:eastAsia="en-US"/>
        </w:rPr>
        <w:t>e</w:t>
      </w:r>
      <w:r w:rsidRPr="00D13C97">
        <w:rPr>
          <w:rFonts w:ascii="Century Gothic" w:eastAsiaTheme="minorHAnsi" w:hAnsi="Century Gothic"/>
          <w:sz w:val="20"/>
          <w:szCs w:val="20"/>
          <w:lang w:val="es-EC" w:eastAsia="en-US"/>
        </w:rPr>
        <w:t xml:space="preserve">n respuesta al Documento No. GADDMQ-SGCM-2019-2575-O </w:t>
      </w:r>
      <w:r w:rsidR="00D13C97" w:rsidRPr="00D13C97">
        <w:rPr>
          <w:rFonts w:ascii="Century Gothic" w:eastAsiaTheme="minorHAnsi" w:hAnsi="Century Gothic"/>
          <w:sz w:val="20"/>
          <w:szCs w:val="20"/>
          <w:lang w:val="es-EC" w:eastAsia="en-US"/>
        </w:rPr>
        <w:t>emite</w:t>
      </w:r>
      <w:r w:rsidRPr="00D13C97">
        <w:rPr>
          <w:rFonts w:ascii="Century Gothic" w:eastAsiaTheme="minorHAnsi" w:hAnsi="Century Gothic"/>
          <w:sz w:val="20"/>
          <w:szCs w:val="20"/>
          <w:lang w:val="es-EC" w:eastAsia="en-US"/>
        </w:rPr>
        <w:t xml:space="preserve"> informe</w:t>
      </w:r>
      <w:r w:rsidR="00D13C97" w:rsidRPr="00D13C97">
        <w:rPr>
          <w:rFonts w:ascii="Century Gothic" w:eastAsiaTheme="minorHAnsi" w:hAnsi="Century Gothic"/>
          <w:sz w:val="20"/>
          <w:szCs w:val="20"/>
          <w:lang w:val="es-EC" w:eastAsia="en-US"/>
        </w:rPr>
        <w:t xml:space="preserve"> </w:t>
      </w:r>
      <w:r w:rsidRPr="00D13C97">
        <w:rPr>
          <w:rFonts w:ascii="Century Gothic" w:eastAsiaTheme="minorHAnsi" w:hAnsi="Century Gothic"/>
          <w:sz w:val="20"/>
          <w:szCs w:val="20"/>
          <w:lang w:val="es-EC" w:eastAsia="en-US"/>
        </w:rPr>
        <w:t>de los predios 433037, 6080157 y 680160 mismos que</w:t>
      </w:r>
      <w:r w:rsidR="00D13C97" w:rsidRPr="00D13C97">
        <w:rPr>
          <w:rFonts w:ascii="Century Gothic" w:eastAsiaTheme="minorHAnsi" w:hAnsi="Century Gothic"/>
          <w:sz w:val="20"/>
          <w:szCs w:val="20"/>
          <w:lang w:val="es-EC" w:eastAsia="en-US"/>
        </w:rPr>
        <w:t xml:space="preserve"> </w:t>
      </w:r>
      <w:r w:rsidRPr="00D13C97">
        <w:rPr>
          <w:rFonts w:ascii="Century Gothic" w:eastAsiaTheme="minorHAnsi" w:hAnsi="Century Gothic"/>
          <w:sz w:val="20"/>
          <w:szCs w:val="20"/>
          <w:lang w:val="es-EC" w:eastAsia="en-US"/>
        </w:rPr>
        <w:t xml:space="preserve">se detallan en la siguiente tabla con los números de informes técnicos enviados: </w:t>
      </w:r>
    </w:p>
    <w:p w14:paraId="5F9C7520" w14:textId="77777777" w:rsidR="00C06E01" w:rsidRPr="00460364" w:rsidRDefault="00C06E01" w:rsidP="00460364">
      <w:pPr>
        <w:tabs>
          <w:tab w:val="left" w:pos="426"/>
        </w:tabs>
        <w:ind w:left="705" w:hanging="705"/>
        <w:jc w:val="both"/>
        <w:rPr>
          <w:rFonts w:ascii="Century Gothic" w:eastAsiaTheme="minorHAnsi" w:hAnsi="Century Gothic"/>
          <w:sz w:val="20"/>
          <w:szCs w:val="20"/>
          <w:lang w:val="es-EC" w:eastAsia="en-US"/>
        </w:rPr>
      </w:pPr>
    </w:p>
    <w:tbl>
      <w:tblPr>
        <w:tblStyle w:val="Tablaconcuadrcula"/>
        <w:tblW w:w="0" w:type="auto"/>
        <w:tblInd w:w="-5" w:type="dxa"/>
        <w:tblLook w:val="04A0" w:firstRow="1" w:lastRow="0" w:firstColumn="1" w:lastColumn="0" w:noHBand="0" w:noVBand="1"/>
      </w:tblPr>
      <w:tblGrid>
        <w:gridCol w:w="3686"/>
        <w:gridCol w:w="882"/>
        <w:gridCol w:w="2095"/>
        <w:gridCol w:w="1836"/>
      </w:tblGrid>
      <w:tr w:rsidR="00C06E01" w:rsidRPr="00460364" w14:paraId="594A4F49" w14:textId="77777777" w:rsidTr="00D13C97">
        <w:tc>
          <w:tcPr>
            <w:tcW w:w="3686" w:type="dxa"/>
          </w:tcPr>
          <w:p w14:paraId="5A2F5B51" w14:textId="407C991E"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b/>
                <w:bCs/>
                <w:sz w:val="20"/>
                <w:szCs w:val="20"/>
                <w:lang w:val="es-EC" w:eastAsia="en-US"/>
              </w:rPr>
              <w:t>Oficio</w:t>
            </w:r>
          </w:p>
        </w:tc>
        <w:tc>
          <w:tcPr>
            <w:tcW w:w="882" w:type="dxa"/>
          </w:tcPr>
          <w:p w14:paraId="65CF2643" w14:textId="2ABE6A48" w:rsidR="00C06E01" w:rsidRPr="00D13C97" w:rsidRDefault="00D13C97" w:rsidP="00D13C97">
            <w:pPr>
              <w:autoSpaceDE w:val="0"/>
              <w:autoSpaceDN w:val="0"/>
              <w:adjustRightInd w:val="0"/>
              <w:jc w:val="both"/>
              <w:rPr>
                <w:rFonts w:ascii="Century Gothic" w:eastAsiaTheme="minorHAnsi" w:hAnsi="Century Gothic"/>
                <w:b/>
                <w:bCs/>
                <w:sz w:val="20"/>
                <w:szCs w:val="20"/>
                <w:lang w:val="es-EC" w:eastAsia="en-US"/>
              </w:rPr>
            </w:pPr>
            <w:r>
              <w:rPr>
                <w:rFonts w:ascii="Century Gothic" w:eastAsiaTheme="minorHAnsi" w:hAnsi="Century Gothic"/>
                <w:b/>
                <w:bCs/>
                <w:sz w:val="20"/>
                <w:szCs w:val="20"/>
                <w:lang w:val="es-EC" w:eastAsia="en-US"/>
              </w:rPr>
              <w:t xml:space="preserve">No. </w:t>
            </w:r>
            <w:r w:rsidR="00C06E01" w:rsidRPr="00460364">
              <w:rPr>
                <w:rFonts w:ascii="Century Gothic" w:eastAsiaTheme="minorHAnsi" w:hAnsi="Century Gothic"/>
                <w:b/>
                <w:bCs/>
                <w:sz w:val="20"/>
                <w:szCs w:val="20"/>
                <w:lang w:val="es-EC" w:eastAsia="en-US"/>
              </w:rPr>
              <w:t>predio</w:t>
            </w:r>
          </w:p>
        </w:tc>
        <w:tc>
          <w:tcPr>
            <w:tcW w:w="2095" w:type="dxa"/>
          </w:tcPr>
          <w:p w14:paraId="56FBD17F" w14:textId="372AB6B9"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b/>
                <w:bCs/>
                <w:sz w:val="20"/>
                <w:szCs w:val="20"/>
                <w:lang w:val="es-EC" w:eastAsia="en-US"/>
              </w:rPr>
              <w:t>Nombre IRM</w:t>
            </w:r>
          </w:p>
        </w:tc>
        <w:tc>
          <w:tcPr>
            <w:tcW w:w="1836" w:type="dxa"/>
          </w:tcPr>
          <w:p w14:paraId="15A0EA54" w14:textId="1DFB73C5"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b/>
                <w:bCs/>
                <w:sz w:val="20"/>
                <w:szCs w:val="20"/>
                <w:lang w:val="es-EC" w:eastAsia="en-US"/>
              </w:rPr>
              <w:t>Informe Técnico</w:t>
            </w:r>
          </w:p>
        </w:tc>
      </w:tr>
      <w:tr w:rsidR="00C06E01" w:rsidRPr="00460364" w14:paraId="0111801E" w14:textId="77777777" w:rsidTr="00D13C97">
        <w:tc>
          <w:tcPr>
            <w:tcW w:w="3686" w:type="dxa"/>
          </w:tcPr>
          <w:p w14:paraId="5EBD4559"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No. DMGBI-2019-00535 de fecha 15</w:t>
            </w:r>
          </w:p>
          <w:p w14:paraId="1E1A57E0"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de febrero de 2019</w:t>
            </w:r>
          </w:p>
          <w:p w14:paraId="73A9FF78"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No. DMGBI-2019-00589 de fecha 20</w:t>
            </w:r>
          </w:p>
          <w:p w14:paraId="018A6C20" w14:textId="5BBA894A"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de febrero de 2019</w:t>
            </w:r>
          </w:p>
        </w:tc>
        <w:tc>
          <w:tcPr>
            <w:tcW w:w="882" w:type="dxa"/>
          </w:tcPr>
          <w:p w14:paraId="3662B57B" w14:textId="22FEEAFB"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433037</w:t>
            </w:r>
          </w:p>
        </w:tc>
        <w:tc>
          <w:tcPr>
            <w:tcW w:w="2095" w:type="dxa"/>
          </w:tcPr>
          <w:p w14:paraId="589EE2D1"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Nicolalde López Carlos</w:t>
            </w:r>
          </w:p>
          <w:p w14:paraId="03D90FD2" w14:textId="62704F5B"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Xavier y Otros</w:t>
            </w:r>
          </w:p>
        </w:tc>
        <w:tc>
          <w:tcPr>
            <w:tcW w:w="1836" w:type="dxa"/>
          </w:tcPr>
          <w:p w14:paraId="3940ABF4" w14:textId="19A7BEBF"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T-86-AT-DMGR-2019</w:t>
            </w:r>
          </w:p>
        </w:tc>
      </w:tr>
      <w:tr w:rsidR="00C06E01" w:rsidRPr="00460364" w14:paraId="2D2A570A" w14:textId="77777777" w:rsidTr="00D13C97">
        <w:tc>
          <w:tcPr>
            <w:tcW w:w="3686" w:type="dxa"/>
          </w:tcPr>
          <w:p w14:paraId="65F99B69"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No. DMGBI-2019-00590 de fecha 20</w:t>
            </w:r>
          </w:p>
          <w:p w14:paraId="33CBFA1D"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de febrero de 2019</w:t>
            </w:r>
          </w:p>
          <w:p w14:paraId="334704C0"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No. DMGBI-2019-00534 de fecha 15</w:t>
            </w:r>
          </w:p>
          <w:p w14:paraId="12D09B42" w14:textId="468E07E6"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de febrero de 2019</w:t>
            </w:r>
          </w:p>
        </w:tc>
        <w:tc>
          <w:tcPr>
            <w:tcW w:w="882" w:type="dxa"/>
          </w:tcPr>
          <w:p w14:paraId="67E0F07E" w14:textId="3B48601F"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680157</w:t>
            </w:r>
          </w:p>
        </w:tc>
        <w:tc>
          <w:tcPr>
            <w:tcW w:w="2095" w:type="dxa"/>
          </w:tcPr>
          <w:p w14:paraId="3B76F07C" w14:textId="07EDF9C6"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Nilotex telas SCC</w:t>
            </w:r>
          </w:p>
        </w:tc>
        <w:tc>
          <w:tcPr>
            <w:tcW w:w="1836" w:type="dxa"/>
          </w:tcPr>
          <w:p w14:paraId="5CF48F4D" w14:textId="5AC3F788"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IT-87-AT-DMGR-2019</w:t>
            </w:r>
          </w:p>
        </w:tc>
      </w:tr>
      <w:tr w:rsidR="00C06E01" w:rsidRPr="00460364" w14:paraId="6FE1DC49" w14:textId="77777777" w:rsidTr="00D13C97">
        <w:tc>
          <w:tcPr>
            <w:tcW w:w="3686" w:type="dxa"/>
          </w:tcPr>
          <w:p w14:paraId="6D35B5EA"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No. DMGBI-2019-00652 de fecha 26</w:t>
            </w:r>
          </w:p>
          <w:p w14:paraId="4C59DAD9" w14:textId="4090D06A"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de febrero de 2019</w:t>
            </w:r>
          </w:p>
        </w:tc>
        <w:tc>
          <w:tcPr>
            <w:tcW w:w="882" w:type="dxa"/>
          </w:tcPr>
          <w:p w14:paraId="2E2D83DC" w14:textId="23F09A82"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680160</w:t>
            </w:r>
          </w:p>
        </w:tc>
        <w:tc>
          <w:tcPr>
            <w:tcW w:w="2095" w:type="dxa"/>
          </w:tcPr>
          <w:p w14:paraId="54E1EF7B" w14:textId="77777777" w:rsidR="00C06E01" w:rsidRPr="00460364" w:rsidRDefault="00C06E01" w:rsidP="00460364">
            <w:pPr>
              <w:autoSpaceDE w:val="0"/>
              <w:autoSpaceDN w:val="0"/>
              <w:adjustRightInd w:val="0"/>
              <w:jc w:val="both"/>
              <w:rPr>
                <w:rFonts w:ascii="Century Gothic" w:eastAsiaTheme="minorHAnsi" w:hAnsi="Century Gothic"/>
                <w:sz w:val="20"/>
                <w:szCs w:val="20"/>
                <w:lang w:val="es-EC" w:eastAsia="en-US"/>
              </w:rPr>
            </w:pPr>
            <w:r w:rsidRPr="00460364">
              <w:rPr>
                <w:rFonts w:ascii="Century Gothic" w:eastAsiaTheme="minorHAnsi" w:hAnsi="Century Gothic"/>
                <w:sz w:val="20"/>
                <w:szCs w:val="20"/>
                <w:lang w:val="es-EC" w:eastAsia="en-US"/>
              </w:rPr>
              <w:t>Nicolalde López Jorge</w:t>
            </w:r>
          </w:p>
          <w:p w14:paraId="23285E46" w14:textId="7AAD2C4E"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René y Otros</w:t>
            </w:r>
          </w:p>
        </w:tc>
        <w:tc>
          <w:tcPr>
            <w:tcW w:w="1836" w:type="dxa"/>
          </w:tcPr>
          <w:p w14:paraId="5EB5649E" w14:textId="211F69AC" w:rsidR="00C06E01" w:rsidRPr="00460364" w:rsidRDefault="00C06E01" w:rsidP="00460364">
            <w:pPr>
              <w:tabs>
                <w:tab w:val="left" w:pos="426"/>
              </w:tabs>
              <w:jc w:val="both"/>
              <w:rPr>
                <w:rFonts w:ascii="Century Gothic" w:hAnsi="Century Gothic"/>
                <w:b/>
                <w:sz w:val="22"/>
                <w:szCs w:val="22"/>
              </w:rPr>
            </w:pPr>
            <w:r w:rsidRPr="00460364">
              <w:rPr>
                <w:rFonts w:ascii="Century Gothic" w:eastAsiaTheme="minorHAnsi" w:hAnsi="Century Gothic"/>
                <w:sz w:val="20"/>
                <w:szCs w:val="20"/>
                <w:lang w:val="es-EC" w:eastAsia="en-US"/>
              </w:rPr>
              <w:t>IT-88-AT-DMGR-2019</w:t>
            </w:r>
          </w:p>
        </w:tc>
      </w:tr>
    </w:tbl>
    <w:p w14:paraId="72BF210A" w14:textId="77777777" w:rsidR="00C06E01" w:rsidRPr="00460364" w:rsidRDefault="00C06E01" w:rsidP="00460364">
      <w:pPr>
        <w:tabs>
          <w:tab w:val="left" w:pos="426"/>
        </w:tabs>
        <w:ind w:left="705" w:hanging="705"/>
        <w:jc w:val="both"/>
        <w:rPr>
          <w:rFonts w:ascii="Century Gothic" w:hAnsi="Century Gothic"/>
          <w:b/>
          <w:sz w:val="22"/>
          <w:szCs w:val="22"/>
        </w:rPr>
      </w:pPr>
    </w:p>
    <w:p w14:paraId="19A29D05" w14:textId="1147FCB2" w:rsidR="00C15A9C" w:rsidRDefault="00C06E01" w:rsidP="00C15A9C">
      <w:pPr>
        <w:autoSpaceDE w:val="0"/>
        <w:autoSpaceDN w:val="0"/>
        <w:adjustRightInd w:val="0"/>
        <w:ind w:left="709" w:hanging="709"/>
        <w:jc w:val="both"/>
        <w:rPr>
          <w:rFonts w:ascii="Century Gothic" w:eastAsiaTheme="minorHAnsi" w:hAnsi="Century Gothic"/>
          <w:sz w:val="22"/>
          <w:szCs w:val="22"/>
          <w:lang w:val="es-EC" w:eastAsia="en-US"/>
        </w:rPr>
      </w:pPr>
      <w:r w:rsidRPr="00D13C97">
        <w:rPr>
          <w:rFonts w:ascii="Century Gothic" w:eastAsiaTheme="minorHAnsi" w:hAnsi="Century Gothic"/>
          <w:b/>
          <w:sz w:val="20"/>
          <w:szCs w:val="20"/>
          <w:lang w:val="es-EC" w:eastAsia="en-US"/>
        </w:rPr>
        <w:t>Que</w:t>
      </w:r>
      <w:r w:rsidRPr="00460364">
        <w:rPr>
          <w:rFonts w:ascii="Century Gothic" w:eastAsiaTheme="minorHAnsi" w:hAnsi="Century Gothic"/>
          <w:sz w:val="20"/>
          <w:szCs w:val="20"/>
          <w:lang w:val="es-EC" w:eastAsia="en-US"/>
        </w:rPr>
        <w:t xml:space="preserve">, </w:t>
      </w:r>
      <w:r w:rsidRPr="00D13C97">
        <w:rPr>
          <w:rFonts w:ascii="Century Gothic" w:eastAsiaTheme="minorHAnsi" w:hAnsi="Century Gothic"/>
          <w:sz w:val="20"/>
          <w:szCs w:val="20"/>
          <w:lang w:val="es-EC" w:eastAsia="en-US"/>
        </w:rPr>
        <w:t xml:space="preserve">la Dirección Metropolitana de Catastro </w:t>
      </w:r>
      <w:r w:rsidR="00DC1511" w:rsidRPr="00D13C97">
        <w:rPr>
          <w:rFonts w:ascii="Century Gothic" w:eastAsiaTheme="minorHAnsi" w:hAnsi="Century Gothic"/>
          <w:sz w:val="20"/>
          <w:szCs w:val="20"/>
          <w:lang w:val="es-EC" w:eastAsia="en-US"/>
        </w:rPr>
        <w:t xml:space="preserve">mediante </w:t>
      </w:r>
      <w:r w:rsidR="00DC1511" w:rsidRPr="00D13C97">
        <w:rPr>
          <w:rFonts w:ascii="Century Gothic" w:eastAsiaTheme="minorHAnsi" w:hAnsi="Century Gothic"/>
          <w:bCs/>
          <w:sz w:val="22"/>
          <w:szCs w:val="22"/>
          <w:lang w:val="es-EC" w:eastAsia="en-US"/>
        </w:rPr>
        <w:t>Oficio Nro. GADDMQ-STHV-DMC-2022-0123-O</w:t>
      </w:r>
      <w:r w:rsidR="00DC1511" w:rsidRPr="00D13C97">
        <w:rPr>
          <w:rFonts w:ascii="Century Gothic" w:eastAsiaTheme="minorHAnsi" w:hAnsi="Century Gothic"/>
          <w:sz w:val="20"/>
          <w:szCs w:val="20"/>
          <w:lang w:val="es-EC" w:eastAsia="en-US"/>
        </w:rPr>
        <w:t xml:space="preserve"> el </w:t>
      </w:r>
      <w:r w:rsidR="00DC1511" w:rsidRPr="00D13C97">
        <w:rPr>
          <w:rFonts w:ascii="Century Gothic" w:eastAsiaTheme="minorHAnsi" w:hAnsi="Century Gothic"/>
          <w:bCs/>
          <w:sz w:val="22"/>
          <w:szCs w:val="22"/>
          <w:lang w:val="es-EC" w:eastAsia="en-US"/>
        </w:rPr>
        <w:t xml:space="preserve">20 de enero de 2022 deja insubsistente el </w:t>
      </w:r>
      <w:r w:rsidR="00DC1511" w:rsidRPr="00D13C97">
        <w:rPr>
          <w:rFonts w:ascii="Century Gothic" w:eastAsiaTheme="minorHAnsi" w:hAnsi="Century Gothic"/>
          <w:sz w:val="22"/>
          <w:szCs w:val="22"/>
          <w:lang w:val="es-EC" w:eastAsia="en-US"/>
        </w:rPr>
        <w:t xml:space="preserve">Informe </w:t>
      </w:r>
      <w:r w:rsidR="00DC1511" w:rsidRPr="00D13C97">
        <w:rPr>
          <w:rFonts w:ascii="Century Gothic" w:eastAsiaTheme="minorHAnsi" w:hAnsi="Century Gothic"/>
          <w:sz w:val="22"/>
          <w:szCs w:val="22"/>
          <w:lang w:val="es-EC" w:eastAsia="en-US"/>
        </w:rPr>
        <w:lastRenderedPageBreak/>
        <w:t xml:space="preserve">Técnico N° DMC-UCE-2021-1633 y emite el nuevo </w:t>
      </w:r>
      <w:r w:rsidR="00DC1511" w:rsidRPr="00D13C97">
        <w:rPr>
          <w:rFonts w:ascii="Century Gothic" w:eastAsiaTheme="minorHAnsi" w:hAnsi="Century Gothic"/>
          <w:bCs/>
          <w:sz w:val="22"/>
          <w:szCs w:val="22"/>
          <w:lang w:val="es-EC" w:eastAsia="en-US"/>
        </w:rPr>
        <w:t>Informe Técnico STHV-DMC-UCE-2022-0125</w:t>
      </w:r>
      <w:r w:rsidR="00D13C97">
        <w:rPr>
          <w:rFonts w:ascii="Century Gothic" w:eastAsiaTheme="minorHAnsi" w:hAnsi="Century Gothic"/>
          <w:sz w:val="22"/>
          <w:szCs w:val="22"/>
          <w:lang w:val="es-EC" w:eastAsia="en-US"/>
        </w:rPr>
        <w:t>.</w:t>
      </w:r>
    </w:p>
    <w:p w14:paraId="0E6E8A88" w14:textId="77777777" w:rsidR="00C15A9C" w:rsidRPr="00460364" w:rsidRDefault="00C15A9C" w:rsidP="00460364">
      <w:pPr>
        <w:tabs>
          <w:tab w:val="left" w:pos="426"/>
        </w:tabs>
        <w:ind w:left="705" w:hanging="705"/>
        <w:jc w:val="both"/>
        <w:rPr>
          <w:rFonts w:ascii="Century Gothic" w:eastAsiaTheme="minorHAnsi" w:hAnsi="Century Gothic"/>
          <w:sz w:val="22"/>
          <w:szCs w:val="22"/>
          <w:lang w:val="es-EC" w:eastAsia="en-US"/>
        </w:rPr>
      </w:pPr>
    </w:p>
    <w:p w14:paraId="1DDFA727" w14:textId="052EFBD7" w:rsidR="00DC1511" w:rsidRPr="00D13C97" w:rsidRDefault="00DC1511" w:rsidP="00D13C97">
      <w:pPr>
        <w:pStyle w:val="Default"/>
        <w:ind w:left="709" w:hanging="709"/>
        <w:jc w:val="both"/>
        <w:rPr>
          <w:rFonts w:ascii="Century Gothic" w:hAnsi="Century Gothic"/>
        </w:rPr>
      </w:pPr>
      <w:r w:rsidRPr="00D13C97">
        <w:rPr>
          <w:rFonts w:ascii="Century Gothic" w:hAnsi="Century Gothic"/>
          <w:b/>
          <w:sz w:val="22"/>
          <w:szCs w:val="22"/>
        </w:rPr>
        <w:t>Que,</w:t>
      </w:r>
      <w:r w:rsidR="00D13C97">
        <w:rPr>
          <w:rFonts w:ascii="Century Gothic" w:hAnsi="Century Gothic"/>
          <w:sz w:val="22"/>
          <w:szCs w:val="22"/>
        </w:rPr>
        <w:t xml:space="preserve"> la Direcció</w:t>
      </w:r>
      <w:r w:rsidRPr="00460364">
        <w:rPr>
          <w:rFonts w:ascii="Century Gothic" w:hAnsi="Century Gothic"/>
          <w:sz w:val="22"/>
          <w:szCs w:val="22"/>
        </w:rPr>
        <w:t xml:space="preserve">n Metropolitana de </w:t>
      </w:r>
      <w:r w:rsidRPr="00D13C97">
        <w:rPr>
          <w:rFonts w:ascii="Century Gothic" w:hAnsi="Century Gothic"/>
          <w:sz w:val="22"/>
          <w:szCs w:val="22"/>
        </w:rPr>
        <w:t xml:space="preserve">Catastro </w:t>
      </w:r>
      <w:r w:rsidR="00D13C97">
        <w:rPr>
          <w:rFonts w:ascii="Century Gothic" w:hAnsi="Century Gothic"/>
          <w:sz w:val="22"/>
          <w:szCs w:val="22"/>
        </w:rPr>
        <w:t xml:space="preserve">mediante </w:t>
      </w:r>
      <w:r w:rsidRPr="00D13C97">
        <w:rPr>
          <w:rFonts w:ascii="Century Gothic" w:hAnsi="Century Gothic"/>
          <w:bCs/>
          <w:sz w:val="22"/>
          <w:szCs w:val="22"/>
        </w:rPr>
        <w:t xml:space="preserve">Oficio Nro. GADDMQ-STHV-DMC-2022-0214-O el 07 de febrero de 2022 </w:t>
      </w:r>
      <w:r w:rsidR="00460364" w:rsidRPr="00D13C97">
        <w:rPr>
          <w:rFonts w:ascii="Century Gothic" w:hAnsi="Century Gothic"/>
          <w:bCs/>
          <w:sz w:val="22"/>
          <w:szCs w:val="22"/>
        </w:rPr>
        <w:t>remite</w:t>
      </w:r>
      <w:r w:rsidR="00D13C97">
        <w:rPr>
          <w:rFonts w:ascii="Century Gothic" w:hAnsi="Century Gothic"/>
          <w:b/>
          <w:bCs/>
          <w:sz w:val="22"/>
          <w:szCs w:val="22"/>
        </w:rPr>
        <w:t xml:space="preserve"> </w:t>
      </w:r>
      <w:r w:rsidR="00460364" w:rsidRPr="00460364">
        <w:rPr>
          <w:rFonts w:ascii="Century Gothic" w:hAnsi="Century Gothic"/>
          <w:sz w:val="22"/>
          <w:szCs w:val="22"/>
        </w:rPr>
        <w:t xml:space="preserve">Informe explicando y sustentando técnicamente las causas de la diferencia del valor total de la faja de terreno entre los predios 433037, 680157 y 680157. Cuyas Conclusiones son: </w:t>
      </w:r>
    </w:p>
    <w:p w14:paraId="471A088C" w14:textId="77777777" w:rsidR="00D13C97" w:rsidRDefault="00D13C97" w:rsidP="00D13C97">
      <w:pPr>
        <w:pStyle w:val="Default"/>
        <w:jc w:val="both"/>
        <w:rPr>
          <w:rFonts w:ascii="Century Gothic" w:hAnsi="Century Gothic"/>
          <w:sz w:val="22"/>
          <w:szCs w:val="22"/>
        </w:rPr>
      </w:pPr>
    </w:p>
    <w:p w14:paraId="606040D7" w14:textId="77777777" w:rsidR="00460364" w:rsidRPr="00C15A9C" w:rsidRDefault="00460364" w:rsidP="005E1CB0">
      <w:pPr>
        <w:pStyle w:val="Default"/>
        <w:numPr>
          <w:ilvl w:val="0"/>
          <w:numId w:val="1"/>
        </w:numPr>
        <w:jc w:val="both"/>
        <w:rPr>
          <w:rFonts w:ascii="Century Gothic" w:hAnsi="Century Gothic" w:cs="Palatino Linotype"/>
          <w:i/>
          <w:sz w:val="22"/>
          <w:szCs w:val="22"/>
        </w:rPr>
      </w:pPr>
      <w:r w:rsidRPr="00C15A9C">
        <w:rPr>
          <w:rFonts w:ascii="Century Gothic" w:hAnsi="Century Gothic"/>
          <w:i/>
          <w:sz w:val="22"/>
          <w:szCs w:val="22"/>
        </w:rPr>
        <w:t xml:space="preserve">Al respecto, la Dirección Metropolitana de Catastro de la Secretaría de Territorio Hábitat y Vivienda, procedió al análisis y revisión de las fichas valorativas y se remite </w:t>
      </w:r>
      <w:r w:rsidRPr="00C15A9C">
        <w:rPr>
          <w:rFonts w:ascii="Century Gothic" w:hAnsi="Century Gothic" w:cs="Palatino Linotype"/>
          <w:i/>
          <w:sz w:val="22"/>
          <w:szCs w:val="22"/>
        </w:rPr>
        <w:t xml:space="preserve">el informe técnico sobre la diferencia del valor de la faja de terreno de posible adjudicación colindantes a los predios 433037, 680160 y 680157, de propiedad del señor Nicolalde López Carlos Xavier y otros, Nicolalde López Jorge Rene y otros y Compañía NILOTEX TELAS, ubicado en la parroquia Comité del Pueblo. </w:t>
      </w:r>
    </w:p>
    <w:p w14:paraId="7F747709" w14:textId="77777777" w:rsidR="005E1CB0" w:rsidRPr="00C15A9C" w:rsidRDefault="005E1CB0" w:rsidP="005E1CB0">
      <w:pPr>
        <w:pStyle w:val="Default"/>
        <w:ind w:left="720"/>
        <w:jc w:val="both"/>
        <w:rPr>
          <w:rFonts w:ascii="Century Gothic" w:hAnsi="Century Gothic" w:cs="Palatino Linotype"/>
          <w:i/>
          <w:sz w:val="22"/>
          <w:szCs w:val="22"/>
        </w:rPr>
      </w:pPr>
    </w:p>
    <w:p w14:paraId="2C24B8D3" w14:textId="67A47396" w:rsidR="00460364" w:rsidRPr="00C15A9C" w:rsidRDefault="00460364" w:rsidP="005E1CB0">
      <w:pPr>
        <w:pStyle w:val="Prrafodelista"/>
        <w:numPr>
          <w:ilvl w:val="0"/>
          <w:numId w:val="1"/>
        </w:numPr>
        <w:tabs>
          <w:tab w:val="left" w:pos="426"/>
        </w:tabs>
        <w:jc w:val="both"/>
        <w:rPr>
          <w:rFonts w:ascii="Century Gothic" w:eastAsiaTheme="minorHAnsi" w:hAnsi="Century Gothic"/>
          <w:i/>
          <w:sz w:val="20"/>
          <w:szCs w:val="20"/>
          <w:lang w:val="es-EC" w:eastAsia="en-US"/>
        </w:rPr>
      </w:pPr>
      <w:r w:rsidRPr="00C15A9C">
        <w:rPr>
          <w:rFonts w:ascii="Century Gothic" w:eastAsiaTheme="minorHAnsi" w:hAnsi="Century Gothic" w:cs="Palatino Linotype"/>
          <w:i/>
          <w:color w:val="000000"/>
          <w:sz w:val="22"/>
          <w:szCs w:val="22"/>
          <w:lang w:val="es-EC" w:eastAsia="en-US"/>
        </w:rPr>
        <w:t>Con Oficio N° EPMAPS-GOLM-2019-020, de 13 de mayo de 2019 la EPMAPS, remitió el plano con la implantación del colector, (adjunto) el mismo que no atraviesa al predio 433037 área de posible adjudicación mientras que los predios 680160 y 680157 el colector atraviesa el área de posible adjudicación. Cabe indicar que al predio No. 433037 de clave catastral 13108-02-003 solo se aplica el factor de corrección por relleno de quebrada (07) y no se aplica el factor colector (0.30) mientras que a los predios 680160 de clave catastral 13108-02-058 y predio 680157 de clave catastral 13108-02-012 se aplica el factor de corrección por relleno de quebrada (0.7) y factor colector (0.30), siendo la causa de la diferencia del valor monetario de los lotes de terreno de posible adjudicación.</w:t>
      </w:r>
    </w:p>
    <w:p w14:paraId="1900773B" w14:textId="77777777" w:rsidR="009D1DA5" w:rsidRPr="00C15A9C" w:rsidRDefault="009D1DA5" w:rsidP="005E1CB0">
      <w:pPr>
        <w:tabs>
          <w:tab w:val="left" w:pos="426"/>
        </w:tabs>
        <w:jc w:val="both"/>
        <w:rPr>
          <w:rFonts w:ascii="Century Gothic" w:hAnsi="Century Gothic"/>
          <w:i/>
          <w:sz w:val="22"/>
          <w:szCs w:val="22"/>
        </w:rPr>
      </w:pPr>
    </w:p>
    <w:p w14:paraId="626B9D74" w14:textId="6902AA40" w:rsidR="003D145D" w:rsidRPr="00460364" w:rsidRDefault="003D145D" w:rsidP="00460364">
      <w:pPr>
        <w:tabs>
          <w:tab w:val="left" w:pos="426"/>
        </w:tabs>
        <w:ind w:left="705" w:hanging="705"/>
        <w:jc w:val="both"/>
        <w:rPr>
          <w:rFonts w:ascii="Century Gothic" w:hAnsi="Century Gothic"/>
          <w:sz w:val="22"/>
          <w:szCs w:val="22"/>
        </w:rPr>
      </w:pPr>
      <w:r w:rsidRPr="00460364">
        <w:rPr>
          <w:rFonts w:ascii="Century Gothic" w:hAnsi="Century Gothic"/>
          <w:sz w:val="22"/>
          <w:szCs w:val="22"/>
        </w:rPr>
        <w:t xml:space="preserve">  </w:t>
      </w:r>
      <w:r w:rsidRPr="00460364">
        <w:rPr>
          <w:rFonts w:ascii="Century Gothic" w:hAnsi="Century Gothic"/>
          <w:b/>
          <w:sz w:val="22"/>
          <w:szCs w:val="22"/>
        </w:rPr>
        <w:t>Que,</w:t>
      </w:r>
      <w:r w:rsidRPr="00460364">
        <w:rPr>
          <w:rFonts w:ascii="Century Gothic" w:hAnsi="Century Gothic"/>
          <w:sz w:val="22"/>
          <w:szCs w:val="22"/>
        </w:rPr>
        <w:tab/>
      </w:r>
      <w:r w:rsidRPr="00460364">
        <w:rPr>
          <w:rFonts w:ascii="Century Gothic" w:eastAsiaTheme="minorHAnsi" w:hAnsi="Century Gothic"/>
          <w:sz w:val="22"/>
          <w:szCs w:val="22"/>
          <w:lang w:val="es-EC" w:eastAsia="en-US"/>
        </w:rPr>
        <w:t>la Comisión de Propiedad y Espacio Público, e</w:t>
      </w:r>
      <w:r w:rsidR="005E1CB0">
        <w:rPr>
          <w:rFonts w:ascii="Century Gothic" w:eastAsiaTheme="minorHAnsi" w:hAnsi="Century Gothic"/>
          <w:sz w:val="22"/>
          <w:szCs w:val="22"/>
          <w:lang w:val="es-EC" w:eastAsia="en-US"/>
        </w:rPr>
        <w:t>mitió el Informe No. IC-CPP-2022</w:t>
      </w:r>
      <w:r w:rsidRPr="00460364">
        <w:rPr>
          <w:rFonts w:ascii="Century Gothic" w:eastAsiaTheme="minorHAnsi" w:hAnsi="Century Gothic"/>
          <w:sz w:val="22"/>
          <w:szCs w:val="22"/>
          <w:lang w:val="es-EC" w:eastAsia="en-US"/>
        </w:rPr>
        <w:t>-XXX de XX de XXXXXX de 2021, el que contiene el dictamen favorable para que el Concejo Metropolitano se pronuncie en los términos previstos en la presente resolución.</w:t>
      </w:r>
    </w:p>
    <w:p w14:paraId="558448E0" w14:textId="77777777" w:rsidR="003D145D" w:rsidRPr="00460364" w:rsidRDefault="003D145D" w:rsidP="00460364">
      <w:pPr>
        <w:autoSpaceDE w:val="0"/>
        <w:autoSpaceDN w:val="0"/>
        <w:adjustRightInd w:val="0"/>
        <w:jc w:val="both"/>
        <w:rPr>
          <w:rFonts w:ascii="Century Gothic" w:eastAsiaTheme="minorHAnsi" w:hAnsi="Century Gothic"/>
          <w:sz w:val="22"/>
          <w:szCs w:val="22"/>
          <w:lang w:val="es-EC" w:eastAsia="en-US"/>
        </w:rPr>
      </w:pPr>
    </w:p>
    <w:p w14:paraId="11B5F1D6" w14:textId="0C0B68ED" w:rsidR="00C15A9C" w:rsidRPr="00460364" w:rsidRDefault="003D145D" w:rsidP="00460364">
      <w:pPr>
        <w:pStyle w:val="Sinespaciado"/>
        <w:rPr>
          <w:rFonts w:ascii="Century Gothic" w:hAnsi="Century Gothic" w:cs="Times New Roman"/>
          <w:b/>
        </w:rPr>
      </w:pPr>
      <w:r w:rsidRPr="00460364">
        <w:rPr>
          <w:rFonts w:ascii="Century Gothic" w:hAnsi="Century Gothic" w:cs="Times New Roman"/>
          <w:b/>
          <w:bCs/>
        </w:rPr>
        <w:t xml:space="preserve">El Concejo Metropolitana de Quito, en ejercicio de sus atribuciones previstas en los artículos </w:t>
      </w:r>
      <w:r w:rsidRPr="00460364">
        <w:rPr>
          <w:rFonts w:ascii="Century Gothic" w:hAnsi="Century Gothic" w:cs="Times New Roman"/>
          <w:b/>
        </w:rPr>
        <w:t xml:space="preserve">240 de la Constitución de la República y artículos 87 letra a); y, 323 del Código Orgánico de Organización Territorial, Autonomía y Descentralización; </w:t>
      </w:r>
    </w:p>
    <w:p w14:paraId="662E8743" w14:textId="77777777" w:rsidR="003D145D" w:rsidRPr="00460364" w:rsidRDefault="003D145D" w:rsidP="00460364">
      <w:pPr>
        <w:autoSpaceDE w:val="0"/>
        <w:autoSpaceDN w:val="0"/>
        <w:adjustRightInd w:val="0"/>
        <w:jc w:val="both"/>
        <w:rPr>
          <w:rFonts w:ascii="Century Gothic" w:eastAsiaTheme="minorHAnsi" w:hAnsi="Century Gothic"/>
          <w:b/>
          <w:bCs/>
          <w:sz w:val="22"/>
          <w:szCs w:val="22"/>
          <w:lang w:val="es-EC" w:eastAsia="en-US"/>
        </w:rPr>
      </w:pPr>
    </w:p>
    <w:p w14:paraId="2207F70C" w14:textId="77777777" w:rsidR="003D145D" w:rsidRPr="00460364" w:rsidRDefault="003D145D" w:rsidP="00460364">
      <w:pPr>
        <w:autoSpaceDE w:val="0"/>
        <w:autoSpaceDN w:val="0"/>
        <w:adjustRightInd w:val="0"/>
        <w:jc w:val="both"/>
        <w:rPr>
          <w:rFonts w:ascii="Century Gothic" w:eastAsiaTheme="minorHAnsi" w:hAnsi="Century Gothic"/>
          <w:b/>
          <w:bCs/>
          <w:sz w:val="22"/>
          <w:szCs w:val="22"/>
          <w:lang w:val="es-EC" w:eastAsia="en-US"/>
        </w:rPr>
      </w:pPr>
      <w:r w:rsidRPr="00460364">
        <w:rPr>
          <w:rFonts w:ascii="Century Gothic" w:eastAsiaTheme="minorHAnsi" w:hAnsi="Century Gothic"/>
          <w:b/>
          <w:bCs/>
          <w:sz w:val="22"/>
          <w:szCs w:val="22"/>
          <w:lang w:val="es-EC" w:eastAsia="en-US"/>
        </w:rPr>
        <w:t>RESUELVE:</w:t>
      </w:r>
    </w:p>
    <w:p w14:paraId="269D5BCE" w14:textId="77777777" w:rsidR="003D145D" w:rsidRPr="00460364" w:rsidRDefault="003D145D" w:rsidP="00460364">
      <w:pPr>
        <w:autoSpaceDE w:val="0"/>
        <w:autoSpaceDN w:val="0"/>
        <w:adjustRightInd w:val="0"/>
        <w:jc w:val="both"/>
        <w:rPr>
          <w:rFonts w:ascii="Century Gothic" w:eastAsiaTheme="minorHAnsi" w:hAnsi="Century Gothic"/>
          <w:b/>
          <w:bCs/>
          <w:sz w:val="22"/>
          <w:szCs w:val="22"/>
          <w:lang w:val="es-EC" w:eastAsia="en-US"/>
        </w:rPr>
      </w:pPr>
    </w:p>
    <w:p w14:paraId="7DD7BC82" w14:textId="3861889C" w:rsidR="003D145D" w:rsidRPr="00765243" w:rsidRDefault="003D145D" w:rsidP="00765243">
      <w:pPr>
        <w:pStyle w:val="Default"/>
        <w:jc w:val="both"/>
      </w:pPr>
      <w:r w:rsidRPr="00460364">
        <w:rPr>
          <w:rFonts w:ascii="Century Gothic" w:hAnsi="Century Gothic" w:cs="Times New Roman"/>
          <w:b/>
        </w:rPr>
        <w:t>Artículo 1.-</w:t>
      </w:r>
      <w:r w:rsidRPr="00460364">
        <w:rPr>
          <w:rFonts w:ascii="Century Gothic" w:hAnsi="Century Gothic" w:cs="Times New Roman"/>
        </w:rPr>
        <w:t xml:space="preserve"> Autorizar el cambio de categoría de bien municipal de dominio público a bien municipal de dominio privado, de la faja de terreno, producto de</w:t>
      </w:r>
      <w:r w:rsidR="005E1CB0">
        <w:rPr>
          <w:rFonts w:ascii="Century Gothic" w:hAnsi="Century Gothic" w:cs="Times New Roman"/>
        </w:rPr>
        <w:t>l relleno de quebrada</w:t>
      </w:r>
      <w:r w:rsidR="006A2420" w:rsidRPr="00460364">
        <w:rPr>
          <w:rFonts w:ascii="Century Gothic" w:hAnsi="Century Gothic" w:cs="Times New Roman"/>
        </w:rPr>
        <w:t>, al colindante del</w:t>
      </w:r>
      <w:r w:rsidRPr="00460364">
        <w:rPr>
          <w:rFonts w:ascii="Century Gothic" w:hAnsi="Century Gothic" w:cs="Times New Roman"/>
        </w:rPr>
        <w:t xml:space="preserve"> inmueble ubicado en la </w:t>
      </w:r>
      <w:r w:rsidR="003A1E55" w:rsidRPr="00460364">
        <w:rPr>
          <w:rFonts w:ascii="Century Gothic" w:hAnsi="Century Gothic" w:cs="Times New Roman"/>
        </w:rPr>
        <w:t>calle</w:t>
      </w:r>
      <w:r w:rsidR="00765243">
        <w:rPr>
          <w:rFonts w:ascii="Century Gothic" w:hAnsi="Century Gothic" w:cs="Times New Roman"/>
        </w:rPr>
        <w:t xml:space="preserve"> interior a la calle Chedial </w:t>
      </w:r>
      <w:r w:rsidRPr="00460364">
        <w:rPr>
          <w:rFonts w:ascii="Century Gothic" w:hAnsi="Century Gothic" w:cs="Times New Roman"/>
        </w:rPr>
        <w:t>cuya referencia ca</w:t>
      </w:r>
      <w:r w:rsidR="00765243">
        <w:rPr>
          <w:rFonts w:ascii="Century Gothic" w:hAnsi="Century Gothic" w:cs="Times New Roman"/>
        </w:rPr>
        <w:t xml:space="preserve">tastral es: Junto a inmuebles Claves </w:t>
      </w:r>
      <w:r w:rsidR="00765243" w:rsidRPr="00765243">
        <w:rPr>
          <w:rFonts w:ascii="Century Gothic" w:hAnsi="Century Gothic" w:cs="Times New Roman"/>
        </w:rPr>
        <w:t xml:space="preserve">Catastrales </w:t>
      </w:r>
      <w:r w:rsidR="00765243" w:rsidRPr="00765243">
        <w:rPr>
          <w:rFonts w:ascii="Century Gothic" w:hAnsi="Century Gothic"/>
        </w:rPr>
        <w:t>13108-02-058, 13108-02-004, 13108-02-040, 13108-02-006</w:t>
      </w:r>
      <w:r w:rsidR="00765243">
        <w:rPr>
          <w:rFonts w:ascii="Century Gothic" w:hAnsi="Century Gothic"/>
        </w:rPr>
        <w:t xml:space="preserve">, </w:t>
      </w:r>
      <w:r w:rsidR="00765243" w:rsidRPr="00765243">
        <w:rPr>
          <w:rFonts w:ascii="Century Gothic" w:hAnsi="Century Gothic"/>
        </w:rPr>
        <w:t>Predio Referencial : 680160</w:t>
      </w:r>
      <w:r w:rsidRPr="00460364">
        <w:rPr>
          <w:rFonts w:ascii="Century Gothic" w:hAnsi="Century Gothic" w:cs="Times New Roman"/>
        </w:rPr>
        <w:t xml:space="preserve">, conforme a lo </w:t>
      </w:r>
      <w:r w:rsidRPr="00460364">
        <w:rPr>
          <w:rFonts w:ascii="Century Gothic" w:hAnsi="Century Gothic" w:cs="Times New Roman"/>
        </w:rPr>
        <w:lastRenderedPageBreak/>
        <w:t>establecido en la ficha técnica actuali</w:t>
      </w:r>
      <w:bookmarkStart w:id="0" w:name="_GoBack"/>
      <w:bookmarkEnd w:id="0"/>
      <w:r w:rsidRPr="00460364">
        <w:rPr>
          <w:rFonts w:ascii="Century Gothic" w:hAnsi="Century Gothic" w:cs="Times New Roman"/>
        </w:rPr>
        <w:t xml:space="preserve">zada, adjunta al </w:t>
      </w:r>
      <w:r w:rsidR="002D5155" w:rsidRPr="00460364">
        <w:rPr>
          <w:rFonts w:ascii="Century Gothic" w:hAnsi="Century Gothic" w:cs="Times New Roman"/>
        </w:rPr>
        <w:t xml:space="preserve">informe </w:t>
      </w:r>
      <w:r w:rsidR="003A1E55" w:rsidRPr="00460364">
        <w:rPr>
          <w:rFonts w:ascii="Century Gothic" w:hAnsi="Century Gothic" w:cs="Times New Roman"/>
        </w:rPr>
        <w:t>técnico</w:t>
      </w:r>
      <w:r w:rsidR="00765243">
        <w:rPr>
          <w:rFonts w:ascii="Century Gothic" w:hAnsi="Century Gothic" w:cs="Times New Roman"/>
        </w:rPr>
        <w:t xml:space="preserve"> GADDMQ-STHV-DMC-2022-0123</w:t>
      </w:r>
      <w:r w:rsidR="002D5155" w:rsidRPr="00460364">
        <w:rPr>
          <w:rFonts w:ascii="Century Gothic" w:hAnsi="Century Gothic" w:cs="Times New Roman"/>
        </w:rPr>
        <w:t xml:space="preserve">, </w:t>
      </w:r>
      <w:r w:rsidR="003A1E55" w:rsidRPr="00460364">
        <w:rPr>
          <w:rFonts w:ascii="Century Gothic" w:hAnsi="Century Gothic" w:cs="Times New Roman"/>
        </w:rPr>
        <w:t>de</w:t>
      </w:r>
      <w:r w:rsidR="00765243">
        <w:rPr>
          <w:rFonts w:ascii="Century Gothic" w:hAnsi="Century Gothic" w:cs="Times New Roman"/>
        </w:rPr>
        <w:t xml:space="preserve"> 20 de enero de 2022</w:t>
      </w:r>
      <w:r w:rsidRPr="00460364">
        <w:rPr>
          <w:rFonts w:ascii="Century Gothic" w:hAnsi="Century Gothic" w:cs="Times New Roman"/>
        </w:rPr>
        <w:t>, de la Dirección Metropolitana de Catastro</w:t>
      </w:r>
      <w:r w:rsidR="002D5155" w:rsidRPr="00460364">
        <w:rPr>
          <w:rFonts w:ascii="Century Gothic" w:hAnsi="Century Gothic" w:cs="Times New Roman"/>
        </w:rPr>
        <w:t>.</w:t>
      </w:r>
    </w:p>
    <w:p w14:paraId="5867BCCA" w14:textId="77777777" w:rsidR="003D145D" w:rsidRPr="00460364" w:rsidRDefault="003D145D" w:rsidP="00460364">
      <w:pPr>
        <w:pStyle w:val="Sinespaciado"/>
        <w:rPr>
          <w:rFonts w:ascii="Century Gothic" w:hAnsi="Century Gothic" w:cs="Times New Roman"/>
        </w:rPr>
      </w:pPr>
    </w:p>
    <w:p w14:paraId="1EC26B13" w14:textId="5B7F51F7" w:rsidR="003D145D" w:rsidRPr="00460364" w:rsidRDefault="003D145D" w:rsidP="00460364">
      <w:pPr>
        <w:pStyle w:val="Sinespaciado"/>
        <w:rPr>
          <w:rFonts w:ascii="Century Gothic" w:hAnsi="Century Gothic" w:cs="Times New Roman"/>
        </w:rPr>
      </w:pPr>
      <w:r w:rsidRPr="00460364">
        <w:rPr>
          <w:rFonts w:ascii="Century Gothic" w:hAnsi="Century Gothic" w:cs="Times New Roman"/>
          <w:b/>
        </w:rPr>
        <w:t xml:space="preserve">Artículo 2.- </w:t>
      </w:r>
      <w:r w:rsidRPr="00460364">
        <w:rPr>
          <w:rFonts w:ascii="Century Gothic" w:hAnsi="Century Gothic" w:cs="Times New Roman"/>
        </w:rPr>
        <w:t>Autorizar la enajenación directa de la faja de terreno, referida en el a</w:t>
      </w:r>
      <w:r w:rsidR="002D5155" w:rsidRPr="00460364">
        <w:rPr>
          <w:rFonts w:ascii="Century Gothic" w:hAnsi="Century Gothic" w:cs="Times New Roman"/>
        </w:rPr>
        <w:t xml:space="preserve">rtículo anterior, a favor </w:t>
      </w:r>
      <w:r w:rsidR="00765243">
        <w:rPr>
          <w:rFonts w:ascii="Century Gothic" w:hAnsi="Century Gothic" w:cs="Times New Roman"/>
        </w:rPr>
        <w:t xml:space="preserve">de los propietarios colindantes señores Jorge René Nicolalde López, Jane Elizabeth Nicolalde López y Carlos Xavier Nicolalde López, precisando y </w:t>
      </w:r>
      <w:r w:rsidRPr="00460364">
        <w:rPr>
          <w:rFonts w:ascii="Century Gothic" w:hAnsi="Century Gothic" w:cs="Times New Roman"/>
        </w:rPr>
        <w:t>puntualizando que respecto a los datos técnicos</w:t>
      </w:r>
      <w:r w:rsidR="00765243">
        <w:rPr>
          <w:rFonts w:ascii="Century Gothic" w:hAnsi="Century Gothic" w:cs="Times New Roman"/>
        </w:rPr>
        <w:t xml:space="preserve"> de ubicación, linderos, superficies y avalúo, se estará a lo establecido en la ficha </w:t>
      </w:r>
      <w:r w:rsidR="00145EE7">
        <w:rPr>
          <w:rFonts w:ascii="Century Gothic" w:hAnsi="Century Gothic" w:cs="Times New Roman"/>
        </w:rPr>
        <w:t>rectificada y actualizada</w:t>
      </w:r>
      <w:r w:rsidR="00765243">
        <w:rPr>
          <w:rFonts w:ascii="Century Gothic" w:hAnsi="Century Gothic" w:cs="Times New Roman"/>
        </w:rPr>
        <w:t xml:space="preserve">, adjunta al Oficio No. GADDMQ-STHV-DMC-2022-0123-O </w:t>
      </w:r>
      <w:r w:rsidR="002D5155" w:rsidRPr="00460364">
        <w:rPr>
          <w:rFonts w:ascii="Century Gothic" w:hAnsi="Century Gothic" w:cs="Times New Roman"/>
        </w:rPr>
        <w:t xml:space="preserve">de </w:t>
      </w:r>
      <w:r w:rsidR="005E1CB0">
        <w:rPr>
          <w:rFonts w:ascii="Century Gothic" w:hAnsi="Century Gothic" w:cs="Times New Roman"/>
        </w:rPr>
        <w:t>20 de enero de 2022</w:t>
      </w:r>
      <w:r w:rsidR="002D5155" w:rsidRPr="00460364">
        <w:rPr>
          <w:rFonts w:ascii="Century Gothic" w:hAnsi="Century Gothic" w:cs="Times New Roman"/>
        </w:rPr>
        <w:t>, de la Dirección Metropolitana de Catastro</w:t>
      </w:r>
      <w:r w:rsidRPr="00460364">
        <w:rPr>
          <w:rFonts w:ascii="Century Gothic" w:hAnsi="Century Gothic" w:cs="Times New Roman"/>
        </w:rPr>
        <w:t>.</w:t>
      </w:r>
    </w:p>
    <w:p w14:paraId="23927BA4" w14:textId="77777777" w:rsidR="003D145D" w:rsidRPr="00460364" w:rsidRDefault="003D145D" w:rsidP="00460364">
      <w:pPr>
        <w:pStyle w:val="Sinespaciado"/>
        <w:rPr>
          <w:rFonts w:ascii="Century Gothic" w:hAnsi="Century Gothic" w:cs="Times New Roman"/>
        </w:rPr>
      </w:pPr>
    </w:p>
    <w:p w14:paraId="459DFDD9" w14:textId="77777777" w:rsidR="003D145D" w:rsidRPr="00460364" w:rsidRDefault="003D145D" w:rsidP="00460364">
      <w:pPr>
        <w:pStyle w:val="Sinespaciado"/>
        <w:rPr>
          <w:rFonts w:ascii="Century Gothic" w:hAnsi="Century Gothic" w:cs="Times New Roman"/>
        </w:rPr>
      </w:pPr>
      <w:r w:rsidRPr="00460364">
        <w:rPr>
          <w:rFonts w:ascii="Century Gothic" w:hAnsi="Century Gothic" w:cs="Times New Roman"/>
          <w:b/>
        </w:rPr>
        <w:t>Artículo 3.-</w:t>
      </w:r>
      <w:r w:rsidRPr="00460364">
        <w:rPr>
          <w:rFonts w:ascii="Century Gothic" w:hAnsi="Century Gothic" w:cs="Times New Roman"/>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w:t>
      </w:r>
    </w:p>
    <w:p w14:paraId="59203B4F" w14:textId="77777777" w:rsidR="003D145D" w:rsidRPr="00460364" w:rsidRDefault="003D145D" w:rsidP="00460364">
      <w:pPr>
        <w:pStyle w:val="Sinespaciado"/>
        <w:rPr>
          <w:rFonts w:ascii="Century Gothic" w:hAnsi="Century Gothic" w:cs="Times New Roman"/>
        </w:rPr>
      </w:pPr>
    </w:p>
    <w:p w14:paraId="4490187F" w14:textId="2E877A0F" w:rsidR="003D145D" w:rsidRPr="00460364" w:rsidRDefault="002309CF" w:rsidP="00460364">
      <w:pPr>
        <w:pStyle w:val="Sinespaciado"/>
        <w:rPr>
          <w:rFonts w:ascii="Century Gothic" w:hAnsi="Century Gothic" w:cs="Times New Roman"/>
        </w:rPr>
      </w:pPr>
      <w:r w:rsidRPr="00460364">
        <w:rPr>
          <w:rFonts w:ascii="Century Gothic" w:hAnsi="Century Gothic" w:cs="Times New Roman"/>
          <w:b/>
        </w:rPr>
        <w:t xml:space="preserve">Artículo 4.- </w:t>
      </w:r>
      <w:r w:rsidR="003D145D" w:rsidRPr="00460364">
        <w:rPr>
          <w:rFonts w:ascii="Century Gothic" w:hAnsi="Century Gothic" w:cs="Times New Roman"/>
        </w:rPr>
        <w:t xml:space="preserve">Una vez realizado el pago, la Tesorería Metropolitana remitirá todo el expediente, con su constancia a la Procuraduría Metropolitana, para continuar con los trámites de escrituración. </w:t>
      </w:r>
    </w:p>
    <w:p w14:paraId="67088EF6" w14:textId="77777777" w:rsidR="003D145D" w:rsidRPr="00460364" w:rsidRDefault="003D145D" w:rsidP="00460364">
      <w:pPr>
        <w:pStyle w:val="Sinespaciado"/>
        <w:rPr>
          <w:rFonts w:ascii="Century Gothic" w:hAnsi="Century Gothic" w:cs="Times New Roman"/>
        </w:rPr>
      </w:pPr>
    </w:p>
    <w:p w14:paraId="4E615081" w14:textId="77777777" w:rsidR="003D145D" w:rsidRPr="00460364" w:rsidRDefault="003D145D" w:rsidP="00460364">
      <w:pPr>
        <w:pStyle w:val="Sinespaciado"/>
        <w:rPr>
          <w:rFonts w:ascii="Century Gothic" w:hAnsi="Century Gothic" w:cs="Times New Roman"/>
        </w:rPr>
      </w:pPr>
      <w:r w:rsidRPr="00460364">
        <w:rPr>
          <w:rFonts w:ascii="Century Gothic" w:hAnsi="Century Gothic" w:cs="Times New Roman"/>
        </w:rPr>
        <w:t xml:space="preserve">En caso de que no se verifiquen los pagos en el plazo legal, la Tesorería Metropolitana procederá al cobro por la vía coactiva. </w:t>
      </w:r>
    </w:p>
    <w:p w14:paraId="065A363D" w14:textId="77777777" w:rsidR="003D145D" w:rsidRPr="00460364" w:rsidRDefault="003D145D" w:rsidP="00460364">
      <w:pPr>
        <w:pStyle w:val="Sinespaciado"/>
        <w:rPr>
          <w:rFonts w:ascii="Century Gothic" w:hAnsi="Century Gothic" w:cs="Times New Roman"/>
        </w:rPr>
      </w:pPr>
    </w:p>
    <w:p w14:paraId="4DDF7FAD" w14:textId="2712FCE7" w:rsidR="003D145D" w:rsidRPr="00460364" w:rsidRDefault="003D145D" w:rsidP="00460364">
      <w:pPr>
        <w:pStyle w:val="Sinespaciado"/>
        <w:rPr>
          <w:rFonts w:ascii="Century Gothic" w:hAnsi="Century Gothic" w:cs="Times New Roman"/>
        </w:rPr>
      </w:pPr>
      <w:r w:rsidRPr="00460364">
        <w:rPr>
          <w:rFonts w:ascii="Century Gothic" w:hAnsi="Century Gothic" w:cs="Times New Roman"/>
          <w:b/>
        </w:rPr>
        <w:t>Artículo 5.-</w:t>
      </w:r>
      <w:r w:rsidRPr="00460364">
        <w:rPr>
          <w:rFonts w:ascii="Century Gothic" w:hAnsi="Century Gothic" w:cs="Times New Roman"/>
        </w:rPr>
        <w:t xml:space="preserve"> Comuníquese al interesado y al señor Procurador Metropolitano, para que una vez efectuado el pago co</w:t>
      </w:r>
      <w:r w:rsidR="005060A9" w:rsidRPr="00460364">
        <w:rPr>
          <w:rFonts w:ascii="Century Gothic" w:hAnsi="Century Gothic" w:cs="Times New Roman"/>
        </w:rPr>
        <w:t xml:space="preserve">ntinúe con los trámites de Ley y las acciones necesarias, para el perfeccionamiento de la transferencia de dominio hasta la debida inscripción en el Registro de la Propiedad. </w:t>
      </w:r>
    </w:p>
    <w:p w14:paraId="1231EE8F" w14:textId="1A413625" w:rsidR="003D145D" w:rsidRPr="00460364" w:rsidRDefault="003D145D" w:rsidP="00460364">
      <w:pPr>
        <w:pStyle w:val="Sinespaciado"/>
        <w:rPr>
          <w:rFonts w:ascii="Century Gothic" w:hAnsi="Century Gothic" w:cs="Times New Roman"/>
        </w:rPr>
      </w:pPr>
    </w:p>
    <w:p w14:paraId="2099AE35" w14:textId="77777777" w:rsidR="003D145D" w:rsidRPr="00460364" w:rsidRDefault="003D145D" w:rsidP="00460364">
      <w:pPr>
        <w:autoSpaceDE w:val="0"/>
        <w:autoSpaceDN w:val="0"/>
        <w:adjustRightInd w:val="0"/>
        <w:jc w:val="both"/>
        <w:rPr>
          <w:rFonts w:ascii="Century Gothic" w:hAnsi="Century Gothic"/>
          <w:sz w:val="22"/>
          <w:szCs w:val="22"/>
        </w:rPr>
      </w:pPr>
      <w:r w:rsidRPr="00460364">
        <w:rPr>
          <w:rFonts w:ascii="Century Gothic" w:eastAsiaTheme="minorHAnsi" w:hAnsi="Century Gothic"/>
          <w:b/>
          <w:sz w:val="22"/>
          <w:szCs w:val="22"/>
          <w:lang w:val="es-EC" w:eastAsia="en-US"/>
        </w:rPr>
        <w:t xml:space="preserve">Disposición Final. - </w:t>
      </w:r>
      <w:r w:rsidRPr="00460364">
        <w:rPr>
          <w:rFonts w:ascii="Century Gothic" w:eastAsiaTheme="minorHAnsi" w:hAnsi="Century Gothic"/>
          <w:sz w:val="22"/>
          <w:szCs w:val="22"/>
          <w:lang w:val="es-EC" w:eastAsia="en-US"/>
        </w:rPr>
        <w:t xml:space="preserve">La presente Resolución entrará en vigencia a partir de su suscripción sin perjuicio de su publicación. </w:t>
      </w:r>
    </w:p>
    <w:p w14:paraId="42BCDAF4" w14:textId="77777777" w:rsidR="003D145D" w:rsidRPr="00460364" w:rsidRDefault="003D145D" w:rsidP="00460364">
      <w:pPr>
        <w:autoSpaceDE w:val="0"/>
        <w:autoSpaceDN w:val="0"/>
        <w:adjustRightInd w:val="0"/>
        <w:jc w:val="both"/>
        <w:rPr>
          <w:rFonts w:ascii="Century Gothic" w:eastAsiaTheme="minorHAnsi" w:hAnsi="Century Gothic"/>
          <w:sz w:val="22"/>
          <w:szCs w:val="22"/>
          <w:lang w:val="es-EC" w:eastAsia="en-US"/>
        </w:rPr>
      </w:pPr>
    </w:p>
    <w:p w14:paraId="6228A937" w14:textId="77777777" w:rsidR="003D145D" w:rsidRPr="00460364" w:rsidRDefault="003D145D" w:rsidP="00460364">
      <w:pPr>
        <w:jc w:val="both"/>
        <w:rPr>
          <w:rFonts w:ascii="Century Gothic" w:hAnsi="Century Gothic"/>
          <w:sz w:val="22"/>
          <w:szCs w:val="22"/>
        </w:rPr>
      </w:pPr>
      <w:r w:rsidRPr="00460364">
        <w:rPr>
          <w:rFonts w:ascii="Century Gothic" w:hAnsi="Century Gothic"/>
          <w:b/>
          <w:sz w:val="22"/>
          <w:szCs w:val="22"/>
        </w:rPr>
        <w:t xml:space="preserve">Alcaldía del Distrito Metropolitano. - </w:t>
      </w:r>
      <w:r w:rsidRPr="00460364">
        <w:rPr>
          <w:rFonts w:ascii="Century Gothic" w:hAnsi="Century Gothic"/>
          <w:sz w:val="22"/>
          <w:szCs w:val="22"/>
        </w:rPr>
        <w:t xml:space="preserve">Distrito Metropolitano de Quito, </w:t>
      </w:r>
    </w:p>
    <w:p w14:paraId="4CF0965F" w14:textId="77777777" w:rsidR="003D145D" w:rsidRPr="00460364" w:rsidRDefault="003D145D" w:rsidP="00460364">
      <w:pPr>
        <w:jc w:val="both"/>
        <w:rPr>
          <w:rFonts w:ascii="Century Gothic" w:hAnsi="Century Gothic"/>
          <w:sz w:val="22"/>
          <w:szCs w:val="22"/>
        </w:rPr>
      </w:pPr>
    </w:p>
    <w:p w14:paraId="39FDDE11" w14:textId="77777777" w:rsidR="005060A9" w:rsidRPr="00460364" w:rsidRDefault="005060A9" w:rsidP="00460364">
      <w:pPr>
        <w:jc w:val="both"/>
        <w:rPr>
          <w:rFonts w:ascii="Century Gothic" w:hAnsi="Century Gothic"/>
          <w:b/>
          <w:sz w:val="22"/>
          <w:szCs w:val="22"/>
        </w:rPr>
      </w:pPr>
    </w:p>
    <w:p w14:paraId="44C589DC" w14:textId="1E7CEF87" w:rsidR="003D145D" w:rsidRPr="00460364" w:rsidRDefault="003D145D" w:rsidP="00460364">
      <w:pPr>
        <w:jc w:val="both"/>
        <w:rPr>
          <w:rFonts w:ascii="Century Gothic" w:hAnsi="Century Gothic"/>
          <w:b/>
          <w:sz w:val="22"/>
          <w:szCs w:val="22"/>
        </w:rPr>
      </w:pPr>
      <w:r w:rsidRPr="00460364">
        <w:rPr>
          <w:rFonts w:ascii="Century Gothic" w:hAnsi="Century Gothic"/>
          <w:b/>
          <w:sz w:val="22"/>
          <w:szCs w:val="22"/>
        </w:rPr>
        <w:t>EJECÚTESE:</w:t>
      </w:r>
    </w:p>
    <w:p w14:paraId="6946A478" w14:textId="2BB98321" w:rsidR="003D145D" w:rsidRPr="00460364" w:rsidRDefault="003D145D" w:rsidP="00460364">
      <w:pPr>
        <w:pStyle w:val="Sinespaciado"/>
        <w:rPr>
          <w:rFonts w:ascii="Century Gothic" w:hAnsi="Century Gothic" w:cs="Times New Roman"/>
        </w:rPr>
      </w:pPr>
    </w:p>
    <w:p w14:paraId="06E860BC" w14:textId="77777777" w:rsidR="002309CF" w:rsidRPr="00460364" w:rsidRDefault="002309CF" w:rsidP="00460364">
      <w:pPr>
        <w:pStyle w:val="Sinespaciado"/>
        <w:rPr>
          <w:rFonts w:ascii="Century Gothic" w:hAnsi="Century Gothic" w:cs="Times New Roman"/>
        </w:rPr>
      </w:pPr>
    </w:p>
    <w:p w14:paraId="562090D8" w14:textId="77777777" w:rsidR="003D145D" w:rsidRPr="00460364" w:rsidRDefault="003D145D" w:rsidP="00460364">
      <w:pPr>
        <w:pStyle w:val="Sinespaciado"/>
        <w:rPr>
          <w:rFonts w:ascii="Century Gothic" w:hAnsi="Century Gothic" w:cs="Times New Roman"/>
        </w:rPr>
      </w:pPr>
    </w:p>
    <w:p w14:paraId="3A6194F9" w14:textId="77777777" w:rsidR="003D145D" w:rsidRPr="00460364" w:rsidRDefault="003D145D" w:rsidP="00460364">
      <w:pPr>
        <w:pStyle w:val="Sinespaciado"/>
        <w:rPr>
          <w:rFonts w:ascii="Century Gothic" w:hAnsi="Century Gothic" w:cs="Times New Roman"/>
        </w:rPr>
      </w:pPr>
    </w:p>
    <w:p w14:paraId="4C9CDA84" w14:textId="177880AF" w:rsidR="003D145D" w:rsidRPr="00460364" w:rsidRDefault="005060A9" w:rsidP="00460364">
      <w:pPr>
        <w:pStyle w:val="Sinespaciado"/>
        <w:rPr>
          <w:rFonts w:ascii="Century Gothic" w:hAnsi="Century Gothic" w:cs="Times New Roman"/>
        </w:rPr>
      </w:pPr>
      <w:r w:rsidRPr="00460364">
        <w:rPr>
          <w:rFonts w:ascii="Century Gothic" w:hAnsi="Century Gothic" w:cs="Times New Roman"/>
        </w:rPr>
        <w:t>Dr. Santiago Mauricio Guarderas Izquierdo</w:t>
      </w:r>
    </w:p>
    <w:p w14:paraId="3877CD6D" w14:textId="77777777" w:rsidR="003D145D" w:rsidRPr="00460364" w:rsidRDefault="003D145D" w:rsidP="00460364">
      <w:pPr>
        <w:pStyle w:val="Sinespaciado"/>
        <w:rPr>
          <w:rFonts w:ascii="Century Gothic" w:hAnsi="Century Gothic" w:cs="Times New Roman"/>
          <w:b/>
        </w:rPr>
      </w:pPr>
      <w:r w:rsidRPr="00460364">
        <w:rPr>
          <w:rFonts w:ascii="Century Gothic" w:hAnsi="Century Gothic" w:cs="Times New Roman"/>
          <w:b/>
        </w:rPr>
        <w:t>ALCALDE DEL DISTRITO METROPOLITANO DE QUITO</w:t>
      </w:r>
    </w:p>
    <w:p w14:paraId="67108F69" w14:textId="77777777" w:rsidR="003D145D" w:rsidRPr="00460364" w:rsidRDefault="003D145D" w:rsidP="00460364">
      <w:pPr>
        <w:jc w:val="both"/>
        <w:rPr>
          <w:rFonts w:ascii="Century Gothic" w:hAnsi="Century Gothic"/>
          <w:b/>
          <w:sz w:val="22"/>
          <w:szCs w:val="22"/>
        </w:rPr>
      </w:pPr>
    </w:p>
    <w:p w14:paraId="015A8D8F" w14:textId="0360C4A2" w:rsidR="003D145D" w:rsidRPr="00460364" w:rsidRDefault="003D145D" w:rsidP="00460364">
      <w:pPr>
        <w:jc w:val="both"/>
        <w:rPr>
          <w:rFonts w:ascii="Century Gothic" w:hAnsi="Century Gothic"/>
          <w:sz w:val="22"/>
          <w:szCs w:val="22"/>
        </w:rPr>
      </w:pPr>
      <w:r w:rsidRPr="00460364">
        <w:rPr>
          <w:rFonts w:ascii="Century Gothic" w:hAnsi="Century Gothic"/>
          <w:b/>
          <w:sz w:val="22"/>
          <w:szCs w:val="22"/>
        </w:rPr>
        <w:t>CERTIFICO,</w:t>
      </w:r>
      <w:r w:rsidRPr="00460364">
        <w:rPr>
          <w:rFonts w:ascii="Century Gothic" w:hAnsi="Century Gothic"/>
          <w:sz w:val="22"/>
          <w:szCs w:val="22"/>
        </w:rPr>
        <w:t xml:space="preserve"> que la presente resolución fue discutida y aprobada en sesión pública ordinaria del Concejo Metropolitano de Quito, el XXXXXXXXXXX; y, </w:t>
      </w:r>
      <w:r w:rsidRPr="00460364">
        <w:rPr>
          <w:rFonts w:ascii="Century Gothic" w:hAnsi="Century Gothic"/>
          <w:sz w:val="22"/>
          <w:szCs w:val="22"/>
        </w:rPr>
        <w:lastRenderedPageBreak/>
        <w:t>suscrit</w:t>
      </w:r>
      <w:r w:rsidR="005060A9" w:rsidRPr="00460364">
        <w:rPr>
          <w:rFonts w:ascii="Century Gothic" w:hAnsi="Century Gothic"/>
          <w:sz w:val="22"/>
          <w:szCs w:val="22"/>
        </w:rPr>
        <w:t>a por el Dr. Santiago Mauricio Guarderas Izquierdo</w:t>
      </w:r>
      <w:r w:rsidRPr="00460364">
        <w:rPr>
          <w:rFonts w:ascii="Century Gothic" w:hAnsi="Century Gothic"/>
          <w:sz w:val="22"/>
          <w:szCs w:val="22"/>
        </w:rPr>
        <w:t>, Alcalde del Distrito Metropolitano de Quito, el XXXXXXXXXXX de XXXXXXX de 2021.</w:t>
      </w:r>
    </w:p>
    <w:p w14:paraId="09F55555" w14:textId="77777777" w:rsidR="003D145D" w:rsidRPr="00460364" w:rsidRDefault="003D145D" w:rsidP="00460364">
      <w:pPr>
        <w:jc w:val="both"/>
        <w:rPr>
          <w:rFonts w:ascii="Century Gothic" w:hAnsi="Century Gothic"/>
          <w:b/>
          <w:sz w:val="22"/>
          <w:szCs w:val="22"/>
        </w:rPr>
      </w:pPr>
    </w:p>
    <w:p w14:paraId="23D76211" w14:textId="77777777" w:rsidR="003D145D" w:rsidRPr="00460364" w:rsidRDefault="003D145D" w:rsidP="00460364">
      <w:pPr>
        <w:jc w:val="both"/>
        <w:rPr>
          <w:rFonts w:ascii="Century Gothic" w:hAnsi="Century Gothic"/>
          <w:sz w:val="22"/>
          <w:szCs w:val="22"/>
        </w:rPr>
      </w:pPr>
      <w:r w:rsidRPr="00460364">
        <w:rPr>
          <w:rFonts w:ascii="Century Gothic" w:hAnsi="Century Gothic"/>
          <w:b/>
          <w:sz w:val="22"/>
          <w:szCs w:val="22"/>
        </w:rPr>
        <w:t xml:space="preserve">Lo certifico. - </w:t>
      </w:r>
      <w:r w:rsidRPr="00460364">
        <w:rPr>
          <w:rFonts w:ascii="Century Gothic" w:hAnsi="Century Gothic"/>
          <w:sz w:val="22"/>
          <w:szCs w:val="22"/>
        </w:rPr>
        <w:t xml:space="preserve">Distrito Metropolitano de Quito, el </w:t>
      </w:r>
    </w:p>
    <w:p w14:paraId="18D9F065" w14:textId="77777777" w:rsidR="003D145D" w:rsidRPr="00460364" w:rsidRDefault="003D145D" w:rsidP="00460364">
      <w:pPr>
        <w:jc w:val="both"/>
        <w:rPr>
          <w:rFonts w:ascii="Century Gothic" w:hAnsi="Century Gothic"/>
          <w:sz w:val="22"/>
          <w:szCs w:val="22"/>
        </w:rPr>
      </w:pPr>
    </w:p>
    <w:p w14:paraId="7BE81616" w14:textId="77777777" w:rsidR="003D145D" w:rsidRPr="00460364" w:rsidRDefault="003D145D" w:rsidP="00460364">
      <w:pPr>
        <w:jc w:val="both"/>
        <w:rPr>
          <w:rFonts w:ascii="Century Gothic" w:hAnsi="Century Gothic"/>
          <w:sz w:val="22"/>
          <w:szCs w:val="22"/>
        </w:rPr>
      </w:pPr>
    </w:p>
    <w:p w14:paraId="11A445D0" w14:textId="77777777" w:rsidR="003D145D" w:rsidRPr="00460364" w:rsidRDefault="003D145D" w:rsidP="00460364">
      <w:pPr>
        <w:jc w:val="both"/>
        <w:rPr>
          <w:rFonts w:ascii="Century Gothic" w:hAnsi="Century Gothic"/>
          <w:sz w:val="22"/>
          <w:szCs w:val="22"/>
        </w:rPr>
      </w:pPr>
    </w:p>
    <w:p w14:paraId="66170983" w14:textId="64531E9D" w:rsidR="003D145D" w:rsidRPr="00460364" w:rsidRDefault="005060A9" w:rsidP="00460364">
      <w:pPr>
        <w:pStyle w:val="Sinespaciado"/>
        <w:rPr>
          <w:rFonts w:ascii="Century Gothic" w:hAnsi="Century Gothic" w:cs="Times New Roman"/>
        </w:rPr>
      </w:pPr>
      <w:r w:rsidRPr="00460364">
        <w:rPr>
          <w:rFonts w:ascii="Century Gothic" w:hAnsi="Century Gothic" w:cs="Times New Roman"/>
        </w:rPr>
        <w:t>Abg. Pablo Antonio Santillán Paredes</w:t>
      </w:r>
    </w:p>
    <w:p w14:paraId="1CD4D556" w14:textId="2C79E1BF" w:rsidR="003D145D" w:rsidRPr="00460364" w:rsidRDefault="005060A9" w:rsidP="00460364">
      <w:pPr>
        <w:pStyle w:val="Sinespaciado"/>
        <w:rPr>
          <w:rFonts w:ascii="Century Gothic" w:hAnsi="Century Gothic" w:cs="Times New Roman"/>
        </w:rPr>
      </w:pPr>
      <w:r w:rsidRPr="00460364">
        <w:rPr>
          <w:rFonts w:ascii="Century Gothic" w:hAnsi="Century Gothic" w:cs="Times New Roman"/>
          <w:b/>
        </w:rPr>
        <w:t>SECRETARIO</w:t>
      </w:r>
      <w:r w:rsidR="003D145D" w:rsidRPr="00460364">
        <w:rPr>
          <w:rFonts w:ascii="Century Gothic" w:hAnsi="Century Gothic" w:cs="Times New Roman"/>
          <w:b/>
        </w:rPr>
        <w:t xml:space="preserve"> GENERAL DEL CONCEJO METROPOLITANO DE QUITO </w:t>
      </w:r>
    </w:p>
    <w:p w14:paraId="755091AE" w14:textId="77777777" w:rsidR="003D145D" w:rsidRPr="00460364" w:rsidRDefault="003D145D" w:rsidP="00460364">
      <w:pPr>
        <w:jc w:val="both"/>
        <w:rPr>
          <w:rFonts w:ascii="Century Gothic" w:hAnsi="Century Gothic"/>
        </w:rPr>
      </w:pPr>
    </w:p>
    <w:sectPr w:rsidR="003D145D" w:rsidRPr="00460364" w:rsidSect="00CC6A3E">
      <w:headerReference w:type="default" r:id="rId7"/>
      <w:pgSz w:w="11906" w:h="16838"/>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398A" w14:textId="77777777" w:rsidR="0029069D" w:rsidRDefault="0029069D" w:rsidP="005060A9">
      <w:r>
        <w:separator/>
      </w:r>
    </w:p>
  </w:endnote>
  <w:endnote w:type="continuationSeparator" w:id="0">
    <w:p w14:paraId="42093BD6" w14:textId="77777777" w:rsidR="0029069D" w:rsidRDefault="0029069D" w:rsidP="0050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98DD9" w14:textId="77777777" w:rsidR="0029069D" w:rsidRDefault="0029069D" w:rsidP="005060A9">
      <w:r>
        <w:separator/>
      </w:r>
    </w:p>
  </w:footnote>
  <w:footnote w:type="continuationSeparator" w:id="0">
    <w:p w14:paraId="665167FB" w14:textId="77777777" w:rsidR="0029069D" w:rsidRDefault="0029069D" w:rsidP="00506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D49A" w14:textId="7F12046A" w:rsidR="005060A9" w:rsidRPr="005060A9" w:rsidRDefault="005060A9" w:rsidP="005060A9">
    <w:pPr>
      <w:pStyle w:val="Encabezado"/>
    </w:pPr>
    <w:r w:rsidRPr="00B93BB7">
      <w:rPr>
        <w:noProof/>
        <w:lang w:val="es-EC" w:eastAsia="es-EC"/>
      </w:rPr>
      <w:drawing>
        <wp:anchor distT="0" distB="0" distL="114300" distR="114300" simplePos="0" relativeHeight="251658240" behindDoc="0" locked="0" layoutInCell="1" allowOverlap="1" wp14:anchorId="73E3FB60" wp14:editId="086AB6AE">
          <wp:simplePos x="0" y="0"/>
          <wp:positionH relativeFrom="column">
            <wp:posOffset>2495690</wp:posOffset>
          </wp:positionH>
          <wp:positionV relativeFrom="paragraph">
            <wp:posOffset>-939347</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41E4F"/>
    <w:multiLevelType w:val="hybridMultilevel"/>
    <w:tmpl w:val="F6A6F9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5D"/>
    <w:rsid w:val="000A36D2"/>
    <w:rsid w:val="00100496"/>
    <w:rsid w:val="00124199"/>
    <w:rsid w:val="00145EE7"/>
    <w:rsid w:val="00147BD4"/>
    <w:rsid w:val="00185177"/>
    <w:rsid w:val="002309CF"/>
    <w:rsid w:val="0029069D"/>
    <w:rsid w:val="0029307C"/>
    <w:rsid w:val="0029691A"/>
    <w:rsid w:val="002A5ECD"/>
    <w:rsid w:val="002D5155"/>
    <w:rsid w:val="00310E68"/>
    <w:rsid w:val="00334402"/>
    <w:rsid w:val="003A1E55"/>
    <w:rsid w:val="003D145D"/>
    <w:rsid w:val="00434D7E"/>
    <w:rsid w:val="00460364"/>
    <w:rsid w:val="004867F7"/>
    <w:rsid w:val="004E7EEC"/>
    <w:rsid w:val="005060A9"/>
    <w:rsid w:val="005667D1"/>
    <w:rsid w:val="00593239"/>
    <w:rsid w:val="005C6D38"/>
    <w:rsid w:val="005E1CB0"/>
    <w:rsid w:val="005E3411"/>
    <w:rsid w:val="00681C5A"/>
    <w:rsid w:val="006A2420"/>
    <w:rsid w:val="006B2444"/>
    <w:rsid w:val="00765243"/>
    <w:rsid w:val="0077139F"/>
    <w:rsid w:val="007F6B94"/>
    <w:rsid w:val="008560AC"/>
    <w:rsid w:val="00891C4E"/>
    <w:rsid w:val="008F3C99"/>
    <w:rsid w:val="00947863"/>
    <w:rsid w:val="009D1DA5"/>
    <w:rsid w:val="009F5EF8"/>
    <w:rsid w:val="00A34D4D"/>
    <w:rsid w:val="00A7557F"/>
    <w:rsid w:val="00AA2965"/>
    <w:rsid w:val="00B966B5"/>
    <w:rsid w:val="00BD41C1"/>
    <w:rsid w:val="00C06E01"/>
    <w:rsid w:val="00C15A9C"/>
    <w:rsid w:val="00C408C7"/>
    <w:rsid w:val="00C52E22"/>
    <w:rsid w:val="00C644E1"/>
    <w:rsid w:val="00C64F99"/>
    <w:rsid w:val="00C81CCE"/>
    <w:rsid w:val="00C83A6B"/>
    <w:rsid w:val="00CC6A3E"/>
    <w:rsid w:val="00CF4C6E"/>
    <w:rsid w:val="00D13C97"/>
    <w:rsid w:val="00D32593"/>
    <w:rsid w:val="00DC1511"/>
    <w:rsid w:val="00E23090"/>
    <w:rsid w:val="00E27D20"/>
    <w:rsid w:val="00EB7E20"/>
    <w:rsid w:val="00FC06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CA3E"/>
  <w15:chartTrackingRefBased/>
  <w15:docId w15:val="{87CA20E3-C12C-4302-AEF7-7AE3F451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D145D"/>
  </w:style>
  <w:style w:type="paragraph" w:styleId="Sinespaciado">
    <w:name w:val="No Spacing"/>
    <w:basedOn w:val="Normal"/>
    <w:link w:val="SinespaciadoCar"/>
    <w:uiPriority w:val="1"/>
    <w:qFormat/>
    <w:rsid w:val="003D145D"/>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5060A9"/>
    <w:pPr>
      <w:tabs>
        <w:tab w:val="center" w:pos="4252"/>
        <w:tab w:val="right" w:pos="8504"/>
      </w:tabs>
    </w:pPr>
  </w:style>
  <w:style w:type="character" w:customStyle="1" w:styleId="EncabezadoCar">
    <w:name w:val="Encabezado Car"/>
    <w:basedOn w:val="Fuentedeprrafopredeter"/>
    <w:link w:val="Encabezado"/>
    <w:uiPriority w:val="99"/>
    <w:rsid w:val="005060A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60A9"/>
    <w:pPr>
      <w:tabs>
        <w:tab w:val="center" w:pos="4252"/>
        <w:tab w:val="right" w:pos="8504"/>
      </w:tabs>
    </w:pPr>
  </w:style>
  <w:style w:type="character" w:customStyle="1" w:styleId="PiedepginaCar">
    <w:name w:val="Pie de página Car"/>
    <w:basedOn w:val="Fuentedeprrafopredeter"/>
    <w:link w:val="Piedepgina"/>
    <w:uiPriority w:val="99"/>
    <w:rsid w:val="005060A9"/>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0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36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E1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2395</Words>
  <Characters>13175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Maiik</dc:creator>
  <cp:keywords/>
  <dc:description/>
  <cp:lastModifiedBy>Ana Belen Segovia Caceres</cp:lastModifiedBy>
  <cp:revision>4</cp:revision>
  <dcterms:created xsi:type="dcterms:W3CDTF">2022-03-07T19:33:00Z</dcterms:created>
  <dcterms:modified xsi:type="dcterms:W3CDTF">2022-03-07T20:17:00Z</dcterms:modified>
</cp:coreProperties>
</file>