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2E" w:rsidRDefault="00FA762E" w:rsidP="00FA762E">
      <w:pPr>
        <w:autoSpaceDE w:val="0"/>
        <w:autoSpaceDN w:val="0"/>
        <w:adjustRightInd w:val="0"/>
        <w:jc w:val="center"/>
        <w:rPr>
          <w:rFonts w:ascii="Palatino Linotype" w:hAnsi="Palatino Linotype"/>
          <w:b/>
        </w:rPr>
      </w:pPr>
    </w:p>
    <w:p w:rsidR="00FA762E" w:rsidRPr="004C21C5" w:rsidRDefault="00FA762E" w:rsidP="00FA762E">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FA762E" w:rsidRPr="004C21C5" w:rsidRDefault="00FA762E" w:rsidP="00FA762E">
      <w:pPr>
        <w:autoSpaceDE w:val="0"/>
        <w:autoSpaceDN w:val="0"/>
        <w:adjustRightInd w:val="0"/>
        <w:jc w:val="center"/>
        <w:rPr>
          <w:rFonts w:ascii="Palatino Linotype" w:hAnsi="Palatino Linotype"/>
        </w:rPr>
      </w:pPr>
    </w:p>
    <w:p w:rsidR="00FA762E" w:rsidRPr="004C21C5" w:rsidRDefault="00FA762E" w:rsidP="00FA762E">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FA762E" w:rsidRPr="004C21C5" w:rsidRDefault="00FA762E" w:rsidP="00FA762E">
      <w:pPr>
        <w:autoSpaceDE w:val="0"/>
        <w:autoSpaceDN w:val="0"/>
        <w:adjustRightInd w:val="0"/>
        <w:jc w:val="both"/>
        <w:rPr>
          <w:rFonts w:ascii="Palatino Linotype" w:eastAsiaTheme="minorHAnsi" w:hAnsi="Palatino Linotype"/>
          <w:lang w:val="es-EC" w:eastAsia="en-US"/>
        </w:rPr>
      </w:pPr>
    </w:p>
    <w:p w:rsidR="00FA762E" w:rsidRPr="004C21C5" w:rsidRDefault="00FA762E" w:rsidP="00FA762E">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FA762E" w:rsidRPr="004C21C5" w:rsidRDefault="00FA762E" w:rsidP="00FA762E">
      <w:pPr>
        <w:autoSpaceDE w:val="0"/>
        <w:autoSpaceDN w:val="0"/>
        <w:adjustRightInd w:val="0"/>
        <w:ind w:left="705" w:hanging="705"/>
        <w:jc w:val="both"/>
        <w:rPr>
          <w:rFonts w:ascii="Palatino Linotype" w:hAnsi="Palatino Linotype"/>
          <w:i/>
          <w:iCs/>
          <w:lang w:val="es-EC" w:eastAsia="en-US"/>
        </w:rPr>
      </w:pPr>
    </w:p>
    <w:p w:rsidR="00FA762E" w:rsidRPr="004C21C5" w:rsidRDefault="00FA762E" w:rsidP="00FA762E">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FA762E" w:rsidRPr="004C21C5" w:rsidRDefault="00FA762E" w:rsidP="00FA762E">
      <w:pPr>
        <w:autoSpaceDE w:val="0"/>
        <w:autoSpaceDN w:val="0"/>
        <w:adjustRightInd w:val="0"/>
        <w:ind w:left="709" w:hanging="709"/>
        <w:jc w:val="both"/>
        <w:rPr>
          <w:rFonts w:ascii="Palatino Linotype" w:hAnsi="Palatino Linotype"/>
          <w:b/>
          <w:i/>
          <w:lang w:val="es-EC" w:eastAsia="en-US"/>
        </w:rPr>
      </w:pP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FA762E" w:rsidRPr="004C21C5" w:rsidRDefault="00FA762E" w:rsidP="00FA762E">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FA762E" w:rsidRPr="004C21C5" w:rsidRDefault="00FA762E" w:rsidP="00FA762E">
      <w:pPr>
        <w:autoSpaceDE w:val="0"/>
        <w:autoSpaceDN w:val="0"/>
        <w:adjustRightInd w:val="0"/>
        <w:ind w:left="709" w:hanging="709"/>
        <w:jc w:val="both"/>
        <w:rPr>
          <w:rFonts w:ascii="Palatino Linotype" w:hAnsi="Palatino Linotype"/>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FA762E" w:rsidRPr="004C21C5" w:rsidRDefault="00FA762E" w:rsidP="00FA762E">
      <w:pPr>
        <w:autoSpaceDE w:val="0"/>
        <w:autoSpaceDN w:val="0"/>
        <w:adjustRightInd w:val="0"/>
        <w:ind w:left="709" w:hanging="709"/>
        <w:jc w:val="both"/>
        <w:rPr>
          <w:rFonts w:ascii="Palatino Linotype" w:hAnsi="Palatino Linotype"/>
          <w:b/>
        </w:rPr>
      </w:pP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FA762E" w:rsidRPr="004C21C5" w:rsidRDefault="00FA762E" w:rsidP="00FA762E">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FA762E" w:rsidRPr="004C21C5" w:rsidRDefault="00FA762E" w:rsidP="00FA762E">
      <w:pPr>
        <w:autoSpaceDE w:val="0"/>
        <w:autoSpaceDN w:val="0"/>
        <w:adjustRightInd w:val="0"/>
        <w:ind w:left="709"/>
        <w:jc w:val="both"/>
        <w:rPr>
          <w:rFonts w:ascii="Palatino Linotype" w:hAnsi="Palatino Linotype"/>
          <w:i/>
          <w:lang w:val="es-EC" w:eastAsia="en-US"/>
        </w:rPr>
      </w:pPr>
    </w:p>
    <w:p w:rsidR="00FA762E" w:rsidRPr="00A3471E"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procedimiento. - La Administración Zonal tendrá un plazo máximo de 60 días calendario para </w:t>
      </w:r>
      <w:r w:rsidRPr="00A3471E">
        <w:rPr>
          <w:rFonts w:ascii="Palatino Linotype" w:hAnsi="Palatino Linotype"/>
          <w:i/>
          <w:lang w:val="es-EC" w:eastAsia="en-US"/>
        </w:rPr>
        <w:t>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FA762E" w:rsidRPr="00A3471E" w:rsidRDefault="00FA762E" w:rsidP="00FA762E">
      <w:pPr>
        <w:autoSpaceDE w:val="0"/>
        <w:autoSpaceDN w:val="0"/>
        <w:adjustRightInd w:val="0"/>
        <w:ind w:left="709"/>
        <w:jc w:val="both"/>
        <w:rPr>
          <w:rFonts w:ascii="Palatino Linotype" w:hAnsi="Palatino Linotype"/>
          <w:b/>
        </w:rPr>
      </w:pPr>
      <w:bookmarkStart w:id="0" w:name="_GoBack"/>
      <w:bookmarkEnd w:id="0"/>
      <w:r w:rsidRPr="00A3471E">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A762E" w:rsidRPr="00A3471E" w:rsidRDefault="00FA762E" w:rsidP="00FA762E">
      <w:pPr>
        <w:autoSpaceDE w:val="0"/>
        <w:autoSpaceDN w:val="0"/>
        <w:adjustRightInd w:val="0"/>
        <w:ind w:left="709" w:hanging="709"/>
        <w:jc w:val="both"/>
        <w:rPr>
          <w:rFonts w:ascii="Palatino Linotype" w:hAnsi="Palatino Linotype"/>
          <w:b/>
        </w:rPr>
      </w:pPr>
    </w:p>
    <w:p w:rsidR="00FA762E" w:rsidRPr="00A3471E" w:rsidRDefault="00FA762E" w:rsidP="00FA762E">
      <w:pPr>
        <w:autoSpaceDE w:val="0"/>
        <w:autoSpaceDN w:val="0"/>
        <w:adjustRightInd w:val="0"/>
        <w:ind w:left="709" w:hanging="709"/>
        <w:jc w:val="both"/>
        <w:rPr>
          <w:rFonts w:ascii="Palatino Linotype" w:hAnsi="Palatino Linotype"/>
          <w:lang w:val="es-EC" w:eastAsia="en-US"/>
        </w:rPr>
      </w:pPr>
      <w:r w:rsidRPr="00A3471E">
        <w:rPr>
          <w:rFonts w:ascii="Palatino Linotype" w:hAnsi="Palatino Linotype"/>
          <w:b/>
        </w:rPr>
        <w:t>Que,</w:t>
      </w:r>
      <w:r w:rsidRPr="00A3471E">
        <w:rPr>
          <w:rFonts w:ascii="Palatino Linotype" w:hAnsi="Palatino Linotype"/>
        </w:rPr>
        <w:t xml:space="preserve"> </w:t>
      </w:r>
      <w:r w:rsidRPr="00A3471E">
        <w:rPr>
          <w:rFonts w:ascii="Palatino Linotype" w:hAnsi="Palatino Linotype"/>
        </w:rPr>
        <w:tab/>
      </w:r>
      <w:r w:rsidRPr="00A3471E">
        <w:rPr>
          <w:rFonts w:ascii="Palatino Linotype" w:hAnsi="Palatino Linotype"/>
          <w:lang w:val="es-EC" w:eastAsia="en-US"/>
        </w:rPr>
        <w:t xml:space="preserve">mediante </w:t>
      </w:r>
      <w:r w:rsidRPr="00A3471E">
        <w:rPr>
          <w:rFonts w:ascii="Palatino Linotype" w:hAnsi="Palatino Linotype"/>
          <w:lang w:val="es-EC" w:eastAsia="en-US"/>
        </w:rPr>
        <w:t>Oficio LDBCM-2020-0071-P de 27 de mayo de 2020</w:t>
      </w:r>
      <w:r w:rsidRPr="00A3471E">
        <w:rPr>
          <w:rFonts w:ascii="Palatino Linotype" w:hAnsi="Palatino Linotype"/>
          <w:lang w:val="es-EC" w:eastAsia="en-US"/>
        </w:rPr>
        <w:t xml:space="preserve">, el señor </w:t>
      </w:r>
      <w:r w:rsidRPr="00A3471E">
        <w:rPr>
          <w:rFonts w:ascii="Palatino Linotype" w:hAnsi="Palatino Linotype"/>
          <w:lang w:val="es-EC" w:eastAsia="en-US"/>
        </w:rPr>
        <w:t>Víctor Hugo Olivo Aguilera</w:t>
      </w:r>
      <w:r w:rsidRPr="00A3471E">
        <w:rPr>
          <w:rFonts w:ascii="Palatino Linotype" w:hAnsi="Palatino Linotype"/>
          <w:lang w:val="es-EC" w:eastAsia="en-US"/>
        </w:rPr>
        <w:t xml:space="preserve">, en su calidad presidente de la Liga Deportiva Barrial </w:t>
      </w:r>
      <w:r w:rsidRPr="00A3471E">
        <w:rPr>
          <w:rFonts w:ascii="Palatino Linotype" w:hAnsi="Palatino Linotype"/>
          <w:lang w:val="es-EC" w:eastAsia="en-US"/>
        </w:rPr>
        <w:t>Ciudadela México</w:t>
      </w:r>
      <w:r w:rsidRPr="00A3471E">
        <w:rPr>
          <w:rFonts w:ascii="Palatino Linotype" w:hAnsi="Palatino Linotype"/>
          <w:lang w:val="es-EC" w:eastAsia="en-US"/>
        </w:rPr>
        <w:t xml:space="preserve"> solicitó a la ADMINISTRACIÓN ZONAL, se le conceda el convenio para la administración y uso de las instalaciones e infraestructuras deportivas, del predio No. </w:t>
      </w:r>
      <w:r w:rsidRPr="00A3471E">
        <w:rPr>
          <w:rFonts w:ascii="Palatino Linotype" w:hAnsi="Palatino Linotype"/>
          <w:lang w:val="es-EC" w:eastAsia="en-US"/>
        </w:rPr>
        <w:t>131283</w:t>
      </w:r>
      <w:r w:rsidRPr="00A3471E">
        <w:rPr>
          <w:rFonts w:ascii="Palatino Linotype" w:hAnsi="Palatino Linotype"/>
          <w:lang w:val="es-EC" w:eastAsia="en-US"/>
        </w:rPr>
        <w:t>, adjuntando todos los requisitos previstos en la normativa vigente;</w:t>
      </w:r>
    </w:p>
    <w:p w:rsidR="00FA762E" w:rsidRPr="00A3471E"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A3471E">
        <w:rPr>
          <w:rFonts w:ascii="Palatino Linotype" w:hAnsi="Palatino Linotype"/>
          <w:b/>
          <w:lang w:val="es-EC" w:eastAsia="en-US"/>
        </w:rPr>
        <w:t>Que</w:t>
      </w:r>
      <w:r w:rsidRPr="00A3471E">
        <w:rPr>
          <w:rFonts w:ascii="Palatino Linotype" w:hAnsi="Palatino Linotype"/>
          <w:b/>
          <w:i/>
          <w:lang w:val="es-EC" w:eastAsia="en-US"/>
        </w:rPr>
        <w:t>,</w:t>
      </w:r>
      <w:r w:rsidRPr="00A3471E">
        <w:rPr>
          <w:rFonts w:ascii="Palatino Linotype" w:hAnsi="Palatino Linotype"/>
          <w:i/>
          <w:lang w:val="es-EC" w:eastAsia="en-US"/>
        </w:rPr>
        <w:t xml:space="preserve"> </w:t>
      </w:r>
      <w:r w:rsidRPr="00A3471E">
        <w:rPr>
          <w:rFonts w:ascii="Palatino Linotype" w:hAnsi="Palatino Linotype"/>
          <w:i/>
          <w:lang w:val="es-EC" w:eastAsia="en-US"/>
        </w:rPr>
        <w:tab/>
      </w:r>
      <w:r w:rsidRPr="00A3471E">
        <w:rPr>
          <w:rFonts w:ascii="Palatino Linotype" w:hAnsi="Palatino Linotype"/>
          <w:lang w:val="es-EC" w:eastAsia="en-US"/>
        </w:rPr>
        <w:t xml:space="preserve">mediante Oficio No. </w:t>
      </w:r>
      <w:r w:rsidRPr="00A3471E">
        <w:rPr>
          <w:rFonts w:ascii="Palatino Linotype" w:hAnsi="Palatino Linotype"/>
          <w:lang w:val="es-EC" w:eastAsia="en-US"/>
        </w:rPr>
        <w:t>GADDMQ-AZEA-AZ-2022-2660-O de 18 de octubre de 2022</w:t>
      </w:r>
      <w:r w:rsidRPr="00A3471E">
        <w:rPr>
          <w:rFonts w:ascii="Palatino Linotype" w:hAnsi="Palatino Linotype"/>
          <w:lang w:val="es-EC" w:eastAsia="en-US"/>
        </w:rPr>
        <w:t>, la Administración Zonal Eloy Alfaro remitió a la Procuraduría Metropolitana los informes técnicos favorables de las distintas dependencias municipales de conformidad a lo establecido en el artículo 3537 del Código Municipal;</w:t>
      </w:r>
    </w:p>
    <w:p w:rsidR="00FA762E" w:rsidRPr="004C21C5" w:rsidRDefault="00FA762E" w:rsidP="00FA762E">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FA762E" w:rsidRPr="004C21C5" w:rsidRDefault="00FA762E" w:rsidP="00A3471E">
      <w:pPr>
        <w:autoSpaceDE w:val="0"/>
        <w:autoSpaceDN w:val="0"/>
        <w:adjustRightInd w:val="0"/>
        <w:ind w:left="709" w:hanging="709"/>
        <w:jc w:val="both"/>
        <w:rPr>
          <w:rFonts w:ascii="Palatino Linotype" w:hAnsi="Palatino Linotype"/>
          <w:i/>
          <w:lang w:val="es-EC" w:eastAsia="en-US"/>
        </w:rPr>
      </w:pPr>
      <w:r w:rsidRPr="00A3471E">
        <w:rPr>
          <w:rFonts w:ascii="Palatino Linotype" w:hAnsi="Palatino Linotype"/>
          <w:b/>
          <w:lang w:val="es-EC" w:eastAsia="en-US"/>
        </w:rPr>
        <w:lastRenderedPageBreak/>
        <w:t>Que,</w:t>
      </w:r>
      <w:r w:rsidRPr="00A3471E">
        <w:rPr>
          <w:rFonts w:ascii="Palatino Linotype" w:hAnsi="Palatino Linotype"/>
          <w:lang w:val="es-EC" w:eastAsia="en-US"/>
        </w:rPr>
        <w:t xml:space="preserve"> mediante Oficio Nro. </w:t>
      </w:r>
      <w:r w:rsidRPr="00A3471E">
        <w:rPr>
          <w:rFonts w:ascii="Palatino Linotype" w:hAnsi="Palatino Linotype"/>
          <w:lang w:val="es-EC" w:eastAsia="en-US"/>
        </w:rPr>
        <w:t>GADDMQ-PM-2022-3824-O de 22 de septiembre de 2022</w:t>
      </w:r>
      <w:r w:rsidRPr="00A3471E">
        <w:rPr>
          <w:rFonts w:ascii="Palatino Linotype" w:hAnsi="Palatino Linotype"/>
          <w:lang w:val="es-EC" w:eastAsia="en-US"/>
        </w:rPr>
        <w:t xml:space="preserve">, la Procuraduría Metropolitana emite criterio legal favorable, en el que establece: </w:t>
      </w:r>
      <w:r w:rsidRPr="00A3471E">
        <w:rPr>
          <w:rFonts w:ascii="Palatino Linotype" w:hAnsi="Palatino Linotype"/>
          <w:i/>
          <w:lang w:val="es-EC" w:eastAsia="en-US"/>
        </w:rPr>
        <w:t>"</w:t>
      </w:r>
      <w:r w:rsidRPr="00A3471E">
        <w:t xml:space="preserve"> </w:t>
      </w:r>
      <w:r w:rsidR="00A3471E" w:rsidRPr="00A3471E">
        <w:rPr>
          <w:rFonts w:ascii="Palatino Linotype" w:hAnsi="Palatino Linotype"/>
          <w:i/>
          <w:lang w:val="es-EC" w:eastAsia="en-US"/>
        </w:rPr>
        <w:t>Procuraduría Metropol</w:t>
      </w:r>
      <w:r w:rsidR="00A3471E" w:rsidRPr="00A3471E">
        <w:rPr>
          <w:rFonts w:ascii="Palatino Linotype" w:hAnsi="Palatino Linotype"/>
          <w:i/>
          <w:lang w:val="es-EC" w:eastAsia="en-US"/>
        </w:rPr>
        <w:t xml:space="preserve">itana emite </w:t>
      </w:r>
      <w:r w:rsidR="00A3471E" w:rsidRPr="00A3471E">
        <w:rPr>
          <w:rFonts w:ascii="Palatino Linotype" w:hAnsi="Palatino Linotype"/>
          <w:i/>
          <w:lang w:val="es-EC" w:eastAsia="en-US"/>
        </w:rPr>
        <w:t xml:space="preserve">criterio legal favorable para que, de estimarlo pertinente la </w:t>
      </w:r>
      <w:r w:rsidR="00A3471E" w:rsidRPr="00A3471E">
        <w:rPr>
          <w:rFonts w:ascii="Palatino Linotype" w:hAnsi="Palatino Linotype"/>
          <w:i/>
          <w:lang w:val="es-EC" w:eastAsia="en-US"/>
        </w:rPr>
        <w:t xml:space="preserve">Comisión de Propiedad y Espacio </w:t>
      </w:r>
      <w:r w:rsidR="00A3471E" w:rsidRPr="00A3471E">
        <w:rPr>
          <w:rFonts w:ascii="Palatino Linotype" w:hAnsi="Palatino Linotype"/>
          <w:i/>
          <w:lang w:val="es-EC" w:eastAsia="en-US"/>
        </w:rPr>
        <w:t>Público, emita su informe y alcance del Concejo Metropolitano la</w:t>
      </w:r>
      <w:r w:rsidR="00A3471E" w:rsidRPr="00A3471E">
        <w:rPr>
          <w:rFonts w:ascii="Palatino Linotype" w:hAnsi="Palatino Linotype"/>
          <w:i/>
          <w:lang w:val="es-EC" w:eastAsia="en-US"/>
        </w:rPr>
        <w:t xml:space="preserve"> aprobación para la suscripción </w:t>
      </w:r>
      <w:r w:rsidR="00A3471E" w:rsidRPr="00A3471E">
        <w:rPr>
          <w:rFonts w:ascii="Palatino Linotype" w:hAnsi="Palatino Linotype"/>
          <w:i/>
          <w:lang w:val="es-EC" w:eastAsia="en-US"/>
        </w:rPr>
        <w:t>del Convenio de Administración y Uso de Instalaciones y Escen</w:t>
      </w:r>
      <w:r w:rsidR="00A3471E" w:rsidRPr="00A3471E">
        <w:rPr>
          <w:rFonts w:ascii="Palatino Linotype" w:hAnsi="Palatino Linotype"/>
          <w:i/>
          <w:lang w:val="es-EC" w:eastAsia="en-US"/>
        </w:rPr>
        <w:t xml:space="preserve">arios Deportivos, entre la Liga </w:t>
      </w:r>
      <w:r w:rsidR="00A3471E" w:rsidRPr="00A3471E">
        <w:rPr>
          <w:rFonts w:ascii="Palatino Linotype" w:hAnsi="Palatino Linotype"/>
          <w:i/>
          <w:lang w:val="es-EC" w:eastAsia="en-US"/>
        </w:rPr>
        <w:t>Deportiva Barrial “Ciudadela México” y la Administración Zonal El</w:t>
      </w:r>
      <w:r w:rsidR="00A3471E" w:rsidRPr="00A3471E">
        <w:rPr>
          <w:rFonts w:ascii="Palatino Linotype" w:hAnsi="Palatino Linotype"/>
          <w:i/>
          <w:lang w:val="es-EC" w:eastAsia="en-US"/>
        </w:rPr>
        <w:t xml:space="preserve">oy Alfaro, correspondiente a la </w:t>
      </w:r>
      <w:r w:rsidR="00A3471E" w:rsidRPr="00A3471E">
        <w:rPr>
          <w:rFonts w:ascii="Palatino Linotype" w:hAnsi="Palatino Linotype"/>
          <w:i/>
          <w:lang w:val="es-EC" w:eastAsia="en-US"/>
        </w:rPr>
        <w:t>totalidad del predio No. 131283 con clave catastral No. 30401-03-0</w:t>
      </w:r>
      <w:r w:rsidR="00A3471E" w:rsidRPr="00A3471E">
        <w:rPr>
          <w:rFonts w:ascii="Palatino Linotype" w:hAnsi="Palatino Linotype"/>
          <w:i/>
          <w:lang w:val="es-EC" w:eastAsia="en-US"/>
        </w:rPr>
        <w:t xml:space="preserve">03 ubicado en el sector México, </w:t>
      </w:r>
      <w:r w:rsidR="00A3471E" w:rsidRPr="00A3471E">
        <w:rPr>
          <w:rFonts w:ascii="Palatino Linotype" w:hAnsi="Palatino Linotype"/>
          <w:i/>
          <w:lang w:val="es-EC" w:eastAsia="en-US"/>
        </w:rPr>
        <w:t xml:space="preserve">parroquia </w:t>
      </w:r>
      <w:proofErr w:type="spellStart"/>
      <w:r w:rsidR="00A3471E" w:rsidRPr="00A3471E">
        <w:rPr>
          <w:rFonts w:ascii="Palatino Linotype" w:hAnsi="Palatino Linotype"/>
          <w:i/>
          <w:lang w:val="es-EC" w:eastAsia="en-US"/>
        </w:rPr>
        <w:t>Chimbacall</w:t>
      </w:r>
      <w:proofErr w:type="spellEnd"/>
      <w:r w:rsidRPr="00A3471E">
        <w:rPr>
          <w:rFonts w:ascii="Palatino Linotype" w:hAnsi="Palatino Linotype"/>
          <w:i/>
          <w:lang w:val="es-EC" w:eastAsia="en-US"/>
        </w:rPr>
        <w:t xml:space="preserve"> ";</w:t>
      </w:r>
    </w:p>
    <w:p w:rsidR="00FA762E" w:rsidRPr="004C21C5" w:rsidRDefault="00FA762E" w:rsidP="00FA762E">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FA762E" w:rsidRPr="004C21C5" w:rsidRDefault="00FA762E" w:rsidP="00FA762E">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FA762E" w:rsidRPr="004C21C5" w:rsidRDefault="00FA762E" w:rsidP="00FA762E">
      <w:pPr>
        <w:autoSpaceDE w:val="0"/>
        <w:autoSpaceDN w:val="0"/>
        <w:adjustRightInd w:val="0"/>
        <w:ind w:left="709" w:hanging="709"/>
        <w:jc w:val="both"/>
        <w:rPr>
          <w:rFonts w:ascii="Palatino Linotype" w:hAnsi="Palatino Linotype"/>
          <w:b/>
          <w:bCs/>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GADDMQ-AZEA-2023-0132-O de 16 de enero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A54718">
        <w:rPr>
          <w:rFonts w:ascii="Palatino Linotype" w:hAnsi="Palatino Linotype"/>
          <w:b/>
          <w:bCs/>
          <w:lang w:val="es-EC" w:eastAsia="en-US"/>
        </w:rPr>
        <w:t>Que,</w:t>
      </w:r>
      <w:r w:rsidRPr="00A54718">
        <w:rPr>
          <w:rFonts w:ascii="Palatino Linotype" w:hAnsi="Palatino Linotype"/>
          <w:lang w:val="es-EC" w:eastAsia="en-US"/>
        </w:rPr>
        <w:t xml:space="preserve"> </w:t>
      </w:r>
      <w:r w:rsidRPr="00A54718">
        <w:rPr>
          <w:rFonts w:ascii="Palatino Linotype" w:hAnsi="Palatino Linotype"/>
          <w:lang w:val="es-EC" w:eastAsia="en-US"/>
        </w:rPr>
        <w:tab/>
        <w:t xml:space="preserve">Mediante Oficio Nro. </w:t>
      </w:r>
      <w:r w:rsidRPr="00A54718">
        <w:rPr>
          <w:rFonts w:ascii="Palatino Linotype" w:hAnsi="Palatino Linotype"/>
          <w:lang w:val="es-EC" w:eastAsia="en-US"/>
        </w:rPr>
        <w:t>GADDMQ-PM-2023-0299-O de 25 de enero de 2023, Procuraduría Metropolitana ratifica su criterio emitido mediante Oficio No. GADDMQ-PM-2022-3824-O de 22 de septiembre de 2022</w:t>
      </w:r>
      <w:r w:rsidRPr="00A54718">
        <w:rPr>
          <w:rFonts w:ascii="Palatino Linotype" w:hAnsi="Palatino Linotype"/>
          <w:lang w:val="es-EC" w:eastAsia="en-US"/>
        </w:rPr>
        <w:t>y remite el expediente a la Comisión de Propiedad y Espacio Público del Concejo Metropolitano;</w:t>
      </w:r>
    </w:p>
    <w:p w:rsidR="00FA762E" w:rsidRPr="004C21C5" w:rsidRDefault="00FA762E" w:rsidP="00FA762E">
      <w:pPr>
        <w:autoSpaceDE w:val="0"/>
        <w:autoSpaceDN w:val="0"/>
        <w:adjustRightInd w:val="0"/>
        <w:ind w:left="709" w:hanging="709"/>
        <w:jc w:val="both"/>
        <w:rPr>
          <w:rFonts w:ascii="Palatino Linotype" w:hAnsi="Palatino Linotype"/>
          <w:b/>
          <w:bCs/>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088 </w:t>
      </w:r>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Pr>
          <w:rFonts w:ascii="Palatino Linotype" w:hAnsi="Palatino Linotype"/>
          <w:lang w:val="es-EC" w:eastAsia="en-US"/>
        </w:rPr>
        <w:t>xxxx</w:t>
      </w:r>
      <w:proofErr w:type="spellEnd"/>
      <w:r>
        <w:rPr>
          <w:rFonts w:ascii="Palatino Linotype" w:hAnsi="Palatino Linotype"/>
          <w:lang w:val="es-EC" w:eastAsia="en-US"/>
        </w:rPr>
        <w:t xml:space="preserve"> </w:t>
      </w:r>
      <w:r w:rsidRPr="004C21C5">
        <w:rPr>
          <w:rFonts w:ascii="Palatino Linotype" w:hAnsi="Palatino Linotype"/>
          <w:lang w:val="es-EC" w:eastAsia="en-US"/>
        </w:rPr>
        <w:t>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IC-CPP-2023-0</w:t>
      </w:r>
      <w:r>
        <w:rPr>
          <w:rFonts w:ascii="Palatino Linotype" w:hAnsi="Palatino Linotype"/>
          <w:bCs/>
          <w:lang w:val="es-EC" w:eastAsia="en-US"/>
        </w:rPr>
        <w:t>xx</w:t>
      </w:r>
      <w:r w:rsidRPr="004C21C5">
        <w:rPr>
          <w:rFonts w:ascii="Palatino Linotype" w:hAnsi="Palatino Linotype"/>
          <w:bCs/>
          <w:lang w:val="es-EC" w:eastAsia="en-US"/>
        </w:rPr>
        <w:t>;</w:t>
      </w:r>
    </w:p>
    <w:p w:rsidR="00FA762E" w:rsidRPr="004C21C5" w:rsidRDefault="00FA762E" w:rsidP="00FA762E">
      <w:pPr>
        <w:autoSpaceDE w:val="0"/>
        <w:autoSpaceDN w:val="0"/>
        <w:adjustRightInd w:val="0"/>
        <w:ind w:left="709" w:hanging="709"/>
        <w:jc w:val="both"/>
        <w:rPr>
          <w:rFonts w:ascii="Palatino Linotype" w:hAnsi="Palatino Linotype"/>
          <w:highlight w:val="yellow"/>
          <w:lang w:val="es-EC" w:eastAsia="en-US"/>
        </w:rPr>
      </w:pPr>
    </w:p>
    <w:p w:rsidR="00FA762E" w:rsidRPr="004C21C5" w:rsidRDefault="00FA762E" w:rsidP="00FA762E">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Pr>
          <w:rFonts w:ascii="Palatino Linotype" w:hAnsi="Palatino Linotype"/>
          <w:bCs/>
          <w:lang w:val="es-EC" w:eastAsia="en-US"/>
        </w:rPr>
        <w:t>xxxx</w:t>
      </w:r>
      <w:proofErr w:type="spellEnd"/>
      <w:r w:rsidRPr="004C21C5">
        <w:rPr>
          <w:rFonts w:ascii="Palatino Linotype" w:hAnsi="Palatino Linotype"/>
          <w:bCs/>
          <w:lang w:val="es-EC" w:eastAsia="en-US"/>
        </w:rPr>
        <w:t xml:space="preserve"> de 2023, analizó el informe Nro. IC-CPP-2023-</w:t>
      </w:r>
      <w:r>
        <w:rPr>
          <w:rFonts w:ascii="Palatino Linotype" w:hAnsi="Palatino Linotype"/>
          <w:bCs/>
          <w:lang w:val="es-EC" w:eastAsia="en-US"/>
        </w:rPr>
        <w:t>xxxx</w:t>
      </w:r>
      <w:r w:rsidRPr="004C21C5">
        <w:rPr>
          <w:rFonts w:ascii="Palatino Linotype" w:hAnsi="Palatino Linotype"/>
          <w:bCs/>
          <w:lang w:val="es-EC" w:eastAsia="en-US"/>
        </w:rPr>
        <w:t>, emitido por la Comisión de Propiedad y Espacio Público; y,</w:t>
      </w:r>
    </w:p>
    <w:p w:rsidR="00FA762E" w:rsidRPr="004C21C5" w:rsidRDefault="00FA762E" w:rsidP="00FA762E">
      <w:pPr>
        <w:autoSpaceDE w:val="0"/>
        <w:autoSpaceDN w:val="0"/>
        <w:adjustRightInd w:val="0"/>
        <w:jc w:val="both"/>
        <w:rPr>
          <w:rFonts w:ascii="Palatino Linotype" w:hAnsi="Palatino Linotype"/>
          <w:lang w:val="es-EC" w:eastAsia="en-US"/>
        </w:rPr>
      </w:pPr>
    </w:p>
    <w:p w:rsidR="00FA762E" w:rsidRPr="004C21C5" w:rsidRDefault="00FA762E" w:rsidP="00FA762E">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FA762E" w:rsidRDefault="00FA762E" w:rsidP="00FA762E">
      <w:pPr>
        <w:autoSpaceDE w:val="0"/>
        <w:autoSpaceDN w:val="0"/>
        <w:adjustRightInd w:val="0"/>
        <w:jc w:val="center"/>
        <w:rPr>
          <w:rFonts w:ascii="Palatino Linotype" w:hAnsi="Palatino Linotype"/>
          <w:b/>
          <w:bCs/>
          <w:lang w:val="es-EC" w:eastAsia="en-US"/>
        </w:rPr>
      </w:pPr>
    </w:p>
    <w:p w:rsidR="00FA762E" w:rsidRPr="004C21C5" w:rsidRDefault="00FA762E" w:rsidP="00FA762E">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FA762E" w:rsidRPr="004C21C5" w:rsidRDefault="00FA762E" w:rsidP="00FA762E">
      <w:pPr>
        <w:autoSpaceDE w:val="0"/>
        <w:autoSpaceDN w:val="0"/>
        <w:adjustRightInd w:val="0"/>
        <w:jc w:val="both"/>
        <w:rPr>
          <w:rFonts w:ascii="Palatino Linotype" w:hAnsi="Palatino Linotype"/>
          <w:lang w:val="es-EC" w:eastAsia="en-US"/>
        </w:rPr>
      </w:pPr>
    </w:p>
    <w:p w:rsidR="00FA762E" w:rsidRPr="004C21C5" w:rsidRDefault="00FA762E" w:rsidP="00FA762E">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Pr>
          <w:rFonts w:ascii="Palatino Linotype" w:hAnsi="Palatino Linotype"/>
          <w:lang w:val="es-EC" w:eastAsia="en-US"/>
        </w:rPr>
        <w:t xml:space="preserve">Ciudadela </w:t>
      </w:r>
      <w:r w:rsidR="00B068A5">
        <w:rPr>
          <w:rFonts w:ascii="Palatino Linotype" w:hAnsi="Palatino Linotype"/>
          <w:lang w:val="es-EC" w:eastAsia="en-US"/>
        </w:rPr>
        <w:t>México</w:t>
      </w:r>
      <w:r w:rsidRPr="004C21C5">
        <w:rPr>
          <w:rFonts w:ascii="Palatino Linotype" w:hAnsi="Palatino Linotype"/>
          <w:lang w:val="es-EC" w:eastAsia="en-US"/>
        </w:rPr>
        <w:t xml:space="preserve">” y la Administración Zonal Eloy Alfaro, de forma parcial del predio No. </w:t>
      </w:r>
      <w:r>
        <w:rPr>
          <w:rFonts w:ascii="Palatino Linotype" w:hAnsi="Palatino Linotype"/>
          <w:lang w:val="es-EC" w:eastAsia="en-US"/>
        </w:rPr>
        <w:t>131283</w:t>
      </w:r>
      <w:r w:rsidRPr="004C21C5">
        <w:rPr>
          <w:rFonts w:ascii="Palatino Linotype" w:hAnsi="Palatino Linotype"/>
          <w:lang w:val="es-EC" w:eastAsia="en-US"/>
        </w:rPr>
        <w:t>, con clave catastral No</w:t>
      </w:r>
      <w:r w:rsidR="00CE5265" w:rsidRPr="00CE5265">
        <w:t xml:space="preserve"> </w:t>
      </w:r>
      <w:r w:rsidR="00CE5265" w:rsidRPr="00CE5265">
        <w:rPr>
          <w:rFonts w:ascii="Palatino Linotype" w:hAnsi="Palatino Linotype"/>
          <w:lang w:val="es-EC" w:eastAsia="en-US"/>
        </w:rPr>
        <w:t>30401</w:t>
      </w:r>
      <w:r w:rsidR="00A054B5">
        <w:rPr>
          <w:rFonts w:ascii="Palatino Linotype" w:hAnsi="Palatino Linotype"/>
          <w:lang w:val="es-EC" w:eastAsia="en-US"/>
        </w:rPr>
        <w:t>-</w:t>
      </w:r>
      <w:r w:rsidR="00CE5265" w:rsidRPr="00CE5265">
        <w:rPr>
          <w:rFonts w:ascii="Palatino Linotype" w:hAnsi="Palatino Linotype"/>
          <w:lang w:val="es-EC" w:eastAsia="en-US"/>
        </w:rPr>
        <w:t>03</w:t>
      </w:r>
      <w:r w:rsidR="00A054B5">
        <w:rPr>
          <w:rFonts w:ascii="Palatino Linotype" w:hAnsi="Palatino Linotype"/>
          <w:lang w:val="es-EC" w:eastAsia="en-US"/>
        </w:rPr>
        <w:t>-</w:t>
      </w:r>
      <w:r w:rsidR="00CE5265" w:rsidRPr="00A054B5">
        <w:rPr>
          <w:rFonts w:ascii="Palatino Linotype" w:hAnsi="Palatino Linotype"/>
          <w:lang w:val="es-EC" w:eastAsia="en-US"/>
        </w:rPr>
        <w:t>003</w:t>
      </w:r>
      <w:r w:rsidRPr="00A054B5">
        <w:rPr>
          <w:rFonts w:ascii="Palatino Linotype" w:hAnsi="Palatino Linotype"/>
          <w:lang w:val="es-EC" w:eastAsia="en-US"/>
        </w:rPr>
        <w:t xml:space="preserve">, ubicado en las calles </w:t>
      </w:r>
      <w:r w:rsidR="00A054B5" w:rsidRPr="00A054B5">
        <w:rPr>
          <w:rFonts w:ascii="Palatino Linotype" w:hAnsi="Palatino Linotype"/>
          <w:lang w:val="es-EC" w:eastAsia="en-US"/>
        </w:rPr>
        <w:t>Paute entre Psj. A y Av. Velasco Ibarra</w:t>
      </w:r>
      <w:r w:rsidRPr="00A054B5">
        <w:rPr>
          <w:rFonts w:ascii="Palatino Linotype" w:hAnsi="Palatino Linotype"/>
          <w:lang w:val="es-EC" w:eastAsia="en-US"/>
        </w:rPr>
        <w:t xml:space="preserve">, parroquia </w:t>
      </w:r>
      <w:r w:rsidR="00A054B5" w:rsidRPr="00A054B5">
        <w:rPr>
          <w:rFonts w:ascii="Palatino Linotype" w:hAnsi="Palatino Linotype"/>
          <w:lang w:val="es-EC" w:eastAsia="en-US"/>
        </w:rPr>
        <w:t>Chimbacalle</w:t>
      </w:r>
      <w:r w:rsidRPr="00A054B5">
        <w:rPr>
          <w:rFonts w:ascii="Palatino Linotype" w:hAnsi="Palatino Linotype"/>
          <w:lang w:val="es-EC" w:eastAsia="en-US"/>
        </w:rPr>
        <w:t>, de conformidad con los datos técnicos que constan en el Informe Técnico remitido</w:t>
      </w:r>
      <w:r w:rsidRPr="004C21C5">
        <w:rPr>
          <w:rFonts w:ascii="Palatino Linotype" w:hAnsi="Palatino Linotype"/>
          <w:lang w:val="es-EC" w:eastAsia="en-US"/>
        </w:rPr>
        <w:t xml:space="preserve"> por la Dirección Metropolitana de Catastros.</w:t>
      </w:r>
    </w:p>
    <w:p w:rsidR="00FA762E" w:rsidRPr="004C21C5" w:rsidRDefault="00FA762E" w:rsidP="00FA762E">
      <w:pPr>
        <w:autoSpaceDE w:val="0"/>
        <w:autoSpaceDN w:val="0"/>
        <w:adjustRightInd w:val="0"/>
        <w:jc w:val="both"/>
        <w:rPr>
          <w:rFonts w:ascii="Palatino Linotype" w:hAnsi="Palatino Linotype"/>
          <w:lang w:val="es-EC" w:eastAsia="en-US"/>
        </w:rPr>
      </w:pPr>
    </w:p>
    <w:p w:rsidR="00FA762E" w:rsidRPr="004C21C5" w:rsidRDefault="00FA762E" w:rsidP="00FA762E">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FA762E" w:rsidRPr="004C21C5" w:rsidRDefault="00FA762E" w:rsidP="00FA762E">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FA762E" w:rsidRPr="00A745FE" w:rsidRDefault="00FA762E" w:rsidP="00FA762E">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FA762E" w:rsidRDefault="00FA762E" w:rsidP="00FA762E">
      <w:pPr>
        <w:spacing w:before="240" w:after="1"/>
        <w:jc w:val="both"/>
        <w:rPr>
          <w:rFonts w:ascii="Palatino Linotype" w:eastAsia="SimSun" w:hAnsi="Palatino Linotype"/>
          <w:lang w:eastAsia="en-US"/>
        </w:rPr>
      </w:pPr>
    </w:p>
    <w:p w:rsidR="00FA762E" w:rsidRDefault="00FA762E" w:rsidP="00FA762E">
      <w:pPr>
        <w:spacing w:before="240" w:after="1"/>
        <w:jc w:val="both"/>
        <w:rPr>
          <w:rFonts w:ascii="Palatino Linotype" w:eastAsia="SimSun" w:hAnsi="Palatino Linotype"/>
          <w:lang w:eastAsia="en-US"/>
        </w:rPr>
      </w:pPr>
    </w:p>
    <w:p w:rsidR="00FA762E" w:rsidRPr="004C21C5" w:rsidRDefault="00FA762E" w:rsidP="00FA762E">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sede de la sesión del Concejo Metropolitano, a los veintiocho días del mes de febrero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FA762E" w:rsidRPr="00A745FE" w:rsidRDefault="00FA762E" w:rsidP="00FA762E">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7574C1">
        <w:rPr>
          <w:rFonts w:ascii="Palatino Linotype" w:eastAsia="SimSun" w:hAnsi="Palatino Linotype"/>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007574C1">
        <w:rPr>
          <w:rFonts w:ascii="Palatino Linotype" w:eastAsia="SimSun" w:hAnsi="Palatino Linotype"/>
          <w:lang w:val="es-EC" w:eastAsia="en-US"/>
        </w:rPr>
        <w:t>xxx</w:t>
      </w:r>
      <w:r w:rsidRPr="00A745FE">
        <w:rPr>
          <w:rFonts w:ascii="Palatino Linotype" w:eastAsia="SimSun" w:hAnsi="Palatino Linotype"/>
          <w:spacing w:val="-52"/>
          <w:lang w:val="es-EC" w:eastAsia="en-US"/>
        </w:rPr>
        <w:t xml:space="preserve"> </w:t>
      </w:r>
      <w:r w:rsidR="007574C1">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FA762E" w:rsidRPr="00A745FE" w:rsidRDefault="00FA762E" w:rsidP="00FA762E">
      <w:pPr>
        <w:keepNext/>
        <w:keepLines/>
        <w:ind w:right="-39"/>
        <w:outlineLvl w:val="0"/>
        <w:rPr>
          <w:rFonts w:ascii="Palatino Linotype" w:eastAsiaTheme="majorEastAsia" w:hAnsi="Palatino Linotype"/>
          <w:b/>
          <w:lang w:val="es-EC" w:eastAsia="en-US"/>
        </w:rPr>
      </w:pPr>
    </w:p>
    <w:p w:rsidR="00FA762E" w:rsidRPr="00A745FE" w:rsidRDefault="00FA762E" w:rsidP="00FA762E">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FA762E" w:rsidRPr="00A745FE" w:rsidRDefault="00FA762E" w:rsidP="00FA762E">
      <w:pPr>
        <w:widowControl w:val="0"/>
        <w:autoSpaceDE w:val="0"/>
        <w:autoSpaceDN w:val="0"/>
        <w:ind w:left="2707" w:right="-39"/>
        <w:jc w:val="center"/>
        <w:rPr>
          <w:rFonts w:ascii="Palatino Linotype" w:eastAsia="SimSun" w:hAnsi="Palatino Linotype"/>
          <w:lang w:val="es-EC" w:eastAsia="en-US"/>
        </w:rPr>
      </w:pPr>
    </w:p>
    <w:p w:rsidR="00FA762E" w:rsidRPr="00A745FE" w:rsidRDefault="00FA762E" w:rsidP="00FA762E">
      <w:pPr>
        <w:widowControl w:val="0"/>
        <w:autoSpaceDE w:val="0"/>
        <w:autoSpaceDN w:val="0"/>
        <w:ind w:left="2707" w:right="-39"/>
        <w:jc w:val="center"/>
        <w:rPr>
          <w:rFonts w:ascii="Palatino Linotype" w:eastAsia="SimSun" w:hAnsi="Palatino Linotype"/>
          <w:lang w:eastAsia="en-US"/>
        </w:rPr>
      </w:pPr>
    </w:p>
    <w:p w:rsidR="00FA762E" w:rsidRPr="00A745FE" w:rsidRDefault="00FA762E" w:rsidP="00FA762E">
      <w:pPr>
        <w:widowControl w:val="0"/>
        <w:autoSpaceDE w:val="0"/>
        <w:autoSpaceDN w:val="0"/>
        <w:ind w:left="2707" w:right="-39"/>
        <w:jc w:val="center"/>
        <w:rPr>
          <w:rFonts w:ascii="Palatino Linotype" w:eastAsia="SimSun" w:hAnsi="Palatino Linotype"/>
          <w:lang w:eastAsia="en-US"/>
        </w:rPr>
      </w:pPr>
    </w:p>
    <w:p w:rsidR="00FA762E" w:rsidRPr="00A745FE" w:rsidRDefault="00FA762E" w:rsidP="00FA762E">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FA762E" w:rsidRPr="00A745FE" w:rsidRDefault="00FA762E" w:rsidP="00FA762E">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FA762E" w:rsidRPr="00A745FE" w:rsidRDefault="00FA762E" w:rsidP="00FA762E">
      <w:pPr>
        <w:widowControl w:val="0"/>
        <w:autoSpaceDE w:val="0"/>
        <w:autoSpaceDN w:val="0"/>
        <w:ind w:right="-39"/>
        <w:jc w:val="both"/>
        <w:rPr>
          <w:rFonts w:ascii="Palatino Linotype" w:eastAsia="SimSun" w:hAnsi="Palatino Linotype"/>
          <w:b/>
          <w:lang w:eastAsia="en-US"/>
        </w:rPr>
      </w:pPr>
    </w:p>
    <w:p w:rsidR="00FA762E" w:rsidRDefault="00FA762E" w:rsidP="00FA762E">
      <w:pPr>
        <w:widowControl w:val="0"/>
        <w:autoSpaceDE w:val="0"/>
        <w:autoSpaceDN w:val="0"/>
        <w:ind w:right="-39"/>
        <w:jc w:val="both"/>
        <w:rPr>
          <w:rFonts w:ascii="Palatino Linotype" w:eastAsia="SimSun" w:hAnsi="Palatino Linotype"/>
          <w:b/>
          <w:lang w:eastAsia="en-US"/>
        </w:rPr>
      </w:pPr>
    </w:p>
    <w:p w:rsidR="00FA762E" w:rsidRDefault="00FA762E" w:rsidP="00FA762E">
      <w:pPr>
        <w:widowControl w:val="0"/>
        <w:autoSpaceDE w:val="0"/>
        <w:autoSpaceDN w:val="0"/>
        <w:ind w:right="-39"/>
        <w:jc w:val="both"/>
        <w:rPr>
          <w:rFonts w:ascii="Palatino Linotype" w:eastAsia="SimSun" w:hAnsi="Palatino Linotype"/>
          <w:b/>
          <w:lang w:eastAsia="en-US"/>
        </w:rPr>
      </w:pPr>
    </w:p>
    <w:p w:rsidR="00FA762E" w:rsidRPr="00A745FE" w:rsidRDefault="00FA762E" w:rsidP="00FA762E">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ordinaria No. 272 del Concejo Metropolitano de Quito, el 28 de febrero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5C3A3E">
        <w:rPr>
          <w:rFonts w:ascii="Palatino Linotype" w:eastAsia="SimSun" w:hAnsi="Palatino Linotype"/>
          <w:lang w:eastAsia="en-US"/>
        </w:rPr>
        <w:t xml:space="preserve">XX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sidR="005C3A3E">
        <w:rPr>
          <w:rFonts w:ascii="Palatino Linotype" w:eastAsia="SimSun" w:hAnsi="Palatino Linotype"/>
          <w:lang w:eastAsia="en-US"/>
        </w:rPr>
        <w:t>xxxx</w:t>
      </w:r>
      <w:proofErr w:type="spellEnd"/>
      <w:r w:rsidR="005C3A3E">
        <w:rPr>
          <w:rFonts w:ascii="Palatino Linotype" w:eastAsia="SimSun" w:hAnsi="Palatino Linotype"/>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FA762E" w:rsidRPr="00A745FE" w:rsidRDefault="00FA762E" w:rsidP="00FA762E">
      <w:pPr>
        <w:ind w:right="-39"/>
        <w:jc w:val="both"/>
        <w:rPr>
          <w:rFonts w:ascii="Palatino Linotype" w:eastAsia="SimSun" w:hAnsi="Palatino Linotype"/>
          <w:b/>
          <w:lang w:val="es-EC" w:eastAsia="en-US"/>
        </w:rPr>
      </w:pPr>
    </w:p>
    <w:p w:rsidR="00FA762E" w:rsidRPr="00A745FE" w:rsidRDefault="00FA762E" w:rsidP="00FA762E">
      <w:pPr>
        <w:ind w:right="-39"/>
        <w:jc w:val="both"/>
        <w:rPr>
          <w:rFonts w:ascii="Palatino Linotype" w:eastAsia="SimSun" w:hAnsi="Palatino Linotype"/>
          <w:b/>
          <w:lang w:val="es-EC" w:eastAsia="en-US"/>
        </w:rPr>
      </w:pPr>
    </w:p>
    <w:p w:rsidR="00FA762E" w:rsidRPr="00A745FE" w:rsidRDefault="00FA762E" w:rsidP="00FA762E">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sidR="005C3A3E">
        <w:rPr>
          <w:rFonts w:ascii="Palatino Linotype" w:eastAsia="SimSun" w:hAnsi="Palatino Linotype"/>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proofErr w:type="spellStart"/>
      <w:r w:rsidR="005C3A3E">
        <w:rPr>
          <w:rFonts w:ascii="Palatino Linotype" w:eastAsia="SimSun" w:hAnsi="Palatino Linotype"/>
          <w:lang w:val="es-EC" w:eastAsia="en-US"/>
        </w:rPr>
        <w:t>xxxx</w:t>
      </w:r>
      <w:r w:rsidRPr="00A745FE">
        <w:rPr>
          <w:rFonts w:ascii="Palatino Linotype" w:eastAsia="SimSun" w:hAnsi="Palatino Linotype"/>
          <w:lang w:val="es-EC" w:eastAsia="en-US"/>
        </w:rPr>
        <w:t>de</w:t>
      </w:r>
      <w:proofErr w:type="spellEnd"/>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FA762E" w:rsidRPr="00A745FE" w:rsidRDefault="00FA762E" w:rsidP="00FA762E">
      <w:pPr>
        <w:ind w:left="122" w:right="-39"/>
        <w:jc w:val="both"/>
        <w:rPr>
          <w:rFonts w:ascii="Palatino Linotype" w:eastAsia="SimSun" w:hAnsi="Palatino Linotype"/>
          <w:lang w:val="es-EC" w:eastAsia="en-US"/>
        </w:rPr>
      </w:pPr>
    </w:p>
    <w:p w:rsidR="00FA762E" w:rsidRPr="00A745FE" w:rsidRDefault="00FA762E" w:rsidP="00FA762E">
      <w:pPr>
        <w:ind w:right="-39"/>
        <w:jc w:val="both"/>
        <w:rPr>
          <w:rFonts w:ascii="Palatino Linotype" w:eastAsia="SimSun" w:hAnsi="Palatino Linotype"/>
          <w:lang w:val="es-EC" w:eastAsia="en-US"/>
        </w:rPr>
      </w:pPr>
    </w:p>
    <w:p w:rsidR="00FA762E" w:rsidRPr="00A745FE" w:rsidRDefault="00FA762E" w:rsidP="00FA762E">
      <w:pPr>
        <w:ind w:right="-39"/>
        <w:jc w:val="both"/>
        <w:rPr>
          <w:rFonts w:ascii="Palatino Linotype" w:eastAsia="SimSun" w:hAnsi="Palatino Linotype"/>
          <w:lang w:val="es-EC" w:eastAsia="en-US"/>
        </w:rPr>
      </w:pPr>
    </w:p>
    <w:p w:rsidR="00FA762E" w:rsidRPr="00A745FE" w:rsidRDefault="00FA762E" w:rsidP="00FA762E">
      <w:pPr>
        <w:ind w:right="-39"/>
        <w:jc w:val="both"/>
        <w:rPr>
          <w:rFonts w:ascii="Palatino Linotype" w:eastAsia="SimSun" w:hAnsi="Palatino Linotype"/>
          <w:lang w:val="es-EC" w:eastAsia="en-US"/>
        </w:rPr>
      </w:pPr>
    </w:p>
    <w:p w:rsidR="00FA762E" w:rsidRPr="00A745FE" w:rsidRDefault="00FA762E" w:rsidP="00FA762E">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FA762E" w:rsidRPr="004C21C5" w:rsidRDefault="00FA762E" w:rsidP="00FA762E">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C85D0E" w:rsidRPr="00FA762E" w:rsidRDefault="00C85D0E">
      <w:pPr>
        <w:rPr>
          <w:lang w:val="es-EC"/>
        </w:rPr>
      </w:pPr>
    </w:p>
    <w:sectPr w:rsidR="00C85D0E" w:rsidRPr="00FA762E" w:rsidSect="004C21C5">
      <w:headerReference w:type="default" r:id="rId4"/>
      <w:pgSz w:w="11906" w:h="16838"/>
      <w:pgMar w:top="1417" w:right="1701" w:bottom="1417" w:left="1701"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A3471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19AB9F7" wp14:editId="37DD25AD">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3471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19AB9F7"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A3471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A3471E" w:rsidP="00A745FE">
    <w:pPr>
      <w:ind w:left="5"/>
      <w:rPr>
        <w:rFonts w:ascii="Palatino Linotype" w:hAnsi="Palatino Linotype" w:cs="Palatino Linotype"/>
        <w:b/>
        <w:color w:val="000000"/>
        <w:szCs w:val="22"/>
        <w:lang w:val="en-US" w:eastAsia="en-US"/>
      </w:rPr>
    </w:pPr>
  </w:p>
  <w:p w:rsidR="00A745FE" w:rsidRDefault="00A3471E" w:rsidP="00A745FE">
    <w:pPr>
      <w:pStyle w:val="Encabezado"/>
      <w:rPr>
        <w:rFonts w:ascii="Palatino Linotype" w:hAnsi="Palatino Linotype" w:cs="Palatino Linotype"/>
        <w:b/>
        <w:color w:val="000000"/>
        <w:szCs w:val="22"/>
        <w:lang w:val="en-US" w:eastAsia="en-US"/>
      </w:rPr>
    </w:pPr>
  </w:p>
  <w:p w:rsidR="00A745FE" w:rsidRDefault="00A3471E" w:rsidP="00A745FE">
    <w:pPr>
      <w:pStyle w:val="Encabezado"/>
      <w:rPr>
        <w:rFonts w:ascii="Palatino Linotype" w:hAnsi="Palatino Linotype" w:cs="Palatino Linotype"/>
        <w:b/>
        <w:color w:val="000000"/>
        <w:szCs w:val="22"/>
        <w:lang w:val="en-US" w:eastAsia="en-US"/>
      </w:rPr>
    </w:pPr>
  </w:p>
  <w:p w:rsidR="004C21C5" w:rsidRDefault="00A3471E" w:rsidP="00A745FE">
    <w:pPr>
      <w:pStyle w:val="Encabezado"/>
      <w:jc w:val="center"/>
      <w:rPr>
        <w:rFonts w:ascii="Palatino Linotype" w:hAnsi="Palatino Linotype" w:cs="Palatino Linotype"/>
        <w:b/>
        <w:color w:val="000000"/>
        <w:szCs w:val="22"/>
        <w:lang w:val="en-US" w:eastAsia="en-US"/>
      </w:rPr>
    </w:pPr>
  </w:p>
  <w:p w:rsidR="004C21C5" w:rsidRDefault="00A3471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3471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A3471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2E"/>
    <w:rsid w:val="005C3A3E"/>
    <w:rsid w:val="007574C1"/>
    <w:rsid w:val="00A054B5"/>
    <w:rsid w:val="00A3471E"/>
    <w:rsid w:val="00A54718"/>
    <w:rsid w:val="00B068A5"/>
    <w:rsid w:val="00C85D0E"/>
    <w:rsid w:val="00CE5265"/>
    <w:rsid w:val="00FA76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6636-DAC0-415F-8D0B-031CE354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2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62E"/>
    <w:pPr>
      <w:tabs>
        <w:tab w:val="center" w:pos="4252"/>
        <w:tab w:val="right" w:pos="8504"/>
      </w:tabs>
    </w:pPr>
  </w:style>
  <w:style w:type="character" w:customStyle="1" w:styleId="EncabezadoCar">
    <w:name w:val="Encabezado Car"/>
    <w:basedOn w:val="Fuentedeprrafopredeter"/>
    <w:link w:val="Encabezado"/>
    <w:uiPriority w:val="99"/>
    <w:rsid w:val="00FA76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5</cp:revision>
  <dcterms:created xsi:type="dcterms:W3CDTF">2023-03-10T16:53:00Z</dcterms:created>
  <dcterms:modified xsi:type="dcterms:W3CDTF">2023-03-10T20:37:00Z</dcterms:modified>
</cp:coreProperties>
</file>