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BC2F" w14:textId="77777777" w:rsidR="00D3174E" w:rsidRPr="00583ACD" w:rsidRDefault="00D3174E" w:rsidP="00D3174E">
      <w:pPr>
        <w:autoSpaceDE w:val="0"/>
        <w:autoSpaceDN w:val="0"/>
        <w:adjustRightInd w:val="0"/>
        <w:jc w:val="center"/>
        <w:rPr>
          <w:rFonts w:ascii="Palatino Linotype" w:eastAsiaTheme="minorHAnsi" w:hAnsi="Palatino Linotype"/>
          <w:b/>
          <w:lang w:val="es-EC" w:eastAsia="en-US"/>
        </w:rPr>
      </w:pPr>
      <w:r w:rsidRPr="00583ACD">
        <w:rPr>
          <w:rFonts w:ascii="Palatino Linotype" w:eastAsiaTheme="minorHAnsi" w:hAnsi="Palatino Linotype"/>
          <w:b/>
          <w:lang w:val="es-EC" w:eastAsia="en-US"/>
        </w:rPr>
        <w:t>EL CONCEJO METROPOLITANO DE QUITO</w:t>
      </w:r>
    </w:p>
    <w:p w14:paraId="7D77255F" w14:textId="77777777" w:rsidR="00D3174E" w:rsidRPr="00583ACD" w:rsidRDefault="00D3174E" w:rsidP="00D3174E">
      <w:pPr>
        <w:autoSpaceDE w:val="0"/>
        <w:autoSpaceDN w:val="0"/>
        <w:adjustRightInd w:val="0"/>
        <w:jc w:val="center"/>
        <w:rPr>
          <w:rFonts w:ascii="Palatino Linotype" w:eastAsiaTheme="minorHAnsi" w:hAnsi="Palatino Linotype"/>
          <w:b/>
          <w:lang w:val="es-EC" w:eastAsia="en-US"/>
        </w:rPr>
      </w:pPr>
    </w:p>
    <w:p w14:paraId="5EE1A698" w14:textId="77777777" w:rsidR="00D3174E" w:rsidRPr="00583ACD" w:rsidRDefault="00D3174E" w:rsidP="00D3174E">
      <w:pPr>
        <w:autoSpaceDE w:val="0"/>
        <w:autoSpaceDN w:val="0"/>
        <w:adjustRightInd w:val="0"/>
        <w:jc w:val="center"/>
        <w:rPr>
          <w:rFonts w:ascii="Palatino Linotype" w:eastAsiaTheme="minorHAnsi" w:hAnsi="Palatino Linotype"/>
          <w:b/>
          <w:lang w:val="es-EC" w:eastAsia="en-US"/>
        </w:rPr>
      </w:pPr>
      <w:r w:rsidRPr="00583ACD">
        <w:rPr>
          <w:rFonts w:ascii="Palatino Linotype" w:eastAsiaTheme="minorHAnsi" w:hAnsi="Palatino Linotype"/>
          <w:b/>
          <w:lang w:val="es-EC" w:eastAsia="en-US"/>
        </w:rPr>
        <w:t>CONSIDERANDO:</w:t>
      </w:r>
    </w:p>
    <w:p w14:paraId="08CFD4EA" w14:textId="2087D214" w:rsidR="00D3174E" w:rsidRDefault="00D3174E" w:rsidP="007E6463">
      <w:pPr>
        <w:autoSpaceDE w:val="0"/>
        <w:autoSpaceDN w:val="0"/>
        <w:adjustRightInd w:val="0"/>
        <w:jc w:val="both"/>
        <w:rPr>
          <w:rFonts w:ascii="Palatino Linotype" w:eastAsiaTheme="minorHAnsi" w:hAnsi="Palatino Linotype"/>
          <w:lang w:val="es-EC" w:eastAsia="en-US"/>
        </w:rPr>
      </w:pPr>
    </w:p>
    <w:p w14:paraId="1592FBB2" w14:textId="362C7492" w:rsidR="00443D96" w:rsidRPr="00583ACD" w:rsidRDefault="00443D96" w:rsidP="00443D96">
      <w:pPr>
        <w:autoSpaceDE w:val="0"/>
        <w:autoSpaceDN w:val="0"/>
        <w:adjustRightInd w:val="0"/>
        <w:ind w:left="709" w:hanging="709"/>
        <w:jc w:val="both"/>
        <w:rPr>
          <w:rFonts w:ascii="Palatino Linotype" w:eastAsiaTheme="minorHAnsi" w:hAnsi="Palatino Linotype"/>
          <w:lang w:val="es-EC" w:eastAsia="en-US"/>
        </w:rPr>
      </w:pPr>
      <w:r w:rsidRPr="00443D96">
        <w:rPr>
          <w:rFonts w:ascii="Palatino Linotype" w:eastAsiaTheme="minorHAnsi" w:hAnsi="Palatino Linotype"/>
          <w:bCs/>
          <w:lang w:val="es-EC" w:eastAsia="en-US"/>
        </w:rPr>
        <w:t>Que,</w:t>
      </w:r>
      <w:r w:rsidRPr="00583ACD">
        <w:rPr>
          <w:rFonts w:ascii="Palatino Linotype" w:eastAsiaTheme="minorHAnsi" w:hAnsi="Palatino Linotype"/>
          <w:lang w:val="es-EC" w:eastAsia="en-US"/>
        </w:rPr>
        <w:t xml:space="preserve"> </w:t>
      </w:r>
      <w:r w:rsidRPr="00583ACD">
        <w:rPr>
          <w:rFonts w:ascii="Palatino Linotype" w:eastAsiaTheme="minorHAnsi" w:hAnsi="Palatino Linotype"/>
          <w:lang w:val="es-EC" w:eastAsia="en-US"/>
        </w:rPr>
        <w:tab/>
        <w:t xml:space="preserve">la Constitución de la República del Ecuador en su artículo 266, determina: </w:t>
      </w:r>
      <w:r w:rsidRPr="00583ACD">
        <w:rPr>
          <w:rFonts w:ascii="Palatino Linotype" w:eastAsiaTheme="minorHAnsi"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583ACD">
        <w:rPr>
          <w:rFonts w:ascii="Palatino Linotype" w:eastAsiaTheme="minorHAnsi" w:hAnsi="Palatino Linotype"/>
          <w:lang w:val="es-EC" w:eastAsia="en-US"/>
        </w:rPr>
        <w:t>;</w:t>
      </w:r>
    </w:p>
    <w:p w14:paraId="62C4E2F7" w14:textId="77777777" w:rsidR="00A710FF" w:rsidRPr="00FD05C1" w:rsidRDefault="00A710FF" w:rsidP="00A710FF">
      <w:pPr>
        <w:spacing w:before="315" w:line="291" w:lineRule="exact"/>
        <w:ind w:left="720" w:hanging="720"/>
        <w:jc w:val="both"/>
        <w:rPr>
          <w:rFonts w:ascii="Palatino Linotype" w:eastAsiaTheme="minorHAnsi" w:hAnsi="Palatino Linotype"/>
          <w:i/>
          <w:sz w:val="22"/>
          <w:szCs w:val="22"/>
          <w:lang w:eastAsia="en-US"/>
        </w:rPr>
      </w:pPr>
      <w:proofErr w:type="gramStart"/>
      <w:r>
        <w:rPr>
          <w:rFonts w:ascii="Garamond" w:hAnsi="Garamond" w:cs="Garamond"/>
          <w:sz w:val="26"/>
          <w:szCs w:val="26"/>
        </w:rPr>
        <w:t>Que,  el</w:t>
      </w:r>
      <w:proofErr w:type="gramEnd"/>
      <w:r>
        <w:rPr>
          <w:rFonts w:ascii="Garamond" w:hAnsi="Garamond" w:cs="Garamond"/>
          <w:sz w:val="26"/>
          <w:szCs w:val="26"/>
        </w:rPr>
        <w:t xml:space="preserve"> literales d) del artículo 87 del Código Orgánico de Organización Territorial, Autonomía y Descentralización, en adelante, "COOTAD", establecen como atribuciones del Concejo Metropolitano:</w:t>
      </w:r>
      <w:r>
        <w:rPr>
          <w:rFonts w:ascii="Garamond" w:hAnsi="Garamond" w:cs="Garamond"/>
          <w:i/>
          <w:iCs/>
          <w:sz w:val="26"/>
          <w:szCs w:val="26"/>
        </w:rPr>
        <w:t xml:space="preserve"> (...) “d) Expedir acuerdos o resoluciones en el ámbito de sus competencias para regular temas institucionales específicos o reconocer derechos particulares” (...);</w:t>
      </w:r>
    </w:p>
    <w:p w14:paraId="36440116" w14:textId="77777777" w:rsidR="00A710FF" w:rsidRPr="00974EE8" w:rsidRDefault="00A710FF" w:rsidP="00A710FF">
      <w:pPr>
        <w:autoSpaceDE w:val="0"/>
        <w:autoSpaceDN w:val="0"/>
        <w:adjustRightInd w:val="0"/>
        <w:ind w:left="709" w:hanging="709"/>
        <w:jc w:val="both"/>
        <w:rPr>
          <w:rFonts w:ascii="Palatino Linotype" w:eastAsiaTheme="minorHAnsi" w:hAnsi="Palatino Linotype"/>
          <w:sz w:val="22"/>
          <w:szCs w:val="22"/>
          <w:lang w:val="es-EC" w:eastAsia="en-US"/>
        </w:rPr>
      </w:pPr>
    </w:p>
    <w:p w14:paraId="69EA7D49" w14:textId="77777777" w:rsidR="00A710FF" w:rsidRPr="00974EE8" w:rsidRDefault="00A710FF" w:rsidP="00A710FF">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Que,</w:t>
      </w:r>
      <w:r w:rsidRPr="00974EE8">
        <w:rPr>
          <w:rFonts w:ascii="Palatino Linotype" w:eastAsiaTheme="minorHAnsi" w:hAnsi="Palatino Linotype"/>
          <w:sz w:val="22"/>
          <w:szCs w:val="22"/>
          <w:lang w:val="es-EC" w:eastAsia="en-US"/>
        </w:rPr>
        <w:tab/>
        <w:t xml:space="preserve">el artículo 415 del COOTAD, establece que: </w:t>
      </w:r>
      <w:r w:rsidRPr="00974EE8">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63D5409E" w14:textId="77777777" w:rsidR="00A710FF" w:rsidRPr="00974EE8" w:rsidRDefault="00A710FF" w:rsidP="00A710FF">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071CEB35" w14:textId="77777777" w:rsidR="00A710FF" w:rsidRDefault="00A710FF" w:rsidP="00A710FF">
      <w:pPr>
        <w:autoSpaceDE w:val="0"/>
        <w:autoSpaceDN w:val="0"/>
        <w:adjustRightInd w:val="0"/>
        <w:ind w:left="709" w:hanging="709"/>
        <w:jc w:val="both"/>
        <w:rPr>
          <w:rFonts w:ascii="Arial" w:hAnsi="Arial" w:cs="Arial"/>
          <w:sz w:val="30"/>
          <w:szCs w:val="30"/>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w:t>
      </w:r>
      <w:r>
        <w:rPr>
          <w:rFonts w:ascii="Palatino Linotype" w:eastAsiaTheme="minorHAnsi" w:hAnsi="Palatino Linotype"/>
          <w:sz w:val="22"/>
          <w:szCs w:val="22"/>
          <w:lang w:val="es-EC" w:eastAsia="en-US"/>
        </w:rPr>
        <w:t xml:space="preserve">literal c) del </w:t>
      </w:r>
      <w:r w:rsidRPr="00974EE8">
        <w:rPr>
          <w:rFonts w:ascii="Palatino Linotype" w:eastAsiaTheme="minorHAnsi" w:hAnsi="Palatino Linotype"/>
          <w:sz w:val="22"/>
          <w:szCs w:val="22"/>
          <w:lang w:val="es-EC" w:eastAsia="en-US"/>
        </w:rPr>
        <w:t xml:space="preserve">artículo 419 del COOTAD, </w:t>
      </w:r>
      <w:r>
        <w:rPr>
          <w:rFonts w:ascii="Palatino Linotype" w:eastAsiaTheme="minorHAnsi" w:hAnsi="Palatino Linotype"/>
          <w:sz w:val="22"/>
          <w:szCs w:val="22"/>
          <w:lang w:val="es-EC" w:eastAsia="en-US"/>
        </w:rPr>
        <w:t>establece</w:t>
      </w:r>
      <w:r w:rsidRPr="00974EE8">
        <w:rPr>
          <w:rFonts w:ascii="Palatino Linotype" w:eastAsiaTheme="minorHAnsi" w:hAnsi="Palatino Linotype"/>
          <w:sz w:val="22"/>
          <w:szCs w:val="22"/>
          <w:lang w:val="es-EC" w:eastAsia="en-US"/>
        </w:rPr>
        <w:t xml:space="preserve"> que: </w:t>
      </w:r>
      <w:r w:rsidRPr="00974EE8">
        <w:rPr>
          <w:rFonts w:ascii="Palatino Linotype" w:eastAsiaTheme="minorHAnsi" w:hAnsi="Palatino Linotype"/>
          <w:i/>
          <w:sz w:val="22"/>
          <w:szCs w:val="22"/>
          <w:lang w:val="es-EC" w:eastAsia="en-US"/>
        </w:rPr>
        <w:t>"</w:t>
      </w:r>
      <w:r w:rsidRPr="00974EE8">
        <w:rPr>
          <w:rFonts w:ascii="Palatino Linotype" w:eastAsiaTheme="minorHAnsi" w:hAnsi="Palatino Linotype" w:cs="CourierNewNegrita"/>
          <w:i/>
          <w:sz w:val="22"/>
          <w:szCs w:val="22"/>
          <w:lang w:val="es-EC" w:eastAsia="en-US"/>
        </w:rPr>
        <w:t xml:space="preserve">Constituyen bienes de dominio privado </w:t>
      </w:r>
      <w:r>
        <w:rPr>
          <w:rFonts w:ascii="Garamond" w:hAnsi="Garamond" w:cs="Garamond"/>
          <w:i/>
          <w:iCs/>
          <w:sz w:val="26"/>
          <w:szCs w:val="26"/>
        </w:rPr>
        <w:t>(...) “</w:t>
      </w:r>
      <w:r w:rsidRPr="00FD05C1">
        <w:rPr>
          <w:rFonts w:ascii="Palatino Linotype" w:hAnsi="Palatino Linotype" w:cs="Arial"/>
          <w:sz w:val="22"/>
          <w:szCs w:val="22"/>
        </w:rPr>
        <w:t>c) Los bienes mostrencos situados dentro de las respectivas circunscripciones territoriales</w:t>
      </w:r>
      <w:r>
        <w:rPr>
          <w:rFonts w:ascii="Palatino Linotype" w:hAnsi="Palatino Linotype" w:cs="Arial"/>
          <w:sz w:val="22"/>
          <w:szCs w:val="22"/>
        </w:rPr>
        <w:t xml:space="preserve"> </w:t>
      </w:r>
      <w:r>
        <w:rPr>
          <w:rFonts w:ascii="Garamond" w:hAnsi="Garamond" w:cs="Garamond"/>
          <w:i/>
          <w:iCs/>
          <w:sz w:val="26"/>
          <w:szCs w:val="26"/>
        </w:rPr>
        <w:t>(...)”;</w:t>
      </w:r>
      <w:r>
        <w:rPr>
          <w:rFonts w:ascii="Arial" w:hAnsi="Arial" w:cs="Arial"/>
          <w:sz w:val="30"/>
          <w:szCs w:val="30"/>
        </w:rPr>
        <w:t xml:space="preserve"> </w:t>
      </w:r>
    </w:p>
    <w:p w14:paraId="7B7802C1" w14:textId="77777777" w:rsidR="00A710FF" w:rsidRPr="00974EE8" w:rsidRDefault="00A710FF" w:rsidP="00A710FF">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460E9049" w14:textId="77777777" w:rsidR="00A710FF" w:rsidRPr="00183658" w:rsidRDefault="00A710FF" w:rsidP="00A710FF">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w:t>
      </w:r>
      <w:r>
        <w:rPr>
          <w:rFonts w:ascii="Palatino Linotype" w:eastAsiaTheme="minorHAnsi" w:hAnsi="Palatino Linotype"/>
          <w:sz w:val="22"/>
          <w:szCs w:val="22"/>
          <w:lang w:val="es-EC" w:eastAsia="en-US"/>
        </w:rPr>
        <w:t xml:space="preserve">artículo </w:t>
      </w:r>
      <w:r w:rsidRPr="00183658">
        <w:rPr>
          <w:rFonts w:ascii="Palatino Linotype" w:hAnsi="Palatino Linotype"/>
          <w:sz w:val="22"/>
          <w:szCs w:val="22"/>
        </w:rPr>
        <w:t>481, inciso 5</w:t>
      </w:r>
      <w:r>
        <w:rPr>
          <w:rFonts w:ascii="Palatino Linotype" w:hAnsi="Palatino Linotype"/>
          <w:sz w:val="22"/>
          <w:szCs w:val="22"/>
        </w:rPr>
        <w:t>)</w:t>
      </w:r>
      <w:r w:rsidRPr="00183658">
        <w:rPr>
          <w:rFonts w:ascii="Palatino Linotype" w:hAnsi="Palatino Linotype"/>
          <w:sz w:val="22"/>
          <w:szCs w:val="22"/>
        </w:rPr>
        <w:t xml:space="preserve">, ibídem, </w:t>
      </w:r>
      <w:r>
        <w:rPr>
          <w:rFonts w:ascii="Palatino Linotype" w:hAnsi="Palatino Linotype"/>
          <w:sz w:val="22"/>
          <w:szCs w:val="22"/>
        </w:rPr>
        <w:t>establece:</w:t>
      </w:r>
      <w:r w:rsidRPr="00183658">
        <w:rPr>
          <w:rFonts w:ascii="Palatino Linotype" w:hAnsi="Palatino Linotype"/>
          <w:sz w:val="22"/>
          <w:szCs w:val="22"/>
        </w:rPr>
        <w:t xml:space="preserve"> </w:t>
      </w:r>
      <w:r w:rsidRPr="00C277ED">
        <w:rPr>
          <w:rFonts w:ascii="Palatino Linotype" w:hAnsi="Palatino Linotype"/>
          <w:i/>
          <w:sz w:val="22"/>
          <w:szCs w:val="22"/>
        </w:rPr>
        <w:t>“p</w:t>
      </w:r>
      <w:r w:rsidRPr="00C277ED">
        <w:rPr>
          <w:rFonts w:ascii="Palatino Linotype" w:hAnsi="Palatino Linotype" w:cs="Arial"/>
          <w:i/>
          <w:sz w:val="22"/>
          <w:szCs w:val="22"/>
        </w:rPr>
        <w:t>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w:t>
      </w:r>
      <w:r>
        <w:rPr>
          <w:rFonts w:ascii="Palatino Linotype" w:hAnsi="Palatino Linotype" w:cs="Arial"/>
          <w:sz w:val="22"/>
          <w:szCs w:val="22"/>
        </w:rPr>
        <w:t>;</w:t>
      </w:r>
    </w:p>
    <w:p w14:paraId="37C22932" w14:textId="77777777" w:rsidR="00A710FF" w:rsidRPr="00974EE8" w:rsidRDefault="00A710FF" w:rsidP="00A710FF">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2EB3337D" w14:textId="77777777" w:rsidR="00A710FF" w:rsidRPr="00974EE8" w:rsidRDefault="00A710FF" w:rsidP="00A710FF">
      <w:pPr>
        <w:autoSpaceDE w:val="0"/>
        <w:autoSpaceDN w:val="0"/>
        <w:adjustRightInd w:val="0"/>
        <w:ind w:left="709" w:hanging="709"/>
        <w:jc w:val="both"/>
        <w:rPr>
          <w:rFonts w:ascii="Palatino Linotype" w:eastAsiaTheme="minorHAnsi" w:hAnsi="Palatino Linotype" w:cs="CourierNewNegrita"/>
          <w:sz w:val="22"/>
          <w:szCs w:val="22"/>
          <w:lang w:val="es-EC" w:eastAsia="en-US"/>
        </w:rPr>
      </w:pPr>
      <w:r w:rsidRPr="00974EE8">
        <w:rPr>
          <w:rFonts w:ascii="Palatino Linotype" w:eastAsiaTheme="minorHAnsi" w:hAnsi="Palatino Linotype" w:cs="CourierNewNegrita"/>
          <w:sz w:val="22"/>
          <w:szCs w:val="22"/>
          <w:lang w:val="es-EC" w:eastAsia="en-US"/>
        </w:rPr>
        <w:t>Que,</w:t>
      </w:r>
      <w:r w:rsidRPr="00974EE8">
        <w:rPr>
          <w:rFonts w:ascii="Palatino Linotype" w:eastAsiaTheme="minorHAnsi" w:hAnsi="Palatino Linotype" w:cs="CourierNewNegrita"/>
          <w:sz w:val="22"/>
          <w:szCs w:val="22"/>
          <w:lang w:val="es-EC" w:eastAsia="en-US"/>
        </w:rPr>
        <w:tab/>
        <w:t xml:space="preserve">el </w:t>
      </w:r>
      <w:r w:rsidRPr="000654FD">
        <w:rPr>
          <w:rFonts w:ascii="Palatino Linotype" w:hAnsi="Palatino Linotype"/>
          <w:sz w:val="22"/>
          <w:szCs w:val="22"/>
        </w:rPr>
        <w:t>Código Municipal para el Distrito Metropolitano de Quito, en el Título IV,</w:t>
      </w:r>
      <w:r>
        <w:rPr>
          <w:rFonts w:ascii="Palatino Linotype" w:hAnsi="Palatino Linotype"/>
          <w:sz w:val="22"/>
          <w:szCs w:val="22"/>
        </w:rPr>
        <w:t xml:space="preserve"> </w:t>
      </w:r>
      <w:r w:rsidRPr="000654FD">
        <w:rPr>
          <w:rFonts w:ascii="Palatino Linotype" w:hAnsi="Palatino Linotype"/>
          <w:sz w:val="22"/>
          <w:szCs w:val="22"/>
        </w:rPr>
        <w:t>establece el procedimiento de declaratoria y regularización de bienes inmuebles</w:t>
      </w:r>
      <w:r>
        <w:rPr>
          <w:rFonts w:ascii="Palatino Linotype" w:hAnsi="Palatino Linotype"/>
          <w:sz w:val="22"/>
          <w:szCs w:val="22"/>
        </w:rPr>
        <w:t xml:space="preserve"> </w:t>
      </w:r>
      <w:r w:rsidRPr="000654FD">
        <w:rPr>
          <w:rFonts w:ascii="Palatino Linotype" w:hAnsi="Palatino Linotype"/>
          <w:sz w:val="22"/>
          <w:szCs w:val="22"/>
        </w:rPr>
        <w:t>urbanos mostrencos.</w:t>
      </w:r>
    </w:p>
    <w:p w14:paraId="2BCB1176" w14:textId="77777777" w:rsidR="00A710FF" w:rsidRPr="00974EE8" w:rsidRDefault="00A710FF" w:rsidP="00A710FF">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2869A78C" w14:textId="2196EF4B" w:rsidR="00A710FF" w:rsidRPr="000654FD" w:rsidRDefault="00A710FF" w:rsidP="00A710FF">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lastRenderedPageBreak/>
        <w:t xml:space="preserve">Que, </w:t>
      </w:r>
      <w:r w:rsidRPr="00974EE8">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r w:rsidRPr="000654FD">
        <w:rPr>
          <w:rFonts w:ascii="Palatino Linotype" w:hAnsi="Palatino Linotype"/>
          <w:sz w:val="22"/>
          <w:szCs w:val="22"/>
        </w:rPr>
        <w:t xml:space="preserve">l art. </w:t>
      </w:r>
      <w:r w:rsidR="00443D96">
        <w:rPr>
          <w:rFonts w:ascii="Palatino Linotype" w:hAnsi="Palatino Linotype"/>
          <w:sz w:val="22"/>
          <w:szCs w:val="22"/>
        </w:rPr>
        <w:t>…</w:t>
      </w:r>
      <w:proofErr w:type="gramStart"/>
      <w:r w:rsidR="00443D96">
        <w:rPr>
          <w:rFonts w:ascii="Palatino Linotype" w:hAnsi="Palatino Linotype"/>
          <w:sz w:val="22"/>
          <w:szCs w:val="22"/>
        </w:rPr>
        <w:t>…….</w:t>
      </w:r>
      <w:proofErr w:type="gramEnd"/>
      <w:r w:rsidRPr="000654FD">
        <w:rPr>
          <w:rFonts w:ascii="Palatino Linotype" w:hAnsi="Palatino Linotype"/>
          <w:sz w:val="22"/>
          <w:szCs w:val="22"/>
        </w:rPr>
        <w:t>, ídem, determina que bien mostrenco son aquellos bienes inmuebles</w:t>
      </w:r>
      <w:r>
        <w:rPr>
          <w:rFonts w:ascii="Palatino Linotype" w:hAnsi="Palatino Linotype"/>
          <w:sz w:val="22"/>
          <w:szCs w:val="22"/>
        </w:rPr>
        <w:t xml:space="preserve"> </w:t>
      </w:r>
      <w:r w:rsidRPr="000654FD">
        <w:rPr>
          <w:rFonts w:ascii="Palatino Linotype" w:hAnsi="Palatino Linotype"/>
          <w:sz w:val="22"/>
          <w:szCs w:val="22"/>
        </w:rPr>
        <w:t>que carecen de dueño conocido, es decir todo aquel inmueble sobre el que no existe</w:t>
      </w:r>
      <w:r>
        <w:rPr>
          <w:rFonts w:ascii="Palatino Linotype" w:hAnsi="Palatino Linotype"/>
          <w:sz w:val="22"/>
          <w:szCs w:val="22"/>
        </w:rPr>
        <w:t xml:space="preserve"> </w:t>
      </w:r>
      <w:r w:rsidRPr="000654FD">
        <w:rPr>
          <w:rFonts w:ascii="Palatino Linotype" w:hAnsi="Palatino Linotype"/>
          <w:sz w:val="22"/>
          <w:szCs w:val="22"/>
        </w:rPr>
        <w:t>título de dominio inscrito en el Registro de la Propiedad.</w:t>
      </w:r>
    </w:p>
    <w:p w14:paraId="784D6ADD" w14:textId="77777777" w:rsidR="00A710FF" w:rsidRPr="00974EE8" w:rsidRDefault="00A710FF" w:rsidP="00A710FF">
      <w:pPr>
        <w:autoSpaceDE w:val="0"/>
        <w:autoSpaceDN w:val="0"/>
        <w:adjustRightInd w:val="0"/>
        <w:ind w:left="705" w:hanging="705"/>
        <w:jc w:val="both"/>
        <w:rPr>
          <w:rFonts w:ascii="Palatino Linotype" w:eastAsiaTheme="minorHAnsi" w:hAnsi="Palatino Linotype"/>
          <w:i/>
          <w:sz w:val="22"/>
          <w:szCs w:val="22"/>
          <w:lang w:val="es-EC" w:eastAsia="en-US"/>
        </w:rPr>
      </w:pPr>
    </w:p>
    <w:p w14:paraId="4D09ABA7" w14:textId="20A7C342" w:rsidR="00A710FF" w:rsidRDefault="00A710FF" w:rsidP="00A710FF">
      <w:pPr>
        <w:autoSpaceDE w:val="0"/>
        <w:autoSpaceDN w:val="0"/>
        <w:adjustRightInd w:val="0"/>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Pr>
          <w:rFonts w:ascii="Palatino Linotype" w:hAnsi="Palatino Linotype"/>
          <w:sz w:val="22"/>
          <w:szCs w:val="22"/>
        </w:rPr>
        <w:t>e</w:t>
      </w:r>
      <w:r w:rsidRPr="000654FD">
        <w:rPr>
          <w:rFonts w:ascii="Palatino Linotype" w:hAnsi="Palatino Linotype"/>
          <w:sz w:val="22"/>
          <w:szCs w:val="22"/>
        </w:rPr>
        <w:t xml:space="preserve">l art. </w:t>
      </w:r>
      <w:r w:rsidR="00443D96">
        <w:rPr>
          <w:rFonts w:ascii="Palatino Linotype" w:hAnsi="Palatino Linotype"/>
          <w:sz w:val="22"/>
          <w:szCs w:val="22"/>
        </w:rPr>
        <w:t>………</w:t>
      </w:r>
      <w:proofErr w:type="gramStart"/>
      <w:r w:rsidR="00443D96">
        <w:rPr>
          <w:rFonts w:ascii="Palatino Linotype" w:hAnsi="Palatino Linotype"/>
          <w:sz w:val="22"/>
          <w:szCs w:val="22"/>
        </w:rPr>
        <w:t>…….</w:t>
      </w:r>
      <w:proofErr w:type="gramEnd"/>
      <w:r w:rsidR="00443D96">
        <w:rPr>
          <w:rFonts w:ascii="Palatino Linotype" w:hAnsi="Palatino Linotype"/>
          <w:sz w:val="22"/>
          <w:szCs w:val="22"/>
        </w:rPr>
        <w:t>.</w:t>
      </w:r>
      <w:r w:rsidRPr="000654FD">
        <w:rPr>
          <w:rFonts w:ascii="Palatino Linotype" w:hAnsi="Palatino Linotype"/>
          <w:sz w:val="22"/>
          <w:szCs w:val="22"/>
        </w:rPr>
        <w:t>, ibídem, establece que la autoridad competente para declarar y</w:t>
      </w:r>
      <w:r>
        <w:rPr>
          <w:rFonts w:ascii="Palatino Linotype" w:hAnsi="Palatino Linotype"/>
          <w:sz w:val="22"/>
          <w:szCs w:val="22"/>
        </w:rPr>
        <w:t xml:space="preserve"> </w:t>
      </w:r>
      <w:r w:rsidRPr="000654FD">
        <w:rPr>
          <w:rFonts w:ascii="Palatino Linotype" w:hAnsi="Palatino Linotype"/>
          <w:sz w:val="22"/>
          <w:szCs w:val="22"/>
        </w:rPr>
        <w:t>regularizar un bien inmueble mostrenco es el Concejo Metropolitano de Quito, una</w:t>
      </w:r>
      <w:r>
        <w:rPr>
          <w:rFonts w:ascii="Palatino Linotype" w:hAnsi="Palatino Linotype"/>
          <w:sz w:val="22"/>
          <w:szCs w:val="22"/>
        </w:rPr>
        <w:t xml:space="preserve"> </w:t>
      </w:r>
      <w:r w:rsidRPr="000654FD">
        <w:rPr>
          <w:rFonts w:ascii="Palatino Linotype" w:hAnsi="Palatino Linotype"/>
          <w:sz w:val="22"/>
          <w:szCs w:val="22"/>
        </w:rPr>
        <w:t>vez cumplido el procedimiento establecido para el efecto.</w:t>
      </w:r>
    </w:p>
    <w:p w14:paraId="5EFA714C" w14:textId="48D964E6" w:rsidR="00443D96" w:rsidRDefault="00443D96" w:rsidP="00A710FF">
      <w:pPr>
        <w:autoSpaceDE w:val="0"/>
        <w:autoSpaceDN w:val="0"/>
        <w:adjustRightInd w:val="0"/>
        <w:ind w:left="705" w:hanging="705"/>
        <w:jc w:val="both"/>
        <w:rPr>
          <w:rFonts w:ascii="Palatino Linotype" w:hAnsi="Palatino Linotype"/>
          <w:sz w:val="22"/>
          <w:szCs w:val="22"/>
        </w:rPr>
      </w:pPr>
    </w:p>
    <w:p w14:paraId="5700A1CC" w14:textId="20B40000" w:rsidR="00443D96" w:rsidRDefault="00443D96" w:rsidP="00443D96">
      <w:pPr>
        <w:autoSpaceDE w:val="0"/>
        <w:autoSpaceDN w:val="0"/>
        <w:adjustRightInd w:val="0"/>
        <w:ind w:left="705" w:hanging="705"/>
        <w:jc w:val="both"/>
      </w:pPr>
      <w:r w:rsidRPr="00974EE8">
        <w:rPr>
          <w:rFonts w:ascii="Palatino Linotype" w:hAnsi="Palatino Linotype"/>
          <w:sz w:val="22"/>
          <w:szCs w:val="22"/>
        </w:rPr>
        <w:t>Que,</w:t>
      </w:r>
      <w:r w:rsidRPr="00974EE8">
        <w:rPr>
          <w:rFonts w:ascii="Palatino Linotype" w:hAnsi="Palatino Linotype"/>
          <w:sz w:val="22"/>
          <w:szCs w:val="22"/>
        </w:rPr>
        <w:tab/>
      </w:r>
      <w:r w:rsidR="00DA4F3D">
        <w:rPr>
          <w:rFonts w:ascii="Palatino Linotype" w:hAnsi="Palatino Linotype"/>
          <w:sz w:val="22"/>
          <w:szCs w:val="22"/>
        </w:rPr>
        <w:t xml:space="preserve">la </w:t>
      </w:r>
      <w:r w:rsidR="00DA4F3D">
        <w:t xml:space="preserve">Resolución No. C 087 del 14 de octubre de 2020, resolvió: </w:t>
      </w:r>
      <w:r w:rsidR="00DA4F3D" w:rsidRPr="00DA4F3D">
        <w:rPr>
          <w:i/>
        </w:rPr>
        <w:t xml:space="preserve">“Artículo 1.- Declarar y regularizar como bienes inmuebles urbanos mostrencos e incorporarlos al catastro del Municipio del Distrito Metropolitano de Quito, como bienes de dominio privado, los siguientes bienes inmuebles: (i) bien inmueble con clave catastral referencial No. 30403-10-001, con superficie de 601,34m2, ubicado en la parroquia La Magdalena; (ii) bien inmueble con clave catastral referencial No. 10219-03-010 con superficie de 623,09 m2, ubicado en la parroquia de Tumbaco; (iii) bien inmueble con clave catastral referencial No. 10301-11-001, con superficie de 362,41 m2, ubicado en la parroquia San Juan; y, (iv) bien inmueble con clave catastral referencial No. 10202-09-001, con superficie de 535,87 m2, ubicado en la parroquia </w:t>
      </w:r>
      <w:proofErr w:type="spellStart"/>
      <w:r w:rsidR="00DA4F3D" w:rsidRPr="00DA4F3D">
        <w:rPr>
          <w:i/>
        </w:rPr>
        <w:t>Itchimbía</w:t>
      </w:r>
      <w:proofErr w:type="spellEnd"/>
      <w:r w:rsidR="00DA4F3D" w:rsidRPr="00DA4F3D">
        <w:rPr>
          <w:i/>
        </w:rPr>
        <w:t>; de conformidad con los datos constantes en las fichas técnicas emitidas por la Dirección Metropolitana de Catastro, adjuntas a la presente Resolución</w:t>
      </w:r>
      <w:r w:rsidR="00DA4F3D">
        <w:t>.</w:t>
      </w:r>
    </w:p>
    <w:p w14:paraId="3470C875" w14:textId="77777777" w:rsidR="00DA4F3D" w:rsidRDefault="00DA4F3D" w:rsidP="00443D96">
      <w:pPr>
        <w:autoSpaceDE w:val="0"/>
        <w:autoSpaceDN w:val="0"/>
        <w:adjustRightInd w:val="0"/>
        <w:ind w:left="705" w:hanging="705"/>
        <w:jc w:val="both"/>
      </w:pPr>
    </w:p>
    <w:p w14:paraId="45E6CFC2" w14:textId="3B4AF5FF" w:rsidR="00DA4F3D" w:rsidRDefault="00DA4F3D" w:rsidP="00DA4F3D">
      <w:pPr>
        <w:tabs>
          <w:tab w:val="left" w:pos="426"/>
        </w:tabs>
        <w:ind w:left="705" w:hanging="705"/>
        <w:jc w:val="both"/>
      </w:pPr>
      <w:r w:rsidRPr="00CF36F1">
        <w:rPr>
          <w:rFonts w:ascii="Palatino Linotype" w:hAnsi="Palatino Linotype"/>
          <w:sz w:val="22"/>
          <w:szCs w:val="22"/>
        </w:rPr>
        <w:t>Que,</w:t>
      </w:r>
      <w:r w:rsidRPr="00CF36F1">
        <w:rPr>
          <w:rFonts w:ascii="Palatino Linotype" w:hAnsi="Palatino Linotype"/>
          <w:sz w:val="22"/>
          <w:szCs w:val="22"/>
        </w:rPr>
        <w:tab/>
      </w:r>
      <w:r>
        <w:t>La Declaratoria de Bien Mostrenco fue perfeccionada, mediante protocolización ante la NOTARÍA TRIGÉSIMA SÉPTIMA de QUITO con fecha 16 de noviembre del 2020, e inscrita el 20 de noviembre de 2020 en el Registro de la Propiedad.</w:t>
      </w:r>
    </w:p>
    <w:p w14:paraId="45CC0E41" w14:textId="60162397" w:rsidR="00DA4F3D" w:rsidRDefault="00DA4F3D" w:rsidP="00DA4F3D">
      <w:pPr>
        <w:tabs>
          <w:tab w:val="left" w:pos="426"/>
        </w:tabs>
        <w:ind w:left="705" w:hanging="705"/>
        <w:jc w:val="both"/>
      </w:pPr>
    </w:p>
    <w:p w14:paraId="3512CDD7" w14:textId="09E3BCDB" w:rsidR="00DA4F3D" w:rsidRPr="00CF36F1" w:rsidRDefault="00DA4F3D" w:rsidP="00DA4F3D">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t>La Dirección Metropolitana de Gestión de Bienes Inmuebles, mediante Oficio No. GADDMQ-DMGBI-2022-1082-O de 25 de marzo de 2022, luego de verificar ciertas inconsistencias en los datos de los bienes declarados como mostrencos, convoco a una mesa de trabajo a varias entidades municipales con el objetivo de subsanarlos. La mesa de trabajo se llevó a cabo el día lunes, 28 de marzo de 2022, allí se estableció la hoja de ruta a seguir para iniciar el proceso de modificatoria de linderos en la Resolución No. C 087-2020.</w:t>
      </w:r>
    </w:p>
    <w:p w14:paraId="4C6037C3" w14:textId="58E2269C" w:rsidR="00DA4F3D" w:rsidRDefault="00DA4F3D" w:rsidP="00DA4F3D">
      <w:pPr>
        <w:tabs>
          <w:tab w:val="left" w:pos="426"/>
        </w:tabs>
        <w:ind w:left="705" w:hanging="705"/>
        <w:jc w:val="both"/>
        <w:rPr>
          <w:rFonts w:ascii="Palatino Linotype" w:hAnsi="Palatino Linotype"/>
          <w:sz w:val="22"/>
          <w:szCs w:val="22"/>
        </w:rPr>
      </w:pPr>
    </w:p>
    <w:p w14:paraId="0CA65E35" w14:textId="1D2ABBA0" w:rsidR="00DA4F3D" w:rsidRPr="00CF36F1" w:rsidRDefault="00DA4F3D" w:rsidP="00DA4F3D">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t>La Dirección Metropolitano de Catastro, a través del Oficio Nro. GADDMQ-STHV-DMC-2022-0529-O</w:t>
      </w:r>
      <w:r w:rsidR="00077279">
        <w:t>,</w:t>
      </w:r>
      <w:r>
        <w:t xml:space="preserve"> de 29 de marzo de 2022, dirigido a la Administraciones Zonales Tumbaco, Manuela Sáenz y Eloy Alfaro, solicitó se ratifiquen o rectifiquen los levantamientos </w:t>
      </w:r>
      <w:proofErr w:type="spellStart"/>
      <w:r>
        <w:t>planimétricos</w:t>
      </w:r>
      <w:proofErr w:type="spellEnd"/>
      <w:r>
        <w:t xml:space="preserve"> georreferenciados, los mismos que se remitieron en coordenadas planas WGS84 TM QUITO (versión 2000), FORMATO DWG y PDF. </w:t>
      </w:r>
      <w:r>
        <w:lastRenderedPageBreak/>
        <w:t>(con las debidas firmas de responsabilidad), acompañados además de los informes legal, técnico y social actualizados para realizar la modificatoria.</w:t>
      </w:r>
    </w:p>
    <w:p w14:paraId="76F0085C" w14:textId="530E738F" w:rsidR="00DA4F3D" w:rsidRDefault="00DA4F3D" w:rsidP="00DA4F3D">
      <w:pPr>
        <w:tabs>
          <w:tab w:val="left" w:pos="426"/>
        </w:tabs>
        <w:ind w:left="705" w:hanging="705"/>
        <w:jc w:val="both"/>
        <w:rPr>
          <w:rFonts w:ascii="Palatino Linotype" w:hAnsi="Palatino Linotype"/>
          <w:sz w:val="22"/>
          <w:szCs w:val="22"/>
        </w:rPr>
      </w:pPr>
    </w:p>
    <w:p w14:paraId="11B5D422" w14:textId="56AAEDBC" w:rsidR="00DA4F3D" w:rsidRPr="00DA4F3D" w:rsidRDefault="00DA4F3D" w:rsidP="00DA4F3D">
      <w:pPr>
        <w:tabs>
          <w:tab w:val="left" w:pos="426"/>
        </w:tabs>
        <w:ind w:left="705" w:hanging="705"/>
        <w:jc w:val="both"/>
        <w:rPr>
          <w:i/>
        </w:rPr>
      </w:pPr>
      <w:r w:rsidRPr="00CF36F1">
        <w:rPr>
          <w:rFonts w:ascii="Palatino Linotype" w:hAnsi="Palatino Linotype"/>
          <w:sz w:val="22"/>
          <w:szCs w:val="22"/>
        </w:rPr>
        <w:t>Que,</w:t>
      </w:r>
      <w:r w:rsidRPr="00CF36F1">
        <w:rPr>
          <w:rFonts w:ascii="Palatino Linotype" w:hAnsi="Palatino Linotype"/>
          <w:sz w:val="22"/>
          <w:szCs w:val="22"/>
        </w:rPr>
        <w:tab/>
      </w:r>
      <w:r>
        <w:t>La Administración Zonal Eloy Alfaro, mediante oficio No. GADDMQ-AZEA-AZ-2022-0795-O</w:t>
      </w:r>
      <w:r w:rsidR="00077279">
        <w:t>,</w:t>
      </w:r>
      <w:r>
        <w:t xml:space="preserve"> de 01 de abril de 2022, en su parte pertinente señala</w:t>
      </w:r>
      <w:r w:rsidRPr="00DA4F3D">
        <w:rPr>
          <w:i/>
        </w:rPr>
        <w:t xml:space="preserve">: “(...) por cuanto se ha dado estricto cumplimiento a lo dispuesto en la normativa municipal enunciada, la Administración Zonal Eloy Alfaro, emite INFORME FAVORABLE para que se modifique la Declaratoria de Bien Mostrenco del predio No. 3705360, ubicado en la calle Gatazo, entre Jacinto </w:t>
      </w:r>
      <w:proofErr w:type="spellStart"/>
      <w:r w:rsidRPr="00DA4F3D">
        <w:rPr>
          <w:i/>
        </w:rPr>
        <w:t>Collaguazo</w:t>
      </w:r>
      <w:proofErr w:type="spellEnd"/>
      <w:r w:rsidRPr="00DA4F3D">
        <w:rPr>
          <w:i/>
        </w:rPr>
        <w:t xml:space="preserve"> y Trinidad </w:t>
      </w:r>
      <w:proofErr w:type="spellStart"/>
      <w:r w:rsidRPr="00DA4F3D">
        <w:rPr>
          <w:i/>
        </w:rPr>
        <w:t>Linárez</w:t>
      </w:r>
      <w:proofErr w:type="spellEnd"/>
      <w:r w:rsidRPr="00DA4F3D">
        <w:rPr>
          <w:i/>
        </w:rPr>
        <w:t>, parroquia La Magdalena, clave catastral parcial 3040310002, cuyos linderos de conformidad con el Informe Técnico serán los siguientes: NORTE: En una extensión de 21,13 metros con Propiedad Municipal; SUR: En una extensión de 18,40 metros con la calle Gatazo; ESTE: En una extensión de 30,47 metros con Propiedad Municipal; y, OESTE: En una extensión de 30,58 metros con la calle Oe4A Trinidad Linares. La superficie total y aproximada es de 601,34 metros."</w:t>
      </w:r>
    </w:p>
    <w:p w14:paraId="751CC332" w14:textId="59914AE4" w:rsidR="00DA4F3D" w:rsidRDefault="00DA4F3D" w:rsidP="00DA4F3D">
      <w:pPr>
        <w:tabs>
          <w:tab w:val="left" w:pos="426"/>
        </w:tabs>
        <w:ind w:left="705" w:hanging="705"/>
        <w:jc w:val="both"/>
      </w:pPr>
    </w:p>
    <w:p w14:paraId="1730C85D" w14:textId="52E2F0B1" w:rsidR="00DA4F3D" w:rsidRPr="00CF36F1" w:rsidRDefault="00DA4F3D" w:rsidP="00DA4F3D">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t>La Administración Zonal Tumbaco mediante documento GADDMQ-AZT-2022-0756-O</w:t>
      </w:r>
      <w:r w:rsidR="00077279">
        <w:t>,</w:t>
      </w:r>
      <w:r>
        <w:t xml:space="preserve"> de 02 de abril de 2022, dentro de su parte pertinente señala: </w:t>
      </w:r>
      <w:r w:rsidRPr="00DA4F3D">
        <w:rPr>
          <w:i/>
        </w:rPr>
        <w:t>“Al respecto, esta Administración Zonal Tumbaco acogiendo los informes técnico y legal considera favorable PARA LA MODIFICATORIA DE LA RESOLUCIÓN DE CONCEJO METROPOLITANO N° 087-2020: DECLARATORIA DE BIEN MOSTRENCO, del predio N° 3707187, con clave catastral N° 10219-03-060 (clave catastral referencial N° 10301-11-001), ubicado en el sector Tumbaco Cabecera, Parroquia Tumbaco, con un área total del predio de 623.09 metros cuadrados.”</w:t>
      </w:r>
    </w:p>
    <w:p w14:paraId="35F2F4AE" w14:textId="0432FA4B" w:rsidR="00DA4F3D" w:rsidRDefault="00DA4F3D" w:rsidP="00DA4F3D">
      <w:pPr>
        <w:tabs>
          <w:tab w:val="left" w:pos="426"/>
        </w:tabs>
        <w:ind w:left="705" w:hanging="705"/>
        <w:jc w:val="both"/>
        <w:rPr>
          <w:rFonts w:ascii="Palatino Linotype" w:hAnsi="Palatino Linotype"/>
          <w:sz w:val="22"/>
          <w:szCs w:val="22"/>
        </w:rPr>
      </w:pPr>
    </w:p>
    <w:p w14:paraId="5320BE15" w14:textId="014DFAE2" w:rsidR="00DA4F3D" w:rsidRDefault="00DA4F3D" w:rsidP="00077279">
      <w:pPr>
        <w:tabs>
          <w:tab w:val="left" w:pos="426"/>
        </w:tabs>
        <w:ind w:left="705" w:hanging="705"/>
        <w:jc w:val="both"/>
      </w:pPr>
      <w:r w:rsidRPr="00CF36F1">
        <w:rPr>
          <w:rFonts w:ascii="Palatino Linotype" w:hAnsi="Palatino Linotype"/>
          <w:sz w:val="22"/>
          <w:szCs w:val="22"/>
        </w:rPr>
        <w:t>Que,</w:t>
      </w:r>
      <w:r w:rsidRPr="00CF36F1">
        <w:rPr>
          <w:rFonts w:ascii="Palatino Linotype" w:hAnsi="Palatino Linotype"/>
          <w:sz w:val="22"/>
          <w:szCs w:val="22"/>
        </w:rPr>
        <w:tab/>
      </w:r>
      <w:r>
        <w:t>La Administración Zonal Manuela Sáenz mediante oficio No. GADDMQ-AZMS-2022-0802-O</w:t>
      </w:r>
      <w:r w:rsidR="00077279">
        <w:t>,</w:t>
      </w:r>
      <w:r>
        <w:t xml:space="preserve"> de 05 de abril de 2022, señala: “(...) el criterio final de esta Administración Zonal</w:t>
      </w:r>
      <w:r w:rsidR="00077279">
        <w:t>,</w:t>
      </w:r>
      <w:r>
        <w:t xml:space="preserve"> para efectos de lo solicitado mediante Oficio No. GADDMQ-STHYV-DMC-2022-0529-O, es FAVORABLE para que se modifique la declaratoria de bien mostrenco.”</w:t>
      </w:r>
    </w:p>
    <w:p w14:paraId="279E6D8B" w14:textId="0FEEB2FF" w:rsidR="00DF0CBF" w:rsidRDefault="00DF0CBF" w:rsidP="00077279">
      <w:pPr>
        <w:tabs>
          <w:tab w:val="left" w:pos="426"/>
        </w:tabs>
        <w:ind w:left="705" w:hanging="705"/>
        <w:jc w:val="both"/>
      </w:pPr>
    </w:p>
    <w:p w14:paraId="2B892640" w14:textId="2512F0AF" w:rsidR="00DA4F3D" w:rsidRDefault="00DA4F3D" w:rsidP="00DA4F3D">
      <w:pPr>
        <w:tabs>
          <w:tab w:val="left" w:pos="426"/>
        </w:tabs>
        <w:ind w:left="705" w:hanging="705"/>
        <w:jc w:val="both"/>
        <w:rPr>
          <w:rFonts w:ascii="Palatino Linotype" w:hAnsi="Palatino Linotype"/>
          <w:sz w:val="22"/>
          <w:szCs w:val="22"/>
        </w:rPr>
      </w:pPr>
    </w:p>
    <w:p w14:paraId="7B0AF673" w14:textId="3416A74C" w:rsidR="00077279" w:rsidRDefault="00DA4F3D" w:rsidP="00077279">
      <w:pPr>
        <w:ind w:left="705" w:hanging="705"/>
        <w:jc w:val="both"/>
      </w:pPr>
      <w:r w:rsidRPr="00CF36F1">
        <w:rPr>
          <w:rFonts w:ascii="Palatino Linotype" w:hAnsi="Palatino Linotype"/>
          <w:sz w:val="22"/>
          <w:szCs w:val="22"/>
        </w:rPr>
        <w:t>Que,</w:t>
      </w:r>
      <w:r w:rsidRPr="00CF36F1">
        <w:rPr>
          <w:rFonts w:ascii="Palatino Linotype" w:hAnsi="Palatino Linotype"/>
          <w:sz w:val="22"/>
          <w:szCs w:val="22"/>
        </w:rPr>
        <w:tab/>
      </w:r>
      <w:r w:rsidR="00077279">
        <w:t>Mediante Oficio Nro.</w:t>
      </w:r>
      <w:r w:rsidR="00077279" w:rsidRPr="00802B5B">
        <w:t xml:space="preserve"> </w:t>
      </w:r>
      <w:r w:rsidR="00077279">
        <w:t xml:space="preserve">GADDMQ-STHV-DMC-2022-0593-O, de 07 de abril de 2022, el arquitecto Héctor Fernando Zamorano Cevallos, Director Metropolitano Secretaría de Territorio, Hábitat y Vivienda - Dirección Metropolitana De Catastro, remite a la Dirección Metropolitana de Gestión de Bienes Inmuebles, la ficha técnica Nro. STHV-DMC-UCE-2022-0802 , de 06 de abril de 2022, correspondiente al Bien Inmueble con predio No. 3707187, y clave catastral No. 10219-03-060; mismo que se encuentra registrado en el catastro a nombre del Municipio del Distrito </w:t>
      </w:r>
      <w:r w:rsidR="00077279">
        <w:lastRenderedPageBreak/>
        <w:t>Metropolitano de Quito, ficha técnica para la modificatoria de la declaratoria de bien mostrenco.</w:t>
      </w:r>
    </w:p>
    <w:p w14:paraId="319FD8C6" w14:textId="274D0EEA" w:rsidR="00DA4F3D" w:rsidRPr="00CF36F1" w:rsidRDefault="00DA4F3D" w:rsidP="00DA4F3D">
      <w:pPr>
        <w:tabs>
          <w:tab w:val="left" w:pos="426"/>
        </w:tabs>
        <w:ind w:left="705" w:hanging="705"/>
        <w:jc w:val="both"/>
        <w:rPr>
          <w:rFonts w:ascii="Palatino Linotype" w:hAnsi="Palatino Linotype"/>
          <w:sz w:val="22"/>
          <w:szCs w:val="22"/>
        </w:rPr>
      </w:pPr>
    </w:p>
    <w:p w14:paraId="62A83866" w14:textId="47ADD68C" w:rsidR="00DA4F3D" w:rsidRDefault="00DA4F3D" w:rsidP="00DA4F3D">
      <w:pPr>
        <w:tabs>
          <w:tab w:val="left" w:pos="426"/>
        </w:tabs>
        <w:ind w:left="705" w:hanging="705"/>
        <w:jc w:val="both"/>
        <w:rPr>
          <w:rFonts w:ascii="Palatino Linotype" w:hAnsi="Palatino Linotype"/>
          <w:sz w:val="22"/>
          <w:szCs w:val="22"/>
        </w:rPr>
      </w:pPr>
    </w:p>
    <w:p w14:paraId="0E41FFD9" w14:textId="2A36D408" w:rsidR="00077279" w:rsidRDefault="00DA4F3D" w:rsidP="00077279">
      <w:pPr>
        <w:ind w:left="705" w:hanging="705"/>
        <w:jc w:val="both"/>
      </w:pPr>
      <w:r w:rsidRPr="00CF36F1">
        <w:rPr>
          <w:rFonts w:ascii="Palatino Linotype" w:hAnsi="Palatino Linotype"/>
          <w:sz w:val="22"/>
          <w:szCs w:val="22"/>
        </w:rPr>
        <w:t>Que,</w:t>
      </w:r>
      <w:r w:rsidRPr="00CF36F1">
        <w:rPr>
          <w:rFonts w:ascii="Palatino Linotype" w:hAnsi="Palatino Linotype"/>
          <w:sz w:val="22"/>
          <w:szCs w:val="22"/>
        </w:rPr>
        <w:tab/>
      </w:r>
      <w:r w:rsidR="00077279">
        <w:t>Mediante Oficio Nro.</w:t>
      </w:r>
      <w:r w:rsidR="00077279" w:rsidRPr="00802B5B">
        <w:t xml:space="preserve"> </w:t>
      </w:r>
      <w:r w:rsidR="00077279">
        <w:t>GADDMQ-STHV-DMC-2022-0592-O, de 07 de abril de 2022, el arquitecto Héctor Fernando Zamorano Cevallos, Director Metropolitano Secretaría de Territorio, Hábitat Y Vivienda - Dirección Metropolitana De Catastro, remite a la Dirección Metropolitana de Gestión de Bienes Inmuebles, la ficha técnica Nro. STHV-DMC-UCE-2022-0797, de 06 de abril de 2022, correspondiente al Bien Inmueble con predio No. 3705360, y clave catastral No. 0403-10-002; mismo que se encuentra registrado en el catastro a nombre del Municipio del Distrito Metropolitano de Quito, ficha técnica para la modificatoria de la declaratoria de bien mostrenco.</w:t>
      </w:r>
    </w:p>
    <w:p w14:paraId="147111F2" w14:textId="77777777" w:rsidR="00077279" w:rsidRDefault="00077279" w:rsidP="00077279">
      <w:pPr>
        <w:ind w:left="705" w:hanging="705"/>
        <w:jc w:val="both"/>
      </w:pPr>
    </w:p>
    <w:p w14:paraId="0C8EAA61" w14:textId="112E3171" w:rsidR="00077279" w:rsidRDefault="00077279" w:rsidP="00077279">
      <w:pPr>
        <w:ind w:left="705" w:hanging="705"/>
        <w:jc w:val="both"/>
      </w:pPr>
      <w:r w:rsidRPr="00CF36F1">
        <w:rPr>
          <w:rFonts w:ascii="Palatino Linotype" w:hAnsi="Palatino Linotype"/>
          <w:sz w:val="22"/>
          <w:szCs w:val="22"/>
        </w:rPr>
        <w:t>Que,</w:t>
      </w:r>
      <w:r w:rsidRPr="00CF36F1">
        <w:rPr>
          <w:rFonts w:ascii="Palatino Linotype" w:hAnsi="Palatino Linotype"/>
          <w:sz w:val="22"/>
          <w:szCs w:val="22"/>
        </w:rPr>
        <w:tab/>
      </w:r>
      <w:r>
        <w:t>Mediante Oficio Nro. GADDMQ-STHV-DMC-2022-0622-O, de 08 de abril de 2022, el arquitecto Héctor Fernando Zamorano Cevallos, Director Metropolitano Secretaría de Territorio, Hábitat Y Vivienda - Dirección Metropolitana De Catastro, remite a la Dirección Metropolitana de Gestión de Bienes Inmuebles, las fichas técnicas Nro. STHV-DMC-UCE-2022-0816 y Nro. STHV-DMC-UCE-2022-0817, correspondientes a los Bienes Inmuebles signados con predios No.: 3705343 y predio No. 3705347 respectivamente, los cuales se encuentran registrados en el Sistema Catastral SIREC-Q a nombre del Municipio del Distrito Metropolitano de Quito, fichas técnicas para la modificatoria de la declaratoria de bien mostrenco.</w:t>
      </w:r>
    </w:p>
    <w:p w14:paraId="342B67F6" w14:textId="51CAB56B" w:rsidR="00DF0CBF" w:rsidRDefault="00DF0CBF" w:rsidP="00077279">
      <w:pPr>
        <w:ind w:left="705" w:hanging="705"/>
        <w:jc w:val="both"/>
      </w:pPr>
    </w:p>
    <w:p w14:paraId="689EAF19" w14:textId="73C05E32" w:rsidR="00DF0CBF" w:rsidRPr="00DF0CBF" w:rsidRDefault="00DF0CBF" w:rsidP="00DF0CBF">
      <w:pPr>
        <w:tabs>
          <w:tab w:val="left" w:pos="426"/>
        </w:tabs>
        <w:ind w:left="705" w:hanging="705"/>
        <w:jc w:val="both"/>
        <w:rPr>
          <w:i/>
        </w:rPr>
      </w:pPr>
      <w:r w:rsidRPr="00CF36F1">
        <w:rPr>
          <w:rFonts w:ascii="Palatino Linotype" w:hAnsi="Palatino Linotype"/>
          <w:sz w:val="22"/>
          <w:szCs w:val="22"/>
        </w:rPr>
        <w:t>Que,</w:t>
      </w:r>
      <w:r w:rsidRPr="00CF36F1">
        <w:rPr>
          <w:rFonts w:ascii="Palatino Linotype" w:hAnsi="Palatino Linotype"/>
          <w:sz w:val="22"/>
          <w:szCs w:val="22"/>
        </w:rPr>
        <w:tab/>
      </w:r>
      <w:r>
        <w:t xml:space="preserve">Mediante Oficio Nro. GADDMQ-DMGBI-2022-1319-O, de 08 de abril de 2022, el Director Metropolitano de Gestión de Bienes Inmuebles, manifestó en su parte pertinente: </w:t>
      </w:r>
      <w:r w:rsidRPr="00DF0CBF">
        <w:rPr>
          <w:i/>
        </w:rPr>
        <w:t>“Mediante documentos No. GADDMQ-DMGBI-2022-1201-O, GADDMQ-DMGBI-2022-1202-O de 04 de abril de 2022 y GADDMQ-DMGBI-2022-1229-O de 05 de abril de 2022, esta Dirección Metropolitana solicitó a la Dirección Metropolitana de Catastro remita las fichas técnicas para la modificatoria de bien mostrenco de los predios: 3707187, 3705360, 3705347 y 3705343 respectivamente.</w:t>
      </w:r>
      <w:r w:rsidRPr="00DF0CBF">
        <w:t xml:space="preserve"> </w:t>
      </w:r>
      <w:r w:rsidRPr="00DF0CBF">
        <w:rPr>
          <w:i/>
        </w:rPr>
        <w:t>En virtud de lo expuesto, y una vez se han verificado en campo la cabida y linderos de los predios Nos. 3705360, 3707187, 3705343 y 3705347, se cuenta con los informes favorables de las Administraciones Zonales respectivas y las fichas técnicas de cada uno de los inmuebles, esta Dirección Metropolitana emite CRITERIO FAVORABLE para que se continúe con el procedimiento de modificación a la declaratoria de bien mostrenco […]”</w:t>
      </w:r>
    </w:p>
    <w:p w14:paraId="730C911F" w14:textId="783B2E1D" w:rsidR="00DA4F3D" w:rsidRPr="00CF36F1" w:rsidRDefault="00DA4F3D" w:rsidP="00077279">
      <w:pPr>
        <w:tabs>
          <w:tab w:val="left" w:pos="426"/>
        </w:tabs>
        <w:jc w:val="both"/>
        <w:rPr>
          <w:rFonts w:ascii="Palatino Linotype" w:hAnsi="Palatino Linotype"/>
          <w:sz w:val="22"/>
          <w:szCs w:val="22"/>
        </w:rPr>
      </w:pPr>
    </w:p>
    <w:p w14:paraId="6C741B4D" w14:textId="3B0397A5" w:rsidR="00DA4F3D" w:rsidRDefault="00DA4F3D" w:rsidP="00DA4F3D">
      <w:pPr>
        <w:tabs>
          <w:tab w:val="left" w:pos="426"/>
        </w:tabs>
        <w:ind w:left="705" w:hanging="705"/>
        <w:jc w:val="both"/>
        <w:rPr>
          <w:rFonts w:ascii="Palatino Linotype" w:hAnsi="Palatino Linotype"/>
          <w:sz w:val="22"/>
          <w:szCs w:val="22"/>
        </w:rPr>
      </w:pPr>
    </w:p>
    <w:p w14:paraId="0236D984" w14:textId="42B71E5A" w:rsidR="00B92330" w:rsidRPr="00B92330" w:rsidRDefault="00B92330" w:rsidP="00B92330">
      <w:pPr>
        <w:ind w:left="705" w:hanging="705"/>
        <w:jc w:val="both"/>
      </w:pPr>
      <w:r w:rsidRPr="00CF36F1">
        <w:rPr>
          <w:rFonts w:ascii="Palatino Linotype" w:hAnsi="Palatino Linotype"/>
          <w:sz w:val="22"/>
          <w:szCs w:val="22"/>
        </w:rPr>
        <w:lastRenderedPageBreak/>
        <w:t>Que,</w:t>
      </w:r>
      <w:r w:rsidRPr="00CF36F1">
        <w:rPr>
          <w:rFonts w:ascii="Palatino Linotype" w:hAnsi="Palatino Linotype"/>
          <w:sz w:val="22"/>
          <w:szCs w:val="22"/>
        </w:rPr>
        <w:tab/>
      </w:r>
      <w:r>
        <w:t xml:space="preserve">Mediante Oficio Nro. GADDMQ-PM-2022-1589-O, Quito, de 13 de abril de 2022, </w:t>
      </w:r>
      <w:proofErr w:type="spellStart"/>
      <w:r>
        <w:t>Mgs</w:t>
      </w:r>
      <w:proofErr w:type="spellEnd"/>
      <w:r>
        <w:t>. Paul Esteban Romero Osorio, Subprocurador de Asesoría de Uso y Ocupación De Suelos Procuraduría Metropolitana Del GAD del Distrito Metropolitano de Quito, concluye: “</w:t>
      </w:r>
      <w:r w:rsidRPr="007C2650">
        <w:rPr>
          <w:i/>
        </w:rPr>
        <w:t xml:space="preserve">Con los antecedentes, fundamentos e informes expuestos, en consideración a que la declaratoria y regularización de los bienes mostrencos es competencia del Concejo Metropolitano de conformidad con los arts. 87 literal d) del COOTAD; y, Art. 3635 del Código Municipal para el Distrito Metropolitano de Quito, considerando que las Administraciones Zonales Manuela Sáenz, Tumbaco y Eloy Alfaro han procedido a realizar levantamientos </w:t>
      </w:r>
      <w:proofErr w:type="spellStart"/>
      <w:r w:rsidRPr="007C2650">
        <w:rPr>
          <w:i/>
        </w:rPr>
        <w:t>planimétricos</w:t>
      </w:r>
      <w:proofErr w:type="spellEnd"/>
      <w:r w:rsidRPr="007C2650">
        <w:rPr>
          <w:i/>
        </w:rPr>
        <w:t xml:space="preserve"> georreferenciados actuales de los predios 3705360, 3707187, 3705347 y 3705343, de los que se determinó que los linderos de éstos predios no coinciden con los aprobados e</w:t>
      </w:r>
      <w:r>
        <w:rPr>
          <w:i/>
        </w:rPr>
        <w:t>n la Resolución Nro. C 087-2020</w:t>
      </w:r>
      <w:r w:rsidRPr="007C2650">
        <w:rPr>
          <w:i/>
        </w:rPr>
        <w:t xml:space="preserve"> y, que la Dirección Metropolitana de Catastro ha emitido nuevas fichas de datos técnicos respecto a los predios objeto del presente trámite, Procuraduría Metropolitana emite criterio legal favorable para que la Comisión de Propiedad y Espacio Público, de estimarlo pertinente, alcance del Concejo Metropolitano de Quito, la modificatoria de la resolución C 087-2020, de 14 de octubre de 2020, mediante la cual se resolvió declarar y regularizar como bienes inmuebles urbanos mostrencos e incorporarlos al catastro del Municipio del Distrito Metropolitano de Quito, como bienes de dominio privado, los bienes inmuebles: (i) bien inmueble con clave catastral referencial No. 30403-10- 001, con superficie de 601,34m2, ubicado en la parroquia La Magdalena; (ii) bien inmueble con clave catastral referencial No. 10219-03-010 con superficie de 623,09 m2, ubicado en la parroquia de Tumbaco; (iii) bien inmueble con clave catastral referencial No. 10301-11-001, con superficie de 362,41 m2, ubicado en la parroquia San Juan; y, (iv) bien inmueble con clave catastral referencial No. 10202-09-001, con superficie de 535,87 m2, ubicado en la parroquia </w:t>
      </w:r>
      <w:proofErr w:type="spellStart"/>
      <w:r w:rsidRPr="007C2650">
        <w:rPr>
          <w:i/>
        </w:rPr>
        <w:t>Itchimbía</w:t>
      </w:r>
      <w:proofErr w:type="spellEnd"/>
      <w:r w:rsidRPr="007C2650">
        <w:rPr>
          <w:i/>
        </w:rPr>
        <w:t>; modificatoria en cuanto a los datos técnicos correspondientes a linderos y superficies, conforme a los datos técnicos determinados en las fichas técnicas actualizadas, adjuntas a los Oficios No. GADDMQ-STHV-DMC-2022-0592-O de 07 de abril de 2022; GADDMQ-STHV-DMC-2022-0593-O de 07 de abril de 2022; y, GADDMQ-STHV-DMC-2022-0622-O de 08 de abril de 2022 de la Dirección Metropolitana de Catastro</w:t>
      </w:r>
      <w:r>
        <w:rPr>
          <w:i/>
        </w:rPr>
        <w:t>”</w:t>
      </w:r>
    </w:p>
    <w:p w14:paraId="438A0EE5" w14:textId="77777777" w:rsidR="00B92330" w:rsidRDefault="00B92330" w:rsidP="00044368">
      <w:pPr>
        <w:ind w:left="705" w:hanging="705"/>
        <w:jc w:val="both"/>
        <w:rPr>
          <w:rFonts w:ascii="Palatino Linotype" w:hAnsi="Palatino Linotype"/>
          <w:sz w:val="22"/>
          <w:szCs w:val="22"/>
        </w:rPr>
      </w:pPr>
    </w:p>
    <w:p w14:paraId="4E70BB4C" w14:textId="54BBCBE6" w:rsidR="00044368" w:rsidRPr="00295C92" w:rsidRDefault="00DA4F3D" w:rsidP="00044368">
      <w:pPr>
        <w:ind w:left="705" w:hanging="705"/>
        <w:jc w:val="both"/>
      </w:pPr>
      <w:r w:rsidRPr="00CF36F1">
        <w:rPr>
          <w:rFonts w:ascii="Palatino Linotype" w:hAnsi="Palatino Linotype"/>
          <w:sz w:val="22"/>
          <w:szCs w:val="22"/>
        </w:rPr>
        <w:t>Que,</w:t>
      </w:r>
      <w:r w:rsidRPr="00CF36F1">
        <w:rPr>
          <w:rFonts w:ascii="Palatino Linotype" w:hAnsi="Palatino Linotype"/>
          <w:sz w:val="22"/>
          <w:szCs w:val="22"/>
        </w:rPr>
        <w:tab/>
      </w:r>
      <w:r w:rsidR="00044368">
        <w:t xml:space="preserve">Mediante oficio No. GADDMQ-AZMS-2022-0960-O de 21 de abril de 2022, la Administración Zonal Manuela Sáenz, en alcance al oficio No. GADDMQ-AZMS-2022-0794-O, de 05 de abril de 2022, señala lo siguiente: </w:t>
      </w:r>
      <w:r w:rsidR="00044368" w:rsidRPr="00295C92">
        <w:rPr>
          <w:i/>
        </w:rPr>
        <w:t>"(...) Con un cordial saludo, me dirijo usted en alcance al Oficio Nro. GADDMQ-AZMS-2022-0794-O, de 05 de abril de 2022, mediante el cual, se remitieron los informes técnicos referentes a los predios Nro. 3705347 y Nro. 3705343, a cargo de esta Administración Zonal.</w:t>
      </w:r>
    </w:p>
    <w:p w14:paraId="55CE2BEC" w14:textId="77777777" w:rsidR="00044368" w:rsidRPr="00295C92" w:rsidRDefault="00044368" w:rsidP="00044368">
      <w:pPr>
        <w:ind w:left="705" w:firstLine="3"/>
        <w:jc w:val="both"/>
        <w:rPr>
          <w:i/>
        </w:rPr>
      </w:pPr>
      <w:r w:rsidRPr="00295C92">
        <w:rPr>
          <w:i/>
        </w:rPr>
        <w:lastRenderedPageBreak/>
        <w:t>Mediante Memorando Nro. GADDMQ-AZMS-DGC-2022-322-M de 21 de abril de 2022, el Arq. Iván Esteban Andrade Albornoz, Director de Gestión de Territorio de esta Zonal, realizó un alcance a su memorando No. GADDMQ-AZMS-DGC-2022-257-M de 01 de abril de 2022, mediante el cual, remitió la ratificación del informe técnico referente a la modificatoria a la declaratoria de bien mostrenco de los predios antes mencionados e informó:</w:t>
      </w:r>
    </w:p>
    <w:p w14:paraId="5762EEFF" w14:textId="33DEE101" w:rsidR="00DA4F3D" w:rsidRPr="00044368" w:rsidRDefault="00044368" w:rsidP="00044368">
      <w:pPr>
        <w:ind w:left="705" w:firstLine="3"/>
        <w:jc w:val="both"/>
        <w:rPr>
          <w:i/>
        </w:rPr>
      </w:pPr>
      <w:r w:rsidRPr="00295C92">
        <w:rPr>
          <w:i/>
        </w:rPr>
        <w:t xml:space="preserve">“(…) Al respecto informo que por un error de </w:t>
      </w:r>
      <w:proofErr w:type="spellStart"/>
      <w:r w:rsidRPr="00295C92">
        <w:rPr>
          <w:i/>
        </w:rPr>
        <w:t>tipeo</w:t>
      </w:r>
      <w:proofErr w:type="spellEnd"/>
      <w:r w:rsidRPr="00295C92">
        <w:rPr>
          <w:i/>
        </w:rPr>
        <w:t>, al predio ubicado en el Triángulo del Parque El Ejido se lo signó con el número 37053343, siendo lo correcto Predio No. 3705343.” [Énfasis añadido] (...)".</w:t>
      </w:r>
    </w:p>
    <w:p w14:paraId="73EE278E" w14:textId="3140A507" w:rsidR="00A710FF" w:rsidRPr="005F3FAB" w:rsidRDefault="00A710FF" w:rsidP="00443D96">
      <w:pPr>
        <w:tabs>
          <w:tab w:val="left" w:pos="426"/>
        </w:tabs>
        <w:jc w:val="both"/>
        <w:rPr>
          <w:rFonts w:ascii="Palatino Linotype" w:hAnsi="Palatino Linotype"/>
          <w:sz w:val="22"/>
          <w:szCs w:val="22"/>
        </w:rPr>
      </w:pPr>
    </w:p>
    <w:p w14:paraId="12706468" w14:textId="3CEDB186" w:rsidR="00A710FF" w:rsidRPr="00044368" w:rsidRDefault="00A710FF" w:rsidP="00A710FF">
      <w:pPr>
        <w:tabs>
          <w:tab w:val="left" w:pos="426"/>
        </w:tabs>
        <w:ind w:left="705" w:hanging="705"/>
        <w:jc w:val="both"/>
        <w:rPr>
          <w:rFonts w:ascii="Palatino Linotype" w:hAnsi="Palatino Linotype"/>
          <w:i/>
          <w:sz w:val="22"/>
          <w:szCs w:val="22"/>
        </w:rPr>
      </w:pPr>
      <w:r w:rsidRPr="00CF36F1">
        <w:rPr>
          <w:rFonts w:ascii="Palatino Linotype" w:hAnsi="Palatino Linotype"/>
          <w:sz w:val="22"/>
          <w:szCs w:val="22"/>
        </w:rPr>
        <w:t>Que,</w:t>
      </w:r>
      <w:r w:rsidRPr="00CF36F1">
        <w:rPr>
          <w:rFonts w:ascii="Palatino Linotype" w:hAnsi="Palatino Linotype"/>
          <w:sz w:val="22"/>
          <w:szCs w:val="22"/>
        </w:rPr>
        <w:tab/>
      </w:r>
      <w:r w:rsidR="00044368" w:rsidRPr="00044368">
        <w:rPr>
          <w:rFonts w:ascii="Palatino Linotype" w:hAnsi="Palatino Linotype"/>
          <w:sz w:val="22"/>
          <w:szCs w:val="22"/>
        </w:rPr>
        <w:t xml:space="preserve">La Administración Zonal Eloy Alfaro, mediante oficio No. GADDMQ-AZEA-AZ-2022-0954-O de 21 de abril de 2022, remite los informes social, técnico, legal, rectificados con criterio favorable, y señala en su parte concluyen lo siguiente: </w:t>
      </w:r>
      <w:r w:rsidR="00044368" w:rsidRPr="00044368">
        <w:rPr>
          <w:rFonts w:ascii="Palatino Linotype" w:hAnsi="Palatino Linotype"/>
          <w:i/>
          <w:sz w:val="22"/>
          <w:szCs w:val="22"/>
        </w:rPr>
        <w:t xml:space="preserve">“ Considerando lo expuesto, y por cuanto se ha dado estricto cumplimiento a lo dispuesto en la normativa municipal enunciada, la Administración Zonal Eloy Alfaro, emite INFORME FAVORABLE para que se modifique la Declaratoria de Bien Mostrenco del predio No. 3705360, ubicado en la calle Gatazo, entre Jacinto </w:t>
      </w:r>
      <w:proofErr w:type="spellStart"/>
      <w:r w:rsidR="00044368" w:rsidRPr="00044368">
        <w:rPr>
          <w:rFonts w:ascii="Palatino Linotype" w:hAnsi="Palatino Linotype"/>
          <w:i/>
          <w:sz w:val="22"/>
          <w:szCs w:val="22"/>
        </w:rPr>
        <w:t>Collaguazo</w:t>
      </w:r>
      <w:proofErr w:type="spellEnd"/>
      <w:r w:rsidR="00044368" w:rsidRPr="00044368">
        <w:rPr>
          <w:rFonts w:ascii="Palatino Linotype" w:hAnsi="Palatino Linotype"/>
          <w:i/>
          <w:sz w:val="22"/>
          <w:szCs w:val="22"/>
        </w:rPr>
        <w:t xml:space="preserve"> y Trinidad </w:t>
      </w:r>
      <w:proofErr w:type="spellStart"/>
      <w:r w:rsidR="00044368" w:rsidRPr="00044368">
        <w:rPr>
          <w:rFonts w:ascii="Palatino Linotype" w:hAnsi="Palatino Linotype"/>
          <w:i/>
          <w:sz w:val="22"/>
          <w:szCs w:val="22"/>
        </w:rPr>
        <w:t>Linárez</w:t>
      </w:r>
      <w:proofErr w:type="spellEnd"/>
      <w:r w:rsidR="00044368" w:rsidRPr="00044368">
        <w:rPr>
          <w:rFonts w:ascii="Palatino Linotype" w:hAnsi="Palatino Linotype"/>
          <w:i/>
          <w:sz w:val="22"/>
          <w:szCs w:val="22"/>
        </w:rPr>
        <w:t>, parroquia La Magdalena, clave catastral parcial 3040310002, cuyos linderos de conformidad con el Informe Técnico serán los siguientes: NORTE: En una extensión de 21,13 metros con Propiedad Municipal; SUR: En una extensión de 18,40 metros con la calle Gatazo; ESTE: En una extensión de 30,47 metros con Propiedad Municipal; y, OESTE: En una extensión de 30,58 metros con la calle Oe4A Trinidad Linares. La superficie total y aproximada es de 601,34 metros."</w:t>
      </w:r>
    </w:p>
    <w:p w14:paraId="6E4F0FE0" w14:textId="6F62156C" w:rsidR="00044368" w:rsidRDefault="00044368" w:rsidP="00B92330">
      <w:pPr>
        <w:tabs>
          <w:tab w:val="left" w:pos="426"/>
        </w:tabs>
        <w:jc w:val="both"/>
        <w:rPr>
          <w:rFonts w:ascii="Palatino Linotype" w:hAnsi="Palatino Linotype"/>
          <w:sz w:val="22"/>
          <w:szCs w:val="22"/>
        </w:rPr>
      </w:pPr>
    </w:p>
    <w:p w14:paraId="20DCCDBE" w14:textId="0E390B52" w:rsidR="00B92330" w:rsidRPr="00CF36F1" w:rsidRDefault="00B92330" w:rsidP="00B92330">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rsidR="00B0711B" w:rsidRPr="00E35D20">
        <w:t>Mediante Ofic</w:t>
      </w:r>
      <w:r w:rsidR="00E35D20" w:rsidRPr="00E35D20">
        <w:t xml:space="preserve">io Nro. </w:t>
      </w:r>
      <w:r w:rsidR="00E35D20" w:rsidRPr="00E35D20">
        <w:rPr>
          <w:sz w:val="22"/>
          <w:szCs w:val="22"/>
          <w:shd w:val="clear" w:color="auto" w:fill="FFFFFF"/>
        </w:rPr>
        <w:t>Oficio Nro. GADDMQ-DMGBI-2022-1484-O</w:t>
      </w:r>
      <w:r w:rsidR="00B0711B" w:rsidRPr="00E35D20">
        <w:t>,</w:t>
      </w:r>
      <w:r w:rsidR="00E35D20" w:rsidRPr="00E35D20">
        <w:t xml:space="preserve"> de 27</w:t>
      </w:r>
      <w:r w:rsidR="00B0711B" w:rsidRPr="00E35D20">
        <w:t xml:space="preserve"> de abril de 2022, el Director Metropolitano de Gestión de Bienes Inmuebles, </w:t>
      </w:r>
      <w:r w:rsidR="00E35D20" w:rsidRPr="00E35D20">
        <w:t>remitió el informe técnico y comparativo de linderos y áreas de los bienes declarados como mostrencos y motivo de la reformatoria de la Resolución No. C-087.</w:t>
      </w:r>
    </w:p>
    <w:p w14:paraId="6A20FFDB" w14:textId="77777777" w:rsidR="00044368" w:rsidRPr="00A710FF" w:rsidRDefault="00044368" w:rsidP="00044368">
      <w:pPr>
        <w:autoSpaceDE w:val="0"/>
        <w:autoSpaceDN w:val="0"/>
        <w:adjustRightInd w:val="0"/>
        <w:jc w:val="both"/>
        <w:rPr>
          <w:rFonts w:ascii="Palatino Linotype" w:eastAsiaTheme="minorHAnsi" w:hAnsi="Palatino Linotype"/>
          <w:lang w:eastAsia="en-US"/>
        </w:rPr>
      </w:pPr>
    </w:p>
    <w:p w14:paraId="226C8026" w14:textId="77777777" w:rsidR="00044368" w:rsidRPr="00CF36F1" w:rsidRDefault="00044368" w:rsidP="00044368">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rsidRPr="00CF36F1">
        <w:rPr>
          <w:rFonts w:ascii="Palatino Linotype" w:eastAsiaTheme="minorHAnsi" w:hAnsi="Palatino Linotype"/>
          <w:sz w:val="22"/>
          <w:szCs w:val="22"/>
          <w:lang w:val="es-EC" w:eastAsia="en-US"/>
        </w:rPr>
        <w:t>la Comisión de Propiedad y Espacio Público, emitió el Informe No. IC-CPP-</w:t>
      </w:r>
      <w:r>
        <w:rPr>
          <w:rFonts w:ascii="Palatino Linotype" w:eastAsiaTheme="minorHAnsi" w:hAnsi="Palatino Linotype"/>
          <w:sz w:val="22"/>
          <w:szCs w:val="22"/>
          <w:lang w:val="es-EC" w:eastAsia="en-US"/>
        </w:rPr>
        <w:t>xxx</w:t>
      </w:r>
      <w:r w:rsidRPr="00CF36F1">
        <w:rPr>
          <w:rFonts w:ascii="Palatino Linotype" w:eastAsiaTheme="minorHAnsi" w:hAnsi="Palatino Linotype"/>
          <w:sz w:val="22"/>
          <w:szCs w:val="22"/>
          <w:lang w:val="es-EC" w:eastAsia="en-US"/>
        </w:rPr>
        <w:t xml:space="preserve">-XXX de XX de XXXXXX de </w:t>
      </w:r>
      <w:r>
        <w:rPr>
          <w:rFonts w:ascii="Palatino Linotype" w:eastAsiaTheme="minorHAnsi" w:hAnsi="Palatino Linotype"/>
          <w:sz w:val="22"/>
          <w:szCs w:val="22"/>
          <w:lang w:val="es-EC" w:eastAsia="en-US"/>
        </w:rPr>
        <w:t>2022</w:t>
      </w:r>
      <w:r w:rsidRPr="00CF36F1">
        <w:rPr>
          <w:rFonts w:ascii="Palatino Linotype" w:eastAsiaTheme="minorHAnsi" w:hAnsi="Palatino Linotype"/>
          <w:sz w:val="22"/>
          <w:szCs w:val="22"/>
          <w:lang w:val="es-EC" w:eastAsia="en-US"/>
        </w:rPr>
        <w:t>, el que contiene el dictamen favorable para que el Concejo Metropolitano se pronuncie en los términos previstos en la presente resolución.</w:t>
      </w:r>
    </w:p>
    <w:p w14:paraId="377CFF35" w14:textId="77777777" w:rsidR="00044368" w:rsidRPr="00A710FF" w:rsidRDefault="00044368" w:rsidP="00044368">
      <w:pPr>
        <w:autoSpaceDE w:val="0"/>
        <w:autoSpaceDN w:val="0"/>
        <w:adjustRightInd w:val="0"/>
        <w:jc w:val="both"/>
        <w:rPr>
          <w:rFonts w:ascii="Palatino Linotype" w:eastAsiaTheme="minorHAnsi" w:hAnsi="Palatino Linotype"/>
          <w:lang w:eastAsia="en-US"/>
        </w:rPr>
      </w:pPr>
    </w:p>
    <w:p w14:paraId="0BDD2925" w14:textId="77777777" w:rsidR="00044368" w:rsidRPr="00A710FF" w:rsidRDefault="00044368" w:rsidP="00D3174E">
      <w:pPr>
        <w:autoSpaceDE w:val="0"/>
        <w:autoSpaceDN w:val="0"/>
        <w:adjustRightInd w:val="0"/>
        <w:jc w:val="both"/>
        <w:rPr>
          <w:rFonts w:ascii="Palatino Linotype" w:eastAsiaTheme="minorHAnsi" w:hAnsi="Palatino Linotype"/>
          <w:lang w:eastAsia="en-US"/>
        </w:rPr>
      </w:pPr>
    </w:p>
    <w:p w14:paraId="43014AE8" w14:textId="66A9B9E5" w:rsidR="00057F2E" w:rsidRPr="00057F2E" w:rsidRDefault="00057F2E" w:rsidP="00057F2E">
      <w:pPr>
        <w:ind w:right="426"/>
        <w:jc w:val="both"/>
        <w:rPr>
          <w:rFonts w:ascii="Palatino Linotype" w:eastAsia="Palatino Linotype" w:hAnsi="Palatino Linotype"/>
          <w:b/>
          <w:sz w:val="22"/>
          <w:szCs w:val="22"/>
        </w:rPr>
      </w:pPr>
      <w:r w:rsidRPr="00057F2E">
        <w:rPr>
          <w:rFonts w:ascii="Palatino Linotype" w:eastAsia="Palatino Linotype" w:hAnsi="Palatino Linotype"/>
          <w:b/>
          <w:sz w:val="22"/>
          <w:szCs w:val="22"/>
        </w:rPr>
        <w:t>En ejercicio de las atribuciones que le confiere el artículo 240 de la Constitución de la República del Ecuador; y, artículos 87 literal a) y 322 del Código Orgánico de Organización, Autonomía y Descentralización,</w:t>
      </w:r>
    </w:p>
    <w:p w14:paraId="23A379FA" w14:textId="77777777" w:rsidR="00057F2E" w:rsidRPr="00057F2E" w:rsidRDefault="00057F2E" w:rsidP="00057F2E">
      <w:pPr>
        <w:ind w:right="426"/>
        <w:jc w:val="center"/>
        <w:rPr>
          <w:rFonts w:ascii="Palatino Linotype" w:eastAsia="Palatino Linotype" w:hAnsi="Palatino Linotype"/>
          <w:b/>
          <w:sz w:val="22"/>
          <w:szCs w:val="22"/>
        </w:rPr>
      </w:pPr>
      <w:r w:rsidRPr="00057F2E">
        <w:rPr>
          <w:rFonts w:ascii="Palatino Linotype" w:eastAsia="Palatino Linotype" w:hAnsi="Palatino Linotype"/>
          <w:b/>
          <w:sz w:val="22"/>
          <w:szCs w:val="22"/>
        </w:rPr>
        <w:t xml:space="preserve"> </w:t>
      </w:r>
    </w:p>
    <w:p w14:paraId="518B418A" w14:textId="77777777" w:rsidR="00057F2E" w:rsidRPr="00057F2E" w:rsidRDefault="00057F2E" w:rsidP="00057F2E">
      <w:pPr>
        <w:ind w:right="426"/>
        <w:jc w:val="center"/>
        <w:rPr>
          <w:rFonts w:ascii="Palatino Linotype" w:eastAsia="Palatino Linotype" w:hAnsi="Palatino Linotype"/>
          <w:b/>
          <w:sz w:val="22"/>
          <w:szCs w:val="22"/>
        </w:rPr>
      </w:pPr>
      <w:r w:rsidRPr="00057F2E">
        <w:rPr>
          <w:rFonts w:ascii="Palatino Linotype" w:eastAsia="Palatino Linotype" w:hAnsi="Palatino Linotype"/>
          <w:b/>
          <w:sz w:val="22"/>
          <w:szCs w:val="22"/>
        </w:rPr>
        <w:lastRenderedPageBreak/>
        <w:t>RESUELVE:</w:t>
      </w:r>
    </w:p>
    <w:p w14:paraId="665E1D2D" w14:textId="77777777" w:rsidR="00057F2E" w:rsidRPr="00057F2E" w:rsidRDefault="00057F2E" w:rsidP="00057F2E">
      <w:pPr>
        <w:ind w:right="426"/>
        <w:jc w:val="both"/>
        <w:rPr>
          <w:rFonts w:ascii="Palatino Linotype" w:eastAsia="Palatino Linotype" w:hAnsi="Palatino Linotype"/>
          <w:sz w:val="22"/>
          <w:szCs w:val="22"/>
        </w:rPr>
      </w:pPr>
    </w:p>
    <w:p w14:paraId="48BA18B4" w14:textId="760CD31A" w:rsidR="00B265B4" w:rsidRDefault="00057F2E" w:rsidP="00B265B4">
      <w:pPr>
        <w:jc w:val="both"/>
        <w:rPr>
          <w:rFonts w:ascii="Palatino Linotype" w:hAnsi="Palatino Linotype"/>
          <w:sz w:val="22"/>
          <w:szCs w:val="22"/>
        </w:rPr>
      </w:pPr>
      <w:r w:rsidRPr="0082413C">
        <w:rPr>
          <w:rFonts w:ascii="Palatino Linotype" w:hAnsi="Palatino Linotype"/>
          <w:b/>
          <w:bCs/>
          <w:sz w:val="22"/>
          <w:szCs w:val="22"/>
        </w:rPr>
        <w:t xml:space="preserve">Artículo 1.- </w:t>
      </w:r>
      <w:r w:rsidR="00BD467E" w:rsidRPr="00BD467E">
        <w:rPr>
          <w:rFonts w:ascii="Palatino Linotype" w:hAnsi="Palatino Linotype"/>
          <w:bCs/>
          <w:sz w:val="22"/>
          <w:szCs w:val="22"/>
        </w:rPr>
        <w:t>Modificar la Resolución de Concejo Metropolitano No. C 087-2020 de 13 de octubre de 2020, en el sentido de que se reemplace las fichas técnicas mencionadas en el artículo 1 de la Resolución, las cuales, sirvieron para la emisión de la declaratoria de bien mostrenco, por las fichas catastrales actualizadas adjuntas a los oficios emitidos por la Dirección Metropolitana de Catastro, conforme el siguiente detalle:</w:t>
      </w:r>
      <w:bookmarkStart w:id="0" w:name="_GoBack"/>
      <w:bookmarkEnd w:id="0"/>
    </w:p>
    <w:p w14:paraId="08F7B2A2" w14:textId="218CAEBF" w:rsidR="00B265B4" w:rsidRDefault="00B265B4" w:rsidP="00B265B4">
      <w:pPr>
        <w:jc w:val="both"/>
        <w:rPr>
          <w:rFonts w:ascii="Palatino Linotype" w:hAnsi="Palatino Linotype"/>
          <w:sz w:val="22"/>
          <w:szCs w:val="22"/>
        </w:rPr>
      </w:pPr>
    </w:p>
    <w:tbl>
      <w:tblPr>
        <w:tblStyle w:val="Tablaconcuadrcula"/>
        <w:tblW w:w="0" w:type="auto"/>
        <w:tblLook w:val="04A0" w:firstRow="1" w:lastRow="0" w:firstColumn="1" w:lastColumn="0" w:noHBand="0" w:noVBand="1"/>
      </w:tblPr>
      <w:tblGrid>
        <w:gridCol w:w="1287"/>
        <w:gridCol w:w="1689"/>
        <w:gridCol w:w="1311"/>
        <w:gridCol w:w="1611"/>
        <w:gridCol w:w="1475"/>
        <w:gridCol w:w="1455"/>
      </w:tblGrid>
      <w:tr w:rsidR="00C956EB" w14:paraId="223DCF82" w14:textId="77777777" w:rsidTr="00C956EB">
        <w:trPr>
          <w:trHeight w:val="524"/>
        </w:trPr>
        <w:tc>
          <w:tcPr>
            <w:tcW w:w="1288" w:type="dxa"/>
          </w:tcPr>
          <w:p w14:paraId="6EAB6E4A" w14:textId="082CA685" w:rsidR="00C956EB" w:rsidRPr="00AD230A" w:rsidRDefault="00C956EB" w:rsidP="00B265B4">
            <w:pPr>
              <w:jc w:val="both"/>
              <w:rPr>
                <w:rFonts w:ascii="Palatino Linotype" w:hAnsi="Palatino Linotype"/>
                <w:b/>
                <w:sz w:val="22"/>
                <w:szCs w:val="22"/>
              </w:rPr>
            </w:pPr>
            <w:proofErr w:type="spellStart"/>
            <w:r w:rsidRPr="00AD230A">
              <w:rPr>
                <w:rFonts w:ascii="Palatino Linotype" w:hAnsi="Palatino Linotype"/>
                <w:b/>
                <w:sz w:val="22"/>
                <w:szCs w:val="22"/>
              </w:rPr>
              <w:t>Ubicación</w:t>
            </w:r>
            <w:proofErr w:type="spellEnd"/>
          </w:p>
        </w:tc>
        <w:tc>
          <w:tcPr>
            <w:tcW w:w="1729" w:type="dxa"/>
          </w:tcPr>
          <w:p w14:paraId="089737CA" w14:textId="3D513001" w:rsidR="00C956EB" w:rsidRPr="00AD230A" w:rsidRDefault="00C956EB" w:rsidP="00B265B4">
            <w:pPr>
              <w:jc w:val="both"/>
              <w:rPr>
                <w:rFonts w:ascii="Palatino Linotype" w:hAnsi="Palatino Linotype"/>
                <w:b/>
                <w:sz w:val="22"/>
                <w:szCs w:val="22"/>
              </w:rPr>
            </w:pPr>
            <w:proofErr w:type="spellStart"/>
            <w:r w:rsidRPr="00AD230A">
              <w:rPr>
                <w:rFonts w:ascii="Palatino Linotype" w:hAnsi="Palatino Linotype"/>
                <w:b/>
                <w:sz w:val="22"/>
                <w:szCs w:val="22"/>
              </w:rPr>
              <w:t>Oficio</w:t>
            </w:r>
            <w:proofErr w:type="spellEnd"/>
            <w:r w:rsidRPr="00AD230A">
              <w:rPr>
                <w:rFonts w:ascii="Palatino Linotype" w:hAnsi="Palatino Linotype"/>
                <w:b/>
                <w:sz w:val="22"/>
                <w:szCs w:val="22"/>
              </w:rPr>
              <w:t xml:space="preserve"> No.</w:t>
            </w:r>
          </w:p>
        </w:tc>
        <w:tc>
          <w:tcPr>
            <w:tcW w:w="1349" w:type="dxa"/>
          </w:tcPr>
          <w:p w14:paraId="69326B80" w14:textId="518112C1" w:rsidR="00C956EB" w:rsidRPr="00AD230A" w:rsidRDefault="00C956EB" w:rsidP="00B265B4">
            <w:pPr>
              <w:jc w:val="both"/>
              <w:rPr>
                <w:rFonts w:ascii="Palatino Linotype" w:hAnsi="Palatino Linotype"/>
                <w:b/>
                <w:sz w:val="22"/>
                <w:szCs w:val="22"/>
                <w:lang w:val="es-EC"/>
              </w:rPr>
            </w:pPr>
            <w:proofErr w:type="spellStart"/>
            <w:r w:rsidRPr="00AD230A">
              <w:rPr>
                <w:b/>
              </w:rPr>
              <w:t>Ficha</w:t>
            </w:r>
            <w:proofErr w:type="spellEnd"/>
            <w:r w:rsidRPr="00AD230A">
              <w:rPr>
                <w:b/>
              </w:rPr>
              <w:t xml:space="preserve"> </w:t>
            </w:r>
            <w:proofErr w:type="spellStart"/>
            <w:r w:rsidRPr="00AD230A">
              <w:rPr>
                <w:b/>
              </w:rPr>
              <w:t>Técnica</w:t>
            </w:r>
            <w:proofErr w:type="spellEnd"/>
            <w:r w:rsidRPr="00AD230A">
              <w:rPr>
                <w:b/>
              </w:rPr>
              <w:t xml:space="preserve"> </w:t>
            </w:r>
            <w:proofErr w:type="spellStart"/>
            <w:r w:rsidRPr="00AD230A">
              <w:rPr>
                <w:b/>
              </w:rPr>
              <w:t>Nro</w:t>
            </w:r>
            <w:proofErr w:type="spellEnd"/>
            <w:r w:rsidRPr="00AD230A">
              <w:rPr>
                <w:b/>
              </w:rPr>
              <w:t>.</w:t>
            </w:r>
          </w:p>
        </w:tc>
        <w:tc>
          <w:tcPr>
            <w:tcW w:w="1652" w:type="dxa"/>
          </w:tcPr>
          <w:p w14:paraId="2C43F416" w14:textId="566E86B3" w:rsidR="00C956EB" w:rsidRPr="00AD230A" w:rsidRDefault="00C956EB" w:rsidP="00B265B4">
            <w:pPr>
              <w:jc w:val="both"/>
              <w:rPr>
                <w:rFonts w:ascii="Palatino Linotype" w:hAnsi="Palatino Linotype"/>
                <w:b/>
                <w:sz w:val="22"/>
                <w:szCs w:val="22"/>
                <w:lang w:val="es-EC"/>
              </w:rPr>
            </w:pPr>
            <w:r w:rsidRPr="00AD230A">
              <w:rPr>
                <w:rFonts w:ascii="Palatino Linotype" w:hAnsi="Palatino Linotype"/>
                <w:b/>
                <w:sz w:val="22"/>
                <w:szCs w:val="22"/>
                <w:lang w:val="es-EC"/>
              </w:rPr>
              <w:t>Clave catastral referencial No. (Anterior)</w:t>
            </w:r>
          </w:p>
        </w:tc>
        <w:tc>
          <w:tcPr>
            <w:tcW w:w="1530" w:type="dxa"/>
          </w:tcPr>
          <w:p w14:paraId="45F7B035" w14:textId="3E747539" w:rsidR="00C956EB" w:rsidRPr="00AD230A" w:rsidRDefault="00C956EB" w:rsidP="00B265B4">
            <w:pPr>
              <w:jc w:val="both"/>
              <w:rPr>
                <w:rFonts w:ascii="Palatino Linotype" w:hAnsi="Palatino Linotype"/>
                <w:b/>
                <w:sz w:val="22"/>
                <w:szCs w:val="22"/>
              </w:rPr>
            </w:pPr>
            <w:r w:rsidRPr="00AD230A">
              <w:rPr>
                <w:rFonts w:ascii="Palatino Linotype" w:hAnsi="Palatino Linotype"/>
                <w:b/>
                <w:sz w:val="22"/>
                <w:szCs w:val="22"/>
              </w:rPr>
              <w:t xml:space="preserve">Clave </w:t>
            </w:r>
            <w:proofErr w:type="spellStart"/>
            <w:r w:rsidRPr="00AD230A">
              <w:rPr>
                <w:rFonts w:ascii="Palatino Linotype" w:hAnsi="Palatino Linotype"/>
                <w:b/>
                <w:sz w:val="22"/>
                <w:szCs w:val="22"/>
              </w:rPr>
              <w:t>catastral</w:t>
            </w:r>
            <w:proofErr w:type="spellEnd"/>
            <w:r w:rsidRPr="00AD230A">
              <w:rPr>
                <w:rFonts w:ascii="Palatino Linotype" w:hAnsi="Palatino Linotype"/>
                <w:b/>
                <w:sz w:val="22"/>
                <w:szCs w:val="22"/>
              </w:rPr>
              <w:t xml:space="preserve"> actual No.</w:t>
            </w:r>
          </w:p>
        </w:tc>
        <w:tc>
          <w:tcPr>
            <w:tcW w:w="1506" w:type="dxa"/>
          </w:tcPr>
          <w:p w14:paraId="4A2FAE48" w14:textId="1EF40A71" w:rsidR="00C956EB" w:rsidRPr="00AD230A" w:rsidRDefault="00C956EB" w:rsidP="00B265B4">
            <w:pPr>
              <w:jc w:val="both"/>
              <w:rPr>
                <w:rFonts w:ascii="Palatino Linotype" w:hAnsi="Palatino Linotype"/>
                <w:b/>
                <w:sz w:val="22"/>
                <w:szCs w:val="22"/>
              </w:rPr>
            </w:pPr>
            <w:proofErr w:type="spellStart"/>
            <w:r w:rsidRPr="00AD230A">
              <w:rPr>
                <w:rFonts w:ascii="Palatino Linotype" w:hAnsi="Palatino Linotype"/>
                <w:b/>
                <w:sz w:val="22"/>
                <w:szCs w:val="22"/>
              </w:rPr>
              <w:t>Predio</w:t>
            </w:r>
            <w:proofErr w:type="spellEnd"/>
            <w:r w:rsidRPr="00AD230A">
              <w:rPr>
                <w:rFonts w:ascii="Palatino Linotype" w:hAnsi="Palatino Linotype"/>
                <w:b/>
                <w:sz w:val="22"/>
                <w:szCs w:val="22"/>
              </w:rPr>
              <w:t xml:space="preserve"> No.</w:t>
            </w:r>
          </w:p>
        </w:tc>
      </w:tr>
      <w:tr w:rsidR="00C956EB" w14:paraId="4F1B732D" w14:textId="77777777" w:rsidTr="00C956EB">
        <w:trPr>
          <w:trHeight w:val="174"/>
        </w:trPr>
        <w:tc>
          <w:tcPr>
            <w:tcW w:w="1288" w:type="dxa"/>
          </w:tcPr>
          <w:p w14:paraId="0B0D0DB5" w14:textId="73C81004" w:rsidR="00C956EB" w:rsidRDefault="00C956EB" w:rsidP="00B265B4">
            <w:pPr>
              <w:jc w:val="both"/>
              <w:rPr>
                <w:rFonts w:ascii="Palatino Linotype" w:hAnsi="Palatino Linotype"/>
                <w:sz w:val="22"/>
                <w:szCs w:val="22"/>
              </w:rPr>
            </w:pPr>
            <w:r>
              <w:t>La Magdalena</w:t>
            </w:r>
          </w:p>
        </w:tc>
        <w:tc>
          <w:tcPr>
            <w:tcW w:w="1729" w:type="dxa"/>
          </w:tcPr>
          <w:p w14:paraId="384E6F6A" w14:textId="2ED63571" w:rsidR="00C956EB" w:rsidRDefault="00C956EB" w:rsidP="00B265B4">
            <w:pPr>
              <w:jc w:val="both"/>
              <w:rPr>
                <w:rFonts w:ascii="Palatino Linotype" w:hAnsi="Palatino Linotype"/>
                <w:sz w:val="22"/>
                <w:szCs w:val="22"/>
              </w:rPr>
            </w:pPr>
            <w:r>
              <w:t>GADDMQ-STHV-DMC-2022-0592-O</w:t>
            </w:r>
          </w:p>
        </w:tc>
        <w:tc>
          <w:tcPr>
            <w:tcW w:w="1349" w:type="dxa"/>
          </w:tcPr>
          <w:p w14:paraId="5E259EE7" w14:textId="108A5F22" w:rsidR="00C956EB" w:rsidRDefault="00C956EB" w:rsidP="00B265B4">
            <w:pPr>
              <w:jc w:val="both"/>
              <w:rPr>
                <w:rFonts w:ascii="Palatino Linotype" w:hAnsi="Palatino Linotype"/>
                <w:sz w:val="22"/>
                <w:szCs w:val="22"/>
              </w:rPr>
            </w:pPr>
            <w:r>
              <w:t>STHV-DMC-UCE-2022-0797</w:t>
            </w:r>
          </w:p>
        </w:tc>
        <w:tc>
          <w:tcPr>
            <w:tcW w:w="1652" w:type="dxa"/>
          </w:tcPr>
          <w:p w14:paraId="34151066" w14:textId="0B8575A8" w:rsidR="00C956EB" w:rsidRDefault="00AD230A" w:rsidP="00B265B4">
            <w:pPr>
              <w:jc w:val="both"/>
              <w:rPr>
                <w:rFonts w:ascii="Palatino Linotype" w:hAnsi="Palatino Linotype"/>
                <w:sz w:val="22"/>
                <w:szCs w:val="22"/>
              </w:rPr>
            </w:pPr>
            <w:r>
              <w:t>30403-10-001</w:t>
            </w:r>
          </w:p>
        </w:tc>
        <w:tc>
          <w:tcPr>
            <w:tcW w:w="1530" w:type="dxa"/>
          </w:tcPr>
          <w:p w14:paraId="2722D932" w14:textId="576C0A16" w:rsidR="00C956EB" w:rsidRDefault="00AD230A" w:rsidP="00B265B4">
            <w:pPr>
              <w:jc w:val="both"/>
              <w:rPr>
                <w:rFonts w:ascii="Palatino Linotype" w:hAnsi="Palatino Linotype"/>
                <w:sz w:val="22"/>
                <w:szCs w:val="22"/>
              </w:rPr>
            </w:pPr>
            <w:r>
              <w:rPr>
                <w:rFonts w:ascii="Palatino Linotype" w:hAnsi="Palatino Linotype"/>
                <w:sz w:val="22"/>
                <w:szCs w:val="22"/>
              </w:rPr>
              <w:t>30403-10-002</w:t>
            </w:r>
          </w:p>
        </w:tc>
        <w:tc>
          <w:tcPr>
            <w:tcW w:w="1506" w:type="dxa"/>
          </w:tcPr>
          <w:p w14:paraId="7EF31938" w14:textId="3DCC1F0D" w:rsidR="00C956EB" w:rsidRDefault="00C956EB" w:rsidP="00B265B4">
            <w:pPr>
              <w:jc w:val="both"/>
              <w:rPr>
                <w:rFonts w:ascii="Palatino Linotype" w:hAnsi="Palatino Linotype"/>
                <w:sz w:val="22"/>
                <w:szCs w:val="22"/>
              </w:rPr>
            </w:pPr>
            <w:r>
              <w:rPr>
                <w:rFonts w:ascii="Palatino Linotype" w:hAnsi="Palatino Linotype"/>
                <w:sz w:val="22"/>
                <w:szCs w:val="22"/>
              </w:rPr>
              <w:t>3705360</w:t>
            </w:r>
          </w:p>
        </w:tc>
      </w:tr>
      <w:tr w:rsidR="00C956EB" w14:paraId="312B3D7F" w14:textId="77777777" w:rsidTr="00C956EB">
        <w:trPr>
          <w:trHeight w:val="174"/>
        </w:trPr>
        <w:tc>
          <w:tcPr>
            <w:tcW w:w="1288" w:type="dxa"/>
          </w:tcPr>
          <w:p w14:paraId="66D10CEB" w14:textId="6268303B" w:rsidR="00C956EB" w:rsidRDefault="00AD230A" w:rsidP="00B265B4">
            <w:pPr>
              <w:jc w:val="both"/>
            </w:pPr>
            <w:proofErr w:type="spellStart"/>
            <w:r>
              <w:t>Túmbaco</w:t>
            </w:r>
            <w:proofErr w:type="spellEnd"/>
          </w:p>
        </w:tc>
        <w:tc>
          <w:tcPr>
            <w:tcW w:w="1729" w:type="dxa"/>
          </w:tcPr>
          <w:p w14:paraId="526112E5" w14:textId="0ED39A3F" w:rsidR="00C956EB" w:rsidRDefault="00C956EB" w:rsidP="00B265B4">
            <w:pPr>
              <w:jc w:val="both"/>
              <w:rPr>
                <w:rFonts w:ascii="Palatino Linotype" w:hAnsi="Palatino Linotype"/>
                <w:sz w:val="22"/>
                <w:szCs w:val="22"/>
              </w:rPr>
            </w:pPr>
            <w:r>
              <w:t>GADDMQ-STHV-DMC-2022-0593-O</w:t>
            </w:r>
          </w:p>
        </w:tc>
        <w:tc>
          <w:tcPr>
            <w:tcW w:w="1349" w:type="dxa"/>
          </w:tcPr>
          <w:p w14:paraId="1F3A93DC" w14:textId="27499AC4" w:rsidR="00C956EB" w:rsidRDefault="00C956EB" w:rsidP="00B265B4">
            <w:pPr>
              <w:jc w:val="both"/>
              <w:rPr>
                <w:rFonts w:ascii="Palatino Linotype" w:hAnsi="Palatino Linotype"/>
                <w:sz w:val="22"/>
                <w:szCs w:val="22"/>
              </w:rPr>
            </w:pPr>
            <w:r>
              <w:t>STHV-DMC-UCE-2022-0802</w:t>
            </w:r>
          </w:p>
        </w:tc>
        <w:tc>
          <w:tcPr>
            <w:tcW w:w="1652" w:type="dxa"/>
          </w:tcPr>
          <w:p w14:paraId="711EBE2B" w14:textId="214411B4" w:rsidR="00C956EB" w:rsidRDefault="00AD230A" w:rsidP="00B265B4">
            <w:pPr>
              <w:jc w:val="both"/>
              <w:rPr>
                <w:rFonts w:ascii="Palatino Linotype" w:hAnsi="Palatino Linotype"/>
                <w:sz w:val="22"/>
                <w:szCs w:val="22"/>
              </w:rPr>
            </w:pPr>
            <w:r>
              <w:t>10219-03-010</w:t>
            </w:r>
          </w:p>
        </w:tc>
        <w:tc>
          <w:tcPr>
            <w:tcW w:w="1530" w:type="dxa"/>
          </w:tcPr>
          <w:p w14:paraId="437275CD" w14:textId="183D1B1B" w:rsidR="00C956EB" w:rsidRDefault="00C956EB" w:rsidP="00B265B4">
            <w:pPr>
              <w:jc w:val="both"/>
              <w:rPr>
                <w:rFonts w:ascii="Palatino Linotype" w:hAnsi="Palatino Linotype"/>
                <w:sz w:val="22"/>
                <w:szCs w:val="22"/>
              </w:rPr>
            </w:pPr>
            <w:r>
              <w:t>10219-03-060</w:t>
            </w:r>
          </w:p>
        </w:tc>
        <w:tc>
          <w:tcPr>
            <w:tcW w:w="1506" w:type="dxa"/>
          </w:tcPr>
          <w:p w14:paraId="191E0ED2" w14:textId="3EA72C86" w:rsidR="00C956EB" w:rsidRDefault="00C956EB" w:rsidP="00B265B4">
            <w:pPr>
              <w:jc w:val="both"/>
              <w:rPr>
                <w:rFonts w:ascii="Palatino Linotype" w:hAnsi="Palatino Linotype"/>
                <w:sz w:val="22"/>
                <w:szCs w:val="22"/>
              </w:rPr>
            </w:pPr>
            <w:r>
              <w:t>3707187</w:t>
            </w:r>
          </w:p>
        </w:tc>
      </w:tr>
      <w:tr w:rsidR="00C956EB" w14:paraId="07151355" w14:textId="77777777" w:rsidTr="00C956EB">
        <w:trPr>
          <w:trHeight w:val="174"/>
        </w:trPr>
        <w:tc>
          <w:tcPr>
            <w:tcW w:w="1288" w:type="dxa"/>
          </w:tcPr>
          <w:p w14:paraId="273CA6AC" w14:textId="2A6BEB66" w:rsidR="00C956EB" w:rsidRDefault="002D2205" w:rsidP="00B265B4">
            <w:pPr>
              <w:jc w:val="both"/>
              <w:rPr>
                <w:rFonts w:ascii="Palatino Linotype" w:hAnsi="Palatino Linotype"/>
                <w:sz w:val="22"/>
                <w:szCs w:val="22"/>
              </w:rPr>
            </w:pPr>
            <w:proofErr w:type="spellStart"/>
            <w:r>
              <w:rPr>
                <w:rFonts w:ascii="Palatino Linotype" w:hAnsi="Palatino Linotype"/>
                <w:sz w:val="22"/>
                <w:szCs w:val="22"/>
              </w:rPr>
              <w:t>Itchimbía</w:t>
            </w:r>
            <w:proofErr w:type="spellEnd"/>
          </w:p>
        </w:tc>
        <w:tc>
          <w:tcPr>
            <w:tcW w:w="1729" w:type="dxa"/>
          </w:tcPr>
          <w:p w14:paraId="106BD322" w14:textId="5832680A" w:rsidR="00C956EB" w:rsidRDefault="002D2205" w:rsidP="00B265B4">
            <w:pPr>
              <w:jc w:val="both"/>
              <w:rPr>
                <w:rFonts w:ascii="Palatino Linotype" w:hAnsi="Palatino Linotype"/>
                <w:sz w:val="22"/>
                <w:szCs w:val="22"/>
              </w:rPr>
            </w:pPr>
            <w:r>
              <w:t>GADDMQ-STHV-DMC-2022-0622-O</w:t>
            </w:r>
          </w:p>
        </w:tc>
        <w:tc>
          <w:tcPr>
            <w:tcW w:w="1349" w:type="dxa"/>
          </w:tcPr>
          <w:p w14:paraId="34E6EA37" w14:textId="712CFB55" w:rsidR="00C956EB" w:rsidRDefault="002D2205" w:rsidP="00B265B4">
            <w:pPr>
              <w:jc w:val="both"/>
              <w:rPr>
                <w:rFonts w:ascii="Palatino Linotype" w:hAnsi="Palatino Linotype"/>
                <w:sz w:val="22"/>
                <w:szCs w:val="22"/>
              </w:rPr>
            </w:pPr>
            <w:r>
              <w:t>STHV-DMC-UCE-2022-0816</w:t>
            </w:r>
          </w:p>
        </w:tc>
        <w:tc>
          <w:tcPr>
            <w:tcW w:w="1652" w:type="dxa"/>
          </w:tcPr>
          <w:p w14:paraId="138F881C" w14:textId="4A8AC903" w:rsidR="00C956EB" w:rsidRDefault="002D2205" w:rsidP="00B265B4">
            <w:pPr>
              <w:jc w:val="both"/>
              <w:rPr>
                <w:rFonts w:ascii="Palatino Linotype" w:hAnsi="Palatino Linotype"/>
                <w:sz w:val="22"/>
                <w:szCs w:val="22"/>
              </w:rPr>
            </w:pPr>
            <w:r>
              <w:rPr>
                <w:rFonts w:ascii="Palatino Linotype" w:hAnsi="Palatino Linotype"/>
                <w:sz w:val="22"/>
                <w:szCs w:val="22"/>
              </w:rPr>
              <w:t>10202-09-001</w:t>
            </w:r>
          </w:p>
        </w:tc>
        <w:tc>
          <w:tcPr>
            <w:tcW w:w="1530" w:type="dxa"/>
          </w:tcPr>
          <w:p w14:paraId="04655BF6" w14:textId="03D58E68" w:rsidR="00C956EB" w:rsidRDefault="002D2205" w:rsidP="00B265B4">
            <w:pPr>
              <w:jc w:val="both"/>
              <w:rPr>
                <w:rFonts w:ascii="Palatino Linotype" w:hAnsi="Palatino Linotype"/>
                <w:sz w:val="22"/>
                <w:szCs w:val="22"/>
              </w:rPr>
            </w:pPr>
            <w:r>
              <w:rPr>
                <w:rFonts w:ascii="Palatino Linotype" w:hAnsi="Palatino Linotype"/>
                <w:sz w:val="22"/>
                <w:szCs w:val="22"/>
              </w:rPr>
              <w:t>10202-09-002</w:t>
            </w:r>
          </w:p>
        </w:tc>
        <w:tc>
          <w:tcPr>
            <w:tcW w:w="1506" w:type="dxa"/>
          </w:tcPr>
          <w:p w14:paraId="3F85B247" w14:textId="661A73B4" w:rsidR="00C956EB" w:rsidRDefault="002D2205" w:rsidP="00B265B4">
            <w:pPr>
              <w:jc w:val="both"/>
              <w:rPr>
                <w:rFonts w:ascii="Palatino Linotype" w:hAnsi="Palatino Linotype"/>
                <w:sz w:val="22"/>
                <w:szCs w:val="22"/>
              </w:rPr>
            </w:pPr>
            <w:r>
              <w:rPr>
                <w:rFonts w:ascii="Palatino Linotype" w:hAnsi="Palatino Linotype"/>
                <w:sz w:val="22"/>
                <w:szCs w:val="22"/>
              </w:rPr>
              <w:t>3705343</w:t>
            </w:r>
          </w:p>
        </w:tc>
      </w:tr>
      <w:tr w:rsidR="002D2205" w14:paraId="50109716" w14:textId="77777777" w:rsidTr="00C956EB">
        <w:trPr>
          <w:trHeight w:val="174"/>
        </w:trPr>
        <w:tc>
          <w:tcPr>
            <w:tcW w:w="1288" w:type="dxa"/>
          </w:tcPr>
          <w:p w14:paraId="1FFFDB01" w14:textId="007BD5CF" w:rsidR="002D2205" w:rsidRDefault="002D2205" w:rsidP="002D2205">
            <w:pPr>
              <w:jc w:val="both"/>
              <w:rPr>
                <w:rFonts w:ascii="Palatino Linotype" w:hAnsi="Palatino Linotype"/>
                <w:sz w:val="22"/>
                <w:szCs w:val="22"/>
              </w:rPr>
            </w:pPr>
            <w:r>
              <w:t>San Juan</w:t>
            </w:r>
          </w:p>
        </w:tc>
        <w:tc>
          <w:tcPr>
            <w:tcW w:w="1729" w:type="dxa"/>
          </w:tcPr>
          <w:p w14:paraId="6B1E6CAC" w14:textId="03FB2513" w:rsidR="002D2205" w:rsidRDefault="002D2205" w:rsidP="002D2205">
            <w:pPr>
              <w:jc w:val="both"/>
              <w:rPr>
                <w:rFonts w:ascii="Palatino Linotype" w:hAnsi="Palatino Linotype"/>
                <w:sz w:val="22"/>
                <w:szCs w:val="22"/>
              </w:rPr>
            </w:pPr>
            <w:r>
              <w:t>GADDMQ-STHV-DMC-2022-0622-O</w:t>
            </w:r>
          </w:p>
        </w:tc>
        <w:tc>
          <w:tcPr>
            <w:tcW w:w="1349" w:type="dxa"/>
          </w:tcPr>
          <w:p w14:paraId="2D1E8129" w14:textId="77D8A913" w:rsidR="002D2205" w:rsidRDefault="002D2205" w:rsidP="002D2205">
            <w:pPr>
              <w:jc w:val="both"/>
              <w:rPr>
                <w:rFonts w:ascii="Palatino Linotype" w:hAnsi="Palatino Linotype"/>
                <w:sz w:val="22"/>
                <w:szCs w:val="22"/>
              </w:rPr>
            </w:pPr>
            <w:r>
              <w:t>STHV-DMC-UCE-2022-0817</w:t>
            </w:r>
          </w:p>
        </w:tc>
        <w:tc>
          <w:tcPr>
            <w:tcW w:w="1652" w:type="dxa"/>
          </w:tcPr>
          <w:p w14:paraId="093BEED6" w14:textId="456DF0AF" w:rsidR="002D2205" w:rsidRDefault="002D2205" w:rsidP="002D2205">
            <w:pPr>
              <w:jc w:val="both"/>
              <w:rPr>
                <w:rFonts w:ascii="Palatino Linotype" w:hAnsi="Palatino Linotype"/>
                <w:sz w:val="22"/>
                <w:szCs w:val="22"/>
              </w:rPr>
            </w:pPr>
            <w:r>
              <w:rPr>
                <w:rFonts w:ascii="Palatino Linotype" w:hAnsi="Palatino Linotype"/>
                <w:sz w:val="22"/>
                <w:szCs w:val="22"/>
              </w:rPr>
              <w:t>10301-11-001</w:t>
            </w:r>
          </w:p>
        </w:tc>
        <w:tc>
          <w:tcPr>
            <w:tcW w:w="1530" w:type="dxa"/>
          </w:tcPr>
          <w:p w14:paraId="5B462E07" w14:textId="7E109587" w:rsidR="002D2205" w:rsidRDefault="002D2205" w:rsidP="002D2205">
            <w:pPr>
              <w:jc w:val="both"/>
              <w:rPr>
                <w:rFonts w:ascii="Palatino Linotype" w:hAnsi="Palatino Linotype"/>
                <w:sz w:val="22"/>
                <w:szCs w:val="22"/>
              </w:rPr>
            </w:pPr>
            <w:r>
              <w:rPr>
                <w:rFonts w:ascii="Palatino Linotype" w:hAnsi="Palatino Linotype"/>
                <w:sz w:val="22"/>
                <w:szCs w:val="22"/>
              </w:rPr>
              <w:t>10301-11-002</w:t>
            </w:r>
          </w:p>
        </w:tc>
        <w:tc>
          <w:tcPr>
            <w:tcW w:w="1506" w:type="dxa"/>
          </w:tcPr>
          <w:p w14:paraId="2E60BBC7" w14:textId="3BEFCF85" w:rsidR="002D2205" w:rsidRDefault="002D2205" w:rsidP="002D2205">
            <w:pPr>
              <w:jc w:val="both"/>
              <w:rPr>
                <w:rFonts w:ascii="Palatino Linotype" w:hAnsi="Palatino Linotype"/>
                <w:sz w:val="22"/>
                <w:szCs w:val="22"/>
              </w:rPr>
            </w:pPr>
            <w:r>
              <w:rPr>
                <w:rFonts w:ascii="Palatino Linotype" w:hAnsi="Palatino Linotype"/>
                <w:sz w:val="22"/>
                <w:szCs w:val="22"/>
              </w:rPr>
              <w:t>3705347</w:t>
            </w:r>
          </w:p>
        </w:tc>
      </w:tr>
    </w:tbl>
    <w:p w14:paraId="4735ADCC" w14:textId="77777777" w:rsidR="00B265B4" w:rsidRDefault="00B265B4" w:rsidP="00D3174E">
      <w:pPr>
        <w:autoSpaceDE w:val="0"/>
        <w:autoSpaceDN w:val="0"/>
        <w:adjustRightInd w:val="0"/>
        <w:jc w:val="both"/>
        <w:rPr>
          <w:rFonts w:ascii="Palatino Linotype" w:hAnsi="Palatino Linotype"/>
          <w:b/>
          <w:sz w:val="22"/>
          <w:szCs w:val="22"/>
          <w:lang w:val="es-EC"/>
        </w:rPr>
      </w:pPr>
    </w:p>
    <w:p w14:paraId="1E233D2F" w14:textId="2CFA94F5" w:rsidR="0082413C" w:rsidRDefault="0082413C" w:rsidP="00D3174E">
      <w:pPr>
        <w:autoSpaceDE w:val="0"/>
        <w:autoSpaceDN w:val="0"/>
        <w:adjustRightInd w:val="0"/>
        <w:jc w:val="both"/>
        <w:rPr>
          <w:rFonts w:ascii="Palatino Linotype" w:hAnsi="Palatino Linotype"/>
          <w:bCs/>
          <w:sz w:val="22"/>
          <w:szCs w:val="22"/>
          <w:lang w:val="es-EC"/>
        </w:rPr>
      </w:pPr>
      <w:r w:rsidRPr="0082413C">
        <w:rPr>
          <w:rFonts w:ascii="Palatino Linotype" w:hAnsi="Palatino Linotype"/>
          <w:b/>
          <w:sz w:val="22"/>
          <w:szCs w:val="22"/>
          <w:lang w:val="es-EC"/>
        </w:rPr>
        <w:t>Artículo 2.-</w:t>
      </w:r>
      <w:r w:rsidRPr="0082413C">
        <w:rPr>
          <w:rFonts w:ascii="Palatino Linotype" w:hAnsi="Palatino Linotype"/>
          <w:bCs/>
          <w:sz w:val="22"/>
          <w:szCs w:val="22"/>
          <w:lang w:val="es-EC"/>
        </w:rPr>
        <w:t xml:space="preserve">Disponer a </w:t>
      </w:r>
      <w:r w:rsidR="00E91A82" w:rsidRPr="0082413C">
        <w:rPr>
          <w:rFonts w:ascii="Palatino Linotype" w:hAnsi="Palatino Linotype"/>
          <w:bCs/>
          <w:sz w:val="22"/>
          <w:szCs w:val="22"/>
          <w:lang w:val="es-EC"/>
        </w:rPr>
        <w:t>la Secretaría</w:t>
      </w:r>
      <w:r w:rsidRPr="0082413C">
        <w:rPr>
          <w:rFonts w:ascii="Palatino Linotype" w:hAnsi="Palatino Linotype"/>
          <w:bCs/>
          <w:sz w:val="22"/>
          <w:szCs w:val="22"/>
          <w:lang w:val="es-EC"/>
        </w:rPr>
        <w:t xml:space="preserve"> de </w:t>
      </w:r>
      <w:r w:rsidR="00AF7987" w:rsidRPr="0082413C">
        <w:rPr>
          <w:rFonts w:ascii="Palatino Linotype" w:hAnsi="Palatino Linotype"/>
          <w:bCs/>
          <w:sz w:val="22"/>
          <w:szCs w:val="22"/>
          <w:lang w:val="es-EC"/>
        </w:rPr>
        <w:t>Comunicación la</w:t>
      </w:r>
      <w:r w:rsidRPr="0082413C">
        <w:rPr>
          <w:rFonts w:ascii="Palatino Linotype" w:hAnsi="Palatino Linotype"/>
          <w:bCs/>
          <w:sz w:val="22"/>
          <w:szCs w:val="22"/>
          <w:lang w:val="es-EC"/>
        </w:rPr>
        <w:t xml:space="preserve"> publicación del extracto de esta resolución, de conformidad </w:t>
      </w:r>
      <w:r w:rsidR="00740674">
        <w:rPr>
          <w:rFonts w:ascii="Palatino Linotype" w:hAnsi="Palatino Linotype"/>
          <w:bCs/>
          <w:sz w:val="22"/>
          <w:szCs w:val="22"/>
          <w:lang w:val="es-EC"/>
        </w:rPr>
        <w:t>a lo establecido en el artículo 6.183</w:t>
      </w:r>
      <w:r w:rsidRPr="0082413C">
        <w:rPr>
          <w:rFonts w:ascii="Palatino Linotype" w:hAnsi="Palatino Linotype"/>
          <w:bCs/>
          <w:sz w:val="22"/>
          <w:szCs w:val="22"/>
          <w:lang w:val="es-EC"/>
        </w:rPr>
        <w:t xml:space="preserve"> del Código Municipal para el Distrito Metropolitano de Quito</w:t>
      </w:r>
      <w:r w:rsidR="009027E4">
        <w:rPr>
          <w:rFonts w:ascii="Palatino Linotype" w:hAnsi="Palatino Linotype"/>
          <w:bCs/>
          <w:sz w:val="22"/>
          <w:szCs w:val="22"/>
          <w:lang w:val="es-EC"/>
        </w:rPr>
        <w:t>.</w:t>
      </w:r>
    </w:p>
    <w:p w14:paraId="15A2CDDF" w14:textId="77777777" w:rsidR="009027E4" w:rsidRDefault="009027E4" w:rsidP="00D3174E">
      <w:pPr>
        <w:autoSpaceDE w:val="0"/>
        <w:autoSpaceDN w:val="0"/>
        <w:adjustRightInd w:val="0"/>
        <w:jc w:val="both"/>
        <w:rPr>
          <w:rFonts w:ascii="Palatino Linotype" w:hAnsi="Palatino Linotype"/>
          <w:b/>
          <w:sz w:val="22"/>
          <w:szCs w:val="22"/>
          <w:lang w:val="es-EC"/>
        </w:rPr>
      </w:pPr>
    </w:p>
    <w:p w14:paraId="46FA7B1C" w14:textId="0AEBDDA6" w:rsidR="008158BE" w:rsidRPr="0082413C" w:rsidRDefault="008158BE" w:rsidP="00D3174E">
      <w:pPr>
        <w:autoSpaceDE w:val="0"/>
        <w:autoSpaceDN w:val="0"/>
        <w:adjustRightInd w:val="0"/>
        <w:jc w:val="both"/>
        <w:rPr>
          <w:rFonts w:ascii="Palatino Linotype" w:hAnsi="Palatino Linotype"/>
          <w:b/>
          <w:sz w:val="22"/>
          <w:szCs w:val="22"/>
          <w:lang w:val="es-EC"/>
        </w:rPr>
      </w:pPr>
      <w:r>
        <w:rPr>
          <w:rFonts w:ascii="Palatino Linotype" w:hAnsi="Palatino Linotype"/>
          <w:b/>
          <w:sz w:val="22"/>
          <w:szCs w:val="22"/>
          <w:lang w:val="es-EC"/>
        </w:rPr>
        <w:t xml:space="preserve">Artículo 3.- </w:t>
      </w:r>
      <w:r>
        <w:rPr>
          <w:rFonts w:ascii="Palatino Linotype" w:hAnsi="Palatino Linotype"/>
          <w:bCs/>
          <w:sz w:val="22"/>
          <w:szCs w:val="22"/>
          <w:lang w:val="es-EC"/>
        </w:rPr>
        <w:t>Disponer al Registro de la Propiedad inscriba la presente modificatoria y la descripción del inmueble conforme los datos técnicos previstos en las fichas técnicas anexas a la presente resolución.</w:t>
      </w:r>
    </w:p>
    <w:p w14:paraId="0FA6245D" w14:textId="77777777" w:rsidR="0082413C" w:rsidRPr="0082413C" w:rsidRDefault="0082413C" w:rsidP="00D3174E">
      <w:pPr>
        <w:autoSpaceDE w:val="0"/>
        <w:autoSpaceDN w:val="0"/>
        <w:adjustRightInd w:val="0"/>
        <w:jc w:val="both"/>
        <w:rPr>
          <w:rFonts w:ascii="Palatino Linotype" w:hAnsi="Palatino Linotype"/>
          <w:b/>
          <w:sz w:val="22"/>
          <w:szCs w:val="22"/>
          <w:lang w:val="es-EC"/>
        </w:rPr>
      </w:pPr>
    </w:p>
    <w:p w14:paraId="457BB5B8" w14:textId="5B905C33" w:rsidR="0091459B" w:rsidRDefault="00E91A82" w:rsidP="00D3174E">
      <w:pPr>
        <w:autoSpaceDE w:val="0"/>
        <w:autoSpaceDN w:val="0"/>
        <w:adjustRightInd w:val="0"/>
        <w:jc w:val="both"/>
        <w:rPr>
          <w:rFonts w:ascii="Palatino Linotype" w:hAnsi="Palatino Linotype"/>
          <w:bCs/>
          <w:sz w:val="22"/>
          <w:szCs w:val="22"/>
          <w:lang w:val="es-EC"/>
        </w:rPr>
      </w:pPr>
      <w:r>
        <w:rPr>
          <w:rFonts w:ascii="Palatino Linotype" w:hAnsi="Palatino Linotype"/>
          <w:b/>
          <w:sz w:val="22"/>
          <w:szCs w:val="22"/>
          <w:lang w:val="es-EC"/>
        </w:rPr>
        <w:lastRenderedPageBreak/>
        <w:t xml:space="preserve">Artículo </w:t>
      </w:r>
      <w:r w:rsidR="008158BE">
        <w:rPr>
          <w:rFonts w:ascii="Palatino Linotype" w:hAnsi="Palatino Linotype"/>
          <w:b/>
          <w:sz w:val="22"/>
          <w:szCs w:val="22"/>
          <w:lang w:val="es-EC"/>
        </w:rPr>
        <w:t>4</w:t>
      </w:r>
      <w:r w:rsidR="005410A7" w:rsidRPr="0082413C">
        <w:rPr>
          <w:rFonts w:ascii="Palatino Linotype" w:hAnsi="Palatino Linotype"/>
          <w:b/>
          <w:sz w:val="22"/>
          <w:szCs w:val="22"/>
          <w:lang w:val="es-EC"/>
        </w:rPr>
        <w:t>. -</w:t>
      </w:r>
      <w:r w:rsidR="0082413C" w:rsidRPr="0082413C">
        <w:rPr>
          <w:rFonts w:ascii="Palatino Linotype" w:hAnsi="Palatino Linotype"/>
          <w:bCs/>
          <w:sz w:val="22"/>
          <w:szCs w:val="22"/>
          <w:lang w:val="es-EC"/>
        </w:rPr>
        <w:t>Encárguese    a    la    Procuraduría    Metropolitana    reali</w:t>
      </w:r>
      <w:r>
        <w:rPr>
          <w:rFonts w:ascii="Palatino Linotype" w:hAnsi="Palatino Linotype"/>
          <w:bCs/>
          <w:sz w:val="22"/>
          <w:szCs w:val="22"/>
          <w:lang w:val="es-EC"/>
        </w:rPr>
        <w:t>ce</w:t>
      </w:r>
      <w:r w:rsidR="0082413C" w:rsidRPr="0082413C">
        <w:rPr>
          <w:rFonts w:ascii="Palatino Linotype" w:hAnsi="Palatino Linotype"/>
          <w:bCs/>
          <w:sz w:val="22"/>
          <w:szCs w:val="22"/>
          <w:lang w:val="es-EC"/>
        </w:rPr>
        <w:t xml:space="preserve">    los    trámites administrativos </w:t>
      </w:r>
      <w:r w:rsidR="00676F6C" w:rsidRPr="0082413C">
        <w:rPr>
          <w:rFonts w:ascii="Palatino Linotype" w:hAnsi="Palatino Linotype"/>
          <w:bCs/>
          <w:sz w:val="22"/>
          <w:szCs w:val="22"/>
          <w:lang w:val="es-EC"/>
        </w:rPr>
        <w:t xml:space="preserve">correspondientes </w:t>
      </w:r>
      <w:r w:rsidRPr="0082413C">
        <w:rPr>
          <w:rFonts w:ascii="Palatino Linotype" w:hAnsi="Palatino Linotype"/>
          <w:bCs/>
          <w:sz w:val="22"/>
          <w:szCs w:val="22"/>
          <w:lang w:val="es-EC"/>
        </w:rPr>
        <w:t>a fin</w:t>
      </w:r>
      <w:r w:rsidR="0082413C" w:rsidRPr="0082413C">
        <w:rPr>
          <w:rFonts w:ascii="Palatino Linotype" w:hAnsi="Palatino Linotype"/>
          <w:bCs/>
          <w:sz w:val="22"/>
          <w:szCs w:val="22"/>
          <w:lang w:val="es-EC"/>
        </w:rPr>
        <w:t xml:space="preserve"> </w:t>
      </w:r>
      <w:r>
        <w:rPr>
          <w:rFonts w:ascii="Palatino Linotype" w:hAnsi="Palatino Linotype"/>
          <w:bCs/>
          <w:sz w:val="22"/>
          <w:szCs w:val="22"/>
          <w:lang w:val="es-EC"/>
        </w:rPr>
        <w:t xml:space="preserve">de que </w:t>
      </w:r>
      <w:r w:rsidRPr="0082413C">
        <w:rPr>
          <w:rFonts w:ascii="Palatino Linotype" w:hAnsi="Palatino Linotype"/>
          <w:bCs/>
          <w:sz w:val="22"/>
          <w:szCs w:val="22"/>
          <w:lang w:val="es-EC"/>
        </w:rPr>
        <w:t>protocolice esta</w:t>
      </w:r>
      <w:r w:rsidR="0082413C" w:rsidRPr="0082413C">
        <w:rPr>
          <w:rFonts w:ascii="Palatino Linotype" w:hAnsi="Palatino Linotype"/>
          <w:bCs/>
          <w:sz w:val="22"/>
          <w:szCs w:val="22"/>
          <w:lang w:val="es-EC"/>
        </w:rPr>
        <w:t xml:space="preserve"> resolución</w:t>
      </w:r>
      <w:r>
        <w:rPr>
          <w:rFonts w:ascii="Palatino Linotype" w:hAnsi="Palatino Linotype"/>
          <w:bCs/>
          <w:sz w:val="22"/>
          <w:szCs w:val="22"/>
          <w:lang w:val="es-EC"/>
        </w:rPr>
        <w:t xml:space="preserve"> y esta se </w:t>
      </w:r>
      <w:r w:rsidRPr="0082413C">
        <w:rPr>
          <w:rFonts w:ascii="Palatino Linotype" w:hAnsi="Palatino Linotype"/>
          <w:bCs/>
          <w:sz w:val="22"/>
          <w:szCs w:val="22"/>
          <w:lang w:val="es-EC"/>
        </w:rPr>
        <w:t>margine</w:t>
      </w:r>
      <w:r>
        <w:rPr>
          <w:rFonts w:ascii="Palatino Linotype" w:hAnsi="Palatino Linotype"/>
          <w:bCs/>
          <w:sz w:val="22"/>
          <w:szCs w:val="22"/>
          <w:lang w:val="es-EC"/>
        </w:rPr>
        <w:t xml:space="preserve"> en la Protocolización de la Resolución de Concejo Metropolitano Nro. C 087-2020</w:t>
      </w:r>
      <w:r w:rsidR="00B0711B">
        <w:rPr>
          <w:rFonts w:ascii="Palatino Linotype" w:hAnsi="Palatino Linotype"/>
          <w:bCs/>
          <w:sz w:val="22"/>
          <w:szCs w:val="22"/>
          <w:lang w:val="es-EC"/>
        </w:rPr>
        <w:t>, de l</w:t>
      </w:r>
      <w:r w:rsidR="00B0711B">
        <w:t>a Declaratoria de Bien Mostrenco</w:t>
      </w:r>
      <w:r w:rsidR="00B0711B">
        <w:rPr>
          <w:rFonts w:ascii="Palatino Linotype" w:hAnsi="Palatino Linotype"/>
          <w:bCs/>
          <w:sz w:val="22"/>
          <w:szCs w:val="22"/>
          <w:lang w:val="es-EC"/>
        </w:rPr>
        <w:t xml:space="preserve"> realizada en la Notaría </w:t>
      </w:r>
      <w:r w:rsidR="00B0711B">
        <w:t>Trigésima Séptima de Quito, con fecha 16 de noviembre del 2020, e inscrita el 20 de noviembre de 2020</w:t>
      </w:r>
      <w:r>
        <w:rPr>
          <w:rFonts w:ascii="Palatino Linotype" w:hAnsi="Palatino Linotype"/>
          <w:bCs/>
          <w:sz w:val="22"/>
          <w:szCs w:val="22"/>
          <w:lang w:val="es-EC"/>
        </w:rPr>
        <w:t xml:space="preserve">; y, se inscriba en </w:t>
      </w:r>
      <w:r w:rsidR="0082413C" w:rsidRPr="0082413C">
        <w:rPr>
          <w:rFonts w:ascii="Palatino Linotype" w:hAnsi="Palatino Linotype"/>
          <w:bCs/>
          <w:sz w:val="22"/>
          <w:szCs w:val="22"/>
          <w:lang w:val="es-EC"/>
        </w:rPr>
        <w:t>el Registro de la Propiedad del Distrito Metropolitano de Quito</w:t>
      </w:r>
      <w:r w:rsidR="00273D41">
        <w:rPr>
          <w:rFonts w:ascii="Palatino Linotype" w:hAnsi="Palatino Linotype"/>
          <w:bCs/>
          <w:sz w:val="22"/>
          <w:szCs w:val="22"/>
          <w:lang w:val="es-EC"/>
        </w:rPr>
        <w:t>.</w:t>
      </w:r>
    </w:p>
    <w:p w14:paraId="21681C28" w14:textId="36F26C9C" w:rsidR="00676F6C" w:rsidRDefault="00676F6C" w:rsidP="00D3174E">
      <w:pPr>
        <w:autoSpaceDE w:val="0"/>
        <w:autoSpaceDN w:val="0"/>
        <w:adjustRightInd w:val="0"/>
        <w:jc w:val="both"/>
        <w:rPr>
          <w:rFonts w:ascii="Palatino Linotype" w:hAnsi="Palatino Linotype"/>
          <w:bCs/>
          <w:sz w:val="22"/>
          <w:szCs w:val="22"/>
          <w:lang w:val="es-EC"/>
        </w:rPr>
      </w:pPr>
    </w:p>
    <w:p w14:paraId="6574B73D" w14:textId="54C04E4D" w:rsidR="00D3174E" w:rsidRPr="00583ACD" w:rsidRDefault="00D3174E" w:rsidP="00D3174E">
      <w:pPr>
        <w:autoSpaceDE w:val="0"/>
        <w:autoSpaceDN w:val="0"/>
        <w:adjustRightInd w:val="0"/>
        <w:jc w:val="both"/>
        <w:rPr>
          <w:rFonts w:ascii="Palatino Linotype" w:eastAsiaTheme="minorHAnsi" w:hAnsi="Palatino Linotype"/>
          <w:lang w:val="es-EC" w:eastAsia="en-US"/>
        </w:rPr>
      </w:pPr>
      <w:r w:rsidRPr="00583ACD">
        <w:rPr>
          <w:rFonts w:ascii="Palatino Linotype" w:eastAsiaTheme="minorHAnsi" w:hAnsi="Palatino Linotype"/>
          <w:b/>
          <w:lang w:val="es-EC" w:eastAsia="en-US"/>
        </w:rPr>
        <w:t>Disposición Final. -</w:t>
      </w:r>
      <w:r w:rsidRPr="00583ACD">
        <w:rPr>
          <w:rFonts w:ascii="Palatino Linotype" w:eastAsiaTheme="minorHAnsi" w:hAnsi="Palatino Linotype"/>
          <w:lang w:val="es-EC" w:eastAsia="en-US"/>
        </w:rPr>
        <w:t xml:space="preserve"> La presente resolución entrará en vigencia a partir de su </w:t>
      </w:r>
      <w:r w:rsidR="00583ACD">
        <w:rPr>
          <w:rFonts w:ascii="Palatino Linotype" w:eastAsiaTheme="minorHAnsi" w:hAnsi="Palatino Linotype"/>
          <w:lang w:val="es-EC" w:eastAsia="en-US"/>
        </w:rPr>
        <w:t>sanción</w:t>
      </w:r>
      <w:r w:rsidRPr="00583ACD">
        <w:rPr>
          <w:rFonts w:ascii="Palatino Linotype" w:eastAsiaTheme="minorHAnsi" w:hAnsi="Palatino Linotype"/>
          <w:lang w:val="es-EC" w:eastAsia="en-US"/>
        </w:rPr>
        <w:t xml:space="preserve"> sin perjuicio de su publicación.</w:t>
      </w:r>
    </w:p>
    <w:p w14:paraId="78ED7E4C" w14:textId="77777777" w:rsidR="00057F2E" w:rsidRDefault="00057F2E" w:rsidP="00D3174E">
      <w:pPr>
        <w:jc w:val="both"/>
        <w:rPr>
          <w:rFonts w:ascii="Palatino Linotype" w:hAnsi="Palatino Linotype"/>
          <w:b/>
        </w:rPr>
      </w:pPr>
    </w:p>
    <w:p w14:paraId="142BF347" w14:textId="57E61D42" w:rsidR="00D3174E" w:rsidRPr="00583ACD" w:rsidRDefault="00D3174E" w:rsidP="00D3174E">
      <w:pPr>
        <w:jc w:val="both"/>
        <w:rPr>
          <w:rFonts w:ascii="Palatino Linotype" w:hAnsi="Palatino Linotype"/>
        </w:rPr>
      </w:pPr>
      <w:r w:rsidRPr="00583ACD">
        <w:rPr>
          <w:rFonts w:ascii="Palatino Linotype" w:hAnsi="Palatino Linotype"/>
          <w:b/>
        </w:rPr>
        <w:t xml:space="preserve">Alcaldía del Distrito Metropolitano. - </w:t>
      </w:r>
      <w:r w:rsidRPr="00583ACD">
        <w:rPr>
          <w:rFonts w:ascii="Palatino Linotype" w:hAnsi="Palatino Linotype"/>
        </w:rPr>
        <w:t xml:space="preserve">Distrito Metropolitano de Quito, </w:t>
      </w:r>
      <w:r w:rsidR="00A710FF">
        <w:rPr>
          <w:rFonts w:ascii="Palatino Linotype" w:hAnsi="Palatino Linotype"/>
        </w:rPr>
        <w:t>xx</w:t>
      </w:r>
      <w:r w:rsidR="00583ACD">
        <w:rPr>
          <w:rFonts w:ascii="Palatino Linotype" w:hAnsi="Palatino Linotype"/>
        </w:rPr>
        <w:t xml:space="preserve"> de </w:t>
      </w:r>
      <w:r w:rsidR="00A710FF">
        <w:rPr>
          <w:rFonts w:ascii="Palatino Linotype" w:hAnsi="Palatino Linotype"/>
        </w:rPr>
        <w:t>xxx</w:t>
      </w:r>
      <w:r w:rsidR="00583ACD">
        <w:rPr>
          <w:rFonts w:ascii="Palatino Linotype" w:hAnsi="Palatino Linotype"/>
        </w:rPr>
        <w:t xml:space="preserve"> de 2022</w:t>
      </w:r>
      <w:r w:rsidRPr="00583ACD">
        <w:rPr>
          <w:rFonts w:ascii="Palatino Linotype" w:hAnsi="Palatino Linotype"/>
        </w:rPr>
        <w:t xml:space="preserve">. </w:t>
      </w:r>
    </w:p>
    <w:p w14:paraId="75209978" w14:textId="77777777" w:rsidR="00D3174E" w:rsidRPr="00583ACD" w:rsidRDefault="00D3174E" w:rsidP="00D3174E">
      <w:pPr>
        <w:jc w:val="center"/>
        <w:rPr>
          <w:rFonts w:ascii="Palatino Linotype" w:hAnsi="Palatino Linotype"/>
          <w:b/>
        </w:rPr>
      </w:pPr>
      <w:r w:rsidRPr="00583ACD">
        <w:rPr>
          <w:rFonts w:ascii="Palatino Linotype" w:hAnsi="Palatino Linotype"/>
          <w:b/>
        </w:rPr>
        <w:t>EJECÚTESE:</w:t>
      </w:r>
    </w:p>
    <w:p w14:paraId="7EAC9703" w14:textId="77777777" w:rsidR="00D3174E" w:rsidRPr="00583ACD" w:rsidRDefault="00D3174E" w:rsidP="00D3174E">
      <w:pPr>
        <w:pStyle w:val="Sinespaciado"/>
        <w:jc w:val="center"/>
        <w:rPr>
          <w:rFonts w:ascii="Palatino Linotype" w:hAnsi="Palatino Linotype"/>
          <w:sz w:val="24"/>
          <w:szCs w:val="24"/>
        </w:rPr>
      </w:pPr>
    </w:p>
    <w:p w14:paraId="3E2A4933" w14:textId="77777777" w:rsidR="00D3174E" w:rsidRPr="00583ACD" w:rsidRDefault="00D3174E" w:rsidP="00583ACD">
      <w:pPr>
        <w:pStyle w:val="Sinespaciado"/>
        <w:rPr>
          <w:rFonts w:ascii="Palatino Linotype" w:hAnsi="Palatino Linotype"/>
          <w:sz w:val="24"/>
          <w:szCs w:val="24"/>
        </w:rPr>
      </w:pPr>
    </w:p>
    <w:p w14:paraId="7746EDC9" w14:textId="77777777" w:rsidR="00D3174E" w:rsidRPr="00583ACD" w:rsidRDefault="00D3174E" w:rsidP="00D3174E">
      <w:pPr>
        <w:pStyle w:val="Sinespaciado"/>
        <w:jc w:val="center"/>
        <w:rPr>
          <w:rFonts w:ascii="Palatino Linotype" w:hAnsi="Palatino Linotype"/>
          <w:sz w:val="24"/>
          <w:szCs w:val="24"/>
        </w:rPr>
      </w:pPr>
    </w:p>
    <w:p w14:paraId="771D2410" w14:textId="77777777" w:rsidR="00D3174E" w:rsidRPr="00583ACD" w:rsidRDefault="00D3174E" w:rsidP="00D3174E">
      <w:pPr>
        <w:pStyle w:val="Sinespaciado"/>
        <w:jc w:val="center"/>
        <w:rPr>
          <w:rFonts w:ascii="Palatino Linotype" w:hAnsi="Palatino Linotype"/>
          <w:sz w:val="24"/>
          <w:szCs w:val="24"/>
        </w:rPr>
      </w:pPr>
      <w:r w:rsidRPr="00583ACD">
        <w:rPr>
          <w:rFonts w:ascii="Palatino Linotype" w:hAnsi="Palatino Linotype"/>
          <w:sz w:val="24"/>
          <w:szCs w:val="24"/>
        </w:rPr>
        <w:t xml:space="preserve">Dr. Santiago </w:t>
      </w:r>
      <w:proofErr w:type="spellStart"/>
      <w:r w:rsidRPr="00583ACD">
        <w:rPr>
          <w:rFonts w:ascii="Palatino Linotype" w:hAnsi="Palatino Linotype"/>
          <w:sz w:val="24"/>
          <w:szCs w:val="24"/>
        </w:rPr>
        <w:t>Guarderas</w:t>
      </w:r>
      <w:proofErr w:type="spellEnd"/>
      <w:r w:rsidRPr="00583ACD">
        <w:rPr>
          <w:rFonts w:ascii="Palatino Linotype" w:hAnsi="Palatino Linotype"/>
          <w:sz w:val="24"/>
          <w:szCs w:val="24"/>
        </w:rPr>
        <w:t xml:space="preserve"> Izquierdo </w:t>
      </w:r>
    </w:p>
    <w:p w14:paraId="33FD7752" w14:textId="77777777" w:rsidR="00583ACD" w:rsidRDefault="00D3174E" w:rsidP="00583ACD">
      <w:pPr>
        <w:pStyle w:val="Sinespaciado"/>
        <w:jc w:val="center"/>
        <w:rPr>
          <w:rFonts w:ascii="Palatino Linotype" w:hAnsi="Palatino Linotype"/>
          <w:b/>
          <w:sz w:val="24"/>
          <w:szCs w:val="24"/>
        </w:rPr>
      </w:pPr>
      <w:r w:rsidRPr="00583ACD">
        <w:rPr>
          <w:rFonts w:ascii="Palatino Linotype" w:hAnsi="Palatino Linotype"/>
          <w:b/>
          <w:sz w:val="24"/>
          <w:szCs w:val="24"/>
        </w:rPr>
        <w:t>ALCALDE DEL DISTRITO METROPOLITANO DE QUITO</w:t>
      </w:r>
    </w:p>
    <w:p w14:paraId="1DD741DC" w14:textId="77777777" w:rsidR="00583ACD" w:rsidRPr="00583ACD" w:rsidRDefault="00583ACD" w:rsidP="00583ACD">
      <w:pPr>
        <w:pStyle w:val="Sinespaciado"/>
        <w:jc w:val="center"/>
        <w:rPr>
          <w:rFonts w:ascii="Palatino Linotype" w:hAnsi="Palatino Linotype"/>
          <w:b/>
          <w:sz w:val="24"/>
          <w:szCs w:val="24"/>
        </w:rPr>
      </w:pPr>
    </w:p>
    <w:p w14:paraId="660649D2" w14:textId="4927AFBE" w:rsidR="00D3174E" w:rsidRPr="00583ACD" w:rsidRDefault="00D3174E" w:rsidP="00D3174E">
      <w:pPr>
        <w:jc w:val="both"/>
        <w:rPr>
          <w:rFonts w:ascii="Palatino Linotype" w:hAnsi="Palatino Linotype"/>
        </w:rPr>
      </w:pPr>
      <w:r w:rsidRPr="00583ACD">
        <w:rPr>
          <w:rFonts w:ascii="Palatino Linotype" w:hAnsi="Palatino Linotype"/>
          <w:b/>
        </w:rPr>
        <w:t>CERTIFICO,</w:t>
      </w:r>
      <w:r w:rsidRPr="00583ACD">
        <w:rPr>
          <w:rFonts w:ascii="Palatino Linotype" w:hAnsi="Palatino Linotype"/>
        </w:rPr>
        <w:t xml:space="preserve"> que la presente resolución fue discutida y aprobada en sesión pública ordinaria del Concejo Metropolitano de Quito, el </w:t>
      </w:r>
      <w:r w:rsidR="00A710FF">
        <w:rPr>
          <w:rFonts w:ascii="Palatino Linotype" w:hAnsi="Palatino Linotype"/>
        </w:rPr>
        <w:t>xx</w:t>
      </w:r>
      <w:r w:rsidR="00583ACD" w:rsidRPr="00583ACD">
        <w:rPr>
          <w:rFonts w:ascii="Palatino Linotype" w:hAnsi="Palatino Linotype"/>
        </w:rPr>
        <w:t xml:space="preserve"> de </w:t>
      </w:r>
      <w:r w:rsidR="00A710FF">
        <w:rPr>
          <w:rFonts w:ascii="Palatino Linotype" w:hAnsi="Palatino Linotype"/>
        </w:rPr>
        <w:t>xxx</w:t>
      </w:r>
      <w:r w:rsidR="00583ACD" w:rsidRPr="00583ACD">
        <w:rPr>
          <w:rFonts w:ascii="Palatino Linotype" w:hAnsi="Palatino Linotype"/>
        </w:rPr>
        <w:t xml:space="preserve"> de 2022</w:t>
      </w:r>
      <w:r w:rsidRPr="00583ACD">
        <w:rPr>
          <w:rFonts w:ascii="Palatino Linotype" w:hAnsi="Palatino Linotype"/>
        </w:rPr>
        <w:t xml:space="preserve">; y, suscrita por el Dr. Santiago </w:t>
      </w:r>
      <w:proofErr w:type="spellStart"/>
      <w:r w:rsidRPr="00583ACD">
        <w:rPr>
          <w:rFonts w:ascii="Palatino Linotype" w:hAnsi="Palatino Linotype"/>
        </w:rPr>
        <w:t>Guarderas</w:t>
      </w:r>
      <w:proofErr w:type="spellEnd"/>
      <w:r w:rsidRPr="00583ACD">
        <w:rPr>
          <w:rFonts w:ascii="Palatino Linotype" w:hAnsi="Palatino Linotype"/>
        </w:rPr>
        <w:t xml:space="preserve"> Izquierdo, Alcalde del Distrito Metropolitano de Quito, </w:t>
      </w:r>
      <w:r w:rsidR="00A710FF">
        <w:rPr>
          <w:rFonts w:ascii="Palatino Linotype" w:hAnsi="Palatino Linotype"/>
        </w:rPr>
        <w:t>xx</w:t>
      </w:r>
      <w:r w:rsidR="00583ACD" w:rsidRPr="00583ACD">
        <w:rPr>
          <w:rFonts w:ascii="Palatino Linotype" w:hAnsi="Palatino Linotype"/>
        </w:rPr>
        <w:t xml:space="preserve"> de </w:t>
      </w:r>
      <w:r w:rsidR="00A710FF">
        <w:rPr>
          <w:rFonts w:ascii="Palatino Linotype" w:hAnsi="Palatino Linotype"/>
        </w:rPr>
        <w:t>xxx</w:t>
      </w:r>
      <w:r w:rsidR="00583ACD" w:rsidRPr="00583ACD">
        <w:rPr>
          <w:rFonts w:ascii="Palatino Linotype" w:hAnsi="Palatino Linotype"/>
        </w:rPr>
        <w:t xml:space="preserve"> de 2022.</w:t>
      </w:r>
    </w:p>
    <w:p w14:paraId="1A4AE046" w14:textId="77777777" w:rsidR="00D3174E" w:rsidRPr="00583ACD" w:rsidRDefault="00D3174E" w:rsidP="00D3174E">
      <w:pPr>
        <w:jc w:val="both"/>
        <w:rPr>
          <w:rFonts w:ascii="Palatino Linotype" w:hAnsi="Palatino Linotype"/>
          <w:b/>
        </w:rPr>
      </w:pPr>
    </w:p>
    <w:p w14:paraId="458A8EE2" w14:textId="56338BA2" w:rsidR="00D3174E" w:rsidRPr="00583ACD" w:rsidRDefault="00D3174E" w:rsidP="00D3174E">
      <w:pPr>
        <w:jc w:val="both"/>
        <w:rPr>
          <w:rFonts w:ascii="Palatino Linotype" w:hAnsi="Palatino Linotype"/>
        </w:rPr>
      </w:pPr>
      <w:r w:rsidRPr="00583ACD">
        <w:rPr>
          <w:rFonts w:ascii="Palatino Linotype" w:hAnsi="Palatino Linotype"/>
          <w:b/>
        </w:rPr>
        <w:t xml:space="preserve">Lo </w:t>
      </w:r>
      <w:proofErr w:type="gramStart"/>
      <w:r w:rsidRPr="00583ACD">
        <w:rPr>
          <w:rFonts w:ascii="Palatino Linotype" w:hAnsi="Palatino Linotype"/>
          <w:b/>
        </w:rPr>
        <w:t>certifico.-</w:t>
      </w:r>
      <w:proofErr w:type="gramEnd"/>
      <w:r w:rsidRPr="00583ACD">
        <w:rPr>
          <w:rFonts w:ascii="Palatino Linotype" w:hAnsi="Palatino Linotype"/>
          <w:b/>
        </w:rPr>
        <w:t xml:space="preserve"> </w:t>
      </w:r>
      <w:r w:rsidRPr="00583ACD">
        <w:rPr>
          <w:rFonts w:ascii="Palatino Linotype" w:hAnsi="Palatino Linotype"/>
        </w:rPr>
        <w:t xml:space="preserve">Distrito Metropolitano de Quito, </w:t>
      </w:r>
      <w:r w:rsidR="00A710FF">
        <w:rPr>
          <w:rFonts w:ascii="Palatino Linotype" w:hAnsi="Palatino Linotype"/>
        </w:rPr>
        <w:t>xx</w:t>
      </w:r>
      <w:r w:rsidR="00583ACD" w:rsidRPr="00583ACD">
        <w:rPr>
          <w:rFonts w:ascii="Palatino Linotype" w:hAnsi="Palatino Linotype"/>
        </w:rPr>
        <w:t xml:space="preserve"> de </w:t>
      </w:r>
      <w:r w:rsidR="00A710FF">
        <w:rPr>
          <w:rFonts w:ascii="Palatino Linotype" w:hAnsi="Palatino Linotype"/>
        </w:rPr>
        <w:t>xxx</w:t>
      </w:r>
      <w:r w:rsidR="00583ACD" w:rsidRPr="00583ACD">
        <w:rPr>
          <w:rFonts w:ascii="Palatino Linotype" w:hAnsi="Palatino Linotype"/>
        </w:rPr>
        <w:t xml:space="preserve"> de 2022.</w:t>
      </w:r>
    </w:p>
    <w:p w14:paraId="6F984971" w14:textId="77777777" w:rsidR="00D3174E" w:rsidRPr="00583ACD" w:rsidRDefault="00D3174E" w:rsidP="00D3174E">
      <w:pPr>
        <w:rPr>
          <w:rFonts w:ascii="Palatino Linotype" w:hAnsi="Palatino Linotype"/>
        </w:rPr>
      </w:pPr>
    </w:p>
    <w:p w14:paraId="40466FFC" w14:textId="77777777" w:rsidR="00D3174E" w:rsidRPr="00583ACD" w:rsidRDefault="00D3174E" w:rsidP="00D3174E">
      <w:pPr>
        <w:jc w:val="both"/>
        <w:rPr>
          <w:rFonts w:ascii="Palatino Linotype" w:hAnsi="Palatino Linotype"/>
        </w:rPr>
      </w:pPr>
    </w:p>
    <w:p w14:paraId="6942DACE" w14:textId="77777777" w:rsidR="00D3174E" w:rsidRPr="00583ACD" w:rsidRDefault="00D3174E" w:rsidP="00D3174E">
      <w:pPr>
        <w:jc w:val="both"/>
        <w:rPr>
          <w:rFonts w:ascii="Palatino Linotype" w:hAnsi="Palatino Linotype"/>
        </w:rPr>
      </w:pPr>
    </w:p>
    <w:p w14:paraId="44D0FCE2" w14:textId="77777777" w:rsidR="00D3174E" w:rsidRPr="00583ACD" w:rsidRDefault="00D3174E" w:rsidP="00D3174E">
      <w:pPr>
        <w:jc w:val="both"/>
        <w:rPr>
          <w:rFonts w:ascii="Palatino Linotype" w:hAnsi="Palatino Linotype"/>
        </w:rPr>
      </w:pPr>
    </w:p>
    <w:p w14:paraId="20824118" w14:textId="4CDC8E47" w:rsidR="00D3174E" w:rsidRPr="00583ACD" w:rsidRDefault="00583ACD" w:rsidP="00D3174E">
      <w:pPr>
        <w:pStyle w:val="Sinespaciado"/>
        <w:jc w:val="center"/>
        <w:rPr>
          <w:rFonts w:ascii="Palatino Linotype" w:hAnsi="Palatino Linotype"/>
          <w:sz w:val="24"/>
          <w:szCs w:val="24"/>
        </w:rPr>
      </w:pPr>
      <w:r w:rsidRPr="00583ACD">
        <w:rPr>
          <w:rFonts w:ascii="Palatino Linotype" w:hAnsi="Palatino Linotype"/>
          <w:sz w:val="24"/>
          <w:szCs w:val="24"/>
        </w:rPr>
        <w:t>Ab</w:t>
      </w:r>
      <w:r w:rsidR="00443D96">
        <w:rPr>
          <w:rFonts w:ascii="Palatino Linotype" w:hAnsi="Palatino Linotype"/>
          <w:sz w:val="24"/>
          <w:szCs w:val="24"/>
        </w:rPr>
        <w:t>g</w:t>
      </w:r>
      <w:r w:rsidR="00D3174E" w:rsidRPr="00583ACD">
        <w:rPr>
          <w:rFonts w:ascii="Palatino Linotype" w:hAnsi="Palatino Linotype"/>
          <w:sz w:val="24"/>
          <w:szCs w:val="24"/>
        </w:rPr>
        <w:t xml:space="preserve">. Pablo Santillán </w:t>
      </w:r>
      <w:r w:rsidRPr="00583ACD">
        <w:rPr>
          <w:rFonts w:ascii="Palatino Linotype" w:hAnsi="Palatino Linotype"/>
          <w:sz w:val="24"/>
          <w:szCs w:val="24"/>
        </w:rPr>
        <w:t>Paredes</w:t>
      </w:r>
    </w:p>
    <w:p w14:paraId="40080B23" w14:textId="77777777" w:rsidR="00D3174E" w:rsidRDefault="00D3174E" w:rsidP="00D3174E">
      <w:pPr>
        <w:pStyle w:val="Sinespaciado"/>
        <w:jc w:val="center"/>
        <w:rPr>
          <w:rFonts w:ascii="Palatino Linotype" w:hAnsi="Palatino Linotype"/>
          <w:b/>
          <w:sz w:val="24"/>
          <w:szCs w:val="24"/>
        </w:rPr>
      </w:pPr>
      <w:r w:rsidRPr="00583ACD">
        <w:rPr>
          <w:rFonts w:ascii="Palatino Linotype" w:hAnsi="Palatino Linotype"/>
          <w:b/>
          <w:sz w:val="24"/>
          <w:szCs w:val="24"/>
        </w:rPr>
        <w:t>SECRETARIO GENERAL DEL CONCEJO METROPOLITANO DE QUITO</w:t>
      </w:r>
    </w:p>
    <w:p w14:paraId="0FA01A41" w14:textId="77777777" w:rsidR="00583ACD" w:rsidRPr="00583ACD" w:rsidRDefault="00583ACD" w:rsidP="00D3174E">
      <w:pPr>
        <w:pStyle w:val="Sinespaciado"/>
        <w:jc w:val="center"/>
        <w:rPr>
          <w:rFonts w:ascii="Palatino Linotype" w:hAnsi="Palatino Linotype"/>
          <w:b/>
          <w:sz w:val="24"/>
          <w:szCs w:val="24"/>
        </w:rPr>
      </w:pPr>
    </w:p>
    <w:sectPr w:rsidR="00583ACD" w:rsidRPr="00583ACD" w:rsidSect="00D3174E">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7FD40" w14:textId="77777777" w:rsidR="00FC7C97" w:rsidRDefault="00FC7C97">
      <w:r>
        <w:separator/>
      </w:r>
    </w:p>
  </w:endnote>
  <w:endnote w:type="continuationSeparator" w:id="0">
    <w:p w14:paraId="08705757" w14:textId="77777777" w:rsidR="00FC7C97" w:rsidRDefault="00FC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NewNegrit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12A1463D" w14:textId="3CF6D57A"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AE230B">
              <w:rPr>
                <w:rFonts w:ascii="Palatino Linotype" w:hAnsi="Palatino Linotype"/>
                <w:b/>
                <w:bCs/>
                <w:noProof/>
                <w:sz w:val="20"/>
                <w:szCs w:val="20"/>
              </w:rPr>
              <w:t>8</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AE230B">
              <w:rPr>
                <w:rFonts w:ascii="Palatino Linotype" w:hAnsi="Palatino Linotype"/>
                <w:b/>
                <w:bCs/>
                <w:noProof/>
                <w:sz w:val="20"/>
                <w:szCs w:val="20"/>
              </w:rPr>
              <w:t>8</w:t>
            </w:r>
            <w:r w:rsidRPr="008479FB">
              <w:rPr>
                <w:rFonts w:ascii="Palatino Linotype" w:hAnsi="Palatino Linotype"/>
                <w:b/>
                <w:bCs/>
                <w:sz w:val="20"/>
                <w:szCs w:val="20"/>
              </w:rPr>
              <w:fldChar w:fldCharType="end"/>
            </w:r>
          </w:p>
        </w:sdtContent>
      </w:sdt>
    </w:sdtContent>
  </w:sdt>
  <w:p w14:paraId="501043E9" w14:textId="77777777"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0CB0" w14:textId="77777777" w:rsidR="00FC7C97" w:rsidRDefault="00FC7C97">
      <w:r>
        <w:separator/>
      </w:r>
    </w:p>
  </w:footnote>
  <w:footnote w:type="continuationSeparator" w:id="0">
    <w:p w14:paraId="744953DA" w14:textId="77777777" w:rsidR="00FC7C97" w:rsidRDefault="00FC7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544C" w14:textId="77777777" w:rsidR="00D3174E" w:rsidRDefault="00646395" w:rsidP="00646395">
    <w:pPr>
      <w:autoSpaceDE w:val="0"/>
      <w:autoSpaceDN w:val="0"/>
      <w:adjustRightInd w:val="0"/>
      <w:jc w:val="center"/>
      <w:rPr>
        <w:rFonts w:ascii="Palatino Linotype" w:eastAsiaTheme="minorHAnsi" w:hAnsi="Palatino Linotype"/>
        <w:b/>
        <w:bCs/>
        <w:sz w:val="22"/>
        <w:szCs w:val="22"/>
        <w:lang w:val="es-EC" w:eastAsia="en-US"/>
      </w:rPr>
    </w:pPr>
    <w:r>
      <w:rPr>
        <w:noProof/>
        <w:lang w:val="es-EC" w:eastAsia="es-EC"/>
      </w:rPr>
      <w:drawing>
        <wp:inline distT="0" distB="0" distL="0" distR="0" wp14:anchorId="2226F7C0" wp14:editId="4BFB49F4">
          <wp:extent cx="673735"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inline>
      </w:drawing>
    </w:r>
  </w:p>
  <w:p w14:paraId="37B3B6A9" w14:textId="77777777" w:rsidR="00646395" w:rsidRDefault="00646395" w:rsidP="00646395">
    <w:pPr>
      <w:autoSpaceDE w:val="0"/>
      <w:autoSpaceDN w:val="0"/>
      <w:adjustRightInd w:val="0"/>
      <w:jc w:val="center"/>
      <w:rPr>
        <w:rFonts w:ascii="Palatino Linotype" w:eastAsiaTheme="minorHAnsi" w:hAnsi="Palatino Linotype"/>
        <w:b/>
        <w:bCs/>
        <w:sz w:val="22"/>
        <w:szCs w:val="22"/>
        <w:lang w:val="es-EC" w:eastAsia="en-US"/>
      </w:rPr>
    </w:pPr>
  </w:p>
  <w:p w14:paraId="04733D13" w14:textId="6281156F" w:rsidR="00D3174E" w:rsidRPr="004B36BA" w:rsidRDefault="00646395" w:rsidP="00D3174E">
    <w:pPr>
      <w:autoSpaceDE w:val="0"/>
      <w:autoSpaceDN w:val="0"/>
      <w:adjustRightInd w:val="0"/>
      <w:jc w:val="center"/>
      <w:rPr>
        <w:rFonts w:ascii="Palatino Linotype" w:eastAsiaTheme="minorHAnsi" w:hAnsi="Palatino Linotype"/>
        <w:b/>
        <w:bCs/>
        <w:sz w:val="22"/>
        <w:szCs w:val="22"/>
        <w:lang w:val="es-EC" w:eastAsia="en-US"/>
      </w:rPr>
    </w:pPr>
    <w:r>
      <w:rPr>
        <w:rFonts w:ascii="Palatino Linotype" w:eastAsiaTheme="minorHAnsi" w:hAnsi="Palatino Linotype"/>
        <w:b/>
        <w:bCs/>
        <w:sz w:val="22"/>
        <w:szCs w:val="22"/>
        <w:lang w:val="es-EC" w:eastAsia="en-US"/>
      </w:rPr>
      <w:t>RESOLUCIÓN No. C-</w:t>
    </w:r>
    <w:r w:rsidR="007E6463">
      <w:rPr>
        <w:rFonts w:ascii="Palatino Linotype" w:eastAsiaTheme="minorHAnsi" w:hAnsi="Palatino Linotype"/>
        <w:b/>
        <w:bCs/>
        <w:sz w:val="22"/>
        <w:szCs w:val="22"/>
        <w:lang w:val="es-EC" w:eastAsia="en-US"/>
      </w:rPr>
      <w:t>xxx-2022</w:t>
    </w:r>
  </w:p>
  <w:p w14:paraId="53FAC6E9" w14:textId="77777777"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C"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EC"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4E"/>
    <w:rsid w:val="00002752"/>
    <w:rsid w:val="00010294"/>
    <w:rsid w:val="00031EBE"/>
    <w:rsid w:val="0003445C"/>
    <w:rsid w:val="00044368"/>
    <w:rsid w:val="00046D00"/>
    <w:rsid w:val="000472A8"/>
    <w:rsid w:val="00057F2E"/>
    <w:rsid w:val="00061BF3"/>
    <w:rsid w:val="00062CA9"/>
    <w:rsid w:val="0007318B"/>
    <w:rsid w:val="00077279"/>
    <w:rsid w:val="000E0AE5"/>
    <w:rsid w:val="000E197C"/>
    <w:rsid w:val="000F4215"/>
    <w:rsid w:val="000F6739"/>
    <w:rsid w:val="001001B5"/>
    <w:rsid w:val="001110F9"/>
    <w:rsid w:val="00140161"/>
    <w:rsid w:val="0014173E"/>
    <w:rsid w:val="001A7EB7"/>
    <w:rsid w:val="001B0570"/>
    <w:rsid w:val="001B3564"/>
    <w:rsid w:val="001C2AA5"/>
    <w:rsid w:val="001F5B10"/>
    <w:rsid w:val="0020460E"/>
    <w:rsid w:val="0022016F"/>
    <w:rsid w:val="00220D50"/>
    <w:rsid w:val="002428FD"/>
    <w:rsid w:val="00265A74"/>
    <w:rsid w:val="002725CF"/>
    <w:rsid w:val="00273D41"/>
    <w:rsid w:val="0028000C"/>
    <w:rsid w:val="002840B1"/>
    <w:rsid w:val="002B62F6"/>
    <w:rsid w:val="002D2205"/>
    <w:rsid w:val="002E1FC4"/>
    <w:rsid w:val="00301822"/>
    <w:rsid w:val="0030679D"/>
    <w:rsid w:val="00316DA1"/>
    <w:rsid w:val="003314AE"/>
    <w:rsid w:val="00336A76"/>
    <w:rsid w:val="00344385"/>
    <w:rsid w:val="00355CCA"/>
    <w:rsid w:val="003570AD"/>
    <w:rsid w:val="00362029"/>
    <w:rsid w:val="003914B8"/>
    <w:rsid w:val="003B3C49"/>
    <w:rsid w:val="003C2DF7"/>
    <w:rsid w:val="003C313C"/>
    <w:rsid w:val="003C414D"/>
    <w:rsid w:val="003D6F30"/>
    <w:rsid w:val="003E44F3"/>
    <w:rsid w:val="003F3843"/>
    <w:rsid w:val="003F45A7"/>
    <w:rsid w:val="003F4848"/>
    <w:rsid w:val="00403C06"/>
    <w:rsid w:val="00404903"/>
    <w:rsid w:val="00415CDC"/>
    <w:rsid w:val="00420A49"/>
    <w:rsid w:val="00443D96"/>
    <w:rsid w:val="00444098"/>
    <w:rsid w:val="0045519D"/>
    <w:rsid w:val="0046371D"/>
    <w:rsid w:val="00473730"/>
    <w:rsid w:val="004C5CEE"/>
    <w:rsid w:val="004D2BBF"/>
    <w:rsid w:val="004D2C58"/>
    <w:rsid w:val="004E1A23"/>
    <w:rsid w:val="00505351"/>
    <w:rsid w:val="00512578"/>
    <w:rsid w:val="00515F29"/>
    <w:rsid w:val="005204FB"/>
    <w:rsid w:val="005410A7"/>
    <w:rsid w:val="0055302D"/>
    <w:rsid w:val="0057493A"/>
    <w:rsid w:val="00583ACD"/>
    <w:rsid w:val="005C6173"/>
    <w:rsid w:val="005C6517"/>
    <w:rsid w:val="005D1E4A"/>
    <w:rsid w:val="005D4EA4"/>
    <w:rsid w:val="005D7EFF"/>
    <w:rsid w:val="006007AB"/>
    <w:rsid w:val="00627371"/>
    <w:rsid w:val="00627A87"/>
    <w:rsid w:val="00646395"/>
    <w:rsid w:val="006542D4"/>
    <w:rsid w:val="00657E6A"/>
    <w:rsid w:val="00676F6C"/>
    <w:rsid w:val="006901DA"/>
    <w:rsid w:val="006B2574"/>
    <w:rsid w:val="006B258F"/>
    <w:rsid w:val="006C0B9B"/>
    <w:rsid w:val="006F5CCA"/>
    <w:rsid w:val="00703F56"/>
    <w:rsid w:val="00740674"/>
    <w:rsid w:val="00740A38"/>
    <w:rsid w:val="007558D6"/>
    <w:rsid w:val="0075744C"/>
    <w:rsid w:val="007827DD"/>
    <w:rsid w:val="0078380A"/>
    <w:rsid w:val="00787834"/>
    <w:rsid w:val="007959E0"/>
    <w:rsid w:val="00797BD8"/>
    <w:rsid w:val="007E2350"/>
    <w:rsid w:val="007E435E"/>
    <w:rsid w:val="007E5968"/>
    <w:rsid w:val="007E6463"/>
    <w:rsid w:val="007E730C"/>
    <w:rsid w:val="007F4020"/>
    <w:rsid w:val="007F4650"/>
    <w:rsid w:val="00811606"/>
    <w:rsid w:val="008158BE"/>
    <w:rsid w:val="00821379"/>
    <w:rsid w:val="0082413C"/>
    <w:rsid w:val="00827F3D"/>
    <w:rsid w:val="00852934"/>
    <w:rsid w:val="0085509A"/>
    <w:rsid w:val="008606A6"/>
    <w:rsid w:val="0088324B"/>
    <w:rsid w:val="00883CE3"/>
    <w:rsid w:val="00885B17"/>
    <w:rsid w:val="008871CF"/>
    <w:rsid w:val="008943CB"/>
    <w:rsid w:val="008A67BB"/>
    <w:rsid w:val="008C0C27"/>
    <w:rsid w:val="008C58C4"/>
    <w:rsid w:val="008E7C1D"/>
    <w:rsid w:val="008F4533"/>
    <w:rsid w:val="00902702"/>
    <w:rsid w:val="009027E4"/>
    <w:rsid w:val="009126A8"/>
    <w:rsid w:val="0091459B"/>
    <w:rsid w:val="00953F4C"/>
    <w:rsid w:val="00963F2D"/>
    <w:rsid w:val="00966009"/>
    <w:rsid w:val="00966B3E"/>
    <w:rsid w:val="009716DA"/>
    <w:rsid w:val="009729DB"/>
    <w:rsid w:val="009754E3"/>
    <w:rsid w:val="00985207"/>
    <w:rsid w:val="009948F0"/>
    <w:rsid w:val="009B0798"/>
    <w:rsid w:val="009E1981"/>
    <w:rsid w:val="009E5DE1"/>
    <w:rsid w:val="009F6C29"/>
    <w:rsid w:val="00A50CA0"/>
    <w:rsid w:val="00A710FF"/>
    <w:rsid w:val="00A80628"/>
    <w:rsid w:val="00AA0B99"/>
    <w:rsid w:val="00AA20AC"/>
    <w:rsid w:val="00AA6215"/>
    <w:rsid w:val="00AC0744"/>
    <w:rsid w:val="00AD230A"/>
    <w:rsid w:val="00AD35F1"/>
    <w:rsid w:val="00AD6CC9"/>
    <w:rsid w:val="00AE230B"/>
    <w:rsid w:val="00AF346A"/>
    <w:rsid w:val="00AF44EC"/>
    <w:rsid w:val="00AF7987"/>
    <w:rsid w:val="00B0637E"/>
    <w:rsid w:val="00B0711B"/>
    <w:rsid w:val="00B221D0"/>
    <w:rsid w:val="00B265B4"/>
    <w:rsid w:val="00B26634"/>
    <w:rsid w:val="00B307FE"/>
    <w:rsid w:val="00B314ED"/>
    <w:rsid w:val="00B34EAF"/>
    <w:rsid w:val="00B634ED"/>
    <w:rsid w:val="00B64EAD"/>
    <w:rsid w:val="00B76593"/>
    <w:rsid w:val="00B76D38"/>
    <w:rsid w:val="00B808DF"/>
    <w:rsid w:val="00B868DD"/>
    <w:rsid w:val="00B86F0B"/>
    <w:rsid w:val="00B92330"/>
    <w:rsid w:val="00B9776D"/>
    <w:rsid w:val="00BB5DAD"/>
    <w:rsid w:val="00BC4ACB"/>
    <w:rsid w:val="00BD467E"/>
    <w:rsid w:val="00BE0D81"/>
    <w:rsid w:val="00BE45CA"/>
    <w:rsid w:val="00BE71ED"/>
    <w:rsid w:val="00BE7230"/>
    <w:rsid w:val="00C04F97"/>
    <w:rsid w:val="00C159E7"/>
    <w:rsid w:val="00C35664"/>
    <w:rsid w:val="00C56959"/>
    <w:rsid w:val="00C56B54"/>
    <w:rsid w:val="00C940C7"/>
    <w:rsid w:val="00C956EB"/>
    <w:rsid w:val="00C967AA"/>
    <w:rsid w:val="00CB1E55"/>
    <w:rsid w:val="00CC4288"/>
    <w:rsid w:val="00CC47B6"/>
    <w:rsid w:val="00CD7BAE"/>
    <w:rsid w:val="00CE2B70"/>
    <w:rsid w:val="00D04BEB"/>
    <w:rsid w:val="00D10FAD"/>
    <w:rsid w:val="00D14EEB"/>
    <w:rsid w:val="00D3174E"/>
    <w:rsid w:val="00D62314"/>
    <w:rsid w:val="00D81536"/>
    <w:rsid w:val="00D82849"/>
    <w:rsid w:val="00D90E9D"/>
    <w:rsid w:val="00D9181E"/>
    <w:rsid w:val="00DA4F3D"/>
    <w:rsid w:val="00DA50F8"/>
    <w:rsid w:val="00DB5FA3"/>
    <w:rsid w:val="00DE2B38"/>
    <w:rsid w:val="00DF0CBF"/>
    <w:rsid w:val="00DF6AD8"/>
    <w:rsid w:val="00E0690F"/>
    <w:rsid w:val="00E0725E"/>
    <w:rsid w:val="00E14042"/>
    <w:rsid w:val="00E177D5"/>
    <w:rsid w:val="00E205F6"/>
    <w:rsid w:val="00E27F49"/>
    <w:rsid w:val="00E318CF"/>
    <w:rsid w:val="00E35D20"/>
    <w:rsid w:val="00E36A3D"/>
    <w:rsid w:val="00E47066"/>
    <w:rsid w:val="00E65932"/>
    <w:rsid w:val="00E703E8"/>
    <w:rsid w:val="00E900DA"/>
    <w:rsid w:val="00E91A82"/>
    <w:rsid w:val="00EA662D"/>
    <w:rsid w:val="00EA6CE2"/>
    <w:rsid w:val="00F04221"/>
    <w:rsid w:val="00F11646"/>
    <w:rsid w:val="00F11944"/>
    <w:rsid w:val="00F3149B"/>
    <w:rsid w:val="00F450C1"/>
    <w:rsid w:val="00F50435"/>
    <w:rsid w:val="00F50B8C"/>
    <w:rsid w:val="00F528F6"/>
    <w:rsid w:val="00F55C9F"/>
    <w:rsid w:val="00F61F0C"/>
    <w:rsid w:val="00F7406D"/>
    <w:rsid w:val="00FC7C97"/>
    <w:rsid w:val="00FD0DC9"/>
    <w:rsid w:val="00FD7402"/>
    <w:rsid w:val="00FE6D38"/>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54B4"/>
  <w15:docId w15:val="{87AB8D04-F303-463B-8C54-5FD75B5E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57F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2675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Leslie Sofia Guerrero Revelo</cp:lastModifiedBy>
  <cp:revision>3</cp:revision>
  <dcterms:created xsi:type="dcterms:W3CDTF">2022-04-27T19:00:00Z</dcterms:created>
  <dcterms:modified xsi:type="dcterms:W3CDTF">2022-05-04T18:54:00Z</dcterms:modified>
</cp:coreProperties>
</file>