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4137B7">
        <w:rPr>
          <w:rFonts w:ascii="Palatino Linotype" w:hAnsi="Palatino Linotype"/>
          <w:sz w:val="28"/>
          <w:szCs w:val="28"/>
        </w:rPr>
        <w:t>1</w:t>
      </w:r>
      <w:r w:rsidRPr="00AB7F29">
        <w:rPr>
          <w:rFonts w:ascii="Palatino Linotype" w:hAnsi="Palatino Linotype"/>
          <w:sz w:val="28"/>
          <w:szCs w:val="28"/>
        </w:rPr>
        <w:t xml:space="preserve"> </w:t>
      </w:r>
    </w:p>
    <w:p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rsidR="003F50D9" w:rsidRPr="00AB7F29" w:rsidRDefault="003F50D9" w:rsidP="00D80A29">
      <w:pPr>
        <w:autoSpaceDE w:val="0"/>
        <w:autoSpaceDN w:val="0"/>
        <w:adjustRightInd w:val="0"/>
        <w:jc w:val="center"/>
        <w:rPr>
          <w:rFonts w:ascii="Palatino Linotype" w:hAnsi="Palatino Linotype"/>
          <w:sz w:val="28"/>
          <w:szCs w:val="28"/>
        </w:rPr>
      </w:pPr>
    </w:p>
    <w:p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rsidR="00D80A29" w:rsidRPr="00974EE8" w:rsidRDefault="00D80A29" w:rsidP="008F63DA">
      <w:pPr>
        <w:autoSpaceDE w:val="0"/>
        <w:autoSpaceDN w:val="0"/>
        <w:adjustRightInd w:val="0"/>
        <w:jc w:val="both"/>
        <w:rPr>
          <w:rFonts w:ascii="Palatino Linotype" w:eastAsiaTheme="minorHAnsi" w:hAnsi="Palatino Linotype"/>
          <w:sz w:val="22"/>
          <w:szCs w:val="22"/>
          <w:lang w:val="es-EC" w:eastAsia="en-US"/>
        </w:rPr>
      </w:pPr>
    </w:p>
    <w:p w:rsidR="00946371" w:rsidRDefault="00946371" w:rsidP="001C2838">
      <w:pPr>
        <w:autoSpaceDE w:val="0"/>
        <w:autoSpaceDN w:val="0"/>
        <w:adjustRightInd w:val="0"/>
        <w:ind w:left="709" w:hanging="709"/>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el artículo 266 de la Constitución dispone</w:t>
      </w:r>
      <w:r w:rsidR="003C4C4F" w:rsidRPr="00974EE8">
        <w:rPr>
          <w:rFonts w:ascii="Palatino Linotype" w:eastAsiaTheme="minorHAnsi" w:hAnsi="Palatino Linotype"/>
          <w:sz w:val="22"/>
          <w:szCs w:val="22"/>
          <w:lang w:val="es-EC" w:eastAsia="en-US"/>
        </w:rPr>
        <w:t>: “</w:t>
      </w:r>
      <w:r w:rsidRPr="00974EE8">
        <w:rPr>
          <w:rFonts w:ascii="Palatino Linotype" w:eastAsiaTheme="minorHAnsi" w:hAnsi="Palatino Linotype"/>
          <w:i/>
          <w:sz w:val="22"/>
          <w:szCs w:val="22"/>
          <w:lang w:val="es-EC" w:eastAsia="en-US"/>
        </w:rPr>
        <w:t>Los gobiernos de los distritos</w:t>
      </w:r>
      <w:r w:rsidR="007D2A9C" w:rsidRPr="00974EE8">
        <w:rPr>
          <w:rFonts w:ascii="Palatino Linotype" w:eastAsiaTheme="minorHAnsi" w:hAnsi="Palatino Linotype"/>
          <w:i/>
          <w:sz w:val="22"/>
          <w:szCs w:val="22"/>
          <w:lang w:val="es-EC" w:eastAsia="en-US"/>
        </w:rPr>
        <w:t xml:space="preserve"> metropolitanos autónomos ejercerán las competencias que corresponden a los gobiernos cantonales y todas las que sean aplicables de los gobiernos provinciales y regionales, sin perjuicio de las adicionales que determine la ley que regule el sistema nacional </w:t>
      </w:r>
      <w:r w:rsidR="003C4C4F" w:rsidRPr="00974EE8">
        <w:rPr>
          <w:rFonts w:ascii="Palatino Linotype" w:eastAsiaTheme="minorHAnsi" w:hAnsi="Palatino Linotype"/>
          <w:i/>
          <w:sz w:val="22"/>
          <w:szCs w:val="22"/>
          <w:lang w:val="es-EC" w:eastAsia="en-US"/>
        </w:rPr>
        <w:t>de competencias</w:t>
      </w:r>
      <w:r w:rsidR="007D2A9C" w:rsidRPr="00974EE8">
        <w:rPr>
          <w:rFonts w:ascii="Palatino Linotype" w:eastAsiaTheme="minorHAnsi" w:hAnsi="Palatino Linotype"/>
          <w:i/>
          <w:sz w:val="22"/>
          <w:szCs w:val="22"/>
          <w:lang w:val="es-EC" w:eastAsia="en-US"/>
        </w:rPr>
        <w:t xml:space="preserve">.”; </w:t>
      </w:r>
    </w:p>
    <w:p w:rsidR="006A1383" w:rsidRDefault="006A1383" w:rsidP="001C2838">
      <w:pPr>
        <w:autoSpaceDE w:val="0"/>
        <w:autoSpaceDN w:val="0"/>
        <w:adjustRightInd w:val="0"/>
        <w:ind w:left="709" w:hanging="709"/>
        <w:jc w:val="both"/>
        <w:rPr>
          <w:rFonts w:ascii="Palatino Linotype" w:eastAsiaTheme="minorHAnsi" w:hAnsi="Palatino Linotype"/>
          <w:i/>
          <w:sz w:val="22"/>
          <w:szCs w:val="22"/>
          <w:lang w:val="es-EC" w:eastAsia="en-US"/>
        </w:rPr>
      </w:pPr>
    </w:p>
    <w:p w:rsidR="006A1383" w:rsidRPr="00AC506D" w:rsidRDefault="006A1383" w:rsidP="006A1383">
      <w:pPr>
        <w:autoSpaceDE w:val="0"/>
        <w:autoSpaceDN w:val="0"/>
        <w:adjustRightInd w:val="0"/>
        <w:ind w:left="709" w:hanging="709"/>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Pr="00AC506D">
        <w:rPr>
          <w:rFonts w:ascii="Palatino Linotype" w:eastAsiaTheme="minorHAnsi" w:hAnsi="Palatino Linotype"/>
          <w:sz w:val="22"/>
          <w:szCs w:val="22"/>
          <w:lang w:val="es-EC" w:eastAsia="en-US"/>
        </w:rPr>
        <w:t>el Código Orgánico de Organización Territorial, Autonomía y Descentralización (COOTAD)</w:t>
      </w:r>
      <w:r w:rsidRPr="00AC506D">
        <w:rPr>
          <w:rFonts w:ascii="Palatino Linotype" w:hAnsi="Palatino Linotype"/>
          <w:sz w:val="22"/>
          <w:szCs w:val="22"/>
        </w:rPr>
        <w:t xml:space="preserve">, en el </w:t>
      </w:r>
      <w:r w:rsidR="00AC506D" w:rsidRPr="00AC506D">
        <w:rPr>
          <w:rFonts w:ascii="Palatino Linotype" w:hAnsi="Palatino Linotype" w:cs="Arial"/>
          <w:sz w:val="22"/>
          <w:szCs w:val="22"/>
        </w:rPr>
        <w:t xml:space="preserve">artículo 7 del Código Orgánico de Organización Territorial, Autonomía y Descentralización, en adelante “COOTAD”, señala: </w:t>
      </w:r>
      <w:r w:rsidR="00AC506D" w:rsidRPr="00AC506D">
        <w:rPr>
          <w:rFonts w:ascii="Palatino Linotype" w:hAnsi="Palatino Linotype" w:cs="Arial"/>
          <w:i/>
          <w:sz w:val="22"/>
          <w:szCs w:val="22"/>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AC506D" w:rsidRPr="00AC506D">
        <w:rPr>
          <w:rFonts w:ascii="Palatino Linotype" w:hAnsi="Palatino Linotype" w:cs="Arial"/>
          <w:sz w:val="22"/>
          <w:szCs w:val="22"/>
        </w:rPr>
        <w:t>;</w:t>
      </w:r>
    </w:p>
    <w:p w:rsidR="00DB1E50" w:rsidRPr="00AC506D" w:rsidRDefault="00DB1E50" w:rsidP="001C2838">
      <w:pPr>
        <w:autoSpaceDE w:val="0"/>
        <w:autoSpaceDN w:val="0"/>
        <w:adjustRightInd w:val="0"/>
        <w:ind w:left="709" w:hanging="709"/>
        <w:jc w:val="both"/>
        <w:rPr>
          <w:rFonts w:ascii="Palatino Linotype" w:hAnsi="Palatino Linotype" w:cs="Arial"/>
          <w:sz w:val="22"/>
          <w:szCs w:val="22"/>
        </w:rPr>
      </w:pPr>
    </w:p>
    <w:p w:rsidR="00DB1E50" w:rsidRPr="00974EE8" w:rsidRDefault="00DB1E50" w:rsidP="00DB1E50">
      <w:pPr>
        <w:autoSpaceDE w:val="0"/>
        <w:autoSpaceDN w:val="0"/>
        <w:adjustRightInd w:val="0"/>
        <w:ind w:left="709" w:hanging="709"/>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w:t>
      </w:r>
      <w:r w:rsidR="00447553">
        <w:rPr>
          <w:rFonts w:ascii="Palatino Linotype" w:eastAsiaTheme="minorHAnsi" w:hAnsi="Palatino Linotype"/>
          <w:sz w:val="22"/>
          <w:szCs w:val="22"/>
          <w:lang w:val="es-EC" w:eastAsia="en-US"/>
        </w:rPr>
        <w:t>323</w:t>
      </w:r>
      <w:r w:rsidRPr="00974EE8">
        <w:rPr>
          <w:rFonts w:ascii="Palatino Linotype" w:eastAsiaTheme="minorHAnsi" w:hAnsi="Palatino Linotype"/>
          <w:sz w:val="22"/>
          <w:szCs w:val="22"/>
          <w:lang w:val="es-EC" w:eastAsia="en-US"/>
        </w:rPr>
        <w:t xml:space="preserve"> de</w:t>
      </w:r>
      <w:r w:rsidR="00447553">
        <w:rPr>
          <w:rFonts w:ascii="Palatino Linotype" w:eastAsiaTheme="minorHAnsi" w:hAnsi="Palatino Linotype"/>
          <w:sz w:val="22"/>
          <w:szCs w:val="22"/>
          <w:lang w:val="es-EC" w:eastAsia="en-US"/>
        </w:rPr>
        <w:t>l Código Orgánico de Organización Territorial, Autonomía y Descentralización (COOTAD) establece que:</w:t>
      </w:r>
      <w:r w:rsidRPr="00974EE8">
        <w:rPr>
          <w:rFonts w:ascii="Palatino Linotype" w:eastAsiaTheme="minorHAnsi" w:hAnsi="Palatino Linotype"/>
          <w:sz w:val="22"/>
          <w:szCs w:val="22"/>
          <w:lang w:val="es-EC" w:eastAsia="en-US"/>
        </w:rPr>
        <w:t xml:space="preserve">: </w:t>
      </w:r>
      <w:r w:rsidR="00447553" w:rsidRPr="00447553">
        <w:rPr>
          <w:rFonts w:ascii="Palatino Linotype" w:eastAsiaTheme="minorHAnsi" w:hAnsi="Palatino Linotype"/>
          <w:i/>
          <w:sz w:val="22"/>
          <w:szCs w:val="22"/>
          <w:lang w:val="es-EC" w:eastAsia="en-US"/>
        </w:rPr>
        <w:t>“</w:t>
      </w:r>
      <w:r w:rsidRPr="00447553">
        <w:rPr>
          <w:rFonts w:ascii="Palatino Linotype" w:hAnsi="Palatino Linotype" w:cs="Arial"/>
          <w:i/>
          <w:sz w:val="22"/>
          <w:szCs w:val="22"/>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00447553" w:rsidRPr="00447553">
        <w:rPr>
          <w:rFonts w:ascii="Palatino Linotype" w:hAnsi="Palatino Linotype" w:cs="Arial"/>
          <w:i/>
          <w:sz w:val="22"/>
          <w:szCs w:val="22"/>
        </w:rPr>
        <w:t>”</w:t>
      </w:r>
      <w:r w:rsidR="00447553">
        <w:rPr>
          <w:rFonts w:ascii="Palatino Linotype" w:hAnsi="Palatino Linotype" w:cs="Arial"/>
          <w:sz w:val="22"/>
          <w:szCs w:val="22"/>
        </w:rPr>
        <w:t>;</w:t>
      </w:r>
      <w:r w:rsidR="006A1383">
        <w:rPr>
          <w:rFonts w:ascii="Palatino Linotype" w:hAnsi="Palatino Linotype" w:cs="Arial"/>
          <w:sz w:val="22"/>
          <w:szCs w:val="22"/>
        </w:rPr>
        <w:t xml:space="preserve"> </w:t>
      </w:r>
    </w:p>
    <w:p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p>
    <w:p w:rsidR="001C2838" w:rsidRPr="005C6CCF"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el artículo 41</w:t>
      </w:r>
      <w:r w:rsidR="005C6CCF">
        <w:rPr>
          <w:rFonts w:ascii="Palatino Linotype" w:eastAsiaTheme="minorHAnsi" w:hAnsi="Palatino Linotype"/>
          <w:sz w:val="22"/>
          <w:szCs w:val="22"/>
          <w:lang w:val="es-EC" w:eastAsia="en-US"/>
        </w:rPr>
        <w:t>4 inciso segundo</w:t>
      </w:r>
      <w:r w:rsidRPr="00974EE8">
        <w:rPr>
          <w:rFonts w:ascii="Palatino Linotype" w:eastAsiaTheme="minorHAnsi" w:hAnsi="Palatino Linotype"/>
          <w:sz w:val="22"/>
          <w:szCs w:val="22"/>
          <w:lang w:val="es-EC" w:eastAsia="en-US"/>
        </w:rPr>
        <w:t xml:space="preserve">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w:t>
      </w:r>
      <w:r w:rsidR="005C6CCF">
        <w:rPr>
          <w:rFonts w:ascii="Palatino Linotype" w:eastAsiaTheme="minorHAnsi" w:hAnsi="Palatino Linotype"/>
          <w:sz w:val="22"/>
          <w:szCs w:val="22"/>
          <w:lang w:val="es-EC" w:eastAsia="en-US"/>
        </w:rPr>
        <w:t>dispone</w:t>
      </w:r>
      <w:r w:rsidRPr="00974EE8">
        <w:rPr>
          <w:rFonts w:ascii="Palatino Linotype" w:eastAsiaTheme="minorHAnsi" w:hAnsi="Palatino Linotype"/>
          <w:sz w:val="22"/>
          <w:szCs w:val="22"/>
          <w:lang w:val="es-EC" w:eastAsia="en-US"/>
        </w:rPr>
        <w:t xml:space="preserv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w:t>
      </w:r>
      <w:r w:rsidR="005C6CCF" w:rsidRPr="005C6CCF">
        <w:rPr>
          <w:rFonts w:ascii="Palatino Linotype" w:hAnsi="Palatino Linotype"/>
          <w:i/>
          <w:sz w:val="22"/>
          <w:szCs w:val="22"/>
        </w:rPr>
        <w:t>los gobiernos autónomos descentralizados metropolitanos transferirán, previo acuerdo con los respectivos gobiernos autónomos descentralizados parroquiales los bienes necesarios para su funcionamiento, así como los bienes de uso público existentes en la circunscripción territorial de la respectiva parroquia rural”;</w:t>
      </w:r>
    </w:p>
    <w:p w:rsidR="001C2838" w:rsidRPr="005C6CCF" w:rsidRDefault="001C2838" w:rsidP="001C2838">
      <w:pPr>
        <w:autoSpaceDE w:val="0"/>
        <w:autoSpaceDN w:val="0"/>
        <w:adjustRightInd w:val="0"/>
        <w:ind w:left="709" w:hanging="709"/>
        <w:jc w:val="both"/>
        <w:rPr>
          <w:rFonts w:ascii="Palatino Linotype" w:eastAsiaTheme="minorHAnsi" w:hAnsi="Palatino Linotype" w:cs="CourierNewNegrita"/>
          <w:b/>
          <w:i/>
          <w:sz w:val="22"/>
          <w:szCs w:val="22"/>
          <w:lang w:val="es-EC" w:eastAsia="en-US"/>
        </w:rPr>
      </w:pP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419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w:t>
      </w:r>
      <w:r w:rsidR="005C6CCF">
        <w:rPr>
          <w:rFonts w:ascii="Palatino Linotype" w:eastAsiaTheme="minorHAnsi" w:hAnsi="Palatino Linotype"/>
          <w:sz w:val="22"/>
          <w:szCs w:val="22"/>
          <w:lang w:val="es-EC" w:eastAsia="en-US"/>
        </w:rPr>
        <w:t>establece</w:t>
      </w:r>
      <w:r w:rsidRPr="00974EE8">
        <w:rPr>
          <w:rFonts w:ascii="Palatino Linotype" w:eastAsiaTheme="minorHAnsi" w:hAnsi="Palatino Linotype"/>
          <w:sz w:val="22"/>
          <w:szCs w:val="22"/>
          <w:lang w:val="es-EC" w:eastAsia="en-US"/>
        </w:rPr>
        <w:t xml:space="preserve"> que: </w:t>
      </w:r>
      <w:r w:rsidRPr="00974EE8">
        <w:rPr>
          <w:rFonts w:ascii="Palatino Linotype" w:eastAsiaTheme="minorHAnsi" w:hAnsi="Palatino Linotype"/>
          <w:i/>
          <w:sz w:val="22"/>
          <w:szCs w:val="22"/>
          <w:lang w:val="es-EC" w:eastAsia="en-US"/>
        </w:rPr>
        <w:t>"</w:t>
      </w:r>
      <w:r w:rsidR="005C6CCF" w:rsidRPr="005C6CCF">
        <w:rPr>
          <w:i/>
          <w:sz w:val="23"/>
          <w:szCs w:val="23"/>
        </w:rPr>
        <w:t>constituyen bienes de dominio privado entre otros  los bienes mostrencos”</w:t>
      </w:r>
      <w:r w:rsidR="005C6CCF">
        <w:rPr>
          <w:sz w:val="23"/>
          <w:szCs w:val="23"/>
        </w:rPr>
        <w:t xml:space="preserve">; </w:t>
      </w:r>
    </w:p>
    <w:p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rsidR="001C2838" w:rsidRDefault="001C2838" w:rsidP="003C4C4F">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artículo 436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dispone que: </w:t>
      </w:r>
      <w:r w:rsidRPr="00974EE8">
        <w:rPr>
          <w:rFonts w:ascii="Palatino Linotype" w:eastAsiaTheme="minorHAnsi" w:hAnsi="Palatino Linotype"/>
          <w:i/>
          <w:sz w:val="22"/>
          <w:szCs w:val="22"/>
          <w:lang w:val="es-EC" w:eastAsia="en-US"/>
        </w:rPr>
        <w:t>"</w:t>
      </w:r>
      <w:r w:rsidR="001649BA" w:rsidRPr="00974EE8">
        <w:rPr>
          <w:rFonts w:ascii="Palatino Linotype" w:eastAsiaTheme="minorHAnsi" w:hAnsi="Palatino Linotype"/>
          <w:i/>
          <w:sz w:val="22"/>
          <w:szCs w:val="22"/>
          <w:lang w:val="es-EC" w:eastAsia="en-US"/>
        </w:rPr>
        <w:t xml:space="preserve">Los consejos, concejos o juntas, podrán acordar y autorizar la venta, </w:t>
      </w:r>
      <w:r w:rsidR="003C4C4F" w:rsidRPr="00974EE8">
        <w:rPr>
          <w:rFonts w:ascii="Palatino Linotype" w:eastAsiaTheme="minorHAnsi" w:hAnsi="Palatino Linotype"/>
          <w:i/>
          <w:sz w:val="22"/>
          <w:szCs w:val="22"/>
          <w:lang w:val="es-EC" w:eastAsia="en-US"/>
        </w:rPr>
        <w:t>donación, hipoteca</w:t>
      </w:r>
      <w:r w:rsidR="001649BA" w:rsidRPr="00974EE8">
        <w:rPr>
          <w:rFonts w:ascii="Palatino Linotype" w:eastAsiaTheme="minorHAnsi" w:hAnsi="Palatino Linotype"/>
          <w:i/>
          <w:sz w:val="22"/>
          <w:szCs w:val="22"/>
          <w:lang w:val="es-EC" w:eastAsia="en-US"/>
        </w:rPr>
        <w:t xml:space="preserve"> y permuta de los bienes inmuebles públicos </w:t>
      </w:r>
      <w:r w:rsidR="001649BA" w:rsidRPr="00974EE8">
        <w:rPr>
          <w:rFonts w:ascii="Palatino Linotype" w:eastAsiaTheme="minorHAnsi" w:hAnsi="Palatino Linotype"/>
          <w:i/>
          <w:sz w:val="22"/>
          <w:szCs w:val="22"/>
          <w:lang w:val="es-EC" w:eastAsia="en-US"/>
        </w:rPr>
        <w:lastRenderedPageBreak/>
        <w:t>de uso privado o la venta, donación, trueque y prenda de los bienes muebles, con el voto de los dos tercios de los integrantes. Para la autorización no se podrá contemplar un valor inferior al de la propiedad, de acuerdo con el registro o catastro municipal actualizado.</w:t>
      </w:r>
      <w:r w:rsidRPr="00974EE8">
        <w:rPr>
          <w:rFonts w:ascii="Palatino Linotype" w:eastAsiaTheme="minorHAnsi" w:hAnsi="Palatino Linotype"/>
          <w:i/>
          <w:sz w:val="22"/>
          <w:szCs w:val="22"/>
          <w:lang w:val="es-EC" w:eastAsia="en-US"/>
        </w:rPr>
        <w:t>”;</w:t>
      </w:r>
    </w:p>
    <w:p w:rsidR="006A1383" w:rsidRDefault="006A1383" w:rsidP="003C4C4F">
      <w:pPr>
        <w:autoSpaceDE w:val="0"/>
        <w:autoSpaceDN w:val="0"/>
        <w:adjustRightInd w:val="0"/>
        <w:ind w:left="705" w:hanging="705"/>
        <w:jc w:val="both"/>
        <w:rPr>
          <w:rFonts w:ascii="Palatino Linotype" w:eastAsiaTheme="minorHAnsi" w:hAnsi="Palatino Linotype"/>
          <w:i/>
          <w:sz w:val="22"/>
          <w:szCs w:val="22"/>
          <w:lang w:val="es-EC" w:eastAsia="en-US"/>
        </w:rPr>
      </w:pPr>
    </w:p>
    <w:p w:rsidR="006A1383" w:rsidRPr="006A1383" w:rsidRDefault="006A1383" w:rsidP="006A1383">
      <w:pPr>
        <w:autoSpaceDE w:val="0"/>
        <w:autoSpaceDN w:val="0"/>
        <w:adjustRightInd w:val="0"/>
        <w:ind w:left="705" w:hanging="705"/>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974EE8">
        <w:rPr>
          <w:rFonts w:ascii="Palatino Linotype" w:eastAsiaTheme="minorHAnsi" w:hAnsi="Palatino Linotype"/>
          <w:sz w:val="22"/>
          <w:szCs w:val="22"/>
          <w:lang w:val="es-EC" w:eastAsia="en-US"/>
        </w:rPr>
        <w:t>l</w:t>
      </w:r>
      <w:r>
        <w:rPr>
          <w:rFonts w:ascii="Palatino Linotype" w:eastAsiaTheme="minorHAnsi" w:hAnsi="Palatino Linotype"/>
          <w:sz w:val="22"/>
          <w:szCs w:val="22"/>
          <w:lang w:val="es-EC" w:eastAsia="en-US"/>
        </w:rPr>
        <w:t xml:space="preserve">a </w:t>
      </w:r>
      <w:r w:rsidRPr="006A1383">
        <w:rPr>
          <w:rFonts w:ascii="Palatino Linotype" w:hAnsi="Palatino Linotype"/>
          <w:sz w:val="22"/>
          <w:szCs w:val="22"/>
        </w:rPr>
        <w:t>Disposición General Quinta del COOTAD dispone que</w:t>
      </w:r>
      <w:r>
        <w:rPr>
          <w:rFonts w:ascii="Palatino Linotype" w:hAnsi="Palatino Linotype"/>
          <w:sz w:val="22"/>
          <w:szCs w:val="22"/>
        </w:rPr>
        <w:t>:</w:t>
      </w:r>
      <w:r w:rsidRPr="006A1383">
        <w:rPr>
          <w:rFonts w:ascii="Palatino Linotype" w:hAnsi="Palatino Linotype"/>
          <w:sz w:val="22"/>
          <w:szCs w:val="22"/>
        </w:rPr>
        <w:t xml:space="preserve"> </w:t>
      </w:r>
      <w:r w:rsidRPr="006A1383">
        <w:rPr>
          <w:rFonts w:ascii="Palatino Linotype" w:hAnsi="Palatino Linotype"/>
          <w:i/>
          <w:sz w:val="22"/>
          <w:szCs w:val="22"/>
        </w:rPr>
        <w:t>“los bienes inmuebles pertenecientes a otros niveles de gobierno o entidades públicas en donde, al momento de expedirse el Código, estén funcionando los gobiernos parroquiales rurales pasarán a formar parte del patrimonio de estos, siempre y cuando se encuentren en la jurisdicción parroquial respectiva”;</w:t>
      </w:r>
    </w:p>
    <w:p w:rsidR="00F02902" w:rsidRPr="00974EE8" w:rsidRDefault="00F02902" w:rsidP="003C4C4F">
      <w:pPr>
        <w:autoSpaceDE w:val="0"/>
        <w:autoSpaceDN w:val="0"/>
        <w:adjustRightInd w:val="0"/>
        <w:ind w:left="705" w:hanging="705"/>
        <w:jc w:val="both"/>
        <w:rPr>
          <w:rFonts w:ascii="Palatino Linotype" w:eastAsiaTheme="minorHAnsi" w:hAnsi="Palatino Linotype"/>
          <w:i/>
          <w:sz w:val="22"/>
          <w:szCs w:val="22"/>
          <w:lang w:val="es-EC" w:eastAsia="en-US"/>
        </w:rPr>
      </w:pPr>
    </w:p>
    <w:p w:rsidR="00974EE8" w:rsidRDefault="00974EE8" w:rsidP="003C4C4F">
      <w:pPr>
        <w:autoSpaceDE w:val="0"/>
        <w:autoSpaceDN w:val="0"/>
        <w:adjustRightInd w:val="0"/>
        <w:ind w:left="705" w:hanging="705"/>
        <w:jc w:val="both"/>
        <w:rPr>
          <w:rFonts w:ascii="Palatino Linotype" w:hAnsi="Palatino Linotype"/>
          <w:i/>
          <w:sz w:val="22"/>
          <w:szCs w:val="22"/>
        </w:rPr>
      </w:pPr>
      <w:r w:rsidRPr="00974EE8">
        <w:rPr>
          <w:rFonts w:ascii="Palatino Linotype" w:hAnsi="Palatino Linotype"/>
          <w:sz w:val="22"/>
          <w:szCs w:val="22"/>
        </w:rPr>
        <w:t>Que,</w:t>
      </w:r>
      <w:r w:rsidRPr="00974EE8">
        <w:rPr>
          <w:rFonts w:ascii="Palatino Linotype" w:hAnsi="Palatino Linotype"/>
          <w:sz w:val="22"/>
          <w:szCs w:val="22"/>
        </w:rPr>
        <w:tab/>
        <w:t>la Ley Orgánica del Sistema Nacional de Contratación Pública, en su artículo. 58.8, establece que</w:t>
      </w:r>
      <w:r w:rsidR="00952120">
        <w:rPr>
          <w:rFonts w:ascii="Palatino Linotype" w:hAnsi="Palatino Linotype"/>
          <w:sz w:val="22"/>
          <w:szCs w:val="22"/>
        </w:rPr>
        <w:t xml:space="preserve">: </w:t>
      </w:r>
      <w:r w:rsidR="00952120" w:rsidRPr="00952120">
        <w:rPr>
          <w:rFonts w:ascii="Palatino Linotype" w:hAnsi="Palatino Linotype"/>
          <w:i/>
          <w:sz w:val="22"/>
          <w:szCs w:val="22"/>
        </w:rPr>
        <w:t>“</w:t>
      </w:r>
      <w:r w:rsidRPr="00952120">
        <w:rPr>
          <w:rFonts w:ascii="Palatino Linotype" w:hAnsi="Palatino Linotype"/>
          <w:i/>
          <w:sz w:val="22"/>
          <w:szCs w:val="22"/>
        </w:rPr>
        <w:t>para la transferencia de dominio de bienes inmuebles entre entidades del sector público, siempre que llegaren a un acuerdo, no se requerirá de declaratoria de utilidad pública, pudiendo hacerlo mediante donación, para cuyo caso, no se requerirá de insinuación judicial. Los bienes de uso público no estarán sujetos a procesos expropiatorios; sin embargo se podrá transferir la propiedad, de mutuo acuerdo, entre instituciones públicas siempre que no se afecte la finalidad al uso o servicio público del bien</w:t>
      </w:r>
      <w:r w:rsidR="00952120" w:rsidRPr="00952120">
        <w:rPr>
          <w:rFonts w:ascii="Palatino Linotype" w:hAnsi="Palatino Linotype"/>
          <w:i/>
          <w:sz w:val="22"/>
          <w:szCs w:val="22"/>
        </w:rPr>
        <w:t>”</w:t>
      </w:r>
      <w:r w:rsidRPr="00952120">
        <w:rPr>
          <w:rFonts w:ascii="Palatino Linotype" w:hAnsi="Palatino Linotype"/>
          <w:i/>
          <w:sz w:val="22"/>
          <w:szCs w:val="22"/>
        </w:rPr>
        <w:t>.</w:t>
      </w:r>
    </w:p>
    <w:p w:rsidR="008802DA" w:rsidRDefault="008802DA" w:rsidP="003C4C4F">
      <w:pPr>
        <w:autoSpaceDE w:val="0"/>
        <w:autoSpaceDN w:val="0"/>
        <w:adjustRightInd w:val="0"/>
        <w:ind w:left="705" w:hanging="705"/>
        <w:jc w:val="both"/>
        <w:rPr>
          <w:rFonts w:ascii="Palatino Linotype" w:hAnsi="Palatino Linotype"/>
          <w:sz w:val="22"/>
          <w:szCs w:val="22"/>
        </w:rPr>
      </w:pPr>
    </w:p>
    <w:p w:rsidR="00DD4559" w:rsidRDefault="008802DA" w:rsidP="003C4C4F">
      <w:pPr>
        <w:autoSpaceDE w:val="0"/>
        <w:autoSpaceDN w:val="0"/>
        <w:adjustRightInd w:val="0"/>
        <w:ind w:left="705" w:hanging="705"/>
        <w:jc w:val="both"/>
        <w:rPr>
          <w:rFonts w:ascii="Palatino Linotype" w:hAnsi="Palatino Linotype"/>
          <w:sz w:val="22"/>
          <w:szCs w:val="22"/>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w:t>
      </w:r>
      <w:r w:rsidRPr="008802DA">
        <w:rPr>
          <w:rFonts w:ascii="Palatino Linotype" w:hAnsi="Palatino Linotype"/>
          <w:sz w:val="22"/>
          <w:szCs w:val="22"/>
        </w:rPr>
        <w:t>l Procurador General del Estado mediante oficio No. 3479 de 01 de septiembre de2011, manifestó que</w:t>
      </w:r>
      <w:r>
        <w:rPr>
          <w:rFonts w:ascii="Palatino Linotype" w:hAnsi="Palatino Linotype"/>
          <w:sz w:val="22"/>
          <w:szCs w:val="22"/>
        </w:rPr>
        <w:t>:</w:t>
      </w:r>
      <w:r w:rsidRPr="008802DA">
        <w:rPr>
          <w:rFonts w:ascii="Palatino Linotype" w:hAnsi="Palatino Linotype"/>
          <w:sz w:val="22"/>
          <w:szCs w:val="22"/>
        </w:rPr>
        <w:t xml:space="preserve"> </w:t>
      </w:r>
      <w:r w:rsidRPr="008802DA">
        <w:rPr>
          <w:rFonts w:ascii="Palatino Linotype" w:hAnsi="Palatino Linotype"/>
          <w:i/>
          <w:sz w:val="22"/>
          <w:szCs w:val="22"/>
        </w:rPr>
        <w:t>“a fin de perfeccionar las correspondientes transferencias de los bienes inmuebles a favor de las jutas parroquiales, se deberá considerar que conforme dispone el inciso segundo del artículo 57 del “Reglamento General Sustitutivo para el Manejo y Administración de bienes del Sector Público”, la transferencia de bienes entre distintas entidades se rige por las normas del Título XIII del Libro III del Código Civil relativo a la donación”</w:t>
      </w:r>
      <w:r>
        <w:rPr>
          <w:rFonts w:ascii="Palatino Linotype" w:hAnsi="Palatino Linotype"/>
          <w:sz w:val="22"/>
          <w:szCs w:val="22"/>
        </w:rPr>
        <w:t>;</w:t>
      </w:r>
      <w:r w:rsidR="00247B99">
        <w:rPr>
          <w:rFonts w:ascii="Palatino Linotype" w:hAnsi="Palatino Linotype"/>
          <w:sz w:val="22"/>
          <w:szCs w:val="22"/>
        </w:rPr>
        <w:t xml:space="preserve"> </w:t>
      </w:r>
    </w:p>
    <w:p w:rsidR="00247B99" w:rsidRDefault="00247B99" w:rsidP="003C4C4F">
      <w:pPr>
        <w:autoSpaceDE w:val="0"/>
        <w:autoSpaceDN w:val="0"/>
        <w:adjustRightInd w:val="0"/>
        <w:ind w:left="705" w:hanging="705"/>
        <w:jc w:val="both"/>
        <w:rPr>
          <w:rFonts w:ascii="Palatino Linotype" w:hAnsi="Palatino Linotype"/>
          <w:sz w:val="22"/>
          <w:szCs w:val="22"/>
        </w:rPr>
      </w:pPr>
    </w:p>
    <w:p w:rsidR="00247B99" w:rsidRPr="006A1383" w:rsidRDefault="00247B99" w:rsidP="00247B99">
      <w:pPr>
        <w:autoSpaceDE w:val="0"/>
        <w:autoSpaceDN w:val="0"/>
        <w:adjustRightInd w:val="0"/>
        <w:ind w:left="705" w:hanging="705"/>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247B99">
        <w:rPr>
          <w:rFonts w:ascii="Palatino Linotype" w:eastAsiaTheme="minorHAnsi" w:hAnsi="Palatino Linotype"/>
          <w:sz w:val="22"/>
          <w:szCs w:val="22"/>
          <w:lang w:val="es-EC" w:eastAsia="en-US"/>
        </w:rPr>
        <w:t>e</w:t>
      </w:r>
      <w:r w:rsidRPr="00247B99">
        <w:rPr>
          <w:rFonts w:ascii="Palatino Linotype" w:hAnsi="Palatino Linotype"/>
          <w:sz w:val="22"/>
          <w:szCs w:val="22"/>
        </w:rPr>
        <w:t xml:space="preserve">l Concejo Metropolitano de Quito mediante Resolución No. C 287 de 10 de octubre de 2018, reguló el procedimiento previo a la transferencia de dominio a título gratuito de los bienes inmuebles municipales del Distrito Metropolitano, para el funcionamiento de los gobiernos autónomos descentralizados parroquiales rurales. En el artículo 3 de la Resolución se establece que: </w:t>
      </w:r>
      <w:r w:rsidRPr="00247B99">
        <w:rPr>
          <w:rFonts w:ascii="Palatino Linotype" w:hAnsi="Palatino Linotype"/>
          <w:i/>
          <w:sz w:val="22"/>
          <w:szCs w:val="22"/>
        </w:rPr>
        <w:t>“el acuerdo a suscribirse entre cada gobierno autónomo descentralizado parroquial rural y el Municipio de Quito contará con los informes técnicos y legales emitidos por parte de las dependencias competentes del Municipio del Distrito Metropolitano de Quito que justifiquen la donación de los bienes inmuebles. Los informes en mención serán parte del expediente para tramitar la donación, el cual se pondrá en consideración de la Comisión de Propiedad y Espacio Público la cual emitirá su dictamen previo al conocimiento y aprobación del Concejo para que autorice el acuerdo suscrito por el Alcalde o su delegado, y apruebe la resolución de donación del bien inmueble a favor del gobierno autónomo descentralizado parroquial rural”</w:t>
      </w:r>
      <w:r>
        <w:rPr>
          <w:rFonts w:ascii="Palatino Linotype" w:hAnsi="Palatino Linotype"/>
          <w:i/>
          <w:sz w:val="22"/>
          <w:szCs w:val="22"/>
        </w:rPr>
        <w:t>;</w:t>
      </w:r>
    </w:p>
    <w:p w:rsidR="00247B99" w:rsidRPr="00247B99" w:rsidRDefault="00247B99" w:rsidP="003C4C4F">
      <w:pPr>
        <w:autoSpaceDE w:val="0"/>
        <w:autoSpaceDN w:val="0"/>
        <w:adjustRightInd w:val="0"/>
        <w:ind w:left="705" w:hanging="705"/>
        <w:jc w:val="both"/>
        <w:rPr>
          <w:rFonts w:ascii="Palatino Linotype" w:hAnsi="Palatino Linotype"/>
          <w:sz w:val="22"/>
          <w:szCs w:val="22"/>
          <w:lang w:val="es-EC"/>
        </w:rPr>
      </w:pPr>
    </w:p>
    <w:p w:rsidR="001B367D" w:rsidRPr="00DD7EA1" w:rsidRDefault="00E80F18" w:rsidP="00C6700F">
      <w:pPr>
        <w:tabs>
          <w:tab w:val="left" w:pos="426"/>
        </w:tabs>
        <w:ind w:left="705" w:hanging="705"/>
        <w:jc w:val="both"/>
        <w:rPr>
          <w:rFonts w:ascii="Palatino Linotype" w:hAnsi="Palatino Linotype"/>
          <w:sz w:val="22"/>
          <w:szCs w:val="22"/>
        </w:rPr>
      </w:pPr>
      <w:r w:rsidRPr="00C60691">
        <w:rPr>
          <w:rFonts w:ascii="Palatino Linotype" w:eastAsiaTheme="minorHAnsi" w:hAnsi="Palatino Linotype"/>
          <w:sz w:val="22"/>
          <w:szCs w:val="22"/>
          <w:lang w:val="es-EC" w:eastAsia="en-US"/>
        </w:rPr>
        <w:t xml:space="preserve">Que, </w:t>
      </w:r>
      <w:r w:rsidRPr="00C60691">
        <w:rPr>
          <w:rFonts w:ascii="Palatino Linotype" w:eastAsiaTheme="minorHAnsi" w:hAnsi="Palatino Linotype"/>
          <w:sz w:val="22"/>
          <w:szCs w:val="22"/>
          <w:lang w:val="es-EC" w:eastAsia="en-US"/>
        </w:rPr>
        <w:tab/>
      </w:r>
      <w:r w:rsidR="00DD7EA1">
        <w:rPr>
          <w:rFonts w:ascii="Palatino Linotype" w:hAnsi="Palatino Linotype"/>
          <w:sz w:val="22"/>
          <w:szCs w:val="22"/>
        </w:rPr>
        <w:t>m</w:t>
      </w:r>
      <w:r w:rsidR="001B367D" w:rsidRPr="00DD7EA1">
        <w:rPr>
          <w:rFonts w:ascii="Palatino Linotype" w:hAnsi="Palatino Linotype"/>
          <w:sz w:val="22"/>
          <w:szCs w:val="22"/>
        </w:rPr>
        <w:t xml:space="preserve">ediante </w:t>
      </w:r>
      <w:r w:rsidR="00DD7EA1" w:rsidRPr="00DD7EA1">
        <w:rPr>
          <w:rFonts w:ascii="Palatino Linotype" w:hAnsi="Palatino Linotype"/>
          <w:sz w:val="22"/>
          <w:szCs w:val="22"/>
        </w:rPr>
        <w:t>oficio Nro. AMZT-2019-0000340, de 13 de febrero de 2019, la Lcda. Sofía</w:t>
      </w:r>
      <w:r w:rsidR="00DD7EA1">
        <w:rPr>
          <w:rFonts w:ascii="Palatino Linotype" w:hAnsi="Palatino Linotype"/>
          <w:sz w:val="22"/>
          <w:szCs w:val="22"/>
        </w:rPr>
        <w:t xml:space="preserve"> </w:t>
      </w:r>
      <w:r w:rsidR="00DD7EA1" w:rsidRPr="00DD7EA1">
        <w:rPr>
          <w:rFonts w:ascii="Palatino Linotype" w:hAnsi="Palatino Linotype"/>
          <w:sz w:val="22"/>
          <w:szCs w:val="22"/>
        </w:rPr>
        <w:t>Castillo, Administradora Municipal de la Zonal Tumbaco, con fundamento en el informe</w:t>
      </w:r>
      <w:r w:rsidR="00DD7EA1">
        <w:rPr>
          <w:rFonts w:ascii="Palatino Linotype" w:hAnsi="Palatino Linotype"/>
          <w:sz w:val="22"/>
          <w:szCs w:val="22"/>
        </w:rPr>
        <w:t xml:space="preserve"> </w:t>
      </w:r>
      <w:r w:rsidR="00DD7EA1" w:rsidRPr="00DD7EA1">
        <w:rPr>
          <w:rFonts w:ascii="Palatino Linotype" w:hAnsi="Palatino Linotype"/>
          <w:sz w:val="22"/>
          <w:szCs w:val="22"/>
        </w:rPr>
        <w:t>técnico emitido mediante memorando Nro. AMZT-DGT-2019-0070 por el Arq. Ivor</w:t>
      </w:r>
      <w:r w:rsidR="00DD7EA1">
        <w:rPr>
          <w:rFonts w:ascii="Palatino Linotype" w:hAnsi="Palatino Linotype"/>
          <w:sz w:val="22"/>
          <w:szCs w:val="22"/>
        </w:rPr>
        <w:t xml:space="preserve"> </w:t>
      </w:r>
      <w:r w:rsidR="00DD7EA1" w:rsidRPr="00DD7EA1">
        <w:rPr>
          <w:rFonts w:ascii="Palatino Linotype" w:hAnsi="Palatino Linotype"/>
          <w:sz w:val="22"/>
          <w:szCs w:val="22"/>
        </w:rPr>
        <w:t>Vaca, Director de Gestión de Territorio Subrogante de la Administración Zonal</w:t>
      </w:r>
      <w:r w:rsidR="00DD7EA1">
        <w:rPr>
          <w:rFonts w:ascii="Palatino Linotype" w:hAnsi="Palatino Linotype"/>
          <w:sz w:val="22"/>
          <w:szCs w:val="22"/>
        </w:rPr>
        <w:t xml:space="preserve"> </w:t>
      </w:r>
      <w:r w:rsidR="00DD7EA1" w:rsidRPr="00DD7EA1">
        <w:rPr>
          <w:rFonts w:ascii="Palatino Linotype" w:hAnsi="Palatino Linotype"/>
          <w:sz w:val="22"/>
          <w:szCs w:val="22"/>
        </w:rPr>
        <w:t>Tumbaco; e, informe legal Nro. 05-DAJ-AMZT-2019, emitido por el Abg. Carlos</w:t>
      </w:r>
      <w:r w:rsidR="00DD7EA1">
        <w:rPr>
          <w:rFonts w:ascii="Palatino Linotype" w:hAnsi="Palatino Linotype"/>
          <w:sz w:val="22"/>
          <w:szCs w:val="22"/>
        </w:rPr>
        <w:t xml:space="preserve"> </w:t>
      </w:r>
      <w:r w:rsidR="00DD7EA1" w:rsidRPr="00DD7EA1">
        <w:rPr>
          <w:rFonts w:ascii="Palatino Linotype" w:hAnsi="Palatino Linotype"/>
          <w:sz w:val="22"/>
          <w:szCs w:val="22"/>
        </w:rPr>
        <w:t>Camacho Páliz, Director de Asesoría Jurídica de la Administración Zonal Tumbaco,</w:t>
      </w:r>
      <w:r w:rsidR="00DD7EA1">
        <w:rPr>
          <w:rFonts w:ascii="Palatino Linotype" w:hAnsi="Palatino Linotype"/>
          <w:sz w:val="22"/>
          <w:szCs w:val="22"/>
        </w:rPr>
        <w:t xml:space="preserve"> </w:t>
      </w:r>
      <w:r w:rsidR="00DD7EA1" w:rsidRPr="00DD7EA1">
        <w:rPr>
          <w:rFonts w:ascii="Palatino Linotype" w:hAnsi="Palatino Linotype"/>
          <w:sz w:val="22"/>
          <w:szCs w:val="22"/>
        </w:rPr>
        <w:t>emitió informe favorable para la donación del predio No. 3683599 a favor del GADP de</w:t>
      </w:r>
      <w:r w:rsidR="00DD7EA1">
        <w:rPr>
          <w:rFonts w:ascii="Palatino Linotype" w:hAnsi="Palatino Linotype"/>
          <w:sz w:val="22"/>
          <w:szCs w:val="22"/>
        </w:rPr>
        <w:t xml:space="preserve"> Pifo;</w:t>
      </w:r>
    </w:p>
    <w:p w:rsidR="000E429B" w:rsidRPr="00974EE8" w:rsidRDefault="000E429B" w:rsidP="00C6700F">
      <w:pPr>
        <w:tabs>
          <w:tab w:val="left" w:pos="426"/>
        </w:tabs>
        <w:ind w:left="705" w:hanging="705"/>
        <w:jc w:val="both"/>
        <w:rPr>
          <w:rFonts w:ascii="Palatino Linotype" w:hAnsi="Palatino Linotype"/>
          <w:sz w:val="22"/>
          <w:szCs w:val="22"/>
        </w:rPr>
      </w:pPr>
    </w:p>
    <w:p w:rsidR="001B367D" w:rsidRDefault="00BC11C3" w:rsidP="00C6700F">
      <w:pPr>
        <w:tabs>
          <w:tab w:val="left" w:pos="426"/>
        </w:tabs>
        <w:ind w:left="705" w:hanging="705"/>
        <w:jc w:val="both"/>
        <w:rPr>
          <w:rFonts w:ascii="Palatino Linotype" w:hAnsi="Palatino Linotype"/>
          <w:sz w:val="22"/>
          <w:szCs w:val="22"/>
        </w:rPr>
      </w:pPr>
      <w:r>
        <w:rPr>
          <w:rFonts w:ascii="Palatino Linotype" w:hAnsi="Palatino Linotype"/>
          <w:sz w:val="22"/>
          <w:szCs w:val="22"/>
        </w:rPr>
        <w:t>Que,</w:t>
      </w:r>
      <w:r>
        <w:rPr>
          <w:rFonts w:ascii="Palatino Linotype" w:hAnsi="Palatino Linotype"/>
          <w:sz w:val="22"/>
          <w:szCs w:val="22"/>
        </w:rPr>
        <w:tab/>
        <w:t>m</w:t>
      </w:r>
      <w:r w:rsidR="001B367D" w:rsidRPr="00974EE8">
        <w:rPr>
          <w:rFonts w:ascii="Palatino Linotype" w:hAnsi="Palatino Linotype"/>
          <w:sz w:val="22"/>
          <w:szCs w:val="22"/>
        </w:rPr>
        <w:t xml:space="preserve">ediante </w:t>
      </w:r>
      <w:r w:rsidR="00DD7EA1" w:rsidRPr="00DD7EA1">
        <w:rPr>
          <w:rFonts w:ascii="Palatino Linotype" w:hAnsi="Palatino Linotype"/>
          <w:sz w:val="22"/>
          <w:szCs w:val="22"/>
        </w:rPr>
        <w:t>oficio DMF-DIR-1137-2019, de 08 de agosto de 2019, la Ing. Catalina Sánchez</w:t>
      </w:r>
      <w:r w:rsidR="00DD7EA1">
        <w:rPr>
          <w:rFonts w:ascii="Palatino Linotype" w:hAnsi="Palatino Linotype"/>
          <w:sz w:val="22"/>
          <w:szCs w:val="22"/>
        </w:rPr>
        <w:t xml:space="preserve"> </w:t>
      </w:r>
      <w:r w:rsidR="00DD7EA1" w:rsidRPr="00DD7EA1">
        <w:rPr>
          <w:rFonts w:ascii="Palatino Linotype" w:hAnsi="Palatino Linotype"/>
          <w:sz w:val="22"/>
          <w:szCs w:val="22"/>
        </w:rPr>
        <w:t>Villacís, Directora Metropolitana Financiera, informó que el predio 3683599 en la</w:t>
      </w:r>
      <w:r w:rsidR="00DD7EA1">
        <w:rPr>
          <w:rFonts w:ascii="Palatino Linotype" w:hAnsi="Palatino Linotype"/>
          <w:sz w:val="22"/>
          <w:szCs w:val="22"/>
        </w:rPr>
        <w:t xml:space="preserve"> </w:t>
      </w:r>
      <w:r w:rsidR="00DD7EA1" w:rsidRPr="00DD7EA1">
        <w:rPr>
          <w:rFonts w:ascii="Palatino Linotype" w:hAnsi="Palatino Linotype"/>
          <w:sz w:val="22"/>
          <w:szCs w:val="22"/>
        </w:rPr>
        <w:t>actualidad no reporta ingresos o renta alguna para el Municipio del Distrito Metropolitano</w:t>
      </w:r>
      <w:r w:rsidR="00DD7EA1">
        <w:rPr>
          <w:rFonts w:ascii="Palatino Linotype" w:hAnsi="Palatino Linotype"/>
          <w:sz w:val="22"/>
          <w:szCs w:val="22"/>
        </w:rPr>
        <w:t xml:space="preserve"> </w:t>
      </w:r>
      <w:r w:rsidR="00DD7EA1" w:rsidRPr="00DD7EA1">
        <w:rPr>
          <w:rFonts w:ascii="Palatino Linotype" w:hAnsi="Palatino Linotype"/>
          <w:sz w:val="22"/>
          <w:szCs w:val="22"/>
        </w:rPr>
        <w:t>de Quito, por lo que emite informe favorable para que se proceda con el trámite</w:t>
      </w:r>
      <w:r w:rsidR="00DD7EA1">
        <w:rPr>
          <w:rFonts w:ascii="Palatino Linotype" w:hAnsi="Palatino Linotype"/>
          <w:sz w:val="22"/>
          <w:szCs w:val="22"/>
        </w:rPr>
        <w:t xml:space="preserve"> </w:t>
      </w:r>
      <w:r w:rsidR="00DD7EA1" w:rsidRPr="00DD7EA1">
        <w:rPr>
          <w:rFonts w:ascii="Palatino Linotype" w:hAnsi="Palatino Linotype"/>
          <w:sz w:val="22"/>
          <w:szCs w:val="22"/>
        </w:rPr>
        <w:t>correspondiente para la transferencia de dominio, mediante donación, de conformidad</w:t>
      </w:r>
      <w:r w:rsidR="00DD7EA1">
        <w:rPr>
          <w:rFonts w:ascii="Palatino Linotype" w:hAnsi="Palatino Linotype"/>
          <w:sz w:val="22"/>
          <w:szCs w:val="22"/>
        </w:rPr>
        <w:t xml:space="preserve"> con las normas legales vigentes;</w:t>
      </w:r>
    </w:p>
    <w:p w:rsidR="00612644" w:rsidRPr="00974EE8" w:rsidRDefault="00612644" w:rsidP="00C6700F">
      <w:pPr>
        <w:tabs>
          <w:tab w:val="left" w:pos="426"/>
        </w:tabs>
        <w:ind w:left="705" w:hanging="705"/>
        <w:jc w:val="both"/>
        <w:rPr>
          <w:rFonts w:ascii="Palatino Linotype" w:hAnsi="Palatino Linotype"/>
          <w:sz w:val="22"/>
          <w:szCs w:val="22"/>
        </w:rPr>
      </w:pPr>
    </w:p>
    <w:p w:rsidR="00724137" w:rsidRPr="009A63F8" w:rsidRDefault="009540BE" w:rsidP="009540BE">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AE003F" w:rsidRPr="00AC78A2">
        <w:rPr>
          <w:rFonts w:ascii="Palatino Linotype" w:hAnsi="Palatino Linotype"/>
          <w:sz w:val="22"/>
          <w:szCs w:val="22"/>
        </w:rPr>
        <w:t xml:space="preserve">con </w:t>
      </w:r>
      <w:r w:rsidR="009A63F8" w:rsidRPr="009A63F8">
        <w:rPr>
          <w:rFonts w:ascii="Palatino Linotype" w:hAnsi="Palatino Linotype"/>
          <w:sz w:val="22"/>
          <w:szCs w:val="22"/>
        </w:rPr>
        <w:t>oficio Nro. DGMBI-2020-0065-M, de 06 de febrero de 2020, el Arq. Patricio</w:t>
      </w:r>
      <w:r w:rsidR="009A63F8">
        <w:rPr>
          <w:rFonts w:ascii="Palatino Linotype" w:hAnsi="Palatino Linotype"/>
          <w:sz w:val="22"/>
          <w:szCs w:val="22"/>
        </w:rPr>
        <w:t xml:space="preserve"> </w:t>
      </w:r>
      <w:r w:rsidR="009A63F8" w:rsidRPr="009A63F8">
        <w:rPr>
          <w:rFonts w:ascii="Palatino Linotype" w:hAnsi="Palatino Linotype"/>
          <w:sz w:val="22"/>
          <w:szCs w:val="22"/>
        </w:rPr>
        <w:t>Serrano Bedoya, Director Metropolitano de Gestión de Bienes Inmuebles, emitió criterio</w:t>
      </w:r>
      <w:r w:rsidR="009A63F8">
        <w:rPr>
          <w:rFonts w:ascii="Palatino Linotype" w:hAnsi="Palatino Linotype"/>
          <w:sz w:val="22"/>
          <w:szCs w:val="22"/>
        </w:rPr>
        <w:t xml:space="preserve"> </w:t>
      </w:r>
      <w:r w:rsidR="009A63F8" w:rsidRPr="009A63F8">
        <w:rPr>
          <w:rFonts w:ascii="Palatino Linotype" w:hAnsi="Palatino Linotype"/>
          <w:sz w:val="22"/>
          <w:szCs w:val="22"/>
        </w:rPr>
        <w:t>favorable para la legalización de la donación del predio Nro. 3683599, a favor del GADP</w:t>
      </w:r>
      <w:r w:rsidR="009A63F8">
        <w:rPr>
          <w:rFonts w:ascii="Palatino Linotype" w:hAnsi="Palatino Linotype"/>
          <w:sz w:val="22"/>
          <w:szCs w:val="22"/>
        </w:rPr>
        <w:t xml:space="preserve"> </w:t>
      </w:r>
      <w:r w:rsidR="009A63F8" w:rsidRPr="009A63F8">
        <w:rPr>
          <w:rFonts w:ascii="Palatino Linotype" w:hAnsi="Palatino Linotype"/>
          <w:sz w:val="22"/>
          <w:szCs w:val="22"/>
        </w:rPr>
        <w:t>de Pifo</w:t>
      </w:r>
      <w:r w:rsidR="009A63F8">
        <w:rPr>
          <w:rFonts w:ascii="Palatino Linotype" w:hAnsi="Palatino Linotype"/>
          <w:sz w:val="22"/>
          <w:szCs w:val="22"/>
        </w:rPr>
        <w:t>;</w:t>
      </w:r>
    </w:p>
    <w:p w:rsidR="000E6777" w:rsidRPr="00AC78A2" w:rsidRDefault="000E6777" w:rsidP="009540BE">
      <w:pPr>
        <w:tabs>
          <w:tab w:val="left" w:pos="426"/>
        </w:tabs>
        <w:ind w:left="705" w:hanging="705"/>
        <w:jc w:val="both"/>
        <w:rPr>
          <w:rFonts w:ascii="Palatino Linotype" w:hAnsi="Palatino Linotype"/>
          <w:sz w:val="22"/>
          <w:szCs w:val="22"/>
        </w:rPr>
      </w:pPr>
    </w:p>
    <w:p w:rsidR="000E6777" w:rsidRPr="009A63F8" w:rsidRDefault="000E6777" w:rsidP="000E6777">
      <w:pPr>
        <w:tabs>
          <w:tab w:val="left" w:pos="426"/>
        </w:tabs>
        <w:ind w:left="705" w:hanging="705"/>
        <w:jc w:val="both"/>
        <w:rPr>
          <w:rFonts w:ascii="Palatino Linotype" w:hAnsi="Palatino Linotype"/>
          <w:sz w:val="22"/>
          <w:szCs w:val="22"/>
        </w:rPr>
      </w:pPr>
      <w:r w:rsidRPr="00AC78A2">
        <w:rPr>
          <w:rFonts w:ascii="Palatino Linotype" w:hAnsi="Palatino Linotype"/>
          <w:sz w:val="22"/>
          <w:szCs w:val="22"/>
        </w:rPr>
        <w:t>Que,</w:t>
      </w:r>
      <w:r w:rsidRPr="00AC78A2">
        <w:rPr>
          <w:rFonts w:ascii="Palatino Linotype" w:hAnsi="Palatino Linotype"/>
          <w:sz w:val="22"/>
          <w:szCs w:val="22"/>
        </w:rPr>
        <w:tab/>
      </w:r>
      <w:r w:rsidR="00BC11C3">
        <w:rPr>
          <w:rFonts w:ascii="Palatino Linotype" w:hAnsi="Palatino Linotype"/>
          <w:sz w:val="22"/>
          <w:szCs w:val="22"/>
        </w:rPr>
        <w:t>m</w:t>
      </w:r>
      <w:r w:rsidR="00C90214" w:rsidRPr="00AC78A2">
        <w:rPr>
          <w:rFonts w:ascii="Palatino Linotype" w:hAnsi="Palatino Linotype"/>
          <w:sz w:val="22"/>
          <w:szCs w:val="22"/>
        </w:rPr>
        <w:t xml:space="preserve">ediante </w:t>
      </w:r>
      <w:r w:rsidR="009A63F8" w:rsidRPr="009A63F8">
        <w:rPr>
          <w:rFonts w:ascii="Palatino Linotype" w:hAnsi="Palatino Linotype"/>
          <w:sz w:val="22"/>
          <w:szCs w:val="22"/>
        </w:rPr>
        <w:t>oficio Nro. GADDMQ-STHV-DMC-UCE-2021-0413-O, de 25 de marzo de 2021,Ing. Joselito Geovanny Ortiz Carranza, Jefe de la Unidad de Catastro Especial de la</w:t>
      </w:r>
      <w:r w:rsidR="009A63F8">
        <w:rPr>
          <w:rFonts w:ascii="Palatino Linotype" w:hAnsi="Palatino Linotype"/>
          <w:sz w:val="22"/>
          <w:szCs w:val="22"/>
        </w:rPr>
        <w:t xml:space="preserve"> </w:t>
      </w:r>
      <w:r w:rsidR="009A63F8" w:rsidRPr="009A63F8">
        <w:rPr>
          <w:rFonts w:ascii="Palatino Linotype" w:hAnsi="Palatino Linotype"/>
          <w:sz w:val="22"/>
          <w:szCs w:val="22"/>
        </w:rPr>
        <w:t>Dirección Metropolitana de Catastro, informó que una vez revisada documentación</w:t>
      </w:r>
      <w:r w:rsidR="009A63F8">
        <w:rPr>
          <w:rFonts w:ascii="Palatino Linotype" w:hAnsi="Palatino Linotype"/>
          <w:sz w:val="22"/>
          <w:szCs w:val="22"/>
        </w:rPr>
        <w:t xml:space="preserve"> </w:t>
      </w:r>
      <w:r w:rsidR="009A63F8" w:rsidRPr="009A63F8">
        <w:rPr>
          <w:rFonts w:ascii="Palatino Linotype" w:hAnsi="Palatino Linotype"/>
          <w:sz w:val="22"/>
          <w:szCs w:val="22"/>
        </w:rPr>
        <w:t>adjunta y sistema SIREC-Q, se remite ficha actualizada de datos técnicos con Informe</w:t>
      </w:r>
      <w:r w:rsidR="009A63F8">
        <w:rPr>
          <w:rFonts w:ascii="Palatino Linotype" w:hAnsi="Palatino Linotype"/>
          <w:sz w:val="22"/>
          <w:szCs w:val="22"/>
        </w:rPr>
        <w:t xml:space="preserve"> </w:t>
      </w:r>
      <w:r w:rsidR="009A63F8" w:rsidRPr="009A63F8">
        <w:rPr>
          <w:rFonts w:ascii="Palatino Linotype" w:hAnsi="Palatino Linotype"/>
          <w:sz w:val="22"/>
          <w:szCs w:val="22"/>
        </w:rPr>
        <w:t>Técnico No. DMC-UCE-2021-414</w:t>
      </w:r>
      <w:r w:rsidR="009A63F8">
        <w:rPr>
          <w:rFonts w:ascii="Palatino Linotype" w:hAnsi="Palatino Linotype"/>
          <w:sz w:val="22"/>
          <w:szCs w:val="22"/>
        </w:rPr>
        <w:t>;</w:t>
      </w:r>
    </w:p>
    <w:p w:rsidR="005525E0" w:rsidRPr="00AC78A2" w:rsidRDefault="005525E0" w:rsidP="000E6777">
      <w:pPr>
        <w:tabs>
          <w:tab w:val="left" w:pos="426"/>
        </w:tabs>
        <w:ind w:left="705" w:hanging="705"/>
        <w:jc w:val="both"/>
        <w:rPr>
          <w:rFonts w:ascii="Palatino Linotype" w:hAnsi="Palatino Linotype"/>
          <w:sz w:val="22"/>
          <w:szCs w:val="22"/>
        </w:rPr>
      </w:pPr>
    </w:p>
    <w:p w:rsidR="00C35A42" w:rsidRPr="00AC506D" w:rsidRDefault="009546A7" w:rsidP="00C35A42">
      <w:pPr>
        <w:tabs>
          <w:tab w:val="left" w:pos="426"/>
        </w:tabs>
        <w:ind w:left="705" w:hanging="705"/>
        <w:jc w:val="both"/>
        <w:rPr>
          <w:rFonts w:ascii="Palatino Linotype" w:hAnsi="Palatino Linotype"/>
          <w:sz w:val="22"/>
          <w:szCs w:val="22"/>
        </w:rPr>
      </w:pPr>
      <w:r>
        <w:rPr>
          <w:rFonts w:ascii="Palatino Linotype" w:hAnsi="Palatino Linotype"/>
          <w:sz w:val="22"/>
          <w:szCs w:val="22"/>
        </w:rPr>
        <w:t>Que,</w:t>
      </w:r>
      <w:r>
        <w:rPr>
          <w:rFonts w:ascii="Palatino Linotype" w:hAnsi="Palatino Linotype"/>
          <w:sz w:val="22"/>
          <w:szCs w:val="22"/>
        </w:rPr>
        <w:tab/>
      </w:r>
      <w:r w:rsidRPr="00AC506D">
        <w:rPr>
          <w:rFonts w:ascii="Palatino Linotype" w:hAnsi="Palatino Linotype"/>
          <w:sz w:val="22"/>
          <w:szCs w:val="22"/>
        </w:rPr>
        <w:t xml:space="preserve">con oficio GADDMQ-PM-2021-1068-O de 13 de abril de 2021, </w:t>
      </w:r>
      <w:r w:rsidR="00C35A42" w:rsidRPr="00AC506D">
        <w:rPr>
          <w:rFonts w:ascii="Palatino Linotype" w:hAnsi="Palatino Linotype"/>
          <w:sz w:val="22"/>
          <w:szCs w:val="22"/>
        </w:rPr>
        <w:t xml:space="preserve">la Procuraduría Metropolitana </w:t>
      </w:r>
      <w:r w:rsidRPr="00AC506D">
        <w:rPr>
          <w:rFonts w:ascii="Palatino Linotype" w:hAnsi="Palatino Linotype"/>
          <w:sz w:val="22"/>
          <w:szCs w:val="22"/>
        </w:rPr>
        <w:t>concluye en su informe jurídico en los siguientes términos</w:t>
      </w:r>
      <w:r w:rsidR="00C35A42" w:rsidRPr="00AC506D">
        <w:rPr>
          <w:rFonts w:ascii="Palatino Linotype" w:hAnsi="Palatino Linotype"/>
          <w:sz w:val="22"/>
          <w:szCs w:val="22"/>
        </w:rPr>
        <w:t xml:space="preserve">: </w:t>
      </w:r>
      <w:r w:rsidRPr="00AC506D">
        <w:rPr>
          <w:rFonts w:ascii="Palatino Linotype" w:hAnsi="Palatino Linotype"/>
          <w:i/>
          <w:sz w:val="22"/>
          <w:szCs w:val="22"/>
        </w:rPr>
        <w:t>“(….)Con base en los fundamentos jurídicos citados, considerando los informes técnicos mencionados, en cumplimiento con lo dispuesto por el Concejo Metropolitano de Quito mediante Resolución No. C287 de 10 de octubre del 2018, y observando que la facultad para autorizar la donación de bienes inmuebles municipales corresponde al Concejo Metropolitano de Quito, de conformidad con el art. 436 del COOTAD, Procuraduría Metropolitana emite informe jurídico favorable para que, de estimarlo pertinente, la Comisión de Propiedad y Espacio Público, continúe con el procedimiento para obtener del Concejo Metropolitano de Quito: (i) la autorización del acuerdo suscrito por el señor Alcalde y el señor Presidente del GADP de Pifo que se encuentra adjunto al expediente; y, (ii) la autorización para la donación del predio municipal No. 3683599 (bien mostrenco) a favor del GADP de Pifo para destinarlo a su funcionamiento, conforme a los datos constantes en la ficha técnica, adjunta al oficio Nro.GADDMQ-STHV-DMC-UCE-2021-0413-O, de 25 de marzo de 2021 de la Unidad de Catastro Especial de la Dirección Metropolitana de Catastro. En el caso de que el predio no se destine para el fin propuesto se procederá con la reversión de la autorización de donación El Concejo Metropolitano autorizará a Procuraduría Metropolitana continuar con los trámites correspondientes hasta la legalización de la presente donación”</w:t>
      </w:r>
      <w:r w:rsidRPr="00AC506D">
        <w:rPr>
          <w:rFonts w:ascii="Palatino Linotype" w:hAnsi="Palatino Linotype"/>
          <w:sz w:val="22"/>
          <w:szCs w:val="22"/>
        </w:rPr>
        <w:t>;</w:t>
      </w:r>
    </w:p>
    <w:p w:rsidR="008F1A94" w:rsidRDefault="00E175D0" w:rsidP="004568A5">
      <w:pPr>
        <w:tabs>
          <w:tab w:val="left" w:pos="426"/>
        </w:tabs>
        <w:ind w:left="705" w:hanging="705"/>
        <w:jc w:val="both"/>
        <w:rPr>
          <w:rFonts w:ascii="Palatino Linotype" w:hAnsi="Palatino Linotype"/>
          <w:sz w:val="22"/>
          <w:szCs w:val="22"/>
        </w:rPr>
      </w:pPr>
      <w:r>
        <w:rPr>
          <w:rFonts w:ascii="Palatino Linotype" w:hAnsi="Palatino Linotype"/>
          <w:sz w:val="22"/>
          <w:szCs w:val="22"/>
        </w:rPr>
        <w:tab/>
      </w:r>
    </w:p>
    <w:p w:rsidR="009368DD" w:rsidRPr="00CF36F1" w:rsidRDefault="009368DD" w:rsidP="009368DD">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Pr="00CF36F1">
        <w:rPr>
          <w:rFonts w:ascii="Palatino Linotype" w:eastAsiaTheme="minorHAnsi" w:hAnsi="Palatino Linotype"/>
          <w:sz w:val="22"/>
          <w:szCs w:val="22"/>
          <w:lang w:val="es-EC" w:eastAsia="en-US"/>
        </w:rPr>
        <w:t>el Informe No. IC-CPP-20</w:t>
      </w:r>
      <w:r w:rsidR="00AC78A2">
        <w:rPr>
          <w:rFonts w:ascii="Palatino Linotype" w:eastAsiaTheme="minorHAnsi" w:hAnsi="Palatino Linotype"/>
          <w:sz w:val="22"/>
          <w:szCs w:val="22"/>
          <w:lang w:val="es-EC" w:eastAsia="en-US"/>
        </w:rPr>
        <w:t>21</w:t>
      </w:r>
      <w:r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Pr="00CF36F1">
        <w:rPr>
          <w:rFonts w:ascii="Palatino Linotype" w:eastAsiaTheme="minorHAnsi" w:hAnsi="Palatino Linotype"/>
          <w:sz w:val="22"/>
          <w:szCs w:val="22"/>
          <w:lang w:val="es-EC" w:eastAsia="en-US"/>
        </w:rPr>
        <w:t xml:space="preserve"> de 20</w:t>
      </w:r>
      <w:r w:rsidR="00AC78A2">
        <w:rPr>
          <w:rFonts w:ascii="Palatino Linotype" w:eastAsiaTheme="minorHAnsi" w:hAnsi="Palatino Linotype"/>
          <w:sz w:val="22"/>
          <w:szCs w:val="22"/>
          <w:lang w:val="es-EC" w:eastAsia="en-US"/>
        </w:rPr>
        <w:t>21</w:t>
      </w:r>
      <w:r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rsidR="00DB1E50" w:rsidRPr="00B977BF" w:rsidRDefault="00447553" w:rsidP="00DB1E50">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El Concejo Metropolitana de Quito, e</w:t>
      </w:r>
      <w:r w:rsidR="006F7558" w:rsidRPr="00974EE8">
        <w:rPr>
          <w:rFonts w:ascii="Palatino Linotype" w:eastAsiaTheme="minorHAnsi" w:hAnsi="Palatino Linotype"/>
          <w:b/>
          <w:bCs/>
          <w:sz w:val="22"/>
          <w:szCs w:val="22"/>
          <w:lang w:val="es-EC" w:eastAsia="en-US"/>
        </w:rPr>
        <w:t xml:space="preserve">n </w:t>
      </w:r>
      <w:r w:rsidR="00B977BF" w:rsidRPr="00B977BF">
        <w:rPr>
          <w:rFonts w:ascii="Palatino Linotype" w:hAnsi="Palatino Linotype" w:cs="Arial"/>
          <w:sz w:val="22"/>
          <w:szCs w:val="22"/>
        </w:rPr>
        <w:t>ejercicio de sus atribucio</w:t>
      </w:r>
      <w:r w:rsidR="002467D4">
        <w:rPr>
          <w:rFonts w:ascii="Palatino Linotype" w:hAnsi="Palatino Linotype" w:cs="Arial"/>
          <w:sz w:val="22"/>
          <w:szCs w:val="22"/>
        </w:rPr>
        <w:t>nes previstas en el artículo 266</w:t>
      </w:r>
      <w:r w:rsidR="00B977BF" w:rsidRPr="00B977BF">
        <w:rPr>
          <w:rFonts w:ascii="Palatino Linotype" w:hAnsi="Palatino Linotype" w:cs="Arial"/>
          <w:sz w:val="22"/>
          <w:szCs w:val="22"/>
        </w:rPr>
        <w:t xml:space="preserve"> de la Constitución de la República y artículos</w:t>
      </w:r>
      <w:r w:rsidR="002467D4">
        <w:rPr>
          <w:rFonts w:ascii="Palatino Linotype" w:hAnsi="Palatino Linotype" w:cs="Arial"/>
          <w:sz w:val="22"/>
          <w:szCs w:val="22"/>
        </w:rPr>
        <w:t xml:space="preserve"> 7, </w:t>
      </w:r>
      <w:r w:rsidR="00B977BF" w:rsidRPr="00B977BF">
        <w:rPr>
          <w:rFonts w:ascii="Palatino Linotype" w:hAnsi="Palatino Linotype" w:cs="Arial"/>
          <w:sz w:val="22"/>
          <w:szCs w:val="22"/>
        </w:rPr>
        <w:t xml:space="preserve"> 87 letra a); y, 323 del Código Orgánico de Organización Territorial, Autonomía y Descentralización</w:t>
      </w:r>
      <w:r w:rsidR="00B977BF">
        <w:rPr>
          <w:rFonts w:ascii="Palatino Linotype" w:hAnsi="Palatino Linotype" w:cs="Arial"/>
          <w:sz w:val="22"/>
          <w:szCs w:val="22"/>
        </w:rPr>
        <w:t>;</w:t>
      </w:r>
    </w:p>
    <w:p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rsidR="00D60378" w:rsidRDefault="00D60378" w:rsidP="00D60378">
      <w:pPr>
        <w:autoSpaceDE w:val="0"/>
        <w:autoSpaceDN w:val="0"/>
        <w:adjustRightInd w:val="0"/>
        <w:rPr>
          <w:rFonts w:ascii="Palatino Linotype" w:eastAsiaTheme="minorHAnsi" w:hAnsi="Palatino Linotype"/>
          <w:b/>
          <w:bCs/>
          <w:sz w:val="32"/>
          <w:szCs w:val="32"/>
          <w:lang w:val="es-EC" w:eastAsia="en-US"/>
        </w:rPr>
      </w:pPr>
    </w:p>
    <w:p w:rsidR="00007F7B" w:rsidRDefault="00D60378" w:rsidP="00007F7B">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Artículo 1.-</w:t>
      </w:r>
      <w:r w:rsidR="004F3B8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r w:rsidR="00540863">
        <w:rPr>
          <w:rFonts w:ascii="Palatino Linotype" w:eastAsiaTheme="minorHAnsi" w:hAnsi="Palatino Linotype"/>
          <w:sz w:val="22"/>
          <w:szCs w:val="22"/>
          <w:lang w:val="es-EC" w:eastAsia="en-US"/>
        </w:rPr>
        <w:t>Autorizar la donación del bien</w:t>
      </w:r>
      <w:r w:rsidR="002467D4">
        <w:rPr>
          <w:rFonts w:ascii="Palatino Linotype" w:eastAsiaTheme="minorHAnsi" w:hAnsi="Palatino Linotype"/>
          <w:sz w:val="22"/>
          <w:szCs w:val="22"/>
          <w:lang w:val="es-EC" w:eastAsia="en-US"/>
        </w:rPr>
        <w:t xml:space="preserve"> inmueble</w:t>
      </w:r>
      <w:r w:rsidR="00540863">
        <w:rPr>
          <w:rFonts w:ascii="Palatino Linotype" w:eastAsiaTheme="minorHAnsi" w:hAnsi="Palatino Linotype"/>
          <w:sz w:val="22"/>
          <w:szCs w:val="22"/>
          <w:lang w:val="es-EC" w:eastAsia="en-US"/>
        </w:rPr>
        <w:t xml:space="preserve"> municipal de dominio privado </w:t>
      </w:r>
      <w:r w:rsidR="00007F7B" w:rsidRPr="00AC78A2">
        <w:rPr>
          <w:rFonts w:ascii="Palatino Linotype" w:hAnsi="Palatino Linotype"/>
          <w:sz w:val="22"/>
          <w:szCs w:val="22"/>
        </w:rPr>
        <w:t xml:space="preserve"> </w:t>
      </w:r>
      <w:r w:rsidR="002467D4" w:rsidRPr="009A63F8">
        <w:rPr>
          <w:rFonts w:ascii="Palatino Linotype" w:hAnsi="Palatino Linotype"/>
          <w:sz w:val="22"/>
          <w:szCs w:val="22"/>
        </w:rPr>
        <w:t>Nro. 3683599, a favor del G</w:t>
      </w:r>
      <w:r w:rsidR="002467D4">
        <w:rPr>
          <w:rFonts w:ascii="Palatino Linotype" w:hAnsi="Palatino Linotype"/>
          <w:sz w:val="22"/>
          <w:szCs w:val="22"/>
        </w:rPr>
        <w:t xml:space="preserve">obierno </w:t>
      </w:r>
      <w:r w:rsidR="002467D4" w:rsidRPr="009A63F8">
        <w:rPr>
          <w:rFonts w:ascii="Palatino Linotype" w:hAnsi="Palatino Linotype"/>
          <w:sz w:val="22"/>
          <w:szCs w:val="22"/>
        </w:rPr>
        <w:t>A</w:t>
      </w:r>
      <w:r w:rsidR="002467D4">
        <w:rPr>
          <w:rFonts w:ascii="Palatino Linotype" w:hAnsi="Palatino Linotype"/>
          <w:sz w:val="22"/>
          <w:szCs w:val="22"/>
        </w:rPr>
        <w:t xml:space="preserve">utónomo </w:t>
      </w:r>
      <w:r w:rsidR="002467D4" w:rsidRPr="009A63F8">
        <w:rPr>
          <w:rFonts w:ascii="Palatino Linotype" w:hAnsi="Palatino Linotype"/>
          <w:sz w:val="22"/>
          <w:szCs w:val="22"/>
        </w:rPr>
        <w:t>D</w:t>
      </w:r>
      <w:r w:rsidR="002467D4">
        <w:rPr>
          <w:rFonts w:ascii="Palatino Linotype" w:hAnsi="Palatino Linotype"/>
          <w:sz w:val="22"/>
          <w:szCs w:val="22"/>
        </w:rPr>
        <w:t xml:space="preserve">escentralizado </w:t>
      </w:r>
      <w:r w:rsidR="002467D4" w:rsidRPr="009A63F8">
        <w:rPr>
          <w:rFonts w:ascii="Palatino Linotype" w:hAnsi="Palatino Linotype"/>
          <w:sz w:val="22"/>
          <w:szCs w:val="22"/>
        </w:rPr>
        <w:t>P</w:t>
      </w:r>
      <w:r w:rsidR="002467D4">
        <w:rPr>
          <w:rFonts w:ascii="Palatino Linotype" w:hAnsi="Palatino Linotype"/>
          <w:sz w:val="22"/>
          <w:szCs w:val="22"/>
        </w:rPr>
        <w:t xml:space="preserve">rovincial </w:t>
      </w:r>
      <w:r w:rsidR="002467D4" w:rsidRPr="009A63F8">
        <w:rPr>
          <w:rFonts w:ascii="Palatino Linotype" w:hAnsi="Palatino Linotype"/>
          <w:sz w:val="22"/>
          <w:szCs w:val="22"/>
        </w:rPr>
        <w:t>de Pifo</w:t>
      </w:r>
      <w:r w:rsidR="002467D4">
        <w:rPr>
          <w:rFonts w:ascii="Palatino Linotype" w:hAnsi="Palatino Linotype"/>
          <w:sz w:val="22"/>
          <w:szCs w:val="22"/>
        </w:rPr>
        <w:t>,</w:t>
      </w:r>
      <w:r w:rsidR="00007F7B" w:rsidRPr="00AC78A2">
        <w:rPr>
          <w:rFonts w:ascii="Palatino Linotype" w:hAnsi="Palatino Linotype"/>
          <w:sz w:val="22"/>
          <w:szCs w:val="22"/>
        </w:rPr>
        <w:t xml:space="preserve"> conforme a los datos técnicos de número de predio, ubicación, linderos, superficie y avalúo de</w:t>
      </w:r>
      <w:r w:rsidR="002467D4">
        <w:rPr>
          <w:rFonts w:ascii="Palatino Linotype" w:hAnsi="Palatino Linotype"/>
          <w:sz w:val="22"/>
          <w:szCs w:val="22"/>
        </w:rPr>
        <w:t>l predio</w:t>
      </w:r>
      <w:r w:rsidR="00007F7B" w:rsidRPr="00AC78A2">
        <w:rPr>
          <w:rFonts w:ascii="Palatino Linotype" w:hAnsi="Palatino Linotype"/>
          <w:sz w:val="22"/>
          <w:szCs w:val="22"/>
        </w:rPr>
        <w:t>,</w:t>
      </w:r>
      <w:r w:rsidR="00007F7B">
        <w:rPr>
          <w:rFonts w:ascii="Palatino Linotype" w:hAnsi="Palatino Linotype"/>
          <w:sz w:val="22"/>
          <w:szCs w:val="22"/>
        </w:rPr>
        <w:t xml:space="preserve"> que se encuentran </w:t>
      </w:r>
      <w:r w:rsidR="00007F7B" w:rsidRPr="00AC78A2">
        <w:rPr>
          <w:rFonts w:ascii="Palatino Linotype" w:hAnsi="Palatino Linotype"/>
          <w:sz w:val="22"/>
          <w:szCs w:val="22"/>
        </w:rPr>
        <w:t xml:space="preserve">determinados en la ficha técnica, adjunta al oficio </w:t>
      </w:r>
      <w:r w:rsidR="002467D4" w:rsidRPr="009A63F8">
        <w:rPr>
          <w:rFonts w:ascii="Palatino Linotype" w:hAnsi="Palatino Linotype"/>
          <w:sz w:val="22"/>
          <w:szCs w:val="22"/>
        </w:rPr>
        <w:t>Nro. GADDMQ-STHV-DMC-UCE-2021-0413-O, de 25 de marzo de 2021,Ing. Joselito Geovanny Ortiz Carranza, Jefe de la Unidad de Catastro Especial de la</w:t>
      </w:r>
      <w:r w:rsidR="002467D4">
        <w:rPr>
          <w:rFonts w:ascii="Palatino Linotype" w:hAnsi="Palatino Linotype"/>
          <w:sz w:val="22"/>
          <w:szCs w:val="22"/>
        </w:rPr>
        <w:t xml:space="preserve"> </w:t>
      </w:r>
      <w:r w:rsidR="002467D4" w:rsidRPr="009A63F8">
        <w:rPr>
          <w:rFonts w:ascii="Palatino Linotype" w:hAnsi="Palatino Linotype"/>
          <w:sz w:val="22"/>
          <w:szCs w:val="22"/>
        </w:rPr>
        <w:t>Dirección Metropolitana de Catastro</w:t>
      </w:r>
      <w:r w:rsidR="002467D4" w:rsidRPr="00AC78A2">
        <w:rPr>
          <w:rFonts w:ascii="Palatino Linotype" w:hAnsi="Palatino Linotype"/>
          <w:sz w:val="22"/>
          <w:szCs w:val="22"/>
        </w:rPr>
        <w:t xml:space="preserve"> </w:t>
      </w:r>
    </w:p>
    <w:p w:rsidR="002467D4" w:rsidRDefault="002467D4" w:rsidP="00007F7B">
      <w:pPr>
        <w:autoSpaceDE w:val="0"/>
        <w:autoSpaceDN w:val="0"/>
        <w:adjustRightInd w:val="0"/>
        <w:jc w:val="both"/>
        <w:rPr>
          <w:rFonts w:ascii="Palatino Linotype" w:eastAsiaTheme="minorHAnsi" w:hAnsi="Palatino Linotype"/>
          <w:sz w:val="22"/>
          <w:szCs w:val="22"/>
          <w:lang w:val="es-EC" w:eastAsia="en-US"/>
        </w:rPr>
      </w:pPr>
    </w:p>
    <w:p w:rsidR="00007F7B" w:rsidRDefault="00BC7A8A" w:rsidP="00816B47">
      <w:pPr>
        <w:autoSpaceDE w:val="0"/>
        <w:autoSpaceDN w:val="0"/>
        <w:adjustRightInd w:val="0"/>
        <w:jc w:val="both"/>
      </w:pPr>
      <w:r w:rsidRPr="00BC7A8A">
        <w:rPr>
          <w:b/>
        </w:rPr>
        <w:t xml:space="preserve">Artículo </w:t>
      </w:r>
      <w:r w:rsidR="00007F7B">
        <w:rPr>
          <w:b/>
        </w:rPr>
        <w:t>2</w:t>
      </w:r>
      <w:r w:rsidRPr="00BC7A8A">
        <w:rPr>
          <w:b/>
        </w:rPr>
        <w:t>.-</w:t>
      </w:r>
      <w:r w:rsidR="00007F7B">
        <w:rPr>
          <w:b/>
        </w:rPr>
        <w:t xml:space="preserve"> </w:t>
      </w:r>
      <w:r w:rsidR="00007F7B" w:rsidRPr="00AC78A2">
        <w:rPr>
          <w:rFonts w:ascii="Palatino Linotype" w:hAnsi="Palatino Linotype"/>
          <w:sz w:val="22"/>
          <w:szCs w:val="22"/>
        </w:rPr>
        <w:t xml:space="preserve">En caso de que </w:t>
      </w:r>
      <w:r w:rsidR="002467D4">
        <w:rPr>
          <w:rFonts w:ascii="Palatino Linotype" w:hAnsi="Palatino Linotype"/>
          <w:sz w:val="22"/>
          <w:szCs w:val="22"/>
        </w:rPr>
        <w:t>e</w:t>
      </w:r>
      <w:r w:rsidR="00007F7B" w:rsidRPr="00AC78A2">
        <w:rPr>
          <w:rFonts w:ascii="Palatino Linotype" w:hAnsi="Palatino Linotype"/>
          <w:sz w:val="22"/>
          <w:szCs w:val="22"/>
        </w:rPr>
        <w:t>l predio no se destine para el fin propuesto se procederá con la reversión de la autorización de donación</w:t>
      </w:r>
    </w:p>
    <w:p w:rsidR="00261856" w:rsidRDefault="00261856" w:rsidP="00816B47">
      <w:pPr>
        <w:autoSpaceDE w:val="0"/>
        <w:autoSpaceDN w:val="0"/>
        <w:adjustRightInd w:val="0"/>
        <w:jc w:val="both"/>
      </w:pPr>
    </w:p>
    <w:p w:rsidR="009937FA" w:rsidRDefault="00261856" w:rsidP="003653E3">
      <w:pPr>
        <w:autoSpaceDE w:val="0"/>
        <w:autoSpaceDN w:val="0"/>
        <w:adjustRightInd w:val="0"/>
        <w:jc w:val="both"/>
        <w:rPr>
          <w:rFonts w:ascii="Palatino Linotype" w:hAnsi="Palatino Linotype"/>
          <w:sz w:val="22"/>
          <w:szCs w:val="22"/>
        </w:rPr>
      </w:pPr>
      <w:r w:rsidRPr="00116C0F">
        <w:rPr>
          <w:b/>
        </w:rPr>
        <w:t>Artículo</w:t>
      </w:r>
      <w:r w:rsidR="00BC7A8A">
        <w:rPr>
          <w:b/>
        </w:rPr>
        <w:t xml:space="preserve"> </w:t>
      </w:r>
      <w:r w:rsidR="00007F7B">
        <w:rPr>
          <w:b/>
        </w:rPr>
        <w:t>3</w:t>
      </w:r>
      <w:r w:rsidRPr="00116C0F">
        <w:rPr>
          <w:b/>
        </w:rPr>
        <w:t>.-</w:t>
      </w:r>
      <w:r>
        <w:t xml:space="preserve"> El Concejo Metropolitano autoriza a la Procuraduría M</w:t>
      </w:r>
      <w:r w:rsidR="002467D4">
        <w:t>e</w:t>
      </w:r>
      <w:r>
        <w:t>tropolitana, continuar con los trámites correspondientes</w:t>
      </w:r>
      <w:r w:rsidR="000207F1">
        <w:t>,</w:t>
      </w:r>
      <w:r>
        <w:t xml:space="preserve"> hasta la legalización de la donación</w:t>
      </w:r>
      <w:r w:rsidR="00B26D77">
        <w:t xml:space="preserve"> del</w:t>
      </w:r>
      <w:r w:rsidR="002467D4">
        <w:t xml:space="preserve"> predio</w:t>
      </w:r>
      <w:r w:rsidR="00B26D77">
        <w:t xml:space="preserve"> municipal </w:t>
      </w:r>
      <w:r w:rsidR="0031642D">
        <w:t>a</w:t>
      </w:r>
      <w:r w:rsidR="00116C0F">
        <w:t xml:space="preserve"> favor de</w:t>
      </w:r>
      <w:r w:rsidR="0031642D">
        <w:t xml:space="preserve">l </w:t>
      </w:r>
      <w:r w:rsidR="002467D4" w:rsidRPr="009A63F8">
        <w:rPr>
          <w:rFonts w:ascii="Palatino Linotype" w:hAnsi="Palatino Linotype"/>
          <w:sz w:val="22"/>
          <w:szCs w:val="22"/>
        </w:rPr>
        <w:t>G</w:t>
      </w:r>
      <w:r w:rsidR="002467D4">
        <w:rPr>
          <w:rFonts w:ascii="Palatino Linotype" w:hAnsi="Palatino Linotype"/>
          <w:sz w:val="22"/>
          <w:szCs w:val="22"/>
        </w:rPr>
        <w:t xml:space="preserve">obierno </w:t>
      </w:r>
      <w:r w:rsidR="002467D4" w:rsidRPr="009A63F8">
        <w:rPr>
          <w:rFonts w:ascii="Palatino Linotype" w:hAnsi="Palatino Linotype"/>
          <w:sz w:val="22"/>
          <w:szCs w:val="22"/>
        </w:rPr>
        <w:t>A</w:t>
      </w:r>
      <w:r w:rsidR="002467D4">
        <w:rPr>
          <w:rFonts w:ascii="Palatino Linotype" w:hAnsi="Palatino Linotype"/>
          <w:sz w:val="22"/>
          <w:szCs w:val="22"/>
        </w:rPr>
        <w:t xml:space="preserve">utónomo </w:t>
      </w:r>
      <w:r w:rsidR="002467D4" w:rsidRPr="009A63F8">
        <w:rPr>
          <w:rFonts w:ascii="Palatino Linotype" w:hAnsi="Palatino Linotype"/>
          <w:sz w:val="22"/>
          <w:szCs w:val="22"/>
        </w:rPr>
        <w:t>D</w:t>
      </w:r>
      <w:r w:rsidR="002467D4">
        <w:rPr>
          <w:rFonts w:ascii="Palatino Linotype" w:hAnsi="Palatino Linotype"/>
          <w:sz w:val="22"/>
          <w:szCs w:val="22"/>
        </w:rPr>
        <w:t xml:space="preserve">escentralizado </w:t>
      </w:r>
      <w:r w:rsidR="002467D4" w:rsidRPr="009A63F8">
        <w:rPr>
          <w:rFonts w:ascii="Palatino Linotype" w:hAnsi="Palatino Linotype"/>
          <w:sz w:val="22"/>
          <w:szCs w:val="22"/>
        </w:rPr>
        <w:t>P</w:t>
      </w:r>
      <w:r w:rsidR="002467D4">
        <w:rPr>
          <w:rFonts w:ascii="Palatino Linotype" w:hAnsi="Palatino Linotype"/>
          <w:sz w:val="22"/>
          <w:szCs w:val="22"/>
        </w:rPr>
        <w:t xml:space="preserve">rovincial </w:t>
      </w:r>
      <w:r w:rsidR="002467D4" w:rsidRPr="009A63F8">
        <w:rPr>
          <w:rFonts w:ascii="Palatino Linotype" w:hAnsi="Palatino Linotype"/>
          <w:sz w:val="22"/>
          <w:szCs w:val="22"/>
        </w:rPr>
        <w:t>de Pifo</w:t>
      </w:r>
      <w:r w:rsidR="00DF0B4F">
        <w:t>,</w:t>
      </w:r>
      <w:r w:rsidR="0031642D">
        <w:t xml:space="preserve"> </w:t>
      </w:r>
    </w:p>
    <w:p w:rsidR="00A54E7F" w:rsidRDefault="00A54E7F" w:rsidP="003653E3">
      <w:pPr>
        <w:autoSpaceDE w:val="0"/>
        <w:autoSpaceDN w:val="0"/>
        <w:adjustRightInd w:val="0"/>
        <w:jc w:val="both"/>
        <w:rPr>
          <w:rFonts w:ascii="Palatino Linotype" w:hAnsi="Palatino Linotype"/>
          <w:sz w:val="22"/>
          <w:szCs w:val="22"/>
        </w:rPr>
      </w:pPr>
    </w:p>
    <w:p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rsidR="00371D00" w:rsidRPr="00974EE8" w:rsidRDefault="00371D00" w:rsidP="00371D00">
      <w:pPr>
        <w:jc w:val="both"/>
        <w:rPr>
          <w:rFonts w:ascii="Palatino Linotype" w:hAnsi="Palatino Linotype"/>
          <w:sz w:val="22"/>
          <w:szCs w:val="22"/>
        </w:rPr>
      </w:pPr>
    </w:p>
    <w:p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Dr. Jorge Yunda Machado</w:t>
      </w:r>
    </w:p>
    <w:p w:rsidR="00371D00" w:rsidRPr="00974EE8" w:rsidRDefault="00371D00" w:rsidP="00371D00">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rsidR="00371D00" w:rsidRPr="00974EE8" w:rsidRDefault="00371D00" w:rsidP="00371D00">
      <w:pPr>
        <w:jc w:val="both"/>
        <w:rPr>
          <w:rFonts w:ascii="Palatino Linotype" w:hAnsi="Palatino Linotype"/>
          <w:b/>
          <w:sz w:val="22"/>
          <w:szCs w:val="22"/>
        </w:rPr>
      </w:pPr>
    </w:p>
    <w:p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w:t>
      </w:r>
      <w:r w:rsidR="00BC11C3">
        <w:rPr>
          <w:rFonts w:ascii="Palatino Linotype" w:hAnsi="Palatino Linotype"/>
          <w:sz w:val="22"/>
          <w:szCs w:val="22"/>
        </w:rPr>
        <w:t>1</w:t>
      </w:r>
      <w:r w:rsidR="009368DD" w:rsidRPr="00974EE8">
        <w:rPr>
          <w:rFonts w:ascii="Palatino Linotype" w:hAnsi="Palatino Linotype"/>
          <w:sz w:val="22"/>
          <w:szCs w:val="22"/>
        </w:rPr>
        <w:t>.</w:t>
      </w:r>
    </w:p>
    <w:p w:rsidR="00076EB1" w:rsidRPr="00974EE8" w:rsidRDefault="00076EB1" w:rsidP="00371D00">
      <w:pPr>
        <w:jc w:val="both"/>
        <w:rPr>
          <w:rFonts w:ascii="Palatino Linotype" w:hAnsi="Palatino Linotype"/>
          <w:b/>
          <w:sz w:val="22"/>
          <w:szCs w:val="22"/>
        </w:rPr>
      </w:pPr>
    </w:p>
    <w:p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rsidR="00371D00" w:rsidRPr="00974EE8" w:rsidRDefault="00371D00" w:rsidP="00371D00">
      <w:pPr>
        <w:jc w:val="both"/>
        <w:rPr>
          <w:rFonts w:ascii="Palatino Linotype" w:hAnsi="Palatino Linotype"/>
          <w:sz w:val="22"/>
          <w:szCs w:val="22"/>
        </w:rPr>
      </w:pPr>
    </w:p>
    <w:p w:rsidR="00371D00" w:rsidRPr="00974EE8" w:rsidRDefault="00371D00" w:rsidP="00371D00">
      <w:pPr>
        <w:rPr>
          <w:rFonts w:ascii="Palatino Linotype" w:hAnsi="Palatino Linotype"/>
          <w:sz w:val="22"/>
          <w:szCs w:val="22"/>
        </w:rPr>
      </w:pPr>
    </w:p>
    <w:p w:rsidR="00371D00" w:rsidRPr="00974EE8" w:rsidRDefault="00371D00" w:rsidP="00371D00">
      <w:pPr>
        <w:jc w:val="both"/>
        <w:rPr>
          <w:rFonts w:ascii="Palatino Linotype" w:hAnsi="Palatino Linotype"/>
          <w:sz w:val="22"/>
          <w:szCs w:val="22"/>
        </w:rPr>
      </w:pPr>
    </w:p>
    <w:p w:rsidR="00371D00" w:rsidRPr="00974EE8" w:rsidRDefault="00371D00" w:rsidP="00371D00">
      <w:pPr>
        <w:pStyle w:val="Sinespaciado"/>
        <w:jc w:val="center"/>
        <w:rPr>
          <w:rFonts w:ascii="Palatino Linotype" w:hAnsi="Palatino Linotype"/>
          <w:sz w:val="22"/>
          <w:szCs w:val="22"/>
        </w:rPr>
      </w:pPr>
      <w:r w:rsidRPr="00974EE8">
        <w:rPr>
          <w:rFonts w:ascii="Palatino Linotype" w:hAnsi="Palatino Linotype"/>
          <w:sz w:val="22"/>
          <w:szCs w:val="22"/>
        </w:rPr>
        <w:t xml:space="preserve">Abg. </w:t>
      </w:r>
      <w:r w:rsidR="00076EB1" w:rsidRPr="00974EE8">
        <w:rPr>
          <w:rFonts w:ascii="Palatino Linotype" w:hAnsi="Palatino Linotype"/>
          <w:sz w:val="22"/>
          <w:szCs w:val="22"/>
        </w:rPr>
        <w:t>Damaris Ortiz Pasuy</w:t>
      </w:r>
    </w:p>
    <w:p w:rsidR="00371D00" w:rsidRPr="00974EE8" w:rsidRDefault="00076EB1" w:rsidP="00371D00">
      <w:pPr>
        <w:pStyle w:val="Sinespaciado"/>
        <w:jc w:val="center"/>
        <w:rPr>
          <w:rFonts w:ascii="Palatino Linotype" w:hAnsi="Palatino Linotype"/>
          <w:b/>
          <w:sz w:val="22"/>
          <w:szCs w:val="22"/>
        </w:rPr>
      </w:pPr>
      <w:r w:rsidRPr="00974EE8">
        <w:rPr>
          <w:rFonts w:ascii="Palatino Linotype" w:hAnsi="Palatino Linotype"/>
          <w:b/>
          <w:sz w:val="22"/>
          <w:szCs w:val="22"/>
        </w:rPr>
        <w:t>SECRETARIA</w:t>
      </w:r>
      <w:r w:rsidR="00371D00" w:rsidRPr="00974EE8">
        <w:rPr>
          <w:rFonts w:ascii="Palatino Linotype" w:hAnsi="Palatino Linotype"/>
          <w:b/>
          <w:sz w:val="22"/>
          <w:szCs w:val="22"/>
        </w:rPr>
        <w:t xml:space="preserve"> GENERAL DEL CONCEJO METROPOLITANO DE QUITO</w:t>
      </w:r>
      <w:r w:rsidRPr="00974EE8">
        <w:rPr>
          <w:rFonts w:ascii="Palatino Linotype" w:hAnsi="Palatino Linotype"/>
          <w:b/>
          <w:sz w:val="22"/>
          <w:szCs w:val="22"/>
        </w:rPr>
        <w:t xml:space="preserve"> </w:t>
      </w:r>
    </w:p>
    <w:p w:rsidR="00371D00" w:rsidRPr="00974EE8" w:rsidRDefault="00371D00" w:rsidP="00371D00">
      <w:pPr>
        <w:pStyle w:val="Sinespaciado"/>
        <w:rPr>
          <w:rFonts w:ascii="Palatino Linotype" w:hAnsi="Palatino Linotype"/>
          <w:sz w:val="22"/>
          <w:szCs w:val="22"/>
        </w:rPr>
      </w:pPr>
    </w:p>
    <w:p w:rsidR="003C4C4F" w:rsidRPr="00974EE8" w:rsidRDefault="003C4C4F" w:rsidP="00371D00">
      <w:pPr>
        <w:pStyle w:val="Sinespaciado"/>
        <w:rPr>
          <w:rFonts w:ascii="Palatino Linotype" w:hAnsi="Palatino Linotype"/>
          <w:sz w:val="22"/>
          <w:szCs w:val="22"/>
        </w:rPr>
      </w:pPr>
    </w:p>
    <w:p w:rsidR="003C4C4F" w:rsidRPr="00974EE8" w:rsidRDefault="003C4C4F" w:rsidP="00371D00">
      <w:pPr>
        <w:pStyle w:val="Sinespaciado"/>
        <w:rPr>
          <w:rFonts w:ascii="Palatino Linotype" w:hAnsi="Palatino Linotype"/>
          <w:sz w:val="22"/>
          <w:szCs w:val="22"/>
        </w:rPr>
      </w:pPr>
    </w:p>
    <w:p w:rsidR="00371D00" w:rsidRPr="00974EE8" w:rsidRDefault="00371D00" w:rsidP="00371D00">
      <w:pPr>
        <w:pStyle w:val="Sinespaciado"/>
        <w:rPr>
          <w:rFonts w:ascii="Palatino Linotype" w:hAnsi="Palatino Linotype"/>
          <w:sz w:val="22"/>
          <w:szCs w:val="22"/>
        </w:rPr>
      </w:pPr>
    </w:p>
    <w:p w:rsidR="006F7558" w:rsidRPr="00974EE8" w:rsidRDefault="006F7558" w:rsidP="006F7558">
      <w:pPr>
        <w:ind w:left="708"/>
        <w:jc w:val="both"/>
        <w:rPr>
          <w:rFonts w:ascii="Palatino Linotype" w:hAnsi="Palatino Linotype"/>
          <w:sz w:val="22"/>
          <w:szCs w:val="22"/>
        </w:rPr>
      </w:pPr>
    </w:p>
    <w:p w:rsidR="008C7FBB" w:rsidRPr="00974EE8" w:rsidRDefault="008C7FBB">
      <w:pPr>
        <w:rPr>
          <w:rFonts w:ascii="Palatino Linotype" w:hAnsi="Palatino Linotype"/>
          <w:sz w:val="22"/>
          <w:szCs w:val="22"/>
        </w:rPr>
      </w:pP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B" w:rsidRDefault="0066034B">
      <w:r>
        <w:separator/>
      </w:r>
    </w:p>
  </w:endnote>
  <w:endnote w:type="continuationSeparator" w:id="0">
    <w:p w:rsidR="0066034B" w:rsidRDefault="00660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sz w:val="20"/>
        <w:szCs w:val="20"/>
      </w:rPr>
      <w:id w:val="708761303"/>
      <w:docPartObj>
        <w:docPartGallery w:val="Page Numbers (Bottom of Page)"/>
        <w:docPartUnique/>
      </w:docPartObj>
    </w:sdtPr>
    <w:sdtContent>
      <w:sdt>
        <w:sdtPr>
          <w:rPr>
            <w:rFonts w:ascii="Palatino Linotype" w:hAnsi="Palatino Linotype"/>
            <w:sz w:val="20"/>
            <w:szCs w:val="20"/>
          </w:rPr>
          <w:id w:val="860082579"/>
          <w:docPartObj>
            <w:docPartGallery w:val="Page Numbers (Top of Page)"/>
            <w:docPartUnique/>
          </w:docPartObj>
        </w:sdtPr>
        <w:sdtContent>
          <w:p w:rsidR="008479FB" w:rsidRPr="008479FB" w:rsidRDefault="009862E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3B0325"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3B0325" w:rsidRPr="008479FB">
              <w:rPr>
                <w:rFonts w:ascii="Palatino Linotype" w:hAnsi="Palatino Linotype"/>
                <w:b/>
                <w:bCs/>
                <w:sz w:val="20"/>
                <w:szCs w:val="20"/>
              </w:rPr>
              <w:fldChar w:fldCharType="separate"/>
            </w:r>
            <w:r w:rsidR="0066034B">
              <w:rPr>
                <w:rFonts w:ascii="Palatino Linotype" w:hAnsi="Palatino Linotype"/>
                <w:b/>
                <w:bCs/>
                <w:noProof/>
                <w:sz w:val="20"/>
                <w:szCs w:val="20"/>
              </w:rPr>
              <w:t>1</w:t>
            </w:r>
            <w:r w:rsidR="003B0325"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3B0325"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3B0325" w:rsidRPr="008479FB">
              <w:rPr>
                <w:rFonts w:ascii="Palatino Linotype" w:hAnsi="Palatino Linotype"/>
                <w:b/>
                <w:bCs/>
                <w:sz w:val="20"/>
                <w:szCs w:val="20"/>
              </w:rPr>
              <w:fldChar w:fldCharType="separate"/>
            </w:r>
            <w:r w:rsidR="0066034B">
              <w:rPr>
                <w:rFonts w:ascii="Palatino Linotype" w:hAnsi="Palatino Linotype"/>
                <w:b/>
                <w:bCs/>
                <w:noProof/>
                <w:sz w:val="20"/>
                <w:szCs w:val="20"/>
              </w:rPr>
              <w:t>1</w:t>
            </w:r>
            <w:r w:rsidR="003B0325" w:rsidRPr="008479FB">
              <w:rPr>
                <w:rFonts w:ascii="Palatino Linotype" w:hAnsi="Palatino Linotype"/>
                <w:b/>
                <w:bCs/>
                <w:sz w:val="20"/>
                <w:szCs w:val="20"/>
              </w:rPr>
              <w:fldChar w:fldCharType="end"/>
            </w:r>
          </w:p>
        </w:sdtContent>
      </w:sdt>
    </w:sdtContent>
  </w:sdt>
  <w:p w:rsidR="008479FB" w:rsidRPr="008479FB" w:rsidRDefault="0066034B">
    <w:pPr>
      <w:pStyle w:val="Piedepgina"/>
      <w:rPr>
        <w:rFonts w:ascii="Palatino Linotype" w:hAnsi="Palatino Linotyp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B" w:rsidRDefault="0066034B">
      <w:r>
        <w:separator/>
      </w:r>
    </w:p>
  </w:footnote>
  <w:footnote w:type="continuationSeparator" w:id="0">
    <w:p w:rsidR="0066034B" w:rsidRDefault="00660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D9" w:rsidRDefault="003B0325">
    <w:pPr>
      <w:pStyle w:val="Encabezado"/>
    </w:pPr>
    <w:r w:rsidRPr="003B03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D9" w:rsidRDefault="003B0325">
    <w:pPr>
      <w:pStyle w:val="Encabezado"/>
    </w:pPr>
    <w:r w:rsidRPr="003B03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D9" w:rsidRDefault="003B0325">
    <w:pPr>
      <w:pStyle w:val="Encabezado"/>
    </w:pPr>
    <w:r w:rsidRPr="003B03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8434"/>
    <o:shapelayout v:ext="edit">
      <o:idmap v:ext="edit" data="2"/>
    </o:shapelayout>
  </w:hdrShapeDefaults>
  <w:footnotePr>
    <w:footnote w:id="-1"/>
    <w:footnote w:id="0"/>
  </w:footnotePr>
  <w:endnotePr>
    <w:endnote w:id="-1"/>
    <w:endnote w:id="0"/>
  </w:endnotePr>
  <w:compat/>
  <w:rsids>
    <w:rsidRoot w:val="006F7558"/>
    <w:rsid w:val="00004615"/>
    <w:rsid w:val="00007F7B"/>
    <w:rsid w:val="000207F1"/>
    <w:rsid w:val="000352E0"/>
    <w:rsid w:val="00035B0F"/>
    <w:rsid w:val="000426DD"/>
    <w:rsid w:val="00043D93"/>
    <w:rsid w:val="00045A6C"/>
    <w:rsid w:val="00076EB1"/>
    <w:rsid w:val="00084379"/>
    <w:rsid w:val="000900BA"/>
    <w:rsid w:val="000A02CD"/>
    <w:rsid w:val="000A2956"/>
    <w:rsid w:val="000B313C"/>
    <w:rsid w:val="000B4236"/>
    <w:rsid w:val="000B736C"/>
    <w:rsid w:val="000C230C"/>
    <w:rsid w:val="000D095A"/>
    <w:rsid w:val="000E018B"/>
    <w:rsid w:val="000E1DDE"/>
    <w:rsid w:val="000E429B"/>
    <w:rsid w:val="000E6777"/>
    <w:rsid w:val="00102BEB"/>
    <w:rsid w:val="00103A56"/>
    <w:rsid w:val="00106439"/>
    <w:rsid w:val="0011274C"/>
    <w:rsid w:val="00116C0F"/>
    <w:rsid w:val="001208B7"/>
    <w:rsid w:val="00121B7E"/>
    <w:rsid w:val="0013605F"/>
    <w:rsid w:val="00137396"/>
    <w:rsid w:val="00140E5B"/>
    <w:rsid w:val="0016353C"/>
    <w:rsid w:val="001649BA"/>
    <w:rsid w:val="00165359"/>
    <w:rsid w:val="001776AB"/>
    <w:rsid w:val="0019225A"/>
    <w:rsid w:val="00197779"/>
    <w:rsid w:val="00197C45"/>
    <w:rsid w:val="001A42FC"/>
    <w:rsid w:val="001B0913"/>
    <w:rsid w:val="001B12A1"/>
    <w:rsid w:val="001B367D"/>
    <w:rsid w:val="001C0B81"/>
    <w:rsid w:val="001C2838"/>
    <w:rsid w:val="001C6FEA"/>
    <w:rsid w:val="001C7D49"/>
    <w:rsid w:val="001D7422"/>
    <w:rsid w:val="001E5733"/>
    <w:rsid w:val="001F2AF2"/>
    <w:rsid w:val="001F2CD2"/>
    <w:rsid w:val="001F31C5"/>
    <w:rsid w:val="002042A3"/>
    <w:rsid w:val="00205E32"/>
    <w:rsid w:val="0021067B"/>
    <w:rsid w:val="00212B00"/>
    <w:rsid w:val="002312FC"/>
    <w:rsid w:val="00234D87"/>
    <w:rsid w:val="002365A6"/>
    <w:rsid w:val="0023794C"/>
    <w:rsid w:val="00237CA1"/>
    <w:rsid w:val="00245412"/>
    <w:rsid w:val="002467D4"/>
    <w:rsid w:val="00247336"/>
    <w:rsid w:val="00247B99"/>
    <w:rsid w:val="002534F2"/>
    <w:rsid w:val="00260A9D"/>
    <w:rsid w:val="00261856"/>
    <w:rsid w:val="00263CE2"/>
    <w:rsid w:val="0028210B"/>
    <w:rsid w:val="0028355A"/>
    <w:rsid w:val="002B11B3"/>
    <w:rsid w:val="002D6F62"/>
    <w:rsid w:val="002E2CA5"/>
    <w:rsid w:val="002F034D"/>
    <w:rsid w:val="002F0A16"/>
    <w:rsid w:val="002F199A"/>
    <w:rsid w:val="002F5BA3"/>
    <w:rsid w:val="00302B05"/>
    <w:rsid w:val="00303F16"/>
    <w:rsid w:val="00305C8A"/>
    <w:rsid w:val="0031642D"/>
    <w:rsid w:val="003325C5"/>
    <w:rsid w:val="003361D1"/>
    <w:rsid w:val="00347941"/>
    <w:rsid w:val="003627CB"/>
    <w:rsid w:val="003653E3"/>
    <w:rsid w:val="00371D00"/>
    <w:rsid w:val="00373370"/>
    <w:rsid w:val="00377192"/>
    <w:rsid w:val="00377AFB"/>
    <w:rsid w:val="003837F3"/>
    <w:rsid w:val="00387B31"/>
    <w:rsid w:val="00397810"/>
    <w:rsid w:val="003B0325"/>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137B7"/>
    <w:rsid w:val="00421449"/>
    <w:rsid w:val="00427B59"/>
    <w:rsid w:val="00430B1C"/>
    <w:rsid w:val="00430DD4"/>
    <w:rsid w:val="00436221"/>
    <w:rsid w:val="004365CB"/>
    <w:rsid w:val="00444EBC"/>
    <w:rsid w:val="00445D37"/>
    <w:rsid w:val="00445F1C"/>
    <w:rsid w:val="00447553"/>
    <w:rsid w:val="00452AD1"/>
    <w:rsid w:val="0045355A"/>
    <w:rsid w:val="00453791"/>
    <w:rsid w:val="004552CB"/>
    <w:rsid w:val="004568A5"/>
    <w:rsid w:val="00457A8D"/>
    <w:rsid w:val="004606CF"/>
    <w:rsid w:val="004666F4"/>
    <w:rsid w:val="00470289"/>
    <w:rsid w:val="00474DDF"/>
    <w:rsid w:val="004779D5"/>
    <w:rsid w:val="00487063"/>
    <w:rsid w:val="00494191"/>
    <w:rsid w:val="004B07E1"/>
    <w:rsid w:val="004B46EE"/>
    <w:rsid w:val="004D7DDE"/>
    <w:rsid w:val="004E3DEB"/>
    <w:rsid w:val="004F0E2F"/>
    <w:rsid w:val="004F1E77"/>
    <w:rsid w:val="004F3B81"/>
    <w:rsid w:val="00501D9A"/>
    <w:rsid w:val="00502C6B"/>
    <w:rsid w:val="005077B1"/>
    <w:rsid w:val="005125A9"/>
    <w:rsid w:val="00515B43"/>
    <w:rsid w:val="00517EC3"/>
    <w:rsid w:val="005225B2"/>
    <w:rsid w:val="00526C22"/>
    <w:rsid w:val="00527CFB"/>
    <w:rsid w:val="00540863"/>
    <w:rsid w:val="00551C75"/>
    <w:rsid w:val="005525E0"/>
    <w:rsid w:val="005605E0"/>
    <w:rsid w:val="005617D9"/>
    <w:rsid w:val="005641FF"/>
    <w:rsid w:val="0057165E"/>
    <w:rsid w:val="00587B68"/>
    <w:rsid w:val="005A3BED"/>
    <w:rsid w:val="005A57D5"/>
    <w:rsid w:val="005A6079"/>
    <w:rsid w:val="005B2A24"/>
    <w:rsid w:val="005B4B5D"/>
    <w:rsid w:val="005C54C9"/>
    <w:rsid w:val="005C65BE"/>
    <w:rsid w:val="005C6CCF"/>
    <w:rsid w:val="005D330E"/>
    <w:rsid w:val="005E0CFB"/>
    <w:rsid w:val="005F785F"/>
    <w:rsid w:val="00612644"/>
    <w:rsid w:val="00636023"/>
    <w:rsid w:val="006442D0"/>
    <w:rsid w:val="0064438A"/>
    <w:rsid w:val="0066034B"/>
    <w:rsid w:val="006623FE"/>
    <w:rsid w:val="00682934"/>
    <w:rsid w:val="00684090"/>
    <w:rsid w:val="00686A06"/>
    <w:rsid w:val="00692ADA"/>
    <w:rsid w:val="00693946"/>
    <w:rsid w:val="006A1262"/>
    <w:rsid w:val="006A1383"/>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A40E8"/>
    <w:rsid w:val="007D2A9C"/>
    <w:rsid w:val="007D4E1F"/>
    <w:rsid w:val="007E70E8"/>
    <w:rsid w:val="007E75C9"/>
    <w:rsid w:val="007F4760"/>
    <w:rsid w:val="007F60DD"/>
    <w:rsid w:val="007F6839"/>
    <w:rsid w:val="008005EC"/>
    <w:rsid w:val="00800F3A"/>
    <w:rsid w:val="00816B47"/>
    <w:rsid w:val="00826D08"/>
    <w:rsid w:val="00832BC7"/>
    <w:rsid w:val="00836BC5"/>
    <w:rsid w:val="00837642"/>
    <w:rsid w:val="0084137F"/>
    <w:rsid w:val="008415FB"/>
    <w:rsid w:val="00846F5F"/>
    <w:rsid w:val="008515C7"/>
    <w:rsid w:val="008529C4"/>
    <w:rsid w:val="00862D32"/>
    <w:rsid w:val="00866908"/>
    <w:rsid w:val="0086718B"/>
    <w:rsid w:val="00874C84"/>
    <w:rsid w:val="008802DA"/>
    <w:rsid w:val="00883741"/>
    <w:rsid w:val="008A11D4"/>
    <w:rsid w:val="008A140F"/>
    <w:rsid w:val="008A6A5B"/>
    <w:rsid w:val="008B5F96"/>
    <w:rsid w:val="008C1731"/>
    <w:rsid w:val="008C2104"/>
    <w:rsid w:val="008C2767"/>
    <w:rsid w:val="008C2910"/>
    <w:rsid w:val="008C7FBB"/>
    <w:rsid w:val="008D0A6E"/>
    <w:rsid w:val="008D30F7"/>
    <w:rsid w:val="008D4CC4"/>
    <w:rsid w:val="008D589B"/>
    <w:rsid w:val="008E107B"/>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1219"/>
    <w:rsid w:val="00952120"/>
    <w:rsid w:val="009540BE"/>
    <w:rsid w:val="009546A7"/>
    <w:rsid w:val="009670A4"/>
    <w:rsid w:val="00970C3A"/>
    <w:rsid w:val="00971525"/>
    <w:rsid w:val="00974EE8"/>
    <w:rsid w:val="009862ED"/>
    <w:rsid w:val="009937FA"/>
    <w:rsid w:val="00995E06"/>
    <w:rsid w:val="009A63F8"/>
    <w:rsid w:val="009C0946"/>
    <w:rsid w:val="009C3E74"/>
    <w:rsid w:val="009C74F3"/>
    <w:rsid w:val="009D59C8"/>
    <w:rsid w:val="009F5813"/>
    <w:rsid w:val="00A01E0B"/>
    <w:rsid w:val="00A0701E"/>
    <w:rsid w:val="00A1090A"/>
    <w:rsid w:val="00A12AAA"/>
    <w:rsid w:val="00A1492B"/>
    <w:rsid w:val="00A264F8"/>
    <w:rsid w:val="00A54E7F"/>
    <w:rsid w:val="00A670E7"/>
    <w:rsid w:val="00A72162"/>
    <w:rsid w:val="00A75561"/>
    <w:rsid w:val="00A90669"/>
    <w:rsid w:val="00A940A1"/>
    <w:rsid w:val="00AB3A93"/>
    <w:rsid w:val="00AB6AFA"/>
    <w:rsid w:val="00AB7F29"/>
    <w:rsid w:val="00AC506D"/>
    <w:rsid w:val="00AC78A2"/>
    <w:rsid w:val="00AD12FB"/>
    <w:rsid w:val="00AD601E"/>
    <w:rsid w:val="00AE003F"/>
    <w:rsid w:val="00AE2A18"/>
    <w:rsid w:val="00AE2A26"/>
    <w:rsid w:val="00AE64F9"/>
    <w:rsid w:val="00AF1457"/>
    <w:rsid w:val="00AF227D"/>
    <w:rsid w:val="00AF3316"/>
    <w:rsid w:val="00AF4573"/>
    <w:rsid w:val="00AF4E7B"/>
    <w:rsid w:val="00AF5151"/>
    <w:rsid w:val="00B0338D"/>
    <w:rsid w:val="00B11A72"/>
    <w:rsid w:val="00B11E1F"/>
    <w:rsid w:val="00B12067"/>
    <w:rsid w:val="00B20A65"/>
    <w:rsid w:val="00B23C68"/>
    <w:rsid w:val="00B26D77"/>
    <w:rsid w:val="00B30D6F"/>
    <w:rsid w:val="00B3519C"/>
    <w:rsid w:val="00B37F9F"/>
    <w:rsid w:val="00B40647"/>
    <w:rsid w:val="00B415CF"/>
    <w:rsid w:val="00B42A68"/>
    <w:rsid w:val="00B42B9B"/>
    <w:rsid w:val="00B44277"/>
    <w:rsid w:val="00B470B6"/>
    <w:rsid w:val="00B536D3"/>
    <w:rsid w:val="00B641EF"/>
    <w:rsid w:val="00B74EE9"/>
    <w:rsid w:val="00B84E12"/>
    <w:rsid w:val="00B85812"/>
    <w:rsid w:val="00B952E1"/>
    <w:rsid w:val="00B954C7"/>
    <w:rsid w:val="00B95A41"/>
    <w:rsid w:val="00B96FF6"/>
    <w:rsid w:val="00B977BF"/>
    <w:rsid w:val="00BA1967"/>
    <w:rsid w:val="00BB01B9"/>
    <w:rsid w:val="00BB0232"/>
    <w:rsid w:val="00BB141A"/>
    <w:rsid w:val="00BC11C3"/>
    <w:rsid w:val="00BC7A8A"/>
    <w:rsid w:val="00BE1872"/>
    <w:rsid w:val="00BE6CFB"/>
    <w:rsid w:val="00BF15C4"/>
    <w:rsid w:val="00C16819"/>
    <w:rsid w:val="00C3066C"/>
    <w:rsid w:val="00C3378E"/>
    <w:rsid w:val="00C3379B"/>
    <w:rsid w:val="00C3401C"/>
    <w:rsid w:val="00C3468C"/>
    <w:rsid w:val="00C35A42"/>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1B71"/>
    <w:rsid w:val="00C8504F"/>
    <w:rsid w:val="00C90214"/>
    <w:rsid w:val="00C941C4"/>
    <w:rsid w:val="00C96B1C"/>
    <w:rsid w:val="00CA0D7C"/>
    <w:rsid w:val="00CA74A4"/>
    <w:rsid w:val="00CC37FC"/>
    <w:rsid w:val="00CD285E"/>
    <w:rsid w:val="00CD4D3D"/>
    <w:rsid w:val="00CE5A2F"/>
    <w:rsid w:val="00CF2A0C"/>
    <w:rsid w:val="00CF36F1"/>
    <w:rsid w:val="00D002E2"/>
    <w:rsid w:val="00D22406"/>
    <w:rsid w:val="00D372CA"/>
    <w:rsid w:val="00D60378"/>
    <w:rsid w:val="00D80A29"/>
    <w:rsid w:val="00D850CF"/>
    <w:rsid w:val="00D8544E"/>
    <w:rsid w:val="00D86743"/>
    <w:rsid w:val="00D8774A"/>
    <w:rsid w:val="00D95DB6"/>
    <w:rsid w:val="00D95EEA"/>
    <w:rsid w:val="00D97E8A"/>
    <w:rsid w:val="00DA5568"/>
    <w:rsid w:val="00DB1E50"/>
    <w:rsid w:val="00DB64D8"/>
    <w:rsid w:val="00DC1AF3"/>
    <w:rsid w:val="00DD0020"/>
    <w:rsid w:val="00DD09A4"/>
    <w:rsid w:val="00DD2FF1"/>
    <w:rsid w:val="00DD3787"/>
    <w:rsid w:val="00DD4559"/>
    <w:rsid w:val="00DD7EA1"/>
    <w:rsid w:val="00DF0B4F"/>
    <w:rsid w:val="00DF21AB"/>
    <w:rsid w:val="00E03299"/>
    <w:rsid w:val="00E035DB"/>
    <w:rsid w:val="00E175D0"/>
    <w:rsid w:val="00E213C8"/>
    <w:rsid w:val="00E348B3"/>
    <w:rsid w:val="00E367AE"/>
    <w:rsid w:val="00E40902"/>
    <w:rsid w:val="00E52A1F"/>
    <w:rsid w:val="00E62529"/>
    <w:rsid w:val="00E70011"/>
    <w:rsid w:val="00E74B3D"/>
    <w:rsid w:val="00E769DA"/>
    <w:rsid w:val="00E80F18"/>
    <w:rsid w:val="00E941DF"/>
    <w:rsid w:val="00EA1E48"/>
    <w:rsid w:val="00EB1DDC"/>
    <w:rsid w:val="00EC11EB"/>
    <w:rsid w:val="00ED3D71"/>
    <w:rsid w:val="00F0029E"/>
    <w:rsid w:val="00F0200B"/>
    <w:rsid w:val="00F02902"/>
    <w:rsid w:val="00F2464A"/>
    <w:rsid w:val="00F25E0F"/>
    <w:rsid w:val="00F30838"/>
    <w:rsid w:val="00F3519B"/>
    <w:rsid w:val="00F365C2"/>
    <w:rsid w:val="00F43477"/>
    <w:rsid w:val="00F4568F"/>
    <w:rsid w:val="00F574C4"/>
    <w:rsid w:val="00FA5017"/>
    <w:rsid w:val="00FB22E8"/>
    <w:rsid w:val="00FB6291"/>
    <w:rsid w:val="00FD02C4"/>
    <w:rsid w:val="00FD4B67"/>
    <w:rsid w:val="00FD64D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860B-0873-44BA-A1F7-0EB6FACE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rnoboa</cp:lastModifiedBy>
  <cp:revision>2</cp:revision>
  <cp:lastPrinted>2020-02-12T17:44:00Z</cp:lastPrinted>
  <dcterms:created xsi:type="dcterms:W3CDTF">2021-04-16T21:19:00Z</dcterms:created>
  <dcterms:modified xsi:type="dcterms:W3CDTF">2021-04-16T21:19:00Z</dcterms:modified>
</cp:coreProperties>
</file>