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2B" w:rsidRPr="0091192B" w:rsidRDefault="0091192B" w:rsidP="0091192B">
      <w:pPr>
        <w:spacing w:after="0" w:line="240" w:lineRule="auto"/>
        <w:jc w:val="center"/>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EXPOSICIÓN DE MOTIVOS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La normativa que recoge el Código Municipal en lo relativo al arrendamiento de bienes inmuebles municipales fue desarrollada en la Ordenanza Metropolitana No. 127, expedida en el año 2004, cuando existía un marco regulatorio desfasado. Por esta razón es necesario actualizar el Código Municipal, para que sea armónico con la normativa nacional vigente y permita resolver los problemas existentes en cuanto al arriendo de bienes municipales.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El Municipio del Distrito Metropolitano de Quito (en adelante MDMQ) actualmente cuenta con aproximadamente 390 bienes inmuebles en la ciudad destinados a vivienda, comercio, bodegas, estacionamientos y oficinas que se encuentran bajo la custodia y administración de diferentes órganos pertenecientes a los niveles de gestión y operativo dentro de la estructura orgánica del MDMQ. Entre ellos, se reporta un porcentaje elevado de bienes inmuebles desocupados. En tal sentido es necesario promover una política de uso y explotación de bienes inmuebles que permita la gestión de éstos y la generación de recursos propios.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La actual política arrendaticia del MDMQ contenida en el Código Municipal, se constituye en la causa principal de la incapacidad institucional para gestionar los bienes de propiedad del Municipio. Esto, debido a que, hasta la actualidad, la Dirección Metropolitana encargada de los bienes inmuebles en tanto instancia administrativa competente para fijar los cánones de arrendamiento, los valora aplicando el techo máximo permitido por la Ley de Inquilinato. El resultado de tal valoración es una distorsión al alza de los valores, los mismos que no pueden competir con los valores existentes en las zonas donde están ubicados que ofertan inmuebles a valores más bajos.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En tal virtud, los órganos de los diferentes niveles de la administración municipal no han logrado desarrollar y plasmar en su planificación una visión clara respecto de los bienes inmuebles, ni estrategias que les permitan promover el uso y explotación, principalmente de aquellos que se encuentran desocupados. Esta situación ha provocado que el Municipio deje de percibir un importante ingreso económico que le permita promover el desarrollo de la ciudad. Además, a causa de ello, el Municipio ha tenido que invertir y direccionar recursos para su mantenimiento sin que esto signifique que vayan a ser arrendados.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Con este antecedente, se hace necesario establecer a través de la presente reforma una   flexibilización de la política de arrendamiento de Quito que responda a la realidad especialmente del sector en el que se ubica y en la capacidad económica de quienes están interesados en arrendar. Por lo expuesto, resulta práctico que esta política sea diseñada y aplicada por parte de la Dirección Metropolitana encargada de los bienes inmuebles que agilice la generación de rentas importantes y necesarias para el Municipio del Distrito Metropolitano de Quito. </w:t>
      </w:r>
    </w:p>
    <w:p w:rsidR="0091192B" w:rsidRDefault="0091192B" w:rsidP="0091192B">
      <w:pPr>
        <w:spacing w:after="240" w:line="240" w:lineRule="auto"/>
        <w:jc w:val="both"/>
        <w:rPr>
          <w:rFonts w:ascii="Garamond" w:eastAsia="Times New Roman" w:hAnsi="Garamond" w:cs="Times New Roman"/>
          <w:sz w:val="24"/>
          <w:szCs w:val="24"/>
          <w:lang w:eastAsia="es-EC"/>
        </w:rPr>
      </w:pPr>
      <w:r w:rsidRPr="0091192B">
        <w:rPr>
          <w:rFonts w:ascii="Garamond" w:eastAsia="Times New Roman" w:hAnsi="Garamond" w:cs="Times New Roman"/>
          <w:sz w:val="24"/>
          <w:szCs w:val="24"/>
          <w:lang w:eastAsia="es-EC"/>
        </w:rPr>
        <w:br/>
      </w:r>
      <w:r w:rsidRPr="0091192B">
        <w:rPr>
          <w:rFonts w:ascii="Garamond" w:eastAsia="Times New Roman" w:hAnsi="Garamond" w:cs="Times New Roman"/>
          <w:sz w:val="24"/>
          <w:szCs w:val="24"/>
          <w:lang w:eastAsia="es-EC"/>
        </w:rPr>
        <w:br/>
      </w:r>
    </w:p>
    <w:p w:rsidR="0091192B" w:rsidRDefault="0091192B" w:rsidP="0091192B">
      <w:pPr>
        <w:spacing w:after="240" w:line="240" w:lineRule="auto"/>
        <w:jc w:val="both"/>
        <w:rPr>
          <w:rFonts w:ascii="Garamond" w:eastAsia="Times New Roman" w:hAnsi="Garamond" w:cs="Times New Roman"/>
          <w:sz w:val="24"/>
          <w:szCs w:val="24"/>
          <w:lang w:eastAsia="es-EC"/>
        </w:rPr>
      </w:pPr>
    </w:p>
    <w:p w:rsidR="0091192B" w:rsidRDefault="0091192B" w:rsidP="0091192B">
      <w:pPr>
        <w:spacing w:after="240" w:line="240" w:lineRule="auto"/>
        <w:jc w:val="both"/>
        <w:rPr>
          <w:rFonts w:ascii="Garamond" w:eastAsia="Times New Roman" w:hAnsi="Garamond" w:cs="Times New Roman"/>
          <w:sz w:val="24"/>
          <w:szCs w:val="24"/>
          <w:lang w:eastAsia="es-EC"/>
        </w:rPr>
      </w:pPr>
    </w:p>
    <w:p w:rsidR="0091192B" w:rsidRDefault="0091192B" w:rsidP="0091192B">
      <w:pPr>
        <w:spacing w:after="240" w:line="240" w:lineRule="auto"/>
        <w:jc w:val="both"/>
        <w:rPr>
          <w:rFonts w:ascii="Garamond" w:eastAsia="Times New Roman" w:hAnsi="Garamond" w:cs="Times New Roman"/>
          <w:sz w:val="24"/>
          <w:szCs w:val="24"/>
          <w:lang w:eastAsia="es-EC"/>
        </w:rPr>
      </w:pPr>
    </w:p>
    <w:p w:rsidR="0091192B" w:rsidRPr="0091192B" w:rsidRDefault="0091192B" w:rsidP="0091192B">
      <w:pPr>
        <w:spacing w:after="24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center"/>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lastRenderedPageBreak/>
        <w:t>CONSIDERANDOS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 xml:space="preserve">Que, </w:t>
      </w:r>
      <w:r w:rsidRPr="0091192B">
        <w:rPr>
          <w:rFonts w:ascii="Garamond" w:eastAsia="Times New Roman" w:hAnsi="Garamond" w:cs="Arial"/>
          <w:color w:val="000000"/>
          <w:sz w:val="24"/>
          <w:szCs w:val="24"/>
          <w:lang w:eastAsia="es-EC"/>
        </w:rPr>
        <w:t>la Constitución de la República establece en su artículo 227 que l</w:t>
      </w:r>
      <w:r w:rsidRPr="0091192B">
        <w:rPr>
          <w:rFonts w:ascii="Garamond" w:eastAsia="Times New Roman" w:hAnsi="Garamond" w:cs="Arial"/>
          <w:color w:val="000000"/>
          <w:sz w:val="24"/>
          <w:szCs w:val="24"/>
          <w:shd w:val="clear" w:color="auto" w:fill="FFFFFF"/>
          <w:lang w:eastAsia="es-EC"/>
        </w:rPr>
        <w:t>a administración pública constituye un servicio a la colectividad que se rige por los principios de eficacia, eficiencia, calidad, jerarquía, desconcentración, descentralización, coordinación, participación, planificación, transparencia y evaluación;</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primer inciso del artículo 238 de la Constitución determina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 xml:space="preserve">en el artículo 278 del Código Orgánico de Organización Territorial, Autonomía y Descentralización (en adelante COOTAD), se inscribe </w:t>
      </w:r>
      <w:proofErr w:type="gramStart"/>
      <w:r w:rsidRPr="0091192B">
        <w:rPr>
          <w:rFonts w:ascii="Garamond" w:eastAsia="Times New Roman" w:hAnsi="Garamond" w:cs="Arial"/>
          <w:color w:val="000000"/>
          <w:sz w:val="24"/>
          <w:szCs w:val="24"/>
          <w:shd w:val="clear" w:color="auto" w:fill="FFFFFF"/>
          <w:lang w:eastAsia="es-EC"/>
        </w:rPr>
        <w:t>que</w:t>
      </w:r>
      <w:proofErr w:type="gramEnd"/>
      <w:r w:rsidRPr="0091192B">
        <w:rPr>
          <w:rFonts w:ascii="Garamond" w:eastAsia="Times New Roman" w:hAnsi="Garamond" w:cs="Arial"/>
          <w:color w:val="000000"/>
          <w:sz w:val="24"/>
          <w:szCs w:val="24"/>
          <w:shd w:val="clear" w:color="auto" w:fill="FFFFFF"/>
          <w:lang w:eastAsia="es-EC"/>
        </w:rPr>
        <w:t xml:space="preserve"> para la adquisición o arrendamiento de bienes, ejecución de obras y prestación de servicios, incluidos los de consultoría, los gobiernos autónomos descentralizados observarán las disposiciones, principios, herramientas e instrumentos previstos en la Ley que regule la contratación pública;</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COOTAD en el artículo 416 se establece que son bienes de dominio público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 Sin embargo, los bienes a los que se refiere el inciso anterior podrán ser entregados como aporte de capital del gobierno autónomo descentralizado para la constitución de empresas públicas o mixtas o para aumentos de capital en las mismas, siempre que el objetivo sea la prestación de servicios públicos, dentro del ámbito de sus competencias;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COOTAD en el artículo</w:t>
      </w:r>
      <w:r w:rsidRPr="0091192B">
        <w:rPr>
          <w:rFonts w:ascii="Garamond" w:eastAsia="Times New Roman" w:hAnsi="Garamond" w:cs="Arial"/>
          <w:b/>
          <w:bCs/>
          <w:color w:val="000000"/>
          <w:sz w:val="24"/>
          <w:szCs w:val="24"/>
          <w:shd w:val="clear" w:color="auto" w:fill="FFFFFF"/>
          <w:lang w:eastAsia="es-EC"/>
        </w:rPr>
        <w:t xml:space="preserve"> </w:t>
      </w:r>
      <w:r w:rsidRPr="0091192B">
        <w:rPr>
          <w:rFonts w:ascii="Garamond" w:eastAsia="Times New Roman" w:hAnsi="Garamond" w:cs="Arial"/>
          <w:color w:val="000000"/>
          <w:sz w:val="24"/>
          <w:szCs w:val="24"/>
          <w:shd w:val="clear" w:color="auto" w:fill="FFFFFF"/>
          <w:lang w:eastAsia="es-EC"/>
        </w:rPr>
        <w:t>417 señala que son bienes de uso público aquellos cuyo uso por los particulares es directo y general, en forma gratuita. Sin embargo, podrán también ser materia de utilización exclusiva y temporal, mediante el pago de una regalía;</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COOTAD en el artículo 418 establece que son bienes afectados al servicio público aquellos que se han adscrito administrativamente a un servicio público de competencia del gobierno autónomo descentralizado o que se han adquirido o construido para tal efecto. Estos bienes, en cuanto tengan precio o sean susceptibles de avalúo, figurarán en el activo del balance del gobierno autónomo descentralizado o de la respectiva empresa responsable del servicio;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COOTAD en el artículo 419 determina que son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COOTAD en el artículo 434 señala que los bienes afectados al servicio público sólo se emplearán para esta finalidad; de su guarda y conservación responderán los organismos o funcionarios que tengan a su cargo esos servicios;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 xml:space="preserve">el COOTAD en el artículo 435 establece que los bienes del dominio privado </w:t>
      </w:r>
      <w:proofErr w:type="spellStart"/>
      <w:r w:rsidRPr="0091192B">
        <w:rPr>
          <w:rFonts w:ascii="Garamond" w:eastAsia="Times New Roman" w:hAnsi="Garamond" w:cs="Arial"/>
          <w:color w:val="000000"/>
          <w:sz w:val="24"/>
          <w:szCs w:val="24"/>
          <w:shd w:val="clear" w:color="auto" w:fill="FFFFFF"/>
          <w:lang w:eastAsia="es-EC"/>
        </w:rPr>
        <w:t>deberán</w:t>
      </w:r>
      <w:proofErr w:type="spellEnd"/>
      <w:r w:rsidRPr="0091192B">
        <w:rPr>
          <w:rFonts w:ascii="Garamond" w:eastAsia="Times New Roman" w:hAnsi="Garamond" w:cs="Arial"/>
          <w:color w:val="000000"/>
          <w:sz w:val="24"/>
          <w:szCs w:val="24"/>
          <w:shd w:val="clear" w:color="auto" w:fill="FFFFFF"/>
          <w:lang w:eastAsia="es-EC"/>
        </w:rPr>
        <w:t xml:space="preserve"> administrarse con criterio de eficiencia y rentabilidad para obtener el </w:t>
      </w:r>
      <w:proofErr w:type="spellStart"/>
      <w:r w:rsidRPr="0091192B">
        <w:rPr>
          <w:rFonts w:ascii="Garamond" w:eastAsia="Times New Roman" w:hAnsi="Garamond" w:cs="Arial"/>
          <w:color w:val="000000"/>
          <w:sz w:val="24"/>
          <w:szCs w:val="24"/>
          <w:shd w:val="clear" w:color="auto" w:fill="FFFFFF"/>
          <w:lang w:eastAsia="es-EC"/>
        </w:rPr>
        <w:t>máximo</w:t>
      </w:r>
      <w:proofErr w:type="spellEnd"/>
      <w:r w:rsidRPr="0091192B">
        <w:rPr>
          <w:rFonts w:ascii="Garamond" w:eastAsia="Times New Roman" w:hAnsi="Garamond" w:cs="Arial"/>
          <w:color w:val="000000"/>
          <w:sz w:val="24"/>
          <w:szCs w:val="24"/>
          <w:shd w:val="clear" w:color="auto" w:fill="FFFFFF"/>
          <w:lang w:eastAsia="es-EC"/>
        </w:rPr>
        <w:t xml:space="preserve"> rendimiento financiero compatible con el </w:t>
      </w:r>
      <w:proofErr w:type="spellStart"/>
      <w:r w:rsidRPr="0091192B">
        <w:rPr>
          <w:rFonts w:ascii="Garamond" w:eastAsia="Times New Roman" w:hAnsi="Garamond" w:cs="Arial"/>
          <w:color w:val="000000"/>
          <w:sz w:val="24"/>
          <w:szCs w:val="24"/>
          <w:shd w:val="clear" w:color="auto" w:fill="FFFFFF"/>
          <w:lang w:eastAsia="es-EC"/>
        </w:rPr>
        <w:t>carácter</w:t>
      </w:r>
      <w:proofErr w:type="spellEnd"/>
      <w:r w:rsidRPr="0091192B">
        <w:rPr>
          <w:rFonts w:ascii="Garamond" w:eastAsia="Times New Roman" w:hAnsi="Garamond" w:cs="Arial"/>
          <w:color w:val="000000"/>
          <w:sz w:val="24"/>
          <w:szCs w:val="24"/>
          <w:shd w:val="clear" w:color="auto" w:fill="FFFFFF"/>
          <w:lang w:eastAsia="es-EC"/>
        </w:rPr>
        <w:t xml:space="preserve"> </w:t>
      </w:r>
      <w:proofErr w:type="spellStart"/>
      <w:r w:rsidRPr="0091192B">
        <w:rPr>
          <w:rFonts w:ascii="Garamond" w:eastAsia="Times New Roman" w:hAnsi="Garamond" w:cs="Arial"/>
          <w:color w:val="000000"/>
          <w:sz w:val="24"/>
          <w:szCs w:val="24"/>
          <w:shd w:val="clear" w:color="auto" w:fill="FFFFFF"/>
          <w:lang w:eastAsia="es-EC"/>
        </w:rPr>
        <w:t>público</w:t>
      </w:r>
      <w:proofErr w:type="spellEnd"/>
      <w:r w:rsidRPr="0091192B">
        <w:rPr>
          <w:rFonts w:ascii="Garamond" w:eastAsia="Times New Roman" w:hAnsi="Garamond" w:cs="Arial"/>
          <w:color w:val="000000"/>
          <w:sz w:val="24"/>
          <w:szCs w:val="24"/>
          <w:shd w:val="clear" w:color="auto" w:fill="FFFFFF"/>
          <w:lang w:eastAsia="es-EC"/>
        </w:rPr>
        <w:t xml:space="preserve"> de los gobiernos </w:t>
      </w:r>
      <w:proofErr w:type="spellStart"/>
      <w:r w:rsidRPr="0091192B">
        <w:rPr>
          <w:rFonts w:ascii="Garamond" w:eastAsia="Times New Roman" w:hAnsi="Garamond" w:cs="Arial"/>
          <w:color w:val="000000"/>
          <w:sz w:val="24"/>
          <w:szCs w:val="24"/>
          <w:shd w:val="clear" w:color="auto" w:fill="FFFFFF"/>
          <w:lang w:eastAsia="es-EC"/>
        </w:rPr>
        <w:t>autónomos</w:t>
      </w:r>
      <w:proofErr w:type="spellEnd"/>
      <w:r w:rsidRPr="0091192B">
        <w:rPr>
          <w:rFonts w:ascii="Garamond" w:eastAsia="Times New Roman" w:hAnsi="Garamond" w:cs="Arial"/>
          <w:color w:val="000000"/>
          <w:sz w:val="24"/>
          <w:szCs w:val="24"/>
          <w:shd w:val="clear" w:color="auto" w:fill="FFFFFF"/>
          <w:lang w:eastAsia="es-EC"/>
        </w:rPr>
        <w:t xml:space="preserve"> descentralizados y con sus fines;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el COOTAD en el tercer inciso del artículo 460 establece que los contratos de arrendamiento en los que el gobierno autónomo descentralizado respectivo sea arrendador, se considerarán contratos administrativos, excepto los destinados para vivienda con carácter social;</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Arial"/>
          <w:color w:val="000000"/>
          <w:sz w:val="24"/>
          <w:szCs w:val="24"/>
          <w:shd w:val="clear" w:color="auto" w:fill="FFFFFF"/>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la Ley de Inquilinato determina en su artículo 17 indica que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solo una parte del predio, la pensión se fijará proporcionalmente a dicha parte.- Para fijar la pensión mensual de arrendamiento, se tendrá en cuenta el estado, condición y ubicación del inmueble y los requisitos exigidos en el Art. 3.;</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la Ley de Inquilinato establece en su artículo 16 que</w:t>
      </w:r>
      <w:r>
        <w:rPr>
          <w:rFonts w:ascii="Garamond" w:eastAsia="Times New Roman" w:hAnsi="Garamond" w:cs="Arial"/>
          <w:color w:val="000000"/>
          <w:sz w:val="24"/>
          <w:szCs w:val="24"/>
          <w:shd w:val="clear" w:color="auto" w:fill="FFFFFF"/>
          <w:lang w:eastAsia="es-EC"/>
        </w:rPr>
        <w:t>,</w:t>
      </w:r>
      <w:r w:rsidRPr="0091192B">
        <w:rPr>
          <w:rFonts w:ascii="Garamond" w:eastAsia="Times New Roman" w:hAnsi="Garamond" w:cs="Arial"/>
          <w:color w:val="000000"/>
          <w:sz w:val="24"/>
          <w:szCs w:val="24"/>
          <w:shd w:val="clear" w:color="auto" w:fill="FFFFFF"/>
          <w:lang w:eastAsia="es-EC"/>
        </w:rPr>
        <w:t xml:space="preserve"> en ningún caso, las instituciones a las que se refiere el artículo precedente podrán cobrar en concepto de cánones de arrendamiento por sus inmuebles, valores superiores a los límites legales;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Que</w:t>
      </w:r>
      <w:r w:rsidRPr="0091192B">
        <w:rPr>
          <w:rFonts w:ascii="Garamond" w:eastAsia="Times New Roman" w:hAnsi="Garamond" w:cs="Arial"/>
          <w:color w:val="000000"/>
          <w:sz w:val="24"/>
          <w:szCs w:val="24"/>
          <w:shd w:val="clear" w:color="auto" w:fill="FFFFFF"/>
          <w:lang w:eastAsia="es-EC"/>
        </w:rPr>
        <w:t>, en el artículo IV.6.48 del Código Municipal determina que son bienes de propiedad del Municipio del Distrito Metropolitano de Quito (en adelante MDMQ), todos aquellos sobre los cuales el Municipio ejerce dominio;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 xml:space="preserve">Que, </w:t>
      </w:r>
      <w:r w:rsidRPr="0091192B">
        <w:rPr>
          <w:rFonts w:ascii="Garamond" w:eastAsia="Times New Roman" w:hAnsi="Garamond" w:cs="Arial"/>
          <w:color w:val="000000"/>
          <w:sz w:val="24"/>
          <w:szCs w:val="24"/>
          <w:shd w:val="clear" w:color="auto" w:fill="FFFFFF"/>
          <w:lang w:eastAsia="es-EC"/>
        </w:rPr>
        <w:t>en el Capítulo IV del Código Municipal se desarrolla el procedimiento y los mecanismos a través de los cuales se realiza el arrendamiento de bienes de propiedad del MDMQ;</w:t>
      </w:r>
    </w:p>
    <w:p w:rsidR="0091192B" w:rsidRPr="0091192B" w:rsidRDefault="0091192B" w:rsidP="0091192B">
      <w:pPr>
        <w:spacing w:after="24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shd w:val="clear" w:color="auto" w:fill="FFFFFF"/>
          <w:lang w:eastAsia="es-EC"/>
        </w:rPr>
        <w:t xml:space="preserve">En ejercicio de las atribuciones que le confiere los </w:t>
      </w:r>
      <w:proofErr w:type="spellStart"/>
      <w:r w:rsidRPr="0091192B">
        <w:rPr>
          <w:rFonts w:ascii="Garamond" w:eastAsia="Times New Roman" w:hAnsi="Garamond" w:cs="Arial"/>
          <w:color w:val="000000"/>
          <w:sz w:val="24"/>
          <w:szCs w:val="24"/>
          <w:shd w:val="clear" w:color="auto" w:fill="FFFFFF"/>
          <w:lang w:eastAsia="es-EC"/>
        </w:rPr>
        <w:t>artículos</w:t>
      </w:r>
      <w:proofErr w:type="spellEnd"/>
      <w:r w:rsidRPr="0091192B">
        <w:rPr>
          <w:rFonts w:ascii="Garamond" w:eastAsia="Times New Roman" w:hAnsi="Garamond" w:cs="Arial"/>
          <w:color w:val="000000"/>
          <w:sz w:val="24"/>
          <w:szCs w:val="24"/>
          <w:shd w:val="clear" w:color="auto" w:fill="FFFFFF"/>
          <w:lang w:eastAsia="es-EC"/>
        </w:rPr>
        <w:t xml:space="preserve"> 87, literal a) del </w:t>
      </w:r>
      <w:proofErr w:type="spellStart"/>
      <w:r w:rsidRPr="0091192B">
        <w:rPr>
          <w:rFonts w:ascii="Garamond" w:eastAsia="Times New Roman" w:hAnsi="Garamond" w:cs="Arial"/>
          <w:color w:val="000000"/>
          <w:sz w:val="24"/>
          <w:szCs w:val="24"/>
          <w:shd w:val="clear" w:color="auto" w:fill="FFFFFF"/>
          <w:lang w:eastAsia="es-EC"/>
        </w:rPr>
        <w:t>Código</w:t>
      </w:r>
      <w:proofErr w:type="spellEnd"/>
      <w:r w:rsidRPr="0091192B">
        <w:rPr>
          <w:rFonts w:ascii="Garamond" w:eastAsia="Times New Roman" w:hAnsi="Garamond" w:cs="Arial"/>
          <w:color w:val="000000"/>
          <w:sz w:val="24"/>
          <w:szCs w:val="24"/>
          <w:shd w:val="clear" w:color="auto" w:fill="FFFFFF"/>
          <w:lang w:eastAsia="es-EC"/>
        </w:rPr>
        <w:t xml:space="preserve"> </w:t>
      </w:r>
      <w:proofErr w:type="spellStart"/>
      <w:r w:rsidRPr="0091192B">
        <w:rPr>
          <w:rFonts w:ascii="Garamond" w:eastAsia="Times New Roman" w:hAnsi="Garamond" w:cs="Arial"/>
          <w:color w:val="000000"/>
          <w:sz w:val="24"/>
          <w:szCs w:val="24"/>
          <w:shd w:val="clear" w:color="auto" w:fill="FFFFFF"/>
          <w:lang w:eastAsia="es-EC"/>
        </w:rPr>
        <w:t>Orgánico</w:t>
      </w:r>
      <w:proofErr w:type="spellEnd"/>
      <w:r w:rsidRPr="0091192B">
        <w:rPr>
          <w:rFonts w:ascii="Garamond" w:eastAsia="Times New Roman" w:hAnsi="Garamond" w:cs="Arial"/>
          <w:color w:val="000000"/>
          <w:sz w:val="24"/>
          <w:szCs w:val="24"/>
          <w:shd w:val="clear" w:color="auto" w:fill="FFFFFF"/>
          <w:lang w:eastAsia="es-EC"/>
        </w:rPr>
        <w:t xml:space="preserve"> de </w:t>
      </w:r>
      <w:proofErr w:type="spellStart"/>
      <w:r w:rsidRPr="0091192B">
        <w:rPr>
          <w:rFonts w:ascii="Garamond" w:eastAsia="Times New Roman" w:hAnsi="Garamond" w:cs="Arial"/>
          <w:color w:val="000000"/>
          <w:sz w:val="24"/>
          <w:szCs w:val="24"/>
          <w:shd w:val="clear" w:color="auto" w:fill="FFFFFF"/>
          <w:lang w:eastAsia="es-EC"/>
        </w:rPr>
        <w:t>Organización</w:t>
      </w:r>
      <w:proofErr w:type="spellEnd"/>
      <w:r w:rsidRPr="0091192B">
        <w:rPr>
          <w:rFonts w:ascii="Garamond" w:eastAsia="Times New Roman" w:hAnsi="Garamond" w:cs="Arial"/>
          <w:color w:val="000000"/>
          <w:sz w:val="24"/>
          <w:szCs w:val="24"/>
          <w:shd w:val="clear" w:color="auto" w:fill="FFFFFF"/>
          <w:lang w:eastAsia="es-EC"/>
        </w:rPr>
        <w:t xml:space="preserve"> Territorial, </w:t>
      </w:r>
      <w:proofErr w:type="spellStart"/>
      <w:r w:rsidRPr="0091192B">
        <w:rPr>
          <w:rFonts w:ascii="Garamond" w:eastAsia="Times New Roman" w:hAnsi="Garamond" w:cs="Arial"/>
          <w:color w:val="000000"/>
          <w:sz w:val="24"/>
          <w:szCs w:val="24"/>
          <w:shd w:val="clear" w:color="auto" w:fill="FFFFFF"/>
          <w:lang w:eastAsia="es-EC"/>
        </w:rPr>
        <w:t>Autonomía</w:t>
      </w:r>
      <w:proofErr w:type="spellEnd"/>
      <w:r w:rsidRPr="0091192B">
        <w:rPr>
          <w:rFonts w:ascii="Garamond" w:eastAsia="Times New Roman" w:hAnsi="Garamond" w:cs="Arial"/>
          <w:color w:val="000000"/>
          <w:sz w:val="24"/>
          <w:szCs w:val="24"/>
          <w:shd w:val="clear" w:color="auto" w:fill="FFFFFF"/>
          <w:lang w:eastAsia="es-EC"/>
        </w:rPr>
        <w:t xml:space="preserve"> y </w:t>
      </w:r>
      <w:proofErr w:type="spellStart"/>
      <w:r w:rsidRPr="0091192B">
        <w:rPr>
          <w:rFonts w:ascii="Garamond" w:eastAsia="Times New Roman" w:hAnsi="Garamond" w:cs="Arial"/>
          <w:color w:val="000000"/>
          <w:sz w:val="24"/>
          <w:szCs w:val="24"/>
          <w:shd w:val="clear" w:color="auto" w:fill="FFFFFF"/>
          <w:lang w:eastAsia="es-EC"/>
        </w:rPr>
        <w:t>Descentralización</w:t>
      </w:r>
      <w:proofErr w:type="spellEnd"/>
      <w:r w:rsidRPr="0091192B">
        <w:rPr>
          <w:rFonts w:ascii="Garamond" w:eastAsia="Times New Roman" w:hAnsi="Garamond" w:cs="Arial"/>
          <w:color w:val="000000"/>
          <w:sz w:val="24"/>
          <w:szCs w:val="24"/>
          <w:shd w:val="clear" w:color="auto" w:fill="FFFFFF"/>
          <w:lang w:eastAsia="es-EC"/>
        </w:rPr>
        <w:t xml:space="preserve">; y, 8 de la Ley de </w:t>
      </w:r>
      <w:proofErr w:type="spellStart"/>
      <w:r w:rsidRPr="0091192B">
        <w:rPr>
          <w:rFonts w:ascii="Garamond" w:eastAsia="Times New Roman" w:hAnsi="Garamond" w:cs="Arial"/>
          <w:color w:val="000000"/>
          <w:sz w:val="24"/>
          <w:szCs w:val="24"/>
          <w:shd w:val="clear" w:color="auto" w:fill="FFFFFF"/>
          <w:lang w:eastAsia="es-EC"/>
        </w:rPr>
        <w:t>Orgánica</w:t>
      </w:r>
      <w:proofErr w:type="spellEnd"/>
      <w:r w:rsidRPr="0091192B">
        <w:rPr>
          <w:rFonts w:ascii="Garamond" w:eastAsia="Times New Roman" w:hAnsi="Garamond" w:cs="Arial"/>
          <w:color w:val="000000"/>
          <w:sz w:val="24"/>
          <w:szCs w:val="24"/>
          <w:shd w:val="clear" w:color="auto" w:fill="FFFFFF"/>
          <w:lang w:eastAsia="es-EC"/>
        </w:rPr>
        <w:t xml:space="preserve"> de </w:t>
      </w:r>
      <w:proofErr w:type="spellStart"/>
      <w:r w:rsidRPr="0091192B">
        <w:rPr>
          <w:rFonts w:ascii="Garamond" w:eastAsia="Times New Roman" w:hAnsi="Garamond" w:cs="Arial"/>
          <w:color w:val="000000"/>
          <w:sz w:val="24"/>
          <w:szCs w:val="24"/>
          <w:shd w:val="clear" w:color="auto" w:fill="FFFFFF"/>
          <w:lang w:eastAsia="es-EC"/>
        </w:rPr>
        <w:t>Régimen</w:t>
      </w:r>
      <w:proofErr w:type="spellEnd"/>
      <w:r w:rsidRPr="0091192B">
        <w:rPr>
          <w:rFonts w:ascii="Garamond" w:eastAsia="Times New Roman" w:hAnsi="Garamond" w:cs="Arial"/>
          <w:color w:val="000000"/>
          <w:sz w:val="24"/>
          <w:szCs w:val="24"/>
          <w:shd w:val="clear" w:color="auto" w:fill="FFFFFF"/>
          <w:lang w:eastAsia="es-EC"/>
        </w:rPr>
        <w:t xml:space="preserve"> para el Distrito Metropolitano de Quito,</w:t>
      </w:r>
    </w:p>
    <w:p w:rsidR="0091192B" w:rsidRPr="0091192B" w:rsidRDefault="0091192B" w:rsidP="0091192B">
      <w:pPr>
        <w:spacing w:after="240" w:line="240" w:lineRule="auto"/>
        <w:jc w:val="center"/>
        <w:rPr>
          <w:rFonts w:ascii="Garamond" w:eastAsia="Times New Roman" w:hAnsi="Garamond" w:cs="Times New Roman"/>
          <w:sz w:val="24"/>
          <w:szCs w:val="24"/>
          <w:lang w:eastAsia="es-EC"/>
        </w:rPr>
      </w:pPr>
    </w:p>
    <w:p w:rsidR="0091192B" w:rsidRPr="0091192B" w:rsidRDefault="0091192B" w:rsidP="0091192B">
      <w:pPr>
        <w:spacing w:after="0" w:line="240" w:lineRule="auto"/>
        <w:jc w:val="center"/>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EXPIDE LA SIGUIENTE:</w:t>
      </w:r>
    </w:p>
    <w:p w:rsidR="0091192B" w:rsidRPr="0091192B" w:rsidRDefault="0091192B" w:rsidP="0091192B">
      <w:pPr>
        <w:spacing w:after="0" w:line="240" w:lineRule="auto"/>
        <w:jc w:val="center"/>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ORDENANZA METROPOLITANA REFORMATORIA A LA ORDENANZA METROPOLITANA NO. 001, DEL ARRIENDO DE INMUEBLES MUNICIPALES DEL MUNICIPIO DEL DISTRITO METROPOLITANO DE QUITO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shd w:val="clear" w:color="auto" w:fill="FFFFFF"/>
          <w:lang w:eastAsia="es-EC"/>
        </w:rPr>
        <w:t>Articulo 1.-</w:t>
      </w:r>
      <w:r w:rsidRPr="0091192B">
        <w:rPr>
          <w:rFonts w:ascii="Garamond" w:eastAsia="Times New Roman" w:hAnsi="Garamond" w:cs="Arial"/>
          <w:color w:val="000000"/>
          <w:sz w:val="24"/>
          <w:szCs w:val="24"/>
          <w:shd w:val="clear" w:color="auto" w:fill="FFFFFF"/>
          <w:lang w:eastAsia="es-EC"/>
        </w:rPr>
        <w:t xml:space="preserve"> Refórmese el Capítulo IV del Libro IV.6 de la Ordenanza Metropolitana No. 001, sancionada el 29 de marzo de 2019, por el siguiente texto: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8C66E0" w:rsidRDefault="008C66E0" w:rsidP="0091192B">
      <w:pPr>
        <w:spacing w:after="0" w:line="240" w:lineRule="auto"/>
        <w:jc w:val="both"/>
        <w:rPr>
          <w:rFonts w:ascii="Garamond" w:eastAsia="Times New Roman" w:hAnsi="Garamond" w:cs="Arial"/>
          <w:b/>
          <w:bCs/>
          <w:color w:val="000000"/>
          <w:sz w:val="24"/>
          <w:szCs w:val="24"/>
          <w:lang w:eastAsia="es-EC"/>
        </w:rPr>
      </w:pPr>
    </w:p>
    <w:p w:rsidR="008C66E0" w:rsidRDefault="008C66E0" w:rsidP="0091192B">
      <w:pPr>
        <w:spacing w:after="0" w:line="240" w:lineRule="auto"/>
        <w:jc w:val="both"/>
        <w:rPr>
          <w:rFonts w:ascii="Garamond" w:eastAsia="Times New Roman" w:hAnsi="Garamond" w:cs="Arial"/>
          <w:b/>
          <w:bCs/>
          <w:color w:val="000000"/>
          <w:sz w:val="24"/>
          <w:szCs w:val="24"/>
          <w:lang w:eastAsia="es-EC"/>
        </w:rPr>
      </w:pPr>
    </w:p>
    <w:p w:rsidR="008C66E0" w:rsidRDefault="008C66E0" w:rsidP="0091192B">
      <w:pPr>
        <w:spacing w:after="0" w:line="240" w:lineRule="auto"/>
        <w:jc w:val="both"/>
        <w:rPr>
          <w:rFonts w:ascii="Garamond" w:eastAsia="Times New Roman" w:hAnsi="Garamond" w:cs="Arial"/>
          <w:b/>
          <w:bCs/>
          <w:color w:val="000000"/>
          <w:sz w:val="24"/>
          <w:szCs w:val="24"/>
          <w:lang w:eastAsia="es-EC"/>
        </w:rPr>
      </w:pPr>
    </w:p>
    <w:p w:rsidR="008C66E0" w:rsidRDefault="008C66E0" w:rsidP="0091192B">
      <w:pPr>
        <w:spacing w:after="0" w:line="240" w:lineRule="auto"/>
        <w:jc w:val="both"/>
        <w:rPr>
          <w:rFonts w:ascii="Garamond" w:eastAsia="Times New Roman" w:hAnsi="Garamond" w:cs="Arial"/>
          <w:b/>
          <w:bCs/>
          <w:color w:val="000000"/>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lastRenderedPageBreak/>
        <w:t>Capítulo IV</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DEL ARRENDAMIENTO, EXPLOTACIÓN Y USO DE BIENES INMUEBLES DE PROPIEDAD MUNICIPAL DEL ARRENDAMIENTO DE INMUEBLES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Pr>
          <w:rFonts w:ascii="Garamond" w:eastAsia="Times New Roman" w:hAnsi="Garamond" w:cs="Arial"/>
          <w:b/>
          <w:bCs/>
          <w:color w:val="000000"/>
          <w:sz w:val="24"/>
          <w:szCs w:val="24"/>
          <w:lang w:eastAsia="es-EC"/>
        </w:rPr>
        <w:t>Art. IV.6.48</w:t>
      </w:r>
      <w:r w:rsidRPr="0091192B">
        <w:rPr>
          <w:rFonts w:ascii="Garamond" w:eastAsia="Times New Roman" w:hAnsi="Garamond" w:cs="Arial"/>
          <w:b/>
          <w:bCs/>
          <w:color w:val="000000"/>
          <w:sz w:val="24"/>
          <w:szCs w:val="24"/>
          <w:lang w:eastAsia="es-EC"/>
        </w:rPr>
        <w:t xml:space="preserve">.- Bienes de propiedad del </w:t>
      </w:r>
      <w:proofErr w:type="gramStart"/>
      <w:r w:rsidRPr="0091192B">
        <w:rPr>
          <w:rFonts w:ascii="Garamond" w:eastAsia="Times New Roman" w:hAnsi="Garamond" w:cs="Arial"/>
          <w:b/>
          <w:bCs/>
          <w:color w:val="000000"/>
          <w:sz w:val="24"/>
          <w:szCs w:val="24"/>
          <w:lang w:eastAsia="es-EC"/>
        </w:rPr>
        <w:t>Municipio.-</w:t>
      </w:r>
      <w:proofErr w:type="gramEnd"/>
      <w:r w:rsidRPr="0091192B">
        <w:rPr>
          <w:rFonts w:ascii="Garamond" w:eastAsia="Times New Roman" w:hAnsi="Garamond" w:cs="Arial"/>
          <w:b/>
          <w:bCs/>
          <w:color w:val="000000"/>
          <w:sz w:val="24"/>
          <w:szCs w:val="24"/>
          <w:lang w:eastAsia="es-EC"/>
        </w:rPr>
        <w:t xml:space="preserve"> </w:t>
      </w:r>
      <w:r w:rsidRPr="0091192B">
        <w:rPr>
          <w:rFonts w:ascii="Garamond" w:eastAsia="Times New Roman" w:hAnsi="Garamond" w:cs="Arial"/>
          <w:color w:val="000000"/>
          <w:sz w:val="24"/>
          <w:szCs w:val="24"/>
          <w:lang w:eastAsia="es-EC"/>
        </w:rPr>
        <w:t>Para la aplicación de las normas de esta Sección, se consideran bienes de propiedad de</w:t>
      </w:r>
      <w:bookmarkStart w:id="0" w:name="_GoBack"/>
      <w:bookmarkEnd w:id="0"/>
      <w:r w:rsidRPr="0091192B">
        <w:rPr>
          <w:rFonts w:ascii="Garamond" w:eastAsia="Times New Roman" w:hAnsi="Garamond" w:cs="Arial"/>
          <w:color w:val="000000"/>
          <w:sz w:val="24"/>
          <w:szCs w:val="24"/>
          <w:lang w:eastAsia="es-EC"/>
        </w:rPr>
        <w:t>l Municipio del Distrito Metropolitano de Quito, todos aquellos sobre los cuales el Municipio ejerce dominio.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 xml:space="preserve">Art. IV.6.49.- Del arrendamiento, explotación y uso de bienes </w:t>
      </w:r>
      <w:proofErr w:type="gramStart"/>
      <w:r w:rsidRPr="0091192B">
        <w:rPr>
          <w:rFonts w:ascii="Garamond" w:eastAsia="Times New Roman" w:hAnsi="Garamond" w:cs="Arial"/>
          <w:b/>
          <w:bCs/>
          <w:color w:val="000000"/>
          <w:sz w:val="24"/>
          <w:szCs w:val="24"/>
          <w:lang w:eastAsia="es-EC"/>
        </w:rPr>
        <w:t>municipales.-</w:t>
      </w:r>
      <w:proofErr w:type="gramEnd"/>
      <w:r w:rsidRPr="0091192B">
        <w:rPr>
          <w:rFonts w:ascii="Garamond" w:eastAsia="Times New Roman" w:hAnsi="Garamond" w:cs="Arial"/>
          <w:b/>
          <w:bCs/>
          <w:color w:val="000000"/>
          <w:sz w:val="24"/>
          <w:szCs w:val="24"/>
          <w:lang w:eastAsia="es-EC"/>
        </w:rPr>
        <w:t xml:space="preserve"> </w:t>
      </w:r>
      <w:r w:rsidRPr="0091192B">
        <w:rPr>
          <w:rFonts w:ascii="Garamond" w:eastAsia="Times New Roman" w:hAnsi="Garamond" w:cs="Arial"/>
          <w:color w:val="000000"/>
          <w:sz w:val="24"/>
          <w:szCs w:val="24"/>
          <w:lang w:eastAsia="es-EC"/>
        </w:rPr>
        <w:t>Los bienes municipales se dividen en bienes de dominio privado y bienes de dominio público, estos últimos se subdividen, a su vez, en bienes de uso público y bienes afectados al servicio público. El arrendamiento, explotación y uso de bienes municipales se aplicará de conformidad con las normas de este Código Municipal y las disposiciones establecidas en el Manual de arrendamiento y política de uso y explotación de los inmuebles de propiedad municipal expedido para el efecto.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 xml:space="preserve">Art. IV.6.50.- Del Manual de arrendamiento y política de uso y explotación de los inmuebles de propiedad municipal.- </w:t>
      </w:r>
      <w:r w:rsidRPr="0091192B">
        <w:rPr>
          <w:rFonts w:ascii="Garamond" w:eastAsia="Times New Roman" w:hAnsi="Garamond" w:cs="Arial"/>
          <w:color w:val="000000"/>
          <w:sz w:val="24"/>
          <w:szCs w:val="24"/>
          <w:lang w:eastAsia="es-EC"/>
        </w:rPr>
        <w:t>La Dirección Metropolitana de Gestión de Bienes Inmuebles expedirá un Manual de arrendamiento y política de uso y explotación de los inmuebles de propiedad municipal (en adelante Manual de arrendamiento) a través del que se determinará la política arrendaticia del Municipio, los procedimientos de cálculo de cánones de arrendamiento que permitan garantizar el máximo de rendimiento financiero, la metodología de evaluación de eficiencia y rentabilidad, las garantías, los plazos, las excepciones que pudiesen existir para la explotación de los bienes inmuebles de propiedad municipal y demás cláusulas aplicables a los contratos de arrendamiento aplicables de conformidad con la normativa vigente aplicable, con el fin de garantizar el buen uso de los recursos públicos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El Manual de arrendamiento deberá ser revisado cada dos años y podrá ser modificado vía resolución administrativa expedida por parte de la Dirección Metropolitana de Gestión de Bienes Inmuebles.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Art. IV.6.51.- Arrendamiento de bienes de dominio privado.-</w:t>
      </w:r>
      <w:r w:rsidRPr="0091192B">
        <w:rPr>
          <w:rFonts w:ascii="Garamond" w:eastAsia="Times New Roman" w:hAnsi="Garamond" w:cs="Arial"/>
          <w:color w:val="000000"/>
          <w:sz w:val="24"/>
          <w:szCs w:val="24"/>
          <w:lang w:eastAsia="es-EC"/>
        </w:rPr>
        <w:t xml:space="preserve"> Para el arrendamiento de los bienes de dominio privado, se aplicará la disposición del artículo 435 del Código Orgánico de Organización Territorial Autonomía y Descentralización – COOTAD, debiendo administrarse con criterio de eficiencia y rentabilidad, para obtener el máximo de rendimiento financiero, de conformidad con los lineamientos definidos en el Manual de arrendamientos, y que sea compatible con el carácter público del Municipio y con sus fines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 xml:space="preserve">En caso de arrendamiento de la propiedad inmueble municipal en el que se incluyan bienes muebles, éstos deben ser valorados a precio de mercado y su canon de arrendamiento no puede ser menor que la depreciación, considerando la vida útil y el valor residual de los mismos. En estos casos se exigirá fianza adicional por el valor de los bienes muebles, mediante garantías de conformidad a lo que se establezca en cada contrato de </w:t>
      </w:r>
      <w:proofErr w:type="gramStart"/>
      <w:r w:rsidRPr="0091192B">
        <w:rPr>
          <w:rFonts w:ascii="Garamond" w:eastAsia="Times New Roman" w:hAnsi="Garamond" w:cs="Arial"/>
          <w:color w:val="000000"/>
          <w:sz w:val="24"/>
          <w:szCs w:val="24"/>
          <w:lang w:eastAsia="es-EC"/>
        </w:rPr>
        <w:t>arrendamiento..</w:t>
      </w:r>
      <w:proofErr w:type="gramEnd"/>
      <w:r w:rsidRPr="0091192B">
        <w:rPr>
          <w:rFonts w:ascii="Garamond" w:eastAsia="Times New Roman" w:hAnsi="Garamond" w:cs="Arial"/>
          <w:color w:val="000000"/>
          <w:sz w:val="24"/>
          <w:szCs w:val="24"/>
          <w:lang w:eastAsia="es-EC"/>
        </w:rPr>
        <w:t xml:space="preserve"> bancarias o pólizas de seguros incondicionales, irrevocables y de cobro inmediato.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De conformidad con el artículo 460 del Código Orgánico de Organización Territorial Autonomía y Descentralización – COOTAD, los contratos de arrendamiento en los que el municipio sea arrendador, se considerarán contratos administrativos, excepto los destinados para vivienda con carácter social.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lastRenderedPageBreak/>
        <w:t>El municipio promoverá la existencia de vivienda de carácter social para alquiler, aplicando programas integrales que contemplen asignaciones no reembolsables, financiamiento interno y externo, nacional e internacional y la aplicación de los instrumentos de gestión del suelo existentes en el ordenamiento jurídico. </w:t>
      </w:r>
    </w:p>
    <w:p w:rsid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Pr>
          <w:rFonts w:ascii="Garamond" w:eastAsia="Times New Roman" w:hAnsi="Garamond" w:cs="Times New Roman"/>
          <w:b/>
          <w:sz w:val="24"/>
          <w:szCs w:val="24"/>
          <w:lang w:eastAsia="es-EC"/>
        </w:rPr>
        <w:t xml:space="preserve">Art. Iv.6.52.- Arrendamiento de bienes de dominio público. - </w:t>
      </w:r>
      <w:r>
        <w:rPr>
          <w:rFonts w:ascii="Garamond" w:eastAsia="Times New Roman" w:hAnsi="Garamond" w:cs="Times New Roman"/>
          <w:sz w:val="24"/>
          <w:szCs w:val="24"/>
          <w:lang w:eastAsia="es-EC"/>
        </w:rPr>
        <w:t>Para el arrendamiento o utilización de los de uso público, se aplicará lo dispuesto en el artículo 416 del Código Orgánico de Organización Territorial. Autonomía y Descentralización - COOTAD</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Art. IV.6.53.- Uso y explotación de bienes de uso público. -</w:t>
      </w:r>
      <w:r w:rsidRPr="0091192B">
        <w:rPr>
          <w:rFonts w:ascii="Garamond" w:eastAsia="Times New Roman" w:hAnsi="Garamond" w:cs="Arial"/>
          <w:color w:val="000000"/>
          <w:sz w:val="24"/>
          <w:szCs w:val="24"/>
          <w:lang w:eastAsia="es-EC"/>
        </w:rPr>
        <w:t xml:space="preserve"> Para la utilización de los bienes de uso público se aplicará lo dispuesto en 417 del Código Orgánico de Organización Territorial Autonomía y Descentralización – COOTAD. </w:t>
      </w:r>
    </w:p>
    <w:p w:rsid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lang w:eastAsia="es-EC"/>
        </w:rPr>
      </w:pPr>
      <w:r>
        <w:rPr>
          <w:rFonts w:ascii="Garamond" w:eastAsia="Times New Roman" w:hAnsi="Garamond" w:cs="Times New Roman"/>
          <w:sz w:val="24"/>
          <w:szCs w:val="24"/>
          <w:lang w:eastAsia="es-EC"/>
        </w:rPr>
        <w:t xml:space="preserve">Estos bienes municipales podrán ser materia de utilización exclusiva y temporal mediante el pago de una regalía, cuya contraprestación podrá ser en dinero, especie u otro mecanismo de compensación afín a los intereses municipales, de conformidad a la resolución administrativa que para el efecto expida la Alcaldía Metropolitana o el órgano delegado por esta.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La regalía para la utilización exclusiva y temporal se fijará mediante un tarifario que será expedido por parte de la Dirección Metropolitana de Gestión de Bienes Inmuebles.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La custodia y administración de los bienes de uso público se determinará en función de las atribuciones asignadas a las administraciones zonales según su ubicación geográfica y, para el caso de parques metropolitanos, de las del ente encargado de la movilidad y obras públicas.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Art. IV.6.54.- Arrendamiento, uso y explotación de bienes afectados al servicio público. -</w:t>
      </w:r>
      <w:r w:rsidRPr="0091192B">
        <w:rPr>
          <w:rFonts w:ascii="Garamond" w:eastAsia="Times New Roman" w:hAnsi="Garamond" w:cs="Arial"/>
          <w:color w:val="000000"/>
          <w:sz w:val="24"/>
          <w:szCs w:val="24"/>
          <w:lang w:eastAsia="es-EC"/>
        </w:rPr>
        <w:t xml:space="preserve"> Para el arrendamiento o utilización de los bienes afectados al servicio público, se aplicará lo dispuesto en 418 y 434 del Código Orgánico de Organización Territorial Autonomía y Descentralización – COOTAD.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El canon de arrendamiento o la regalía por el uso y explotación de los bienes afectados al servicio público, según sea el caso, serán los determinados en el Código Municipal y en el Manual de arrendamiento.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La custodia y administración de los bienes afectados al servicio público corresponderá al órgano o empresa pública metropolitana responsable de proveer determinado servicio.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color w:val="000000"/>
          <w:sz w:val="24"/>
          <w:szCs w:val="24"/>
          <w:lang w:eastAsia="es-EC"/>
        </w:rPr>
        <w:t>Para el arrendamiento de los bienes de uso público y afectados al servicio público, deberá tomarse en cuenta que éstos vayan a ser utilizados en fines compatibles con los del Municipio y que requiere la ciudad, exceptuando los bienes que se hallen ocupados y que requieran de una mediación para recuperarlos. </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 xml:space="preserve">Art. IV.6.55.- </w:t>
      </w:r>
      <w:r w:rsidR="008C66E0" w:rsidRPr="0091192B">
        <w:rPr>
          <w:rFonts w:ascii="Garamond" w:eastAsia="Times New Roman" w:hAnsi="Garamond" w:cs="Arial"/>
          <w:b/>
          <w:bCs/>
          <w:color w:val="000000"/>
          <w:sz w:val="24"/>
          <w:szCs w:val="24"/>
          <w:lang w:eastAsia="es-EC"/>
        </w:rPr>
        <w:t>Competencia. -</w:t>
      </w:r>
      <w:r w:rsidRPr="0091192B">
        <w:rPr>
          <w:rFonts w:ascii="Garamond" w:eastAsia="Times New Roman" w:hAnsi="Garamond" w:cs="Arial"/>
          <w:b/>
          <w:bCs/>
          <w:color w:val="000000"/>
          <w:sz w:val="24"/>
          <w:szCs w:val="24"/>
          <w:lang w:eastAsia="es-EC"/>
        </w:rPr>
        <w:t xml:space="preserve"> </w:t>
      </w:r>
      <w:r w:rsidRPr="0091192B">
        <w:rPr>
          <w:rFonts w:ascii="Garamond" w:eastAsia="Times New Roman" w:hAnsi="Garamond" w:cs="Arial"/>
          <w:color w:val="000000"/>
          <w:sz w:val="24"/>
          <w:szCs w:val="24"/>
          <w:lang w:eastAsia="es-EC"/>
        </w:rPr>
        <w:t>Es potestad del Alcalde, en su calidad de superior jerárquico de la administración y del Concejo Metropolitano, autorizar la celebración de contratos de arrendamiento de bienes inmuebles de propiedad municipal, conforme lo previsto en los artículos siguientes.</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 xml:space="preserve">Art. IV.6.56.- </w:t>
      </w:r>
      <w:r w:rsidR="008C66E0" w:rsidRPr="0091192B">
        <w:rPr>
          <w:rFonts w:ascii="Garamond" w:eastAsia="Times New Roman" w:hAnsi="Garamond" w:cs="Arial"/>
          <w:b/>
          <w:bCs/>
          <w:color w:val="000000"/>
          <w:sz w:val="24"/>
          <w:szCs w:val="24"/>
          <w:lang w:eastAsia="es-EC"/>
        </w:rPr>
        <w:t>Garantía. -</w:t>
      </w:r>
      <w:r w:rsidRPr="0091192B">
        <w:rPr>
          <w:rFonts w:ascii="Garamond" w:eastAsia="Times New Roman" w:hAnsi="Garamond" w:cs="Arial"/>
          <w:color w:val="000000"/>
          <w:sz w:val="24"/>
          <w:szCs w:val="24"/>
          <w:lang w:eastAsia="es-EC"/>
        </w:rPr>
        <w:t xml:space="preserve"> Todo arrendatario, para celebrar el correspondiente contrato de arrendamiento de conformidad con la normativa nacional vigente que regula al sistema nacional de contratación pública, deberá entregar en garantía de al menos 2 cánones </w:t>
      </w:r>
      <w:r w:rsidRPr="0091192B">
        <w:rPr>
          <w:rFonts w:ascii="Garamond" w:eastAsia="Times New Roman" w:hAnsi="Garamond" w:cs="Arial"/>
          <w:color w:val="000000"/>
          <w:sz w:val="24"/>
          <w:szCs w:val="24"/>
          <w:lang w:eastAsia="es-EC"/>
        </w:rPr>
        <w:lastRenderedPageBreak/>
        <w:t>mensuales de arrendamiento de conformidad con lo que disponga para el efecto el Manual de arrendamiento.</w:t>
      </w:r>
    </w:p>
    <w:p w:rsidR="0091192B" w:rsidRPr="0091192B" w:rsidRDefault="0091192B" w:rsidP="0091192B">
      <w:pPr>
        <w:spacing w:after="0" w:line="240" w:lineRule="auto"/>
        <w:jc w:val="both"/>
        <w:rPr>
          <w:rFonts w:ascii="Garamond" w:eastAsia="Times New Roman" w:hAnsi="Garamond" w:cs="Times New Roman"/>
          <w:sz w:val="24"/>
          <w:szCs w:val="24"/>
          <w:lang w:eastAsia="es-EC"/>
        </w:rPr>
      </w:pPr>
    </w:p>
    <w:p w:rsidR="0091192B" w:rsidRPr="0091192B" w:rsidRDefault="0091192B" w:rsidP="0091192B">
      <w:pPr>
        <w:spacing w:after="0" w:line="240" w:lineRule="auto"/>
        <w:jc w:val="both"/>
        <w:rPr>
          <w:rFonts w:ascii="Garamond" w:eastAsia="Times New Roman" w:hAnsi="Garamond" w:cs="Times New Roman"/>
          <w:sz w:val="24"/>
          <w:szCs w:val="24"/>
          <w:lang w:eastAsia="es-EC"/>
        </w:rPr>
      </w:pPr>
      <w:r w:rsidRPr="0091192B">
        <w:rPr>
          <w:rFonts w:ascii="Garamond" w:eastAsia="Times New Roman" w:hAnsi="Garamond" w:cs="Arial"/>
          <w:b/>
          <w:bCs/>
          <w:color w:val="000000"/>
          <w:sz w:val="24"/>
          <w:szCs w:val="24"/>
          <w:lang w:eastAsia="es-EC"/>
        </w:rPr>
        <w:t>Art. IV.6.57.-</w:t>
      </w:r>
      <w:r w:rsidRPr="0091192B">
        <w:rPr>
          <w:rFonts w:ascii="Garamond" w:eastAsia="Times New Roman" w:hAnsi="Garamond" w:cs="Arial"/>
          <w:color w:val="000000"/>
          <w:sz w:val="24"/>
          <w:szCs w:val="24"/>
          <w:lang w:eastAsia="es-EC"/>
        </w:rPr>
        <w:t xml:space="preserve"> Los costos por concepto de servicios básicos de luz, agua, teléfono, etc., serán asumidos y cubiertos por cada arrendatario, con la instalación a su costo de los respectivos medidores, cuando se trate de inmuebles destinados para vivienda, locales comerciales o bodegas. En caso de espacios comunales, los servicios básicos serán cancelados por los beneficiarios, mediante el pago de las respectivas alícuotas que permitan recaudar y cancelar el valor total y real de las tasas por los servicios básicos que correspondan.</w:t>
      </w:r>
    </w:p>
    <w:p w:rsidR="0091192B" w:rsidRDefault="0091192B" w:rsidP="0091192B">
      <w:pPr>
        <w:jc w:val="both"/>
        <w:rPr>
          <w:rFonts w:ascii="Garamond" w:eastAsia="Times New Roman" w:hAnsi="Garamond" w:cs="Times New Roman"/>
          <w:b/>
          <w:sz w:val="24"/>
          <w:szCs w:val="24"/>
          <w:lang w:eastAsia="es-EC"/>
        </w:rPr>
      </w:pPr>
    </w:p>
    <w:p w:rsidR="0091192B" w:rsidRDefault="0091192B" w:rsidP="0091192B">
      <w:pPr>
        <w:jc w:val="both"/>
        <w:rPr>
          <w:rFonts w:ascii="Garamond" w:eastAsia="Times New Roman" w:hAnsi="Garamond" w:cs="Times New Roman"/>
          <w:b/>
          <w:sz w:val="24"/>
          <w:szCs w:val="24"/>
          <w:lang w:eastAsia="es-EC"/>
        </w:rPr>
      </w:pPr>
      <w:r>
        <w:rPr>
          <w:rFonts w:ascii="Garamond" w:eastAsia="Times New Roman" w:hAnsi="Garamond" w:cs="Times New Roman"/>
          <w:b/>
          <w:sz w:val="24"/>
          <w:szCs w:val="24"/>
          <w:lang w:eastAsia="es-EC"/>
        </w:rPr>
        <w:t xml:space="preserve">DISPOSICIONES TRANSITORIAS </w:t>
      </w:r>
    </w:p>
    <w:p w:rsidR="0091192B" w:rsidRDefault="0091192B" w:rsidP="0091192B">
      <w:pPr>
        <w:jc w:val="both"/>
        <w:rPr>
          <w:rFonts w:ascii="Garamond" w:eastAsia="Times New Roman" w:hAnsi="Garamond" w:cs="Arial"/>
          <w:bCs/>
          <w:color w:val="000000"/>
          <w:sz w:val="24"/>
          <w:szCs w:val="24"/>
          <w:lang w:eastAsia="es-EC"/>
        </w:rPr>
      </w:pPr>
      <w:r w:rsidRPr="0091192B">
        <w:rPr>
          <w:rFonts w:ascii="Garamond" w:eastAsia="Times New Roman" w:hAnsi="Garamond" w:cs="Times New Roman"/>
          <w:b/>
          <w:bCs/>
          <w:sz w:val="24"/>
          <w:szCs w:val="24"/>
          <w:lang w:eastAsia="es-EC"/>
        </w:rPr>
        <w:t xml:space="preserve">Disposición Transitoria Primera. - </w:t>
      </w:r>
      <w:r w:rsidRPr="0091192B">
        <w:rPr>
          <w:rFonts w:ascii="Garamond" w:eastAsia="Times New Roman" w:hAnsi="Garamond" w:cs="Times New Roman"/>
          <w:sz w:val="24"/>
          <w:szCs w:val="24"/>
          <w:lang w:eastAsia="es-EC"/>
        </w:rPr>
        <w:t xml:space="preserve">En </w:t>
      </w:r>
      <w:r>
        <w:rPr>
          <w:rFonts w:ascii="Garamond" w:eastAsia="Times New Roman" w:hAnsi="Garamond" w:cs="Times New Roman"/>
          <w:sz w:val="24"/>
          <w:szCs w:val="24"/>
          <w:lang w:eastAsia="es-EC"/>
        </w:rPr>
        <w:t>el</w:t>
      </w:r>
      <w:r w:rsidRPr="0091192B">
        <w:rPr>
          <w:rFonts w:ascii="Garamond" w:eastAsia="Times New Roman" w:hAnsi="Garamond" w:cs="Times New Roman"/>
          <w:sz w:val="24"/>
          <w:szCs w:val="24"/>
          <w:lang w:eastAsia="es-EC"/>
        </w:rPr>
        <w:t xml:space="preserve"> término de </w:t>
      </w:r>
      <w:r>
        <w:rPr>
          <w:rFonts w:ascii="Garamond" w:eastAsia="Times New Roman" w:hAnsi="Garamond" w:cs="Times New Roman"/>
          <w:sz w:val="24"/>
          <w:szCs w:val="24"/>
          <w:lang w:eastAsia="es-EC"/>
        </w:rPr>
        <w:t xml:space="preserve">quince </w:t>
      </w:r>
      <w:r w:rsidRPr="0091192B">
        <w:rPr>
          <w:rFonts w:ascii="Garamond" w:eastAsia="Times New Roman" w:hAnsi="Garamond" w:cs="Times New Roman"/>
          <w:sz w:val="24"/>
          <w:szCs w:val="24"/>
          <w:lang w:eastAsia="es-EC"/>
        </w:rPr>
        <w:t xml:space="preserve">días, contados a partir de la sanción de la presente ordenanza, </w:t>
      </w:r>
      <w:r w:rsidR="008C66E0">
        <w:rPr>
          <w:rFonts w:ascii="Garamond" w:eastAsia="Times New Roman" w:hAnsi="Garamond" w:cs="Times New Roman"/>
          <w:sz w:val="24"/>
          <w:szCs w:val="24"/>
          <w:lang w:eastAsia="es-EC"/>
        </w:rPr>
        <w:t xml:space="preserve">el Alcalde de Quito o su delegado deberá expedir </w:t>
      </w:r>
      <w:r>
        <w:rPr>
          <w:rFonts w:ascii="Garamond" w:eastAsia="Times New Roman" w:hAnsi="Garamond" w:cs="Times New Roman"/>
          <w:sz w:val="24"/>
          <w:szCs w:val="24"/>
          <w:lang w:eastAsia="es-EC"/>
        </w:rPr>
        <w:t>l</w:t>
      </w:r>
      <w:r w:rsidR="008C66E0">
        <w:rPr>
          <w:rFonts w:ascii="Garamond" w:eastAsia="Times New Roman" w:hAnsi="Garamond" w:cs="Times New Roman"/>
          <w:sz w:val="24"/>
          <w:szCs w:val="24"/>
          <w:lang w:eastAsia="es-EC"/>
        </w:rPr>
        <w:t xml:space="preserve">a resolución administrativa que contenga la directriz respecto de la contraprestación por el uso </w:t>
      </w:r>
      <w:r w:rsidRPr="0091192B">
        <w:rPr>
          <w:rFonts w:ascii="Garamond" w:eastAsia="Times New Roman" w:hAnsi="Garamond" w:cs="Arial"/>
          <w:bCs/>
          <w:color w:val="000000"/>
          <w:sz w:val="24"/>
          <w:szCs w:val="24"/>
          <w:lang w:eastAsia="es-EC"/>
        </w:rPr>
        <w:t>y explotación de bienes de uso público</w:t>
      </w:r>
      <w:r w:rsidR="008C66E0">
        <w:rPr>
          <w:rFonts w:ascii="Garamond" w:eastAsia="Times New Roman" w:hAnsi="Garamond" w:cs="Arial"/>
          <w:bCs/>
          <w:color w:val="000000"/>
          <w:sz w:val="24"/>
          <w:szCs w:val="24"/>
          <w:lang w:eastAsia="es-EC"/>
        </w:rPr>
        <w:t>.</w:t>
      </w:r>
    </w:p>
    <w:p w:rsidR="008C66E0" w:rsidRPr="0091192B" w:rsidRDefault="008C66E0" w:rsidP="0091192B">
      <w:pPr>
        <w:jc w:val="both"/>
        <w:rPr>
          <w:rFonts w:ascii="Garamond" w:eastAsia="Times New Roman" w:hAnsi="Garamond" w:cs="Times New Roman"/>
          <w:sz w:val="24"/>
          <w:szCs w:val="24"/>
          <w:lang w:eastAsia="es-EC"/>
        </w:rPr>
      </w:pPr>
      <w:r w:rsidRPr="0091192B">
        <w:rPr>
          <w:rFonts w:ascii="Garamond" w:eastAsia="Times New Roman" w:hAnsi="Garamond" w:cs="Times New Roman"/>
          <w:b/>
          <w:bCs/>
          <w:sz w:val="24"/>
          <w:szCs w:val="24"/>
          <w:lang w:eastAsia="es-EC"/>
        </w:rPr>
        <w:t xml:space="preserve">Disposición Transitoria </w:t>
      </w:r>
      <w:r>
        <w:rPr>
          <w:rFonts w:ascii="Garamond" w:eastAsia="Times New Roman" w:hAnsi="Garamond" w:cs="Times New Roman"/>
          <w:b/>
          <w:bCs/>
          <w:sz w:val="24"/>
          <w:szCs w:val="24"/>
          <w:lang w:eastAsia="es-EC"/>
        </w:rPr>
        <w:t>Segunda</w:t>
      </w:r>
      <w:r w:rsidRPr="0091192B">
        <w:rPr>
          <w:rFonts w:ascii="Garamond" w:eastAsia="Times New Roman" w:hAnsi="Garamond" w:cs="Times New Roman"/>
          <w:b/>
          <w:bCs/>
          <w:sz w:val="24"/>
          <w:szCs w:val="24"/>
          <w:lang w:eastAsia="es-EC"/>
        </w:rPr>
        <w:t xml:space="preserve">. - </w:t>
      </w:r>
      <w:r w:rsidRPr="0091192B">
        <w:rPr>
          <w:rFonts w:ascii="Garamond" w:eastAsia="Times New Roman" w:hAnsi="Garamond" w:cs="Times New Roman"/>
          <w:sz w:val="24"/>
          <w:szCs w:val="24"/>
          <w:lang w:eastAsia="es-EC"/>
        </w:rPr>
        <w:t xml:space="preserve">En </w:t>
      </w:r>
      <w:r>
        <w:rPr>
          <w:rFonts w:ascii="Garamond" w:eastAsia="Times New Roman" w:hAnsi="Garamond" w:cs="Times New Roman"/>
          <w:sz w:val="24"/>
          <w:szCs w:val="24"/>
          <w:lang w:eastAsia="es-EC"/>
        </w:rPr>
        <w:t>el</w:t>
      </w:r>
      <w:r w:rsidRPr="0091192B">
        <w:rPr>
          <w:rFonts w:ascii="Garamond" w:eastAsia="Times New Roman" w:hAnsi="Garamond" w:cs="Times New Roman"/>
          <w:sz w:val="24"/>
          <w:szCs w:val="24"/>
          <w:lang w:eastAsia="es-EC"/>
        </w:rPr>
        <w:t xml:space="preserve"> término de </w:t>
      </w:r>
      <w:r>
        <w:rPr>
          <w:rFonts w:ascii="Garamond" w:eastAsia="Times New Roman" w:hAnsi="Garamond" w:cs="Times New Roman"/>
          <w:sz w:val="24"/>
          <w:szCs w:val="24"/>
          <w:lang w:eastAsia="es-EC"/>
        </w:rPr>
        <w:t xml:space="preserve">quince </w:t>
      </w:r>
      <w:r w:rsidRPr="0091192B">
        <w:rPr>
          <w:rFonts w:ascii="Garamond" w:eastAsia="Times New Roman" w:hAnsi="Garamond" w:cs="Times New Roman"/>
          <w:sz w:val="24"/>
          <w:szCs w:val="24"/>
          <w:lang w:eastAsia="es-EC"/>
        </w:rPr>
        <w:t>días, contados a partir de la sanción de la presente ordenanza, el Director Metropolitano de Bienes Inmu</w:t>
      </w:r>
      <w:r>
        <w:rPr>
          <w:rFonts w:ascii="Garamond" w:eastAsia="Times New Roman" w:hAnsi="Garamond" w:cs="Times New Roman"/>
          <w:sz w:val="24"/>
          <w:szCs w:val="24"/>
          <w:lang w:eastAsia="es-EC"/>
        </w:rPr>
        <w:t xml:space="preserve">ebles deberá expedir el </w:t>
      </w:r>
      <w:r w:rsidRPr="0091192B">
        <w:rPr>
          <w:rFonts w:ascii="Garamond" w:eastAsia="Times New Roman" w:hAnsi="Garamond" w:cs="Arial"/>
          <w:color w:val="000000"/>
          <w:sz w:val="24"/>
          <w:szCs w:val="24"/>
          <w:lang w:eastAsia="es-EC"/>
        </w:rPr>
        <w:t>Manual de arrendamiento y política de uso y explotación de los inmuebles de propiedad municipal</w:t>
      </w:r>
      <w:r>
        <w:rPr>
          <w:rFonts w:ascii="Garamond" w:eastAsia="Times New Roman" w:hAnsi="Garamond" w:cs="Arial"/>
          <w:color w:val="000000"/>
          <w:sz w:val="24"/>
          <w:szCs w:val="24"/>
          <w:lang w:eastAsia="es-EC"/>
        </w:rPr>
        <w:t xml:space="preserve">, así como el tarifario para la fijación de la regalía por </w:t>
      </w:r>
      <w:r w:rsidRPr="0091192B">
        <w:rPr>
          <w:rFonts w:ascii="Garamond" w:eastAsia="Times New Roman" w:hAnsi="Garamond" w:cs="Arial"/>
          <w:bCs/>
          <w:color w:val="000000"/>
          <w:sz w:val="24"/>
          <w:szCs w:val="24"/>
          <w:lang w:eastAsia="es-EC"/>
        </w:rPr>
        <w:t>el uso y explotación de bienes de uso público</w:t>
      </w:r>
      <w:r>
        <w:rPr>
          <w:rFonts w:ascii="Garamond" w:eastAsia="Times New Roman" w:hAnsi="Garamond" w:cs="Arial"/>
          <w:bCs/>
          <w:color w:val="000000"/>
          <w:sz w:val="24"/>
          <w:szCs w:val="24"/>
          <w:lang w:eastAsia="es-EC"/>
        </w:rPr>
        <w:t>.</w:t>
      </w:r>
    </w:p>
    <w:p w:rsidR="0091192B" w:rsidRPr="0091192B" w:rsidRDefault="008C66E0" w:rsidP="0091192B">
      <w:pPr>
        <w:jc w:val="both"/>
        <w:rPr>
          <w:rFonts w:ascii="Garamond" w:eastAsia="Times New Roman" w:hAnsi="Garamond" w:cs="Times New Roman"/>
          <w:sz w:val="24"/>
          <w:szCs w:val="24"/>
          <w:lang w:eastAsia="es-EC"/>
        </w:rPr>
      </w:pPr>
      <w:r w:rsidRPr="0091192B">
        <w:rPr>
          <w:rFonts w:ascii="Garamond" w:eastAsia="Times New Roman" w:hAnsi="Garamond" w:cs="Times New Roman"/>
          <w:b/>
          <w:bCs/>
          <w:sz w:val="24"/>
          <w:szCs w:val="24"/>
          <w:lang w:eastAsia="es-EC"/>
        </w:rPr>
        <w:t>Disposición</w:t>
      </w:r>
      <w:r w:rsidR="0091192B" w:rsidRPr="0091192B">
        <w:rPr>
          <w:rFonts w:ascii="Garamond" w:eastAsia="Times New Roman" w:hAnsi="Garamond" w:cs="Times New Roman"/>
          <w:b/>
          <w:bCs/>
          <w:sz w:val="24"/>
          <w:szCs w:val="24"/>
          <w:lang w:eastAsia="es-EC"/>
        </w:rPr>
        <w:t xml:space="preserve"> </w:t>
      </w:r>
      <w:r w:rsidRPr="0091192B">
        <w:rPr>
          <w:rFonts w:ascii="Garamond" w:eastAsia="Times New Roman" w:hAnsi="Garamond" w:cs="Times New Roman"/>
          <w:b/>
          <w:bCs/>
          <w:sz w:val="24"/>
          <w:szCs w:val="24"/>
          <w:lang w:eastAsia="es-EC"/>
        </w:rPr>
        <w:t>Final. -</w:t>
      </w:r>
      <w:r w:rsidR="0091192B" w:rsidRPr="0091192B">
        <w:rPr>
          <w:rFonts w:ascii="Garamond" w:eastAsia="Times New Roman" w:hAnsi="Garamond" w:cs="Times New Roman"/>
          <w:b/>
          <w:bCs/>
          <w:sz w:val="24"/>
          <w:szCs w:val="24"/>
          <w:lang w:eastAsia="es-EC"/>
        </w:rPr>
        <w:t xml:space="preserve"> </w:t>
      </w:r>
      <w:r w:rsidR="0091192B" w:rsidRPr="0091192B">
        <w:rPr>
          <w:rFonts w:ascii="Garamond" w:eastAsia="Times New Roman" w:hAnsi="Garamond" w:cs="Times New Roman"/>
          <w:sz w:val="24"/>
          <w:szCs w:val="24"/>
          <w:lang w:eastAsia="es-EC"/>
        </w:rPr>
        <w:t xml:space="preserve">Esta Ordenanza Metropolitana entrará en vigencia a partir de su </w:t>
      </w:r>
      <w:proofErr w:type="spellStart"/>
      <w:r w:rsidR="0091192B" w:rsidRPr="0091192B">
        <w:rPr>
          <w:rFonts w:ascii="Garamond" w:eastAsia="Times New Roman" w:hAnsi="Garamond" w:cs="Times New Roman"/>
          <w:sz w:val="24"/>
          <w:szCs w:val="24"/>
          <w:lang w:eastAsia="es-EC"/>
        </w:rPr>
        <w:t>sanción</w:t>
      </w:r>
      <w:proofErr w:type="spellEnd"/>
      <w:r w:rsidR="0091192B" w:rsidRPr="0091192B">
        <w:rPr>
          <w:rFonts w:ascii="Garamond" w:eastAsia="Times New Roman" w:hAnsi="Garamond" w:cs="Times New Roman"/>
          <w:sz w:val="24"/>
          <w:szCs w:val="24"/>
          <w:lang w:eastAsia="es-EC"/>
        </w:rPr>
        <w:t xml:space="preserve">, sin perjuicio de su </w:t>
      </w:r>
      <w:proofErr w:type="spellStart"/>
      <w:r w:rsidR="0091192B" w:rsidRPr="0091192B">
        <w:rPr>
          <w:rFonts w:ascii="Garamond" w:eastAsia="Times New Roman" w:hAnsi="Garamond" w:cs="Times New Roman"/>
          <w:sz w:val="24"/>
          <w:szCs w:val="24"/>
          <w:lang w:eastAsia="es-EC"/>
        </w:rPr>
        <w:t>publicación</w:t>
      </w:r>
      <w:proofErr w:type="spellEnd"/>
      <w:r w:rsidR="0091192B" w:rsidRPr="0091192B">
        <w:rPr>
          <w:rFonts w:ascii="Garamond" w:eastAsia="Times New Roman" w:hAnsi="Garamond" w:cs="Times New Roman"/>
          <w:sz w:val="24"/>
          <w:szCs w:val="24"/>
          <w:lang w:eastAsia="es-EC"/>
        </w:rPr>
        <w:t xml:space="preserve"> en el Registro Oficial, la Gaceta Oficial y en la </w:t>
      </w:r>
      <w:proofErr w:type="spellStart"/>
      <w:r w:rsidR="0091192B" w:rsidRPr="0091192B">
        <w:rPr>
          <w:rFonts w:ascii="Garamond" w:eastAsia="Times New Roman" w:hAnsi="Garamond" w:cs="Times New Roman"/>
          <w:sz w:val="24"/>
          <w:szCs w:val="24"/>
          <w:lang w:eastAsia="es-EC"/>
        </w:rPr>
        <w:t>página</w:t>
      </w:r>
      <w:proofErr w:type="spellEnd"/>
      <w:r w:rsidR="0091192B" w:rsidRPr="0091192B">
        <w:rPr>
          <w:rFonts w:ascii="Garamond" w:eastAsia="Times New Roman" w:hAnsi="Garamond" w:cs="Times New Roman"/>
          <w:sz w:val="24"/>
          <w:szCs w:val="24"/>
          <w:lang w:eastAsia="es-EC"/>
        </w:rPr>
        <w:t xml:space="preserve"> web institucional.</w:t>
      </w:r>
    </w:p>
    <w:p w:rsidR="0091192B" w:rsidRPr="0091192B" w:rsidRDefault="0091192B" w:rsidP="0091192B">
      <w:pPr>
        <w:jc w:val="both"/>
        <w:rPr>
          <w:rFonts w:ascii="Garamond" w:eastAsia="Times New Roman" w:hAnsi="Garamond" w:cs="Times New Roman"/>
          <w:sz w:val="24"/>
          <w:szCs w:val="24"/>
          <w:lang w:eastAsia="es-EC"/>
        </w:rPr>
      </w:pPr>
      <w:r w:rsidRPr="0091192B">
        <w:rPr>
          <w:rFonts w:ascii="Garamond" w:eastAsia="Times New Roman" w:hAnsi="Garamond" w:cs="Times New Roman"/>
          <w:sz w:val="24"/>
          <w:szCs w:val="24"/>
          <w:lang w:eastAsia="es-EC"/>
        </w:rPr>
        <w:t>Dada, en la sala de sesiones del Concejo Metropolitano de Quito, en el Distrito Metropolitano</w:t>
      </w:r>
      <w:r w:rsidR="008C66E0">
        <w:rPr>
          <w:rFonts w:ascii="Garamond" w:eastAsia="Times New Roman" w:hAnsi="Garamond" w:cs="Times New Roman"/>
          <w:sz w:val="24"/>
          <w:szCs w:val="24"/>
          <w:lang w:eastAsia="es-EC"/>
        </w:rPr>
        <w:t xml:space="preserve"> de Quito, el XX de </w:t>
      </w:r>
      <w:proofErr w:type="spellStart"/>
      <w:r w:rsidR="008C66E0">
        <w:rPr>
          <w:rFonts w:ascii="Garamond" w:eastAsia="Times New Roman" w:hAnsi="Garamond" w:cs="Times New Roman"/>
          <w:sz w:val="24"/>
          <w:szCs w:val="24"/>
          <w:lang w:eastAsia="es-EC"/>
        </w:rPr>
        <w:t>xxxx</w:t>
      </w:r>
      <w:proofErr w:type="spellEnd"/>
      <w:r w:rsidR="008C66E0">
        <w:rPr>
          <w:rFonts w:ascii="Garamond" w:eastAsia="Times New Roman" w:hAnsi="Garamond" w:cs="Times New Roman"/>
          <w:sz w:val="24"/>
          <w:szCs w:val="24"/>
          <w:lang w:eastAsia="es-EC"/>
        </w:rPr>
        <w:t xml:space="preserve"> de 2021</w:t>
      </w:r>
      <w:r w:rsidRPr="0091192B">
        <w:rPr>
          <w:rFonts w:ascii="Garamond" w:eastAsia="Times New Roman" w:hAnsi="Garamond" w:cs="Times New Roman"/>
          <w:sz w:val="24"/>
          <w:szCs w:val="24"/>
          <w:lang w:eastAsia="es-EC"/>
        </w:rPr>
        <w:t>.</w:t>
      </w:r>
    </w:p>
    <w:p w:rsidR="00536AE0" w:rsidRPr="0091192B" w:rsidRDefault="0091192B" w:rsidP="0091192B">
      <w:pPr>
        <w:jc w:val="both"/>
        <w:rPr>
          <w:rFonts w:ascii="Garamond" w:hAnsi="Garamond"/>
          <w:sz w:val="24"/>
          <w:szCs w:val="24"/>
        </w:rPr>
      </w:pPr>
      <w:r w:rsidRPr="0091192B">
        <w:rPr>
          <w:rFonts w:ascii="Garamond" w:eastAsia="Times New Roman" w:hAnsi="Garamond" w:cs="Times New Roman"/>
          <w:sz w:val="24"/>
          <w:szCs w:val="24"/>
          <w:lang w:eastAsia="es-EC"/>
        </w:rPr>
        <w:br/>
      </w:r>
      <w:r w:rsidRPr="0091192B">
        <w:rPr>
          <w:rFonts w:ascii="Garamond" w:eastAsia="Times New Roman" w:hAnsi="Garamond" w:cs="Times New Roman"/>
          <w:sz w:val="24"/>
          <w:szCs w:val="24"/>
          <w:lang w:eastAsia="es-EC"/>
        </w:rPr>
        <w:br/>
      </w:r>
    </w:p>
    <w:sectPr w:rsidR="00536AE0" w:rsidRPr="00911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2B"/>
    <w:rsid w:val="00260881"/>
    <w:rsid w:val="00363FB4"/>
    <w:rsid w:val="005A3974"/>
    <w:rsid w:val="005E2EAD"/>
    <w:rsid w:val="008C66E0"/>
    <w:rsid w:val="009119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AA0"/>
  <w15:chartTrackingRefBased/>
  <w15:docId w15:val="{7FE2C345-0259-4F13-9DD2-D3DEF25C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192B"/>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2294">
      <w:bodyDiv w:val="1"/>
      <w:marLeft w:val="0"/>
      <w:marRight w:val="0"/>
      <w:marTop w:val="0"/>
      <w:marBottom w:val="0"/>
      <w:divBdr>
        <w:top w:val="none" w:sz="0" w:space="0" w:color="auto"/>
        <w:left w:val="none" w:sz="0" w:space="0" w:color="auto"/>
        <w:bottom w:val="none" w:sz="0" w:space="0" w:color="auto"/>
        <w:right w:val="none" w:sz="0" w:space="0" w:color="auto"/>
      </w:divBdr>
    </w:div>
    <w:div w:id="1135952454">
      <w:bodyDiv w:val="1"/>
      <w:marLeft w:val="0"/>
      <w:marRight w:val="0"/>
      <w:marTop w:val="0"/>
      <w:marBottom w:val="0"/>
      <w:divBdr>
        <w:top w:val="none" w:sz="0" w:space="0" w:color="auto"/>
        <w:left w:val="none" w:sz="0" w:space="0" w:color="auto"/>
        <w:bottom w:val="none" w:sz="0" w:space="0" w:color="auto"/>
        <w:right w:val="none" w:sz="0" w:space="0" w:color="auto"/>
      </w:divBdr>
    </w:div>
    <w:div w:id="15226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2619</Words>
  <Characters>14406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Andres Orbea Cevallos</dc:creator>
  <cp:keywords/>
  <dc:description/>
  <cp:lastModifiedBy>Alvaro Andres Orbea Cevallos</cp:lastModifiedBy>
  <cp:revision>1</cp:revision>
  <dcterms:created xsi:type="dcterms:W3CDTF">2021-02-25T15:43:00Z</dcterms:created>
  <dcterms:modified xsi:type="dcterms:W3CDTF">2021-02-25T16:06:00Z</dcterms:modified>
</cp:coreProperties>
</file>