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D9" w:rsidRPr="00AB7F29" w:rsidRDefault="003F50D9" w:rsidP="00D80A29">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RESOLUCIÓN No. C XXX - 202</w:t>
      </w:r>
      <w:r w:rsidR="00223B71">
        <w:rPr>
          <w:rFonts w:ascii="Palatino Linotype" w:hAnsi="Palatino Linotype"/>
          <w:sz w:val="28"/>
          <w:szCs w:val="28"/>
        </w:rPr>
        <w:t>1</w:t>
      </w:r>
      <w:r w:rsidRPr="00AB7F29">
        <w:rPr>
          <w:rFonts w:ascii="Palatino Linotype" w:hAnsi="Palatino Linotype"/>
          <w:sz w:val="28"/>
          <w:szCs w:val="28"/>
        </w:rPr>
        <w:t xml:space="preserve"> </w:t>
      </w:r>
    </w:p>
    <w:p w:rsidR="003F50D9" w:rsidRPr="00AB7F29" w:rsidRDefault="003F50D9" w:rsidP="00E175D0">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EL CONCEJO METROPOLITANO DE QUITO</w:t>
      </w:r>
    </w:p>
    <w:p w:rsidR="003F50D9" w:rsidRPr="00AB7F29" w:rsidRDefault="003F50D9" w:rsidP="00D80A29">
      <w:pPr>
        <w:autoSpaceDE w:val="0"/>
        <w:autoSpaceDN w:val="0"/>
        <w:adjustRightInd w:val="0"/>
        <w:jc w:val="center"/>
        <w:rPr>
          <w:rFonts w:ascii="Palatino Linotype" w:hAnsi="Palatino Linotype"/>
          <w:sz w:val="28"/>
          <w:szCs w:val="28"/>
        </w:rPr>
      </w:pPr>
    </w:p>
    <w:p w:rsidR="008F63DA" w:rsidRPr="003F50D9" w:rsidRDefault="003F50D9" w:rsidP="00D80A29">
      <w:pPr>
        <w:autoSpaceDE w:val="0"/>
        <w:autoSpaceDN w:val="0"/>
        <w:adjustRightInd w:val="0"/>
        <w:jc w:val="center"/>
        <w:rPr>
          <w:rFonts w:ascii="Palatino Linotype" w:hAnsi="Palatino Linotype"/>
          <w:sz w:val="36"/>
          <w:szCs w:val="36"/>
        </w:rPr>
      </w:pPr>
      <w:r w:rsidRPr="00AB7F29">
        <w:rPr>
          <w:rFonts w:ascii="Palatino Linotype" w:hAnsi="Palatino Linotype"/>
          <w:sz w:val="28"/>
          <w:szCs w:val="28"/>
        </w:rPr>
        <w:t xml:space="preserve"> CONSIDERANDO</w:t>
      </w:r>
      <w:r w:rsidR="00AB7F29">
        <w:rPr>
          <w:rFonts w:ascii="Palatino Linotype" w:hAnsi="Palatino Linotype"/>
          <w:sz w:val="36"/>
          <w:szCs w:val="36"/>
        </w:rPr>
        <w:t>:</w:t>
      </w:r>
    </w:p>
    <w:p w:rsidR="003F50D9" w:rsidRPr="003F50D9" w:rsidRDefault="003F50D9" w:rsidP="00D80A29">
      <w:pPr>
        <w:autoSpaceDE w:val="0"/>
        <w:autoSpaceDN w:val="0"/>
        <w:adjustRightInd w:val="0"/>
        <w:jc w:val="center"/>
        <w:rPr>
          <w:rFonts w:ascii="Palatino Linotype" w:hAnsi="Palatino Linotype"/>
          <w:sz w:val="36"/>
          <w:szCs w:val="36"/>
        </w:rPr>
      </w:pPr>
    </w:p>
    <w:p w:rsidR="00FD05C1" w:rsidRPr="00FD05C1" w:rsidRDefault="00E30CCD" w:rsidP="000654FD">
      <w:pPr>
        <w:spacing w:before="315" w:line="291" w:lineRule="exact"/>
        <w:ind w:left="720" w:hanging="720"/>
        <w:jc w:val="both"/>
        <w:rPr>
          <w:rFonts w:ascii="Palatino Linotype" w:eastAsiaTheme="minorHAnsi" w:hAnsi="Palatino Linotype"/>
          <w:i/>
          <w:sz w:val="22"/>
          <w:szCs w:val="22"/>
          <w:lang w:eastAsia="en-US"/>
        </w:rPr>
      </w:pPr>
      <w:r>
        <w:rPr>
          <w:rFonts w:ascii="Garamond" w:hAnsi="Garamond" w:cs="Garamond"/>
          <w:sz w:val="26"/>
          <w:szCs w:val="26"/>
        </w:rPr>
        <w:t>Que, el</w:t>
      </w:r>
      <w:r w:rsidR="00FD05C1">
        <w:rPr>
          <w:rFonts w:ascii="Garamond" w:hAnsi="Garamond" w:cs="Garamond"/>
          <w:sz w:val="26"/>
          <w:szCs w:val="26"/>
        </w:rPr>
        <w:t xml:space="preserve"> literales d) del artículo 87 del Código Orgánico de Organización Territorial, Autonomía y Descentralización, en adelante, "COOTAD", establecen como atribuciones del Concejo Metropolitano:</w:t>
      </w:r>
      <w:r w:rsidR="00FD05C1">
        <w:rPr>
          <w:rFonts w:ascii="Garamond" w:hAnsi="Garamond" w:cs="Garamond"/>
          <w:i/>
          <w:iCs/>
          <w:sz w:val="26"/>
          <w:szCs w:val="26"/>
        </w:rPr>
        <w:t xml:space="preserve"> (...) “d) Expedir acuerdos o resoluciones en el ámbito de sus competencias para regular temas institucionales específicos o reconoce</w:t>
      </w:r>
      <w:r w:rsidR="00964A12">
        <w:rPr>
          <w:rFonts w:ascii="Garamond" w:hAnsi="Garamond" w:cs="Garamond"/>
          <w:i/>
          <w:iCs/>
          <w:sz w:val="26"/>
          <w:szCs w:val="26"/>
        </w:rPr>
        <w:t>r derechos particulares”</w:t>
      </w:r>
      <w:r w:rsidR="000C33A3">
        <w:rPr>
          <w:rFonts w:ascii="Garamond" w:hAnsi="Garamond" w:cs="Garamond"/>
          <w:i/>
          <w:iCs/>
          <w:sz w:val="26"/>
          <w:szCs w:val="26"/>
        </w:rPr>
        <w:t xml:space="preserve"> (</w:t>
      </w:r>
      <w:r w:rsidR="00964A12">
        <w:rPr>
          <w:rFonts w:ascii="Garamond" w:hAnsi="Garamond" w:cs="Garamond"/>
          <w:i/>
          <w:iCs/>
          <w:sz w:val="26"/>
          <w:szCs w:val="26"/>
        </w:rPr>
        <w:t>...)</w:t>
      </w:r>
      <w:r w:rsidR="00FD05C1">
        <w:rPr>
          <w:rFonts w:ascii="Garamond" w:hAnsi="Garamond" w:cs="Garamond"/>
          <w:i/>
          <w:iCs/>
          <w:sz w:val="26"/>
          <w:szCs w:val="26"/>
        </w:rPr>
        <w:t>;</w:t>
      </w:r>
    </w:p>
    <w:p w:rsidR="001C2838" w:rsidRPr="00974EE8"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p>
    <w:p w:rsidR="001C2838" w:rsidRPr="00974EE8"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Que,</w:t>
      </w:r>
      <w:r w:rsidRPr="00974EE8">
        <w:rPr>
          <w:rFonts w:ascii="Palatino Linotype" w:eastAsiaTheme="minorHAnsi" w:hAnsi="Palatino Linotype"/>
          <w:sz w:val="22"/>
          <w:szCs w:val="22"/>
          <w:lang w:val="es-EC" w:eastAsia="en-US"/>
        </w:rPr>
        <w:tab/>
        <w:t xml:space="preserve">el artículo 415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establece que</w:t>
      </w:r>
      <w:r w:rsidR="007D2A9C" w:rsidRPr="00974EE8">
        <w:rPr>
          <w:rFonts w:ascii="Palatino Linotype" w:eastAsiaTheme="minorHAnsi" w:hAnsi="Palatino Linotype"/>
          <w:sz w:val="22"/>
          <w:szCs w:val="22"/>
          <w:lang w:val="es-EC" w:eastAsia="en-US"/>
        </w:rPr>
        <w:t>:</w:t>
      </w:r>
      <w:r w:rsidRPr="00974EE8">
        <w:rPr>
          <w:rFonts w:ascii="Palatino Linotype" w:eastAsiaTheme="minorHAnsi" w:hAnsi="Palatino Linotype"/>
          <w:sz w:val="22"/>
          <w:szCs w:val="22"/>
          <w:lang w:val="es-EC" w:eastAsia="en-US"/>
        </w:rPr>
        <w:t xml:space="preserve"> </w:t>
      </w:r>
      <w:r w:rsidRPr="00974EE8">
        <w:rPr>
          <w:rFonts w:ascii="Palatino Linotype" w:eastAsiaTheme="minorHAnsi" w:hAnsi="Palatino Linotype"/>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C2838" w:rsidRDefault="001C2838" w:rsidP="001C2838">
      <w:pPr>
        <w:autoSpaceDE w:val="0"/>
        <w:autoSpaceDN w:val="0"/>
        <w:adjustRightInd w:val="0"/>
        <w:ind w:left="709" w:hanging="709"/>
        <w:jc w:val="both"/>
        <w:rPr>
          <w:rFonts w:ascii="Arial" w:hAnsi="Arial" w:cs="Arial"/>
          <w:sz w:val="30"/>
          <w:szCs w:val="30"/>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w:t>
      </w:r>
      <w:r w:rsidR="00FD05C1">
        <w:rPr>
          <w:rFonts w:ascii="Palatino Linotype" w:eastAsiaTheme="minorHAnsi" w:hAnsi="Palatino Linotype"/>
          <w:sz w:val="22"/>
          <w:szCs w:val="22"/>
          <w:lang w:val="es-EC" w:eastAsia="en-US"/>
        </w:rPr>
        <w:t xml:space="preserve">literal c) del </w:t>
      </w:r>
      <w:r w:rsidRPr="00974EE8">
        <w:rPr>
          <w:rFonts w:ascii="Palatino Linotype" w:eastAsiaTheme="minorHAnsi" w:hAnsi="Palatino Linotype"/>
          <w:sz w:val="22"/>
          <w:szCs w:val="22"/>
          <w:lang w:val="es-EC" w:eastAsia="en-US"/>
        </w:rPr>
        <w:t xml:space="preserve">artículo 419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xml:space="preserve">, </w:t>
      </w:r>
      <w:r w:rsidR="00FD05C1">
        <w:rPr>
          <w:rFonts w:ascii="Palatino Linotype" w:eastAsiaTheme="minorHAnsi" w:hAnsi="Palatino Linotype"/>
          <w:sz w:val="22"/>
          <w:szCs w:val="22"/>
          <w:lang w:val="es-EC" w:eastAsia="en-US"/>
        </w:rPr>
        <w:t>establece</w:t>
      </w:r>
      <w:r w:rsidRPr="00974EE8">
        <w:rPr>
          <w:rFonts w:ascii="Palatino Linotype" w:eastAsiaTheme="minorHAnsi" w:hAnsi="Palatino Linotype"/>
          <w:sz w:val="22"/>
          <w:szCs w:val="22"/>
          <w:lang w:val="es-EC" w:eastAsia="en-US"/>
        </w:rPr>
        <w:t xml:space="preserve"> que: </w:t>
      </w:r>
      <w:r w:rsidRPr="00974EE8">
        <w:rPr>
          <w:rFonts w:ascii="Palatino Linotype" w:eastAsiaTheme="minorHAnsi" w:hAnsi="Palatino Linotype"/>
          <w:i/>
          <w:sz w:val="22"/>
          <w:szCs w:val="22"/>
          <w:lang w:val="es-EC" w:eastAsia="en-US"/>
        </w:rPr>
        <w:t>"</w:t>
      </w:r>
      <w:r w:rsidRPr="00974EE8">
        <w:rPr>
          <w:rFonts w:ascii="Palatino Linotype" w:eastAsiaTheme="minorHAnsi" w:hAnsi="Palatino Linotype" w:cs="CourierNewNegrita"/>
          <w:i/>
          <w:sz w:val="22"/>
          <w:szCs w:val="22"/>
          <w:lang w:val="es-EC" w:eastAsia="en-US"/>
        </w:rPr>
        <w:t xml:space="preserve">Constituyen bienes de dominio privado </w:t>
      </w:r>
      <w:r w:rsidR="00FD05C1">
        <w:rPr>
          <w:rFonts w:ascii="Garamond" w:hAnsi="Garamond" w:cs="Garamond"/>
          <w:i/>
          <w:iCs/>
          <w:sz w:val="26"/>
          <w:szCs w:val="26"/>
        </w:rPr>
        <w:t xml:space="preserve">(...) </w:t>
      </w:r>
      <w:r w:rsidR="00FD05C1" w:rsidRPr="00225D22">
        <w:rPr>
          <w:rFonts w:ascii="Garamond" w:hAnsi="Garamond" w:cs="Garamond"/>
          <w:i/>
          <w:iCs/>
          <w:sz w:val="26"/>
          <w:szCs w:val="26"/>
        </w:rPr>
        <w:t>“</w:t>
      </w:r>
      <w:r w:rsidR="00FD05C1" w:rsidRPr="00225D22">
        <w:rPr>
          <w:rFonts w:ascii="Palatino Linotype" w:hAnsi="Palatino Linotype" w:cs="Arial"/>
          <w:i/>
          <w:sz w:val="22"/>
          <w:szCs w:val="22"/>
        </w:rPr>
        <w:t>c) Los bienes mostrencos situados dentro de las respectivas circunscripciones territoriales</w:t>
      </w:r>
      <w:r w:rsidR="00964A12" w:rsidRPr="00225D22">
        <w:rPr>
          <w:rFonts w:ascii="Palatino Linotype" w:hAnsi="Palatino Linotype" w:cs="Arial"/>
          <w:i/>
          <w:sz w:val="22"/>
          <w:szCs w:val="22"/>
        </w:rPr>
        <w:t>”</w:t>
      </w:r>
      <w:r w:rsidR="00225D22">
        <w:rPr>
          <w:rFonts w:ascii="Palatino Linotype" w:hAnsi="Palatino Linotype" w:cs="Arial"/>
          <w:i/>
          <w:sz w:val="22"/>
          <w:szCs w:val="22"/>
        </w:rPr>
        <w:t xml:space="preserve"> </w:t>
      </w:r>
      <w:r w:rsidR="00964A12" w:rsidRPr="00225D22">
        <w:rPr>
          <w:rFonts w:ascii="Garamond" w:hAnsi="Garamond" w:cs="Garamond"/>
          <w:i/>
          <w:iCs/>
          <w:sz w:val="26"/>
          <w:szCs w:val="26"/>
        </w:rPr>
        <w:t>(...)</w:t>
      </w:r>
      <w:r w:rsidR="00FD05C1" w:rsidRPr="00225D22">
        <w:rPr>
          <w:rFonts w:ascii="Garamond" w:hAnsi="Garamond" w:cs="Garamond"/>
          <w:i/>
          <w:iCs/>
          <w:sz w:val="26"/>
          <w:szCs w:val="26"/>
        </w:rPr>
        <w:t>;</w:t>
      </w:r>
      <w:r w:rsidR="00FD05C1">
        <w:rPr>
          <w:rFonts w:ascii="Arial" w:hAnsi="Arial" w:cs="Arial"/>
          <w:sz w:val="30"/>
          <w:szCs w:val="30"/>
        </w:rPr>
        <w:t xml:space="preserve"> </w:t>
      </w:r>
    </w:p>
    <w:p w:rsidR="00FD05C1" w:rsidRPr="00974EE8" w:rsidRDefault="00FD05C1"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C2838" w:rsidRPr="00183658" w:rsidRDefault="001C2838" w:rsidP="0018365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w:t>
      </w:r>
      <w:r w:rsidR="00183658">
        <w:rPr>
          <w:rFonts w:ascii="Palatino Linotype" w:eastAsiaTheme="minorHAnsi" w:hAnsi="Palatino Linotype"/>
          <w:sz w:val="22"/>
          <w:szCs w:val="22"/>
          <w:lang w:val="es-EC" w:eastAsia="en-US"/>
        </w:rPr>
        <w:t xml:space="preserve">artículo </w:t>
      </w:r>
      <w:r w:rsidR="00183658" w:rsidRPr="00183658">
        <w:rPr>
          <w:rFonts w:ascii="Palatino Linotype" w:hAnsi="Palatino Linotype"/>
          <w:sz w:val="22"/>
          <w:szCs w:val="22"/>
        </w:rPr>
        <w:t>481, inciso 5</w:t>
      </w:r>
      <w:r w:rsidR="00183658">
        <w:rPr>
          <w:rFonts w:ascii="Palatino Linotype" w:hAnsi="Palatino Linotype"/>
          <w:sz w:val="22"/>
          <w:szCs w:val="22"/>
        </w:rPr>
        <w:t>)</w:t>
      </w:r>
      <w:r w:rsidR="00183658" w:rsidRPr="00183658">
        <w:rPr>
          <w:rFonts w:ascii="Palatino Linotype" w:hAnsi="Palatino Linotype"/>
          <w:sz w:val="22"/>
          <w:szCs w:val="22"/>
        </w:rPr>
        <w:t xml:space="preserve">, ibídem, </w:t>
      </w:r>
      <w:r w:rsidR="00183658">
        <w:rPr>
          <w:rFonts w:ascii="Palatino Linotype" w:hAnsi="Palatino Linotype"/>
          <w:sz w:val="22"/>
          <w:szCs w:val="22"/>
        </w:rPr>
        <w:t>establece</w:t>
      </w:r>
      <w:r w:rsidR="00C277ED">
        <w:rPr>
          <w:rFonts w:ascii="Palatino Linotype" w:hAnsi="Palatino Linotype"/>
          <w:sz w:val="22"/>
          <w:szCs w:val="22"/>
        </w:rPr>
        <w:t>:</w:t>
      </w:r>
      <w:r w:rsidR="00183658" w:rsidRPr="00183658">
        <w:rPr>
          <w:rFonts w:ascii="Palatino Linotype" w:hAnsi="Palatino Linotype"/>
          <w:sz w:val="22"/>
          <w:szCs w:val="22"/>
        </w:rPr>
        <w:t xml:space="preserve"> </w:t>
      </w:r>
      <w:r w:rsidR="00C277ED" w:rsidRPr="00C277ED">
        <w:rPr>
          <w:rFonts w:ascii="Palatino Linotype" w:hAnsi="Palatino Linotype"/>
          <w:i/>
          <w:sz w:val="22"/>
          <w:szCs w:val="22"/>
        </w:rPr>
        <w:t>“</w:t>
      </w:r>
      <w:r w:rsidR="00B9243D">
        <w:rPr>
          <w:rFonts w:ascii="Palatino Linotype" w:hAnsi="Palatino Linotype"/>
          <w:i/>
          <w:sz w:val="22"/>
          <w:szCs w:val="22"/>
        </w:rPr>
        <w:t xml:space="preserve">(…) </w:t>
      </w:r>
      <w:r w:rsidR="00183658" w:rsidRPr="00C277ED">
        <w:rPr>
          <w:rFonts w:ascii="Palatino Linotype" w:hAnsi="Palatino Linotype"/>
          <w:i/>
          <w:sz w:val="22"/>
          <w:szCs w:val="22"/>
        </w:rPr>
        <w:t>p</w:t>
      </w:r>
      <w:r w:rsidR="00183658" w:rsidRPr="00C277ED">
        <w:rPr>
          <w:rFonts w:ascii="Palatino Linotype" w:hAnsi="Palatino Linotype" w:cs="Arial"/>
          <w:i/>
          <w:sz w:val="22"/>
          <w:szCs w:val="22"/>
        </w:rPr>
        <w:t>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r w:rsidR="00C277ED" w:rsidRPr="00C277ED">
        <w:rPr>
          <w:rFonts w:ascii="Palatino Linotype" w:hAnsi="Palatino Linotype" w:cs="Arial"/>
          <w:i/>
          <w:sz w:val="22"/>
          <w:szCs w:val="22"/>
        </w:rPr>
        <w:t>”</w:t>
      </w:r>
      <w:r w:rsidR="00C277ED">
        <w:rPr>
          <w:rFonts w:ascii="Palatino Linotype" w:hAnsi="Palatino Linotype" w:cs="Arial"/>
          <w:sz w:val="22"/>
          <w:szCs w:val="22"/>
        </w:rPr>
        <w:t>;</w:t>
      </w:r>
    </w:p>
    <w:p w:rsidR="00F02902" w:rsidRPr="00974EE8" w:rsidRDefault="00F02902"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F02902" w:rsidRPr="00974EE8" w:rsidRDefault="00F02902" w:rsidP="001C2838">
      <w:pPr>
        <w:autoSpaceDE w:val="0"/>
        <w:autoSpaceDN w:val="0"/>
        <w:adjustRightInd w:val="0"/>
        <w:ind w:left="709" w:hanging="709"/>
        <w:jc w:val="both"/>
        <w:rPr>
          <w:rFonts w:ascii="Palatino Linotype" w:eastAsiaTheme="minorHAnsi" w:hAnsi="Palatino Linotype" w:cs="CourierNewNegrita"/>
          <w:sz w:val="22"/>
          <w:szCs w:val="22"/>
          <w:lang w:val="es-EC" w:eastAsia="en-US"/>
        </w:rPr>
      </w:pPr>
      <w:r w:rsidRPr="00974EE8">
        <w:rPr>
          <w:rFonts w:ascii="Palatino Linotype" w:eastAsiaTheme="minorHAnsi" w:hAnsi="Palatino Linotype" w:cs="CourierNewNegrita"/>
          <w:sz w:val="22"/>
          <w:szCs w:val="22"/>
          <w:lang w:val="es-EC" w:eastAsia="en-US"/>
        </w:rPr>
        <w:t>Que,</w:t>
      </w:r>
      <w:r w:rsidRPr="00974EE8">
        <w:rPr>
          <w:rFonts w:ascii="Palatino Linotype" w:eastAsiaTheme="minorHAnsi" w:hAnsi="Palatino Linotype" w:cs="CourierNewNegrita"/>
          <w:sz w:val="22"/>
          <w:szCs w:val="22"/>
          <w:lang w:val="es-EC" w:eastAsia="en-US"/>
        </w:rPr>
        <w:tab/>
        <w:t xml:space="preserve">el </w:t>
      </w:r>
      <w:r w:rsidR="000654FD" w:rsidRPr="000654FD">
        <w:rPr>
          <w:rFonts w:ascii="Palatino Linotype" w:hAnsi="Palatino Linotype"/>
          <w:sz w:val="22"/>
          <w:szCs w:val="22"/>
        </w:rPr>
        <w:t>Código Municipal para el Distrito Metropolitano de Quito, en el Título IV,</w:t>
      </w:r>
      <w:r w:rsidR="000654FD">
        <w:rPr>
          <w:rFonts w:ascii="Palatino Linotype" w:hAnsi="Palatino Linotype"/>
          <w:sz w:val="22"/>
          <w:szCs w:val="22"/>
        </w:rPr>
        <w:t xml:space="preserve"> </w:t>
      </w:r>
      <w:r w:rsidR="000654FD" w:rsidRPr="000654FD">
        <w:rPr>
          <w:rFonts w:ascii="Palatino Linotype" w:hAnsi="Palatino Linotype"/>
          <w:sz w:val="22"/>
          <w:szCs w:val="22"/>
        </w:rPr>
        <w:t>establece el procedimiento de declaratoria y regularización de bienes inmuebles</w:t>
      </w:r>
      <w:r w:rsidR="000654FD">
        <w:rPr>
          <w:rFonts w:ascii="Palatino Linotype" w:hAnsi="Palatino Linotype"/>
          <w:sz w:val="22"/>
          <w:szCs w:val="22"/>
        </w:rPr>
        <w:t xml:space="preserve"> </w:t>
      </w:r>
      <w:r w:rsidR="00B9243D">
        <w:rPr>
          <w:rFonts w:ascii="Palatino Linotype" w:hAnsi="Palatino Linotype"/>
          <w:sz w:val="22"/>
          <w:szCs w:val="22"/>
        </w:rPr>
        <w:t>urbanos mostrencos;</w:t>
      </w: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C2838" w:rsidRPr="000654FD" w:rsidRDefault="001C2838" w:rsidP="003C4C4F">
      <w:pPr>
        <w:autoSpaceDE w:val="0"/>
        <w:autoSpaceDN w:val="0"/>
        <w:adjustRightInd w:val="0"/>
        <w:ind w:left="705" w:hanging="705"/>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1A5479">
        <w:rPr>
          <w:rFonts w:ascii="Palatino Linotype" w:eastAsiaTheme="minorHAnsi" w:hAnsi="Palatino Linotype"/>
          <w:sz w:val="22"/>
          <w:szCs w:val="22"/>
          <w:lang w:val="es-EC" w:eastAsia="en-US"/>
        </w:rPr>
        <w:t>e</w:t>
      </w:r>
      <w:r w:rsidR="000654FD" w:rsidRPr="000654FD">
        <w:rPr>
          <w:rFonts w:ascii="Palatino Linotype" w:hAnsi="Palatino Linotype"/>
          <w:sz w:val="22"/>
          <w:szCs w:val="22"/>
        </w:rPr>
        <w:t>l art. IV.6.170, ídem, determina que bien mostrenco son aquellos bienes inmuebles</w:t>
      </w:r>
      <w:r w:rsidR="000654FD">
        <w:rPr>
          <w:rFonts w:ascii="Palatino Linotype" w:hAnsi="Palatino Linotype"/>
          <w:sz w:val="22"/>
          <w:szCs w:val="22"/>
        </w:rPr>
        <w:t xml:space="preserve"> </w:t>
      </w:r>
      <w:r w:rsidR="000654FD" w:rsidRPr="000654FD">
        <w:rPr>
          <w:rFonts w:ascii="Palatino Linotype" w:hAnsi="Palatino Linotype"/>
          <w:sz w:val="22"/>
          <w:szCs w:val="22"/>
        </w:rPr>
        <w:t>que carecen de dueño conocido, es decir todo aquel inmueble sobre el que no existe</w:t>
      </w:r>
      <w:r w:rsidR="000654FD">
        <w:rPr>
          <w:rFonts w:ascii="Palatino Linotype" w:hAnsi="Palatino Linotype"/>
          <w:sz w:val="22"/>
          <w:szCs w:val="22"/>
        </w:rPr>
        <w:t xml:space="preserve"> </w:t>
      </w:r>
      <w:r w:rsidR="000654FD" w:rsidRPr="000654FD">
        <w:rPr>
          <w:rFonts w:ascii="Palatino Linotype" w:hAnsi="Palatino Linotype"/>
          <w:sz w:val="22"/>
          <w:szCs w:val="22"/>
        </w:rPr>
        <w:t>título de dominio inscrito</w:t>
      </w:r>
      <w:r w:rsidR="00B9243D">
        <w:rPr>
          <w:rFonts w:ascii="Palatino Linotype" w:hAnsi="Palatino Linotype"/>
          <w:sz w:val="22"/>
          <w:szCs w:val="22"/>
        </w:rPr>
        <w:t xml:space="preserve"> en el Registro de la Propiedad;</w:t>
      </w:r>
    </w:p>
    <w:p w:rsidR="00F02902" w:rsidRPr="00974EE8" w:rsidRDefault="00F02902" w:rsidP="003C4C4F">
      <w:pPr>
        <w:autoSpaceDE w:val="0"/>
        <w:autoSpaceDN w:val="0"/>
        <w:adjustRightInd w:val="0"/>
        <w:ind w:left="705" w:hanging="705"/>
        <w:jc w:val="both"/>
        <w:rPr>
          <w:rFonts w:ascii="Palatino Linotype" w:eastAsiaTheme="minorHAnsi" w:hAnsi="Palatino Linotype"/>
          <w:i/>
          <w:sz w:val="22"/>
          <w:szCs w:val="22"/>
          <w:lang w:val="es-EC" w:eastAsia="en-US"/>
        </w:rPr>
      </w:pPr>
    </w:p>
    <w:p w:rsidR="00974EE8" w:rsidRDefault="00974EE8" w:rsidP="003C4C4F">
      <w:pPr>
        <w:autoSpaceDE w:val="0"/>
        <w:autoSpaceDN w:val="0"/>
        <w:adjustRightInd w:val="0"/>
        <w:ind w:left="705" w:hanging="705"/>
        <w:jc w:val="both"/>
        <w:rPr>
          <w:rFonts w:ascii="Palatino Linotype" w:hAnsi="Palatino Linotype"/>
          <w:sz w:val="22"/>
          <w:szCs w:val="22"/>
        </w:rPr>
      </w:pPr>
      <w:r w:rsidRPr="00974EE8">
        <w:rPr>
          <w:rFonts w:ascii="Palatino Linotype" w:hAnsi="Palatino Linotype"/>
          <w:sz w:val="22"/>
          <w:szCs w:val="22"/>
        </w:rPr>
        <w:t>Que,</w:t>
      </w:r>
      <w:r w:rsidRPr="00974EE8">
        <w:rPr>
          <w:rFonts w:ascii="Palatino Linotype" w:hAnsi="Palatino Linotype"/>
          <w:sz w:val="22"/>
          <w:szCs w:val="22"/>
        </w:rPr>
        <w:tab/>
      </w:r>
      <w:r w:rsidR="000654FD">
        <w:rPr>
          <w:rFonts w:ascii="Palatino Linotype" w:hAnsi="Palatino Linotype"/>
          <w:sz w:val="22"/>
          <w:szCs w:val="22"/>
        </w:rPr>
        <w:t>e</w:t>
      </w:r>
      <w:r w:rsidR="000654FD" w:rsidRPr="000654FD">
        <w:rPr>
          <w:rFonts w:ascii="Palatino Linotype" w:hAnsi="Palatino Linotype"/>
          <w:sz w:val="22"/>
          <w:szCs w:val="22"/>
        </w:rPr>
        <w:t>l art. IV.6.171, ibídem, establece que la autoridad competente para declarar y</w:t>
      </w:r>
      <w:r w:rsidR="000654FD">
        <w:rPr>
          <w:rFonts w:ascii="Palatino Linotype" w:hAnsi="Palatino Linotype"/>
          <w:sz w:val="22"/>
          <w:szCs w:val="22"/>
        </w:rPr>
        <w:t xml:space="preserve"> </w:t>
      </w:r>
      <w:r w:rsidR="000654FD" w:rsidRPr="000654FD">
        <w:rPr>
          <w:rFonts w:ascii="Palatino Linotype" w:hAnsi="Palatino Linotype"/>
          <w:sz w:val="22"/>
          <w:szCs w:val="22"/>
        </w:rPr>
        <w:t>regularizar un bien inmueble mostrenco es el Concejo Metropolitano de Quito, una</w:t>
      </w:r>
      <w:r w:rsidR="000654FD">
        <w:rPr>
          <w:rFonts w:ascii="Palatino Linotype" w:hAnsi="Palatino Linotype"/>
          <w:sz w:val="22"/>
          <w:szCs w:val="22"/>
        </w:rPr>
        <w:t xml:space="preserve"> </w:t>
      </w:r>
      <w:r w:rsidR="000654FD" w:rsidRPr="000654FD">
        <w:rPr>
          <w:rFonts w:ascii="Palatino Linotype" w:hAnsi="Palatino Linotype"/>
          <w:sz w:val="22"/>
          <w:szCs w:val="22"/>
        </w:rPr>
        <w:t>vez cumplido el procedimi</w:t>
      </w:r>
      <w:r w:rsidR="00B9243D">
        <w:rPr>
          <w:rFonts w:ascii="Palatino Linotype" w:hAnsi="Palatino Linotype"/>
          <w:sz w:val="22"/>
          <w:szCs w:val="22"/>
        </w:rPr>
        <w:t>ento establecido para el efecto;</w:t>
      </w:r>
    </w:p>
    <w:p w:rsidR="00DD4559" w:rsidRPr="00DD4559" w:rsidRDefault="00DD4559" w:rsidP="003C4C4F">
      <w:pPr>
        <w:autoSpaceDE w:val="0"/>
        <w:autoSpaceDN w:val="0"/>
        <w:adjustRightInd w:val="0"/>
        <w:ind w:left="705" w:hanging="705"/>
        <w:jc w:val="both"/>
        <w:rPr>
          <w:rFonts w:ascii="Palatino Linotype" w:hAnsi="Palatino Linotype"/>
        </w:rPr>
      </w:pPr>
    </w:p>
    <w:p w:rsidR="009540BE" w:rsidRPr="00223B71" w:rsidRDefault="00E80F18" w:rsidP="00C6700F">
      <w:pPr>
        <w:tabs>
          <w:tab w:val="left" w:pos="426"/>
        </w:tabs>
        <w:ind w:left="705" w:hanging="705"/>
        <w:jc w:val="both"/>
        <w:rPr>
          <w:rFonts w:ascii="Palatino Linotype" w:hAnsi="Palatino Linotype"/>
          <w:sz w:val="22"/>
          <w:szCs w:val="22"/>
        </w:rPr>
      </w:pPr>
      <w:r w:rsidRPr="00C60691">
        <w:rPr>
          <w:rFonts w:ascii="Palatino Linotype" w:eastAsiaTheme="minorHAnsi" w:hAnsi="Palatino Linotype"/>
          <w:sz w:val="22"/>
          <w:szCs w:val="22"/>
          <w:lang w:val="es-EC" w:eastAsia="en-US"/>
        </w:rPr>
        <w:lastRenderedPageBreak/>
        <w:t xml:space="preserve">Que, </w:t>
      </w:r>
      <w:r w:rsidRPr="00C60691">
        <w:rPr>
          <w:rFonts w:ascii="Palatino Linotype" w:eastAsiaTheme="minorHAnsi" w:hAnsi="Palatino Linotype"/>
          <w:sz w:val="22"/>
          <w:szCs w:val="22"/>
          <w:lang w:val="es-EC" w:eastAsia="en-US"/>
        </w:rPr>
        <w:tab/>
      </w:r>
      <w:r w:rsidR="004D0845">
        <w:rPr>
          <w:rFonts w:ascii="Palatino Linotype" w:eastAsiaTheme="minorHAnsi" w:hAnsi="Palatino Linotype"/>
          <w:sz w:val="22"/>
          <w:szCs w:val="22"/>
          <w:lang w:val="es-EC" w:eastAsia="en-US"/>
        </w:rPr>
        <w:t xml:space="preserve">con oficio s/n el señor </w:t>
      </w:r>
      <w:r w:rsidR="00223B71" w:rsidRPr="00223B71">
        <w:rPr>
          <w:rFonts w:ascii="Palatino Linotype" w:hAnsi="Palatino Linotype"/>
          <w:sz w:val="22"/>
          <w:szCs w:val="22"/>
        </w:rPr>
        <w:t>Luis Ernesto Cisneros, informa que se encuentra desistida y archivada la causa de juicio de prescripción adquisitiva de dominio, formulado por él y solicita que se continúe con el trámite administrativo de declaratoria de bien mostrenco al predio 213001, clave catastral No. 40102-14-021, ubicado en las calles Andrés Zúñiga Oe-</w:t>
      </w:r>
      <w:r w:rsidR="00B9243D">
        <w:rPr>
          <w:rFonts w:ascii="Palatino Linotype" w:hAnsi="Palatino Linotype"/>
          <w:sz w:val="22"/>
          <w:szCs w:val="22"/>
        </w:rPr>
        <w:t>1 122 y calle Gertrudis Avalos;</w:t>
      </w:r>
    </w:p>
    <w:p w:rsidR="001B367D" w:rsidRPr="00223B71" w:rsidRDefault="001B367D" w:rsidP="00C6700F">
      <w:pPr>
        <w:tabs>
          <w:tab w:val="left" w:pos="426"/>
        </w:tabs>
        <w:ind w:left="705" w:hanging="705"/>
        <w:jc w:val="both"/>
        <w:rPr>
          <w:rFonts w:ascii="Palatino Linotype" w:hAnsi="Palatino Linotype"/>
          <w:sz w:val="22"/>
          <w:szCs w:val="22"/>
        </w:rPr>
      </w:pPr>
    </w:p>
    <w:p w:rsidR="001B367D" w:rsidRPr="00E11238" w:rsidRDefault="001B367D" w:rsidP="00C6700F">
      <w:pPr>
        <w:tabs>
          <w:tab w:val="left" w:pos="426"/>
        </w:tabs>
        <w:ind w:left="705" w:hanging="705"/>
        <w:jc w:val="both"/>
        <w:rPr>
          <w:rFonts w:ascii="Palatino Linotype" w:hAnsi="Palatino Linotype"/>
          <w:sz w:val="22"/>
          <w:szCs w:val="22"/>
        </w:rPr>
      </w:pPr>
      <w:r w:rsidRPr="00223B71">
        <w:rPr>
          <w:rFonts w:ascii="Palatino Linotype" w:hAnsi="Palatino Linotype"/>
          <w:sz w:val="22"/>
          <w:szCs w:val="22"/>
        </w:rPr>
        <w:t>Que,</w:t>
      </w:r>
      <w:r w:rsidRPr="00223B71">
        <w:rPr>
          <w:rFonts w:ascii="Palatino Linotype" w:hAnsi="Palatino Linotype"/>
          <w:sz w:val="22"/>
          <w:szCs w:val="22"/>
        </w:rPr>
        <w:tab/>
      </w:r>
      <w:r w:rsidR="004D0845">
        <w:rPr>
          <w:rFonts w:ascii="Palatino Linotype" w:hAnsi="Palatino Linotype"/>
          <w:sz w:val="22"/>
          <w:szCs w:val="22"/>
        </w:rPr>
        <w:t>m</w:t>
      </w:r>
      <w:r w:rsidR="00223B71" w:rsidRPr="00223B71">
        <w:rPr>
          <w:rFonts w:ascii="Palatino Linotype" w:hAnsi="Palatino Linotype"/>
          <w:sz w:val="22"/>
          <w:szCs w:val="22"/>
        </w:rPr>
        <w:t>ediante Oficio No. DMC-CE-09980 de 20 de agosto de 201</w:t>
      </w:r>
      <w:r w:rsidR="004D0845">
        <w:rPr>
          <w:rFonts w:ascii="Palatino Linotype" w:hAnsi="Palatino Linotype"/>
          <w:sz w:val="22"/>
          <w:szCs w:val="22"/>
        </w:rPr>
        <w:t>8, el Ing. Enw</w:t>
      </w:r>
      <w:r w:rsidR="00223B71" w:rsidRPr="00223B71">
        <w:rPr>
          <w:rFonts w:ascii="Palatino Linotype" w:hAnsi="Palatino Linotype"/>
          <w:sz w:val="22"/>
          <w:szCs w:val="22"/>
        </w:rPr>
        <w:t>in Alexander Arroba Padilla, Coordinador de Gestión Especial Catastral de la Dirección Metropolitana de Catastro, manifestó, en lo pertinente, lo sig</w:t>
      </w:r>
      <w:r w:rsidR="00B9243D">
        <w:rPr>
          <w:rFonts w:ascii="Palatino Linotype" w:hAnsi="Palatino Linotype"/>
          <w:sz w:val="22"/>
          <w:szCs w:val="22"/>
        </w:rPr>
        <w:t xml:space="preserve">uiente (énfasis añadido): </w:t>
      </w:r>
      <w:r w:rsidR="00B9243D" w:rsidRPr="00B9243D">
        <w:rPr>
          <w:rFonts w:ascii="Palatino Linotype" w:hAnsi="Palatino Linotype"/>
          <w:i/>
          <w:sz w:val="22"/>
          <w:szCs w:val="22"/>
        </w:rPr>
        <w:t>“(...)</w:t>
      </w:r>
      <w:r w:rsidR="00223B71" w:rsidRPr="00B9243D">
        <w:rPr>
          <w:rFonts w:ascii="Palatino Linotype" w:hAnsi="Palatino Linotype"/>
          <w:i/>
          <w:sz w:val="22"/>
          <w:szCs w:val="22"/>
        </w:rPr>
        <w:t xml:space="preserve"> El inmueble identificado con el predio No. 213001 de clave catastral 40102-14-021, en el sistema histórico Rehosting consta con un área de 443,47 m2, que se encuentra ubicado la parroquia San Juan. Actualmente se encuentra catastrado en el sistema SIREC-Q en el área alfanumérica con datos según (denominación que consta en el campo de la ficha catastral como dato de escritura) 443,47 m2 y gráficamente tiene 425,27 m2 a nombre del MUNICIPIO DEL DISTRITO METROPOLITANO DE QUITO, por recorrido, sin datos</w:t>
      </w:r>
      <w:r w:rsidR="00B9243D" w:rsidRPr="00B9243D">
        <w:rPr>
          <w:rFonts w:ascii="Palatino Linotype" w:hAnsi="Palatino Linotype"/>
          <w:i/>
          <w:sz w:val="22"/>
          <w:szCs w:val="22"/>
        </w:rPr>
        <w:t xml:space="preserve"> de adq</w:t>
      </w:r>
      <w:r w:rsidR="00E11238">
        <w:rPr>
          <w:rFonts w:ascii="Palatino Linotype" w:hAnsi="Palatino Linotype"/>
          <w:i/>
          <w:sz w:val="22"/>
          <w:szCs w:val="22"/>
        </w:rPr>
        <w:t>uisición de dominio”</w:t>
      </w:r>
      <w:r w:rsidR="00E11238">
        <w:rPr>
          <w:rFonts w:ascii="Palatino Linotype" w:hAnsi="Palatino Linotype"/>
          <w:sz w:val="22"/>
          <w:szCs w:val="22"/>
        </w:rPr>
        <w:t>;</w:t>
      </w:r>
    </w:p>
    <w:p w:rsidR="00612644" w:rsidRPr="00223B71" w:rsidRDefault="00612644" w:rsidP="00C6700F">
      <w:pPr>
        <w:tabs>
          <w:tab w:val="left" w:pos="426"/>
        </w:tabs>
        <w:ind w:left="705" w:hanging="705"/>
        <w:jc w:val="both"/>
        <w:rPr>
          <w:rFonts w:ascii="Palatino Linotype" w:hAnsi="Palatino Linotype"/>
          <w:sz w:val="22"/>
          <w:szCs w:val="22"/>
        </w:rPr>
      </w:pPr>
    </w:p>
    <w:p w:rsidR="00724137" w:rsidRPr="00223B71" w:rsidRDefault="009540BE" w:rsidP="009540BE">
      <w:pPr>
        <w:tabs>
          <w:tab w:val="left" w:pos="426"/>
        </w:tabs>
        <w:ind w:left="705" w:hanging="705"/>
        <w:jc w:val="both"/>
        <w:rPr>
          <w:rFonts w:ascii="Palatino Linotype" w:hAnsi="Palatino Linotype"/>
          <w:sz w:val="22"/>
          <w:szCs w:val="22"/>
        </w:rPr>
      </w:pPr>
      <w:r w:rsidRPr="00223B71">
        <w:rPr>
          <w:rFonts w:ascii="Palatino Linotype" w:hAnsi="Palatino Linotype"/>
          <w:sz w:val="22"/>
          <w:szCs w:val="22"/>
        </w:rPr>
        <w:t>Que,</w:t>
      </w:r>
      <w:r w:rsidRPr="00223B71">
        <w:rPr>
          <w:rFonts w:ascii="Palatino Linotype" w:hAnsi="Palatino Linotype"/>
          <w:sz w:val="22"/>
          <w:szCs w:val="22"/>
        </w:rPr>
        <w:tab/>
      </w:r>
      <w:r w:rsidR="004D0845">
        <w:rPr>
          <w:rFonts w:ascii="Palatino Linotype" w:hAnsi="Palatino Linotype"/>
          <w:sz w:val="22"/>
          <w:szCs w:val="22"/>
        </w:rPr>
        <w:t>m</w:t>
      </w:r>
      <w:r w:rsidR="00223B71" w:rsidRPr="00223B71">
        <w:rPr>
          <w:rFonts w:ascii="Palatino Linotype" w:hAnsi="Palatino Linotype"/>
          <w:sz w:val="22"/>
          <w:szCs w:val="22"/>
        </w:rPr>
        <w:t xml:space="preserve">ediante Oficio No. RPDMQ-DGDA-2018-254 de 25 de octubre de 2018, el Ab. José Luis Aucancela, Director de Gestión Documental y Archivo del Registro de la Propiedad del Distrito Metropolitano de Quito, informó </w:t>
      </w:r>
      <w:r w:rsidR="00B9243D" w:rsidRPr="00223B71">
        <w:rPr>
          <w:rFonts w:ascii="Palatino Linotype" w:hAnsi="Palatino Linotype"/>
          <w:sz w:val="22"/>
          <w:szCs w:val="22"/>
        </w:rPr>
        <w:t>que,</w:t>
      </w:r>
      <w:r w:rsidR="00223B71" w:rsidRPr="00223B71">
        <w:rPr>
          <w:rFonts w:ascii="Palatino Linotype" w:hAnsi="Palatino Linotype"/>
          <w:sz w:val="22"/>
          <w:szCs w:val="22"/>
        </w:rPr>
        <w:t xml:space="preserve"> en base a la información proporcionada, esta entidad no encuentra el acta que constituye título de propiedad del inmueble con número de predio N°. 213001 y </w:t>
      </w:r>
      <w:r w:rsidR="00E11238">
        <w:rPr>
          <w:rFonts w:ascii="Palatino Linotype" w:hAnsi="Palatino Linotype"/>
          <w:sz w:val="22"/>
          <w:szCs w:val="22"/>
        </w:rPr>
        <w:t>clave catastral N° 40102-14-021;</w:t>
      </w:r>
    </w:p>
    <w:p w:rsidR="00223B71" w:rsidRPr="00223B71" w:rsidRDefault="00223B71" w:rsidP="009540BE">
      <w:pPr>
        <w:tabs>
          <w:tab w:val="left" w:pos="426"/>
        </w:tabs>
        <w:ind w:left="705" w:hanging="705"/>
        <w:jc w:val="both"/>
        <w:rPr>
          <w:rFonts w:ascii="Palatino Linotype" w:hAnsi="Palatino Linotype"/>
          <w:sz w:val="22"/>
          <w:szCs w:val="22"/>
        </w:rPr>
      </w:pPr>
    </w:p>
    <w:p w:rsidR="00223B71" w:rsidRPr="00223B71" w:rsidRDefault="00223B71" w:rsidP="00223B71">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D0845">
        <w:rPr>
          <w:rFonts w:ascii="Palatino Linotype" w:hAnsi="Palatino Linotype"/>
          <w:sz w:val="22"/>
          <w:szCs w:val="22"/>
        </w:rPr>
        <w:t>m</w:t>
      </w:r>
      <w:r w:rsidRPr="00223B71">
        <w:rPr>
          <w:rFonts w:ascii="Palatino Linotype" w:hAnsi="Palatino Linotype"/>
          <w:sz w:val="22"/>
          <w:szCs w:val="22"/>
        </w:rPr>
        <w:t>ediante Oficio No. AZMS-2018-3687 de 26 de diciembre de 2018, la Ing. Anabel Vintimilla Aguirre, Adm</w:t>
      </w:r>
      <w:bookmarkStart w:id="0" w:name="_GoBack"/>
      <w:bookmarkEnd w:id="0"/>
      <w:r w:rsidRPr="00223B71">
        <w:rPr>
          <w:rFonts w:ascii="Palatino Linotype" w:hAnsi="Palatino Linotype"/>
          <w:sz w:val="22"/>
          <w:szCs w:val="22"/>
        </w:rPr>
        <w:t>inistradora Zonal Centro "Manuela Sáenz", en consideración de los criterios técnico y legal emitidos por las Direcciones correspondientes, emite criterio FAVORABLE para que se continúe con el trámite correspondiente a fin de alcanzar del Concejo Metropolitano de Quito, la Declaratoria de Bien Mostrenco del inmueble predio No. 213001 y clave catastral No. 40102-14-021</w:t>
      </w:r>
      <w:r w:rsidR="00E11238">
        <w:rPr>
          <w:rFonts w:ascii="Palatino Linotype" w:hAnsi="Palatino Linotype"/>
          <w:sz w:val="22"/>
          <w:szCs w:val="22"/>
        </w:rPr>
        <w:t>;</w:t>
      </w:r>
    </w:p>
    <w:p w:rsidR="00223B71" w:rsidRDefault="00223B71" w:rsidP="00223B71">
      <w:pPr>
        <w:tabs>
          <w:tab w:val="left" w:pos="426"/>
        </w:tabs>
        <w:ind w:left="705" w:hanging="705"/>
        <w:jc w:val="both"/>
        <w:rPr>
          <w:sz w:val="26"/>
          <w:szCs w:val="26"/>
        </w:rPr>
      </w:pPr>
      <w:r>
        <w:rPr>
          <w:sz w:val="26"/>
          <w:szCs w:val="26"/>
        </w:rPr>
        <w:t xml:space="preserve">           </w:t>
      </w:r>
    </w:p>
    <w:p w:rsidR="00EF42F5" w:rsidRPr="00B9243D" w:rsidRDefault="004C1483" w:rsidP="00EF42F5">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D0845">
        <w:rPr>
          <w:rFonts w:ascii="Palatino Linotype" w:hAnsi="Palatino Linotype"/>
          <w:sz w:val="22"/>
          <w:szCs w:val="22"/>
        </w:rPr>
        <w:t>m</w:t>
      </w:r>
      <w:r w:rsidR="00223B71" w:rsidRPr="00223B71">
        <w:rPr>
          <w:rFonts w:ascii="Palatino Linotype" w:hAnsi="Palatino Linotype"/>
          <w:sz w:val="22"/>
          <w:szCs w:val="22"/>
        </w:rPr>
        <w:t xml:space="preserve">ediante Oficio No. DMGBI-2019-00664 de 28 de febrero de 2019, el CPA Roberto Guevara T., Director Metropolitano de Gestión de Bienes Inmuebles, en su parte pertinente, informó que: </w:t>
      </w:r>
      <w:r w:rsidR="00B9243D" w:rsidRPr="00B9243D">
        <w:rPr>
          <w:rFonts w:ascii="Palatino Linotype" w:hAnsi="Palatino Linotype"/>
          <w:i/>
          <w:sz w:val="22"/>
          <w:szCs w:val="22"/>
        </w:rPr>
        <w:t>“</w:t>
      </w:r>
      <w:r w:rsidR="00223B71" w:rsidRPr="00B9243D">
        <w:rPr>
          <w:rFonts w:ascii="Palatino Linotype" w:hAnsi="Palatino Linotype"/>
          <w:i/>
          <w:sz w:val="22"/>
          <w:szCs w:val="22"/>
        </w:rPr>
        <w:t>En atención al pedido formulado por el señor Luis Ernesto Cisneros, mediante el cual informa que en dos fojas útiles adjunto copias certificadas del estado procesal del juicio de prescripción adquisitiva de dominio, formulado por el suscrito y con el auto dictado por el señor Juez de la Unidad Judicial Civil con sede en la parroquia Iñaquito del Distrito Metropolitano de Quito, provincia Pichincha, en el cual consta que se encuentra desistida y archivada la causa" se solicita se proceda con la dec</w:t>
      </w:r>
      <w:r w:rsidR="00B9243D" w:rsidRPr="00B9243D">
        <w:rPr>
          <w:rFonts w:ascii="Palatino Linotype" w:hAnsi="Palatino Linotype"/>
          <w:i/>
          <w:sz w:val="22"/>
          <w:szCs w:val="22"/>
        </w:rPr>
        <w:t>laratoria de Bien Mostrenco, (…)</w:t>
      </w:r>
      <w:r w:rsidR="00223B71" w:rsidRPr="00B9243D">
        <w:rPr>
          <w:rFonts w:ascii="Palatino Linotype" w:hAnsi="Palatino Linotype"/>
          <w:i/>
          <w:sz w:val="22"/>
          <w:szCs w:val="22"/>
        </w:rPr>
        <w:t xml:space="preserve"> en base de los informes emitidos por la Administración Zonal "Manuela </w:t>
      </w:r>
      <w:r w:rsidR="00223B71" w:rsidRPr="00B9243D">
        <w:rPr>
          <w:rFonts w:ascii="Palatino Linotype" w:hAnsi="Palatino Linotype"/>
          <w:i/>
          <w:sz w:val="22"/>
          <w:szCs w:val="22"/>
        </w:rPr>
        <w:lastRenderedPageBreak/>
        <w:t>Sáenz", Dirección Metropolitana de Catastro y Registro de la Propiedad, razones por las que, esta Dirección considera procedente se continúe con el proceso para la declaración de bien mostrenco del inmueble identificado con predio No. 213001 de clave c</w:t>
      </w:r>
      <w:r w:rsidR="00B9243D">
        <w:rPr>
          <w:rFonts w:ascii="Palatino Linotype" w:hAnsi="Palatino Linotype"/>
          <w:i/>
          <w:sz w:val="22"/>
          <w:szCs w:val="22"/>
        </w:rPr>
        <w:t>atastral No. 40102-14-021 (... )</w:t>
      </w:r>
      <w:r w:rsidR="00223B71" w:rsidRPr="00B9243D">
        <w:rPr>
          <w:rFonts w:ascii="Palatino Linotype" w:hAnsi="Palatino Linotype"/>
          <w:i/>
          <w:sz w:val="22"/>
          <w:szCs w:val="22"/>
        </w:rPr>
        <w:t>"</w:t>
      </w:r>
      <w:r w:rsidR="00E11238">
        <w:rPr>
          <w:rFonts w:ascii="Palatino Linotype" w:hAnsi="Palatino Linotype"/>
          <w:sz w:val="22"/>
          <w:szCs w:val="22"/>
        </w:rPr>
        <w:t>;</w:t>
      </w:r>
    </w:p>
    <w:p w:rsidR="00EF42F5" w:rsidRPr="00EF42F5" w:rsidRDefault="00EF42F5" w:rsidP="009540BE">
      <w:pPr>
        <w:tabs>
          <w:tab w:val="left" w:pos="426"/>
        </w:tabs>
        <w:ind w:left="705" w:hanging="705"/>
        <w:jc w:val="both"/>
        <w:rPr>
          <w:rFonts w:ascii="Palatino Linotype" w:hAnsi="Palatino Linotype"/>
          <w:sz w:val="22"/>
          <w:szCs w:val="22"/>
        </w:rPr>
      </w:pPr>
    </w:p>
    <w:p w:rsidR="000E6777" w:rsidRPr="00E11238" w:rsidRDefault="000E6777" w:rsidP="000E6777">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D0845">
        <w:rPr>
          <w:rFonts w:ascii="Palatino Linotype" w:hAnsi="Palatino Linotype"/>
          <w:sz w:val="22"/>
          <w:szCs w:val="22"/>
        </w:rPr>
        <w:t>m</w:t>
      </w:r>
      <w:r w:rsidR="004D0845" w:rsidRPr="004D0845">
        <w:rPr>
          <w:rFonts w:ascii="Palatino Linotype" w:hAnsi="Palatino Linotype"/>
          <w:sz w:val="22"/>
          <w:szCs w:val="22"/>
        </w:rPr>
        <w:t xml:space="preserve">ediante Oficio Nro. GADDMQ-PM-SAU0S-2019-0119-0 de 25 de noviembre de 2019, el Dr. Edison Yépez Vinueza, Subprocurador Metropolitano </w:t>
      </w:r>
      <w:r w:rsidR="004D0845" w:rsidRPr="00225D22">
        <w:rPr>
          <w:rFonts w:ascii="Palatino Linotype" w:hAnsi="Palatino Linotype"/>
          <w:i/>
          <w:sz w:val="22"/>
          <w:szCs w:val="22"/>
        </w:rPr>
        <w:t>“</w:t>
      </w:r>
      <w:r w:rsidR="00225D22" w:rsidRPr="00225D22">
        <w:rPr>
          <w:rFonts w:ascii="Palatino Linotype" w:hAnsi="Palatino Linotype"/>
          <w:i/>
          <w:sz w:val="22"/>
          <w:szCs w:val="22"/>
        </w:rPr>
        <w:t xml:space="preserve">(…) </w:t>
      </w:r>
      <w:r w:rsidR="004D0845" w:rsidRPr="00225D22">
        <w:rPr>
          <w:rFonts w:ascii="Palatino Linotype" w:hAnsi="Palatino Linotype"/>
          <w:i/>
          <w:sz w:val="22"/>
          <w:szCs w:val="22"/>
        </w:rPr>
        <w:t>con fundamento en los informes expuestos, en consideración a que la declaratoria y regularización de los bienes mostrencos es competencia del Concejo Metropolitano de conformidad con los arts. 87, letra d) del COOTAD; y, art. 1V.6.171 de la Ordenanza Metropolitana No. 001 que contiene el Código Municipal para el Distrito Metropolitano de Quito. la Procuraduría Metropolitana emite informe jurídico favorable para que, de estimarlo pertinente, la Comisión de Propiedad y Espacio Público, una vez efectuadas las publicaciones establecidas en el art. 1V.6.181, inciso 2, del Código Municipal para el Distrito Metropolitano de Quito, continúe con el procedimiento para obtener del Concejo Metropolitano la declaratoria y regularización como bien mostrenco del predio No. 213001 y clave catastral No. 40102-14-021, ubicado en el sector de Centro Histórico, parroquia San Juan; y; disponga se incorpore al catastro urbano como bien de dominio privado, de propiedad del Municipio del Distrito Metropolitano de Quito. 2. Una vez que se expida la resolución de declaratoria de bien mostrenco por parte del Concejo Metropolitano, se realizarán las publicaciones establecidas en el art. IV.6.183 de la Ordenanza Metropolitana No. 001 que contiene el Código Municipal para el Distrito Metropolitano de Quito”</w:t>
      </w:r>
      <w:r w:rsidR="00E11238">
        <w:rPr>
          <w:rFonts w:ascii="Palatino Linotype" w:hAnsi="Palatino Linotype"/>
          <w:sz w:val="22"/>
          <w:szCs w:val="22"/>
        </w:rPr>
        <w:t>;</w:t>
      </w:r>
    </w:p>
    <w:p w:rsidR="005525E0" w:rsidRPr="003B2A8E" w:rsidRDefault="005525E0" w:rsidP="000E6777">
      <w:pPr>
        <w:tabs>
          <w:tab w:val="left" w:pos="426"/>
        </w:tabs>
        <w:ind w:left="705" w:hanging="705"/>
        <w:jc w:val="both"/>
        <w:rPr>
          <w:rFonts w:ascii="Palatino Linotype" w:hAnsi="Palatino Linotype"/>
          <w:sz w:val="22"/>
          <w:szCs w:val="22"/>
        </w:rPr>
      </w:pPr>
    </w:p>
    <w:p w:rsidR="005525E0" w:rsidRPr="00E11238" w:rsidRDefault="005525E0" w:rsidP="005525E0">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D0845" w:rsidRPr="004D0845">
        <w:rPr>
          <w:rFonts w:ascii="Palatino Linotype" w:hAnsi="Palatino Linotype"/>
          <w:sz w:val="22"/>
          <w:szCs w:val="22"/>
        </w:rPr>
        <w:t>la Dirección Metropolita de Catastro mediante oficio N° GADDMQ-DMC-GCE-2021-0014-O</w:t>
      </w:r>
      <w:r w:rsidR="00225D22">
        <w:rPr>
          <w:rFonts w:ascii="Palatino Linotype" w:hAnsi="Palatino Linotype"/>
          <w:sz w:val="22"/>
          <w:szCs w:val="22"/>
        </w:rPr>
        <w:t xml:space="preserve"> de 04 de enero de 2021, informó</w:t>
      </w:r>
      <w:r w:rsidR="004D0845">
        <w:rPr>
          <w:rFonts w:ascii="Palatino Linotype" w:hAnsi="Palatino Linotype"/>
          <w:sz w:val="22"/>
          <w:szCs w:val="22"/>
        </w:rPr>
        <w:t xml:space="preserve"> a la Dirección Metropolitana de Gestión de Bienes Inmuebles lo siguiente</w:t>
      </w:r>
      <w:r w:rsidR="004D0845" w:rsidRPr="004D0845">
        <w:rPr>
          <w:rFonts w:ascii="Palatino Linotype" w:hAnsi="Palatino Linotype"/>
          <w:sz w:val="22"/>
          <w:szCs w:val="22"/>
        </w:rPr>
        <w:t xml:space="preserve">: </w:t>
      </w:r>
      <w:r w:rsidR="004D0845" w:rsidRPr="00225D22">
        <w:rPr>
          <w:rFonts w:ascii="Palatino Linotype" w:hAnsi="Palatino Linotype"/>
          <w:i/>
          <w:sz w:val="22"/>
          <w:szCs w:val="22"/>
        </w:rPr>
        <w:t>“En atención al trámite No. GADDMQ-DMGBI-2020-2478-O de 09 de diciembre de 2020, mediante el cual solicita a la Dirección Metropolitana de Catastro, informar si el predio N° 213001,</w:t>
      </w:r>
      <w:r w:rsidR="00225D22">
        <w:rPr>
          <w:rFonts w:ascii="Palatino Linotype" w:hAnsi="Palatino Linotype"/>
          <w:i/>
          <w:sz w:val="22"/>
          <w:szCs w:val="22"/>
        </w:rPr>
        <w:t xml:space="preserve"> </w:t>
      </w:r>
      <w:r w:rsidR="004D0845" w:rsidRPr="00225D22">
        <w:rPr>
          <w:rFonts w:ascii="Palatino Linotype" w:hAnsi="Palatino Linotype"/>
          <w:i/>
          <w:sz w:val="22"/>
          <w:szCs w:val="22"/>
        </w:rPr>
        <w:t>que se encuentra en proceso de declaratoria de bien mostrenco, está inmerso o si es parte del inmueble de propiedad municipal predio N° 213004, expropiado a Gustavo, Luis Antonio y Martha Vaca Ruilova, se procede a remitir anexo el informe No.DMC-GCE-2021-001 del 04 de enero de 2021,</w:t>
      </w:r>
      <w:r w:rsidR="00225D22">
        <w:rPr>
          <w:rFonts w:ascii="Palatino Linotype" w:hAnsi="Palatino Linotype"/>
          <w:i/>
          <w:sz w:val="22"/>
          <w:szCs w:val="22"/>
        </w:rPr>
        <w:t xml:space="preserve"> </w:t>
      </w:r>
      <w:r w:rsidR="004D0845" w:rsidRPr="00225D22">
        <w:rPr>
          <w:rFonts w:ascii="Palatino Linotype" w:hAnsi="Palatino Linotype"/>
          <w:i/>
          <w:sz w:val="22"/>
          <w:szCs w:val="22"/>
        </w:rPr>
        <w:t>en que se concluye que, el predio N° 213001, no es parte del predio municipal expropiado a Gustavo, Luis Antonio y Martha Vaca Ruilova”</w:t>
      </w:r>
      <w:r w:rsidR="00E11238">
        <w:rPr>
          <w:rFonts w:ascii="Palatino Linotype" w:hAnsi="Palatino Linotype"/>
          <w:sz w:val="22"/>
          <w:szCs w:val="22"/>
        </w:rPr>
        <w:t>;</w:t>
      </w:r>
    </w:p>
    <w:p w:rsidR="005525E0" w:rsidRDefault="005525E0" w:rsidP="005525E0">
      <w:pPr>
        <w:tabs>
          <w:tab w:val="left" w:pos="426"/>
        </w:tabs>
        <w:ind w:left="705" w:hanging="705"/>
        <w:jc w:val="both"/>
        <w:rPr>
          <w:rFonts w:ascii="Palatino Linotype" w:hAnsi="Palatino Linotype"/>
          <w:sz w:val="22"/>
          <w:szCs w:val="22"/>
        </w:rPr>
      </w:pPr>
    </w:p>
    <w:p w:rsidR="00B37F9F" w:rsidRPr="00225D22" w:rsidRDefault="00B37F9F" w:rsidP="00B37F9F">
      <w:pPr>
        <w:tabs>
          <w:tab w:val="left" w:pos="426"/>
        </w:tabs>
        <w:ind w:left="705" w:hanging="705"/>
        <w:jc w:val="both"/>
        <w:rPr>
          <w:rFonts w:ascii="Palatino Linotype" w:hAnsi="Palatino Linotype"/>
          <w:sz w:val="22"/>
          <w:szCs w:val="22"/>
        </w:rPr>
      </w:pPr>
      <w:r w:rsidRPr="00F25E0F">
        <w:rPr>
          <w:rFonts w:ascii="Palatino Linotype" w:hAnsi="Palatino Linotype"/>
          <w:sz w:val="22"/>
          <w:szCs w:val="22"/>
        </w:rPr>
        <w:t>Que,</w:t>
      </w:r>
      <w:r w:rsidRPr="00F25E0F">
        <w:rPr>
          <w:rFonts w:ascii="Palatino Linotype" w:hAnsi="Palatino Linotype"/>
          <w:sz w:val="22"/>
          <w:szCs w:val="22"/>
        </w:rPr>
        <w:tab/>
      </w:r>
      <w:r w:rsidR="004D0845">
        <w:rPr>
          <w:rFonts w:ascii="Palatino Linotype" w:hAnsi="Palatino Linotype"/>
          <w:sz w:val="22"/>
          <w:szCs w:val="22"/>
        </w:rPr>
        <w:t xml:space="preserve">con </w:t>
      </w:r>
      <w:r w:rsidR="004D0845" w:rsidRPr="004D0845">
        <w:rPr>
          <w:rFonts w:ascii="Palatino Linotype" w:hAnsi="Palatino Linotype"/>
          <w:sz w:val="22"/>
          <w:szCs w:val="22"/>
        </w:rPr>
        <w:t>Oficio Nro. GAD</w:t>
      </w:r>
      <w:r w:rsidR="00225D22">
        <w:rPr>
          <w:rFonts w:ascii="Palatino Linotype" w:hAnsi="Palatino Linotype"/>
          <w:sz w:val="22"/>
          <w:szCs w:val="22"/>
        </w:rPr>
        <w:t>DMQ-DMGBI-2021-0184-O</w:t>
      </w:r>
      <w:r w:rsidR="004D0845" w:rsidRPr="004D0845">
        <w:rPr>
          <w:rFonts w:ascii="Palatino Linotype" w:hAnsi="Palatino Linotype"/>
          <w:sz w:val="22"/>
          <w:szCs w:val="22"/>
        </w:rPr>
        <w:t xml:space="preserve">, 20 de enero de 2021, la Dirección Metropolitana de Gestión de Bienes Inmuebles informa que:  </w:t>
      </w:r>
      <w:r w:rsidR="004D0845" w:rsidRPr="00225D22">
        <w:rPr>
          <w:rFonts w:ascii="Palatino Linotype" w:hAnsi="Palatino Linotype"/>
          <w:i/>
          <w:sz w:val="22"/>
          <w:szCs w:val="22"/>
        </w:rPr>
        <w:t>“Del informe emitido por la Dirección Metropolitana de Catastro el mismo que se encuentra debidamente detallado, y de acuerdo a la información constante en el expediente, se puede determinar que el  predio N° 213001, no es parte del predio municipal expropiado a Gustavo, Luis Antonio y Martha Vaca Ruilova; por lo que, es procedente continuar con el proceso de declaratoria de Bien Mostrenco del mismo”</w:t>
      </w:r>
      <w:r w:rsidR="00E11238">
        <w:rPr>
          <w:rFonts w:ascii="Palatino Linotype" w:hAnsi="Palatino Linotype"/>
          <w:sz w:val="22"/>
          <w:szCs w:val="22"/>
        </w:rPr>
        <w:t>; y,</w:t>
      </w:r>
    </w:p>
    <w:p w:rsidR="00BA1967" w:rsidRPr="004D0845" w:rsidRDefault="00BA1967" w:rsidP="00B37F9F">
      <w:pPr>
        <w:tabs>
          <w:tab w:val="left" w:pos="426"/>
        </w:tabs>
        <w:ind w:left="705" w:hanging="705"/>
        <w:jc w:val="both"/>
        <w:rPr>
          <w:rFonts w:ascii="Palatino Linotype" w:hAnsi="Palatino Linotype"/>
          <w:sz w:val="22"/>
          <w:szCs w:val="22"/>
        </w:rPr>
      </w:pPr>
    </w:p>
    <w:p w:rsidR="009368DD" w:rsidRPr="00CF36F1" w:rsidRDefault="009368DD" w:rsidP="009368DD">
      <w:pPr>
        <w:tabs>
          <w:tab w:val="left" w:pos="426"/>
        </w:tabs>
        <w:ind w:left="705" w:hanging="705"/>
        <w:jc w:val="both"/>
        <w:rPr>
          <w:rFonts w:ascii="Palatino Linotype" w:hAnsi="Palatino Linotype"/>
          <w:sz w:val="22"/>
          <w:szCs w:val="22"/>
        </w:rPr>
      </w:pPr>
      <w:r w:rsidRPr="00CF36F1">
        <w:rPr>
          <w:rFonts w:ascii="Palatino Linotype" w:hAnsi="Palatino Linotype"/>
          <w:sz w:val="22"/>
          <w:szCs w:val="22"/>
        </w:rPr>
        <w:t>Que,</w:t>
      </w:r>
      <w:r w:rsidRPr="00CF36F1">
        <w:rPr>
          <w:rFonts w:ascii="Palatino Linotype" w:hAnsi="Palatino Linotype"/>
          <w:sz w:val="22"/>
          <w:szCs w:val="22"/>
        </w:rPr>
        <w:tab/>
      </w:r>
      <w:r w:rsidR="00CF36F1" w:rsidRPr="00CF36F1">
        <w:rPr>
          <w:rFonts w:ascii="Palatino Linotype" w:eastAsiaTheme="minorHAnsi" w:hAnsi="Palatino Linotype"/>
          <w:sz w:val="22"/>
          <w:szCs w:val="22"/>
          <w:lang w:val="es-EC" w:eastAsia="en-US"/>
        </w:rPr>
        <w:t xml:space="preserve">la Comisión de Propiedad y Espacio Público, emitió </w:t>
      </w:r>
      <w:r w:rsidRPr="00CF36F1">
        <w:rPr>
          <w:rFonts w:ascii="Palatino Linotype" w:eastAsiaTheme="minorHAnsi" w:hAnsi="Palatino Linotype"/>
          <w:sz w:val="22"/>
          <w:szCs w:val="22"/>
          <w:lang w:val="es-EC" w:eastAsia="en-US"/>
        </w:rPr>
        <w:t>el Informe No. IC-CPP-20</w:t>
      </w:r>
      <w:r w:rsidR="004D0845">
        <w:rPr>
          <w:rFonts w:ascii="Palatino Linotype" w:eastAsiaTheme="minorHAnsi" w:hAnsi="Palatino Linotype"/>
          <w:sz w:val="22"/>
          <w:szCs w:val="22"/>
          <w:lang w:val="es-EC" w:eastAsia="en-US"/>
        </w:rPr>
        <w:t>21</w:t>
      </w:r>
      <w:r w:rsidRPr="00CF36F1">
        <w:rPr>
          <w:rFonts w:ascii="Palatino Linotype" w:eastAsiaTheme="minorHAnsi" w:hAnsi="Palatino Linotype"/>
          <w:sz w:val="22"/>
          <w:szCs w:val="22"/>
          <w:lang w:val="es-EC" w:eastAsia="en-US"/>
        </w:rPr>
        <w:t>-</w:t>
      </w:r>
      <w:r w:rsidR="00CF36F1" w:rsidRPr="00CF36F1">
        <w:rPr>
          <w:rFonts w:ascii="Palatino Linotype" w:eastAsiaTheme="minorHAnsi" w:hAnsi="Palatino Linotype"/>
          <w:sz w:val="22"/>
          <w:szCs w:val="22"/>
          <w:lang w:val="es-EC" w:eastAsia="en-US"/>
        </w:rPr>
        <w:t>XXX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XXXXXX</w:t>
      </w:r>
      <w:r w:rsidRPr="00CF36F1">
        <w:rPr>
          <w:rFonts w:ascii="Palatino Linotype" w:eastAsiaTheme="minorHAnsi" w:hAnsi="Palatino Linotype"/>
          <w:sz w:val="22"/>
          <w:szCs w:val="22"/>
          <w:lang w:val="es-EC" w:eastAsia="en-US"/>
        </w:rPr>
        <w:t xml:space="preserve"> de 20</w:t>
      </w:r>
      <w:r w:rsidR="00CF36F1" w:rsidRPr="00CF36F1">
        <w:rPr>
          <w:rFonts w:ascii="Palatino Linotype" w:eastAsiaTheme="minorHAnsi" w:hAnsi="Palatino Linotype"/>
          <w:sz w:val="22"/>
          <w:szCs w:val="22"/>
          <w:lang w:val="es-EC" w:eastAsia="en-US"/>
        </w:rPr>
        <w:t>2</w:t>
      </w:r>
      <w:r w:rsidR="004D0845">
        <w:rPr>
          <w:rFonts w:ascii="Palatino Linotype" w:eastAsiaTheme="minorHAnsi" w:hAnsi="Palatino Linotype"/>
          <w:sz w:val="22"/>
          <w:szCs w:val="22"/>
          <w:lang w:val="es-EC" w:eastAsia="en-US"/>
        </w:rPr>
        <w:t>1</w:t>
      </w:r>
      <w:r w:rsidRPr="00CF36F1">
        <w:rPr>
          <w:rFonts w:ascii="Palatino Linotype" w:eastAsiaTheme="minorHAnsi" w:hAnsi="Palatino Linotype"/>
          <w:sz w:val="22"/>
          <w:szCs w:val="22"/>
          <w:lang w:val="es-EC" w:eastAsia="en-US"/>
        </w:rPr>
        <w:t>, el que contiene el dictamen favorable para que el Concejo Metropolitano se pronuncie en los términos previstos en la presente resolución.</w:t>
      </w:r>
    </w:p>
    <w:p w:rsidR="006A1262" w:rsidRPr="00974EE8" w:rsidRDefault="006A1262" w:rsidP="006F7558">
      <w:pPr>
        <w:autoSpaceDE w:val="0"/>
        <w:autoSpaceDN w:val="0"/>
        <w:adjustRightInd w:val="0"/>
        <w:jc w:val="both"/>
        <w:rPr>
          <w:rFonts w:ascii="Palatino Linotype" w:eastAsiaTheme="minorHAnsi" w:hAnsi="Palatino Linotype"/>
          <w:sz w:val="22"/>
          <w:szCs w:val="22"/>
          <w:lang w:val="es-EC" w:eastAsia="en-US"/>
        </w:rPr>
      </w:pPr>
    </w:p>
    <w:p w:rsidR="00DB1E50" w:rsidRDefault="0081412D" w:rsidP="00DB1E50">
      <w:pPr>
        <w:autoSpaceDE w:val="0"/>
        <w:autoSpaceDN w:val="0"/>
        <w:adjustRightInd w:val="0"/>
        <w:jc w:val="both"/>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El Concejo Metropolitano</w:t>
      </w:r>
      <w:r w:rsidR="00447553">
        <w:rPr>
          <w:rFonts w:ascii="Palatino Linotype" w:eastAsiaTheme="minorHAnsi" w:hAnsi="Palatino Linotype"/>
          <w:b/>
          <w:bCs/>
          <w:sz w:val="22"/>
          <w:szCs w:val="22"/>
          <w:lang w:val="es-EC" w:eastAsia="en-US"/>
        </w:rPr>
        <w:t xml:space="preserve"> de Quito, </w:t>
      </w:r>
      <w:r w:rsidR="00B870E0" w:rsidRPr="00B870E0">
        <w:rPr>
          <w:rFonts w:ascii="Palatino Linotype" w:hAnsi="Palatino Linotype"/>
          <w:b/>
          <w:sz w:val="22"/>
          <w:szCs w:val="22"/>
        </w:rPr>
        <w:t>luego de analizar el Informe No</w:t>
      </w:r>
      <w:r>
        <w:rPr>
          <w:rFonts w:ascii="Palatino Linotype" w:hAnsi="Palatino Linotype"/>
          <w:b/>
          <w:sz w:val="22"/>
          <w:szCs w:val="22"/>
        </w:rPr>
        <w:t>. XXXX</w:t>
      </w:r>
      <w:r w:rsidR="00B870E0" w:rsidRPr="00B870E0">
        <w:rPr>
          <w:rFonts w:ascii="Palatino Linotype" w:hAnsi="Palatino Linotype"/>
          <w:b/>
          <w:sz w:val="22"/>
          <w:szCs w:val="22"/>
        </w:rPr>
        <w:t>, emitido por la Comisión de Propiedad y Espacio Público</w:t>
      </w:r>
      <w:r w:rsidR="00B870E0">
        <w:rPr>
          <w:rFonts w:ascii="Palatino Linotype" w:hAnsi="Palatino Linotype"/>
          <w:b/>
          <w:sz w:val="22"/>
          <w:szCs w:val="22"/>
        </w:rPr>
        <w:t>,</w:t>
      </w:r>
      <w:r w:rsidR="00B870E0" w:rsidRPr="00B870E0">
        <w:rPr>
          <w:rFonts w:ascii="Palatino Linotype" w:hAnsi="Palatino Linotype"/>
          <w:b/>
          <w:sz w:val="22"/>
          <w:szCs w:val="22"/>
        </w:rPr>
        <w:t xml:space="preserve"> y</w:t>
      </w:r>
      <w:r w:rsidR="00B870E0">
        <w:rPr>
          <w:rFonts w:ascii="Palatino Linotype" w:hAnsi="Palatino Linotype"/>
          <w:sz w:val="22"/>
          <w:szCs w:val="22"/>
        </w:rPr>
        <w:t xml:space="preserve"> </w:t>
      </w:r>
      <w:r w:rsidR="00447553">
        <w:rPr>
          <w:rFonts w:ascii="Palatino Linotype" w:eastAsiaTheme="minorHAnsi" w:hAnsi="Palatino Linotype"/>
          <w:b/>
          <w:bCs/>
          <w:sz w:val="22"/>
          <w:szCs w:val="22"/>
          <w:lang w:val="es-EC" w:eastAsia="en-US"/>
        </w:rPr>
        <w:t>e</w:t>
      </w:r>
      <w:r w:rsidR="006F7558" w:rsidRPr="00974EE8">
        <w:rPr>
          <w:rFonts w:ascii="Palatino Linotype" w:eastAsiaTheme="minorHAnsi" w:hAnsi="Palatino Linotype"/>
          <w:b/>
          <w:bCs/>
          <w:sz w:val="22"/>
          <w:szCs w:val="22"/>
          <w:lang w:val="es-EC" w:eastAsia="en-US"/>
        </w:rPr>
        <w:t xml:space="preserve">n ejercicio de sus atribuciones previstas en </w:t>
      </w:r>
      <w:r w:rsidR="00DB1E50" w:rsidRPr="00974EE8">
        <w:rPr>
          <w:rFonts w:ascii="Palatino Linotype" w:eastAsiaTheme="minorHAnsi" w:hAnsi="Palatino Linotype"/>
          <w:b/>
          <w:bCs/>
          <w:sz w:val="22"/>
          <w:szCs w:val="22"/>
          <w:lang w:val="es-EC" w:eastAsia="en-US"/>
        </w:rPr>
        <w:t>l</w:t>
      </w:r>
      <w:r w:rsidR="004B18A6">
        <w:rPr>
          <w:rFonts w:ascii="Palatino Linotype" w:eastAsiaTheme="minorHAnsi" w:hAnsi="Palatino Linotype"/>
          <w:b/>
          <w:bCs/>
          <w:sz w:val="22"/>
          <w:szCs w:val="22"/>
          <w:lang w:val="es-EC" w:eastAsia="en-US"/>
        </w:rPr>
        <w:t>os</w:t>
      </w:r>
      <w:r w:rsidR="00DB1E50" w:rsidRPr="00974EE8">
        <w:rPr>
          <w:rFonts w:ascii="Palatino Linotype" w:eastAsiaTheme="minorHAnsi" w:hAnsi="Palatino Linotype"/>
          <w:b/>
          <w:bCs/>
          <w:sz w:val="22"/>
          <w:szCs w:val="22"/>
          <w:lang w:val="es-EC" w:eastAsia="en-US"/>
        </w:rPr>
        <w:t xml:space="preserve"> artículo</w:t>
      </w:r>
      <w:r w:rsidR="00225D22">
        <w:rPr>
          <w:rFonts w:ascii="Palatino Linotype" w:eastAsiaTheme="minorHAnsi" w:hAnsi="Palatino Linotype"/>
          <w:b/>
          <w:bCs/>
          <w:sz w:val="22"/>
          <w:szCs w:val="22"/>
          <w:lang w:val="es-EC" w:eastAsia="en-US"/>
        </w:rPr>
        <w:t>s: 87 literal d),</w:t>
      </w:r>
      <w:r w:rsidR="00DB1E50">
        <w:rPr>
          <w:rFonts w:ascii="Palatino Linotype" w:eastAsiaTheme="minorHAnsi" w:hAnsi="Palatino Linotype"/>
          <w:b/>
          <w:bCs/>
          <w:sz w:val="22"/>
          <w:szCs w:val="22"/>
          <w:lang w:val="es-EC" w:eastAsia="en-US"/>
        </w:rPr>
        <w:t xml:space="preserve"> 415,</w:t>
      </w:r>
      <w:r w:rsidR="00447553">
        <w:rPr>
          <w:rFonts w:ascii="Palatino Linotype" w:eastAsiaTheme="minorHAnsi" w:hAnsi="Palatino Linotype"/>
          <w:b/>
          <w:bCs/>
          <w:sz w:val="22"/>
          <w:szCs w:val="22"/>
          <w:lang w:val="es-EC" w:eastAsia="en-US"/>
        </w:rPr>
        <w:t xml:space="preserve"> </w:t>
      </w:r>
      <w:r w:rsidR="00DB1E50">
        <w:rPr>
          <w:rFonts w:ascii="Palatino Linotype" w:eastAsiaTheme="minorHAnsi" w:hAnsi="Palatino Linotype"/>
          <w:b/>
          <w:bCs/>
          <w:sz w:val="22"/>
          <w:szCs w:val="22"/>
          <w:lang w:val="es-EC" w:eastAsia="en-US"/>
        </w:rPr>
        <w:t>419</w:t>
      </w:r>
      <w:r w:rsidR="008B72EF">
        <w:rPr>
          <w:rFonts w:ascii="Palatino Linotype" w:eastAsiaTheme="minorHAnsi" w:hAnsi="Palatino Linotype"/>
          <w:b/>
          <w:bCs/>
          <w:sz w:val="22"/>
          <w:szCs w:val="22"/>
          <w:lang w:val="es-EC" w:eastAsia="en-US"/>
        </w:rPr>
        <w:t xml:space="preserve"> y</w:t>
      </w:r>
      <w:r w:rsidR="00DB1E50">
        <w:rPr>
          <w:rFonts w:ascii="Palatino Linotype" w:eastAsiaTheme="minorHAnsi" w:hAnsi="Palatino Linotype"/>
          <w:b/>
          <w:bCs/>
          <w:sz w:val="22"/>
          <w:szCs w:val="22"/>
          <w:lang w:val="es-EC" w:eastAsia="en-US"/>
        </w:rPr>
        <w:t>,</w:t>
      </w:r>
      <w:r w:rsidR="00447553">
        <w:rPr>
          <w:rFonts w:ascii="Palatino Linotype" w:eastAsiaTheme="minorHAnsi" w:hAnsi="Palatino Linotype"/>
          <w:b/>
          <w:bCs/>
          <w:sz w:val="22"/>
          <w:szCs w:val="22"/>
          <w:lang w:val="es-EC" w:eastAsia="en-US"/>
        </w:rPr>
        <w:t xml:space="preserve"> </w:t>
      </w:r>
      <w:r w:rsidR="00DB1E50">
        <w:rPr>
          <w:rFonts w:ascii="Palatino Linotype" w:eastAsiaTheme="minorHAnsi" w:hAnsi="Palatino Linotype"/>
          <w:b/>
          <w:bCs/>
          <w:sz w:val="22"/>
          <w:szCs w:val="22"/>
          <w:lang w:val="es-EC" w:eastAsia="en-US"/>
        </w:rPr>
        <w:t>4</w:t>
      </w:r>
      <w:r w:rsidR="004B18A6">
        <w:rPr>
          <w:rFonts w:ascii="Palatino Linotype" w:eastAsiaTheme="minorHAnsi" w:hAnsi="Palatino Linotype"/>
          <w:b/>
          <w:bCs/>
          <w:sz w:val="22"/>
          <w:szCs w:val="22"/>
          <w:lang w:val="es-EC" w:eastAsia="en-US"/>
        </w:rPr>
        <w:t>81</w:t>
      </w:r>
      <w:r w:rsidR="00DB1E50" w:rsidRPr="00974EE8">
        <w:rPr>
          <w:rFonts w:ascii="Palatino Linotype" w:eastAsiaTheme="minorHAnsi" w:hAnsi="Palatino Linotype"/>
          <w:b/>
          <w:bCs/>
          <w:sz w:val="22"/>
          <w:szCs w:val="22"/>
          <w:lang w:val="es-EC" w:eastAsia="en-US"/>
        </w:rPr>
        <w:t xml:space="preserve"> del Código Orgánico de Organización Territorial, Autonomía y Descentralización;</w:t>
      </w:r>
      <w:r w:rsidR="004B18A6">
        <w:rPr>
          <w:rFonts w:ascii="Palatino Linotype" w:eastAsiaTheme="minorHAnsi" w:hAnsi="Palatino Linotype"/>
          <w:b/>
          <w:bCs/>
          <w:sz w:val="22"/>
          <w:szCs w:val="22"/>
          <w:lang w:val="es-EC" w:eastAsia="en-US"/>
        </w:rPr>
        <w:t xml:space="preserve"> </w:t>
      </w:r>
      <w:r w:rsidR="008B72EF" w:rsidRPr="008B72EF">
        <w:rPr>
          <w:rFonts w:ascii="Palatino Linotype" w:hAnsi="Palatino Linotype"/>
          <w:b/>
          <w:sz w:val="22"/>
          <w:szCs w:val="22"/>
        </w:rPr>
        <w:t>artículos: IV.6.170</w:t>
      </w:r>
      <w:r w:rsidR="00B870E0">
        <w:rPr>
          <w:rFonts w:ascii="Palatino Linotype" w:hAnsi="Palatino Linotype"/>
          <w:b/>
          <w:sz w:val="22"/>
          <w:szCs w:val="22"/>
        </w:rPr>
        <w:t xml:space="preserve"> y</w:t>
      </w:r>
      <w:r w:rsidR="007C4E85">
        <w:rPr>
          <w:rFonts w:ascii="Palatino Linotype" w:hAnsi="Palatino Linotype"/>
          <w:b/>
          <w:sz w:val="22"/>
          <w:szCs w:val="22"/>
        </w:rPr>
        <w:t xml:space="preserve"> </w:t>
      </w:r>
      <w:r w:rsidR="008B72EF" w:rsidRPr="008B72EF">
        <w:rPr>
          <w:rFonts w:ascii="Palatino Linotype" w:hAnsi="Palatino Linotype"/>
          <w:b/>
          <w:sz w:val="22"/>
          <w:szCs w:val="22"/>
        </w:rPr>
        <w:t>IV.6.</w:t>
      </w:r>
      <w:r w:rsidR="00B870E0">
        <w:rPr>
          <w:rFonts w:ascii="Palatino Linotype" w:hAnsi="Palatino Linotype"/>
          <w:b/>
          <w:sz w:val="22"/>
          <w:szCs w:val="22"/>
        </w:rPr>
        <w:t>171</w:t>
      </w:r>
      <w:r w:rsidR="008B72EF" w:rsidRPr="008B72EF">
        <w:rPr>
          <w:rFonts w:ascii="Palatino Linotype" w:hAnsi="Palatino Linotype"/>
          <w:b/>
          <w:sz w:val="22"/>
          <w:szCs w:val="22"/>
        </w:rPr>
        <w:t xml:space="preserve"> contenidos en el Título IV</w:t>
      </w:r>
      <w:r w:rsidR="008B72EF">
        <w:rPr>
          <w:rFonts w:ascii="Palatino Linotype" w:hAnsi="Palatino Linotype"/>
          <w:b/>
          <w:sz w:val="22"/>
          <w:szCs w:val="22"/>
        </w:rPr>
        <w:t>,</w:t>
      </w:r>
      <w:r w:rsidR="008B72EF" w:rsidRPr="008B72EF">
        <w:rPr>
          <w:rFonts w:ascii="Palatino Linotype" w:hAnsi="Palatino Linotype"/>
          <w:b/>
          <w:sz w:val="22"/>
          <w:szCs w:val="22"/>
        </w:rPr>
        <w:t xml:space="preserve"> d</w:t>
      </w:r>
      <w:r w:rsidR="008B72EF" w:rsidRPr="008B72EF">
        <w:rPr>
          <w:rFonts w:ascii="Palatino Linotype" w:eastAsiaTheme="minorHAnsi" w:hAnsi="Palatino Linotype" w:cs="CourierNewNegrita"/>
          <w:b/>
          <w:sz w:val="22"/>
          <w:szCs w:val="22"/>
          <w:lang w:val="es-EC" w:eastAsia="en-US"/>
        </w:rPr>
        <w:t xml:space="preserve">el </w:t>
      </w:r>
      <w:r w:rsidR="008B72EF" w:rsidRPr="008B72EF">
        <w:rPr>
          <w:rFonts w:ascii="Palatino Linotype" w:hAnsi="Palatino Linotype"/>
          <w:b/>
          <w:sz w:val="22"/>
          <w:szCs w:val="22"/>
        </w:rPr>
        <w:t>Código Municipal para el Distrito Metropolitano de Quito;</w:t>
      </w:r>
    </w:p>
    <w:p w:rsidR="00387B31" w:rsidRDefault="00387B31" w:rsidP="006F7558">
      <w:pPr>
        <w:autoSpaceDE w:val="0"/>
        <w:autoSpaceDN w:val="0"/>
        <w:adjustRightInd w:val="0"/>
        <w:jc w:val="center"/>
        <w:rPr>
          <w:rFonts w:ascii="Palatino Linotype" w:eastAsiaTheme="minorHAnsi" w:hAnsi="Palatino Linotype"/>
          <w:b/>
          <w:bCs/>
          <w:sz w:val="32"/>
          <w:szCs w:val="32"/>
          <w:lang w:val="es-EC" w:eastAsia="en-US"/>
        </w:rPr>
      </w:pPr>
    </w:p>
    <w:p w:rsidR="006F7558" w:rsidRDefault="006F7558" w:rsidP="006F7558">
      <w:pPr>
        <w:autoSpaceDE w:val="0"/>
        <w:autoSpaceDN w:val="0"/>
        <w:adjustRightInd w:val="0"/>
        <w:jc w:val="center"/>
        <w:rPr>
          <w:rFonts w:ascii="Palatino Linotype" w:eastAsiaTheme="minorHAnsi" w:hAnsi="Palatino Linotype"/>
          <w:b/>
          <w:bCs/>
          <w:sz w:val="32"/>
          <w:szCs w:val="32"/>
          <w:lang w:val="es-EC" w:eastAsia="en-US"/>
        </w:rPr>
      </w:pPr>
      <w:r w:rsidRPr="008F1A94">
        <w:rPr>
          <w:rFonts w:ascii="Palatino Linotype" w:eastAsiaTheme="minorHAnsi" w:hAnsi="Palatino Linotype"/>
          <w:b/>
          <w:bCs/>
          <w:sz w:val="32"/>
          <w:szCs w:val="32"/>
          <w:lang w:val="es-EC" w:eastAsia="en-US"/>
        </w:rPr>
        <w:t>RESUELVE</w:t>
      </w:r>
      <w:r w:rsidR="00445D37" w:rsidRPr="008F1A94">
        <w:rPr>
          <w:rFonts w:ascii="Palatino Linotype" w:eastAsiaTheme="minorHAnsi" w:hAnsi="Palatino Linotype"/>
          <w:b/>
          <w:bCs/>
          <w:sz w:val="32"/>
          <w:szCs w:val="32"/>
          <w:lang w:val="es-EC" w:eastAsia="en-US"/>
        </w:rPr>
        <w:t>:</w:t>
      </w:r>
    </w:p>
    <w:p w:rsidR="00DC12CE" w:rsidRDefault="00DC12CE" w:rsidP="00816B47">
      <w:pPr>
        <w:autoSpaceDE w:val="0"/>
        <w:autoSpaceDN w:val="0"/>
        <w:adjustRightInd w:val="0"/>
        <w:jc w:val="both"/>
        <w:rPr>
          <w:rFonts w:ascii="Palatino Linotype" w:eastAsiaTheme="minorHAnsi" w:hAnsi="Palatino Linotype"/>
          <w:b/>
          <w:sz w:val="22"/>
          <w:szCs w:val="22"/>
          <w:lang w:val="es-EC" w:eastAsia="en-US"/>
        </w:rPr>
      </w:pPr>
    </w:p>
    <w:p w:rsidR="00DC12CE" w:rsidRDefault="00D60378" w:rsidP="00816B47">
      <w:pPr>
        <w:autoSpaceDE w:val="0"/>
        <w:autoSpaceDN w:val="0"/>
        <w:adjustRightInd w:val="0"/>
        <w:jc w:val="both"/>
        <w:rPr>
          <w:rFonts w:ascii="Palatino Linotype" w:eastAsiaTheme="minorHAnsi" w:hAnsi="Palatino Linotype"/>
          <w:sz w:val="22"/>
          <w:szCs w:val="22"/>
          <w:lang w:val="es-EC" w:eastAsia="en-US"/>
        </w:rPr>
      </w:pPr>
      <w:r w:rsidRPr="00974EE8">
        <w:rPr>
          <w:rFonts w:ascii="Palatino Linotype" w:eastAsiaTheme="minorHAnsi" w:hAnsi="Palatino Linotype"/>
          <w:b/>
          <w:sz w:val="22"/>
          <w:szCs w:val="22"/>
          <w:lang w:val="es-EC" w:eastAsia="en-US"/>
        </w:rPr>
        <w:t>Artículo 1.-</w:t>
      </w:r>
      <w:r w:rsidR="004F3B8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 </w:t>
      </w:r>
      <w:r w:rsidR="00225D22" w:rsidRPr="008B72EF">
        <w:rPr>
          <w:rFonts w:ascii="Palatino Linotype" w:hAnsi="Palatino Linotype"/>
          <w:sz w:val="22"/>
          <w:szCs w:val="22"/>
        </w:rPr>
        <w:t xml:space="preserve">Declarar </w:t>
      </w:r>
      <w:r w:rsidR="008B72EF" w:rsidRPr="008B72EF">
        <w:rPr>
          <w:rFonts w:ascii="Palatino Linotype" w:hAnsi="Palatino Linotype"/>
          <w:sz w:val="22"/>
          <w:szCs w:val="22"/>
        </w:rPr>
        <w:t xml:space="preserve">como bien </w:t>
      </w:r>
      <w:r w:rsidR="008B72EF">
        <w:rPr>
          <w:rFonts w:ascii="Palatino Linotype" w:hAnsi="Palatino Linotype"/>
          <w:sz w:val="22"/>
          <w:szCs w:val="22"/>
        </w:rPr>
        <w:t>mostrenco</w:t>
      </w:r>
      <w:r w:rsidR="00DC12CE">
        <w:rPr>
          <w:rFonts w:ascii="Palatino Linotype" w:hAnsi="Palatino Linotype"/>
          <w:sz w:val="22"/>
          <w:szCs w:val="22"/>
        </w:rPr>
        <w:t xml:space="preserve"> de dominio privado</w:t>
      </w:r>
      <w:r w:rsidR="001D082C">
        <w:rPr>
          <w:rFonts w:ascii="Palatino Linotype" w:hAnsi="Palatino Linotype"/>
          <w:sz w:val="22"/>
          <w:szCs w:val="22"/>
        </w:rPr>
        <w:t xml:space="preserve"> </w:t>
      </w:r>
      <w:r w:rsidR="004D0845" w:rsidRPr="00223B71">
        <w:rPr>
          <w:rFonts w:ascii="Palatino Linotype" w:hAnsi="Palatino Linotype"/>
          <w:sz w:val="22"/>
          <w:szCs w:val="22"/>
        </w:rPr>
        <w:t xml:space="preserve">el inmueble identificado con predio No. 213001 de clave catastral No. 40102-14-021 </w:t>
      </w:r>
      <w:r w:rsidR="001D082C" w:rsidRPr="00A52F4A">
        <w:rPr>
          <w:rFonts w:ascii="Palatino Linotype" w:hAnsi="Palatino Linotype"/>
          <w:sz w:val="22"/>
          <w:szCs w:val="22"/>
        </w:rPr>
        <w:t xml:space="preserve">con un área de </w:t>
      </w:r>
      <w:r w:rsidR="004D0845">
        <w:rPr>
          <w:rFonts w:ascii="Palatino Linotype" w:hAnsi="Palatino Linotype"/>
          <w:sz w:val="22"/>
          <w:szCs w:val="22"/>
        </w:rPr>
        <w:t>443,47</w:t>
      </w:r>
      <w:r w:rsidR="00225D22">
        <w:rPr>
          <w:rFonts w:ascii="Palatino Linotype" w:hAnsi="Palatino Linotype"/>
          <w:sz w:val="22"/>
          <w:szCs w:val="22"/>
        </w:rPr>
        <w:t xml:space="preserve"> m2,</w:t>
      </w:r>
      <w:r w:rsidR="004D0845">
        <w:rPr>
          <w:rFonts w:ascii="Palatino Linotype" w:hAnsi="Palatino Linotype"/>
          <w:sz w:val="22"/>
          <w:szCs w:val="22"/>
        </w:rPr>
        <w:t xml:space="preserve"> ubicado</w:t>
      </w:r>
      <w:r w:rsidR="001D082C" w:rsidRPr="00A52F4A">
        <w:rPr>
          <w:rFonts w:ascii="Palatino Linotype" w:hAnsi="Palatino Linotype"/>
          <w:sz w:val="22"/>
          <w:szCs w:val="22"/>
        </w:rPr>
        <w:t xml:space="preserve"> en la parroquia</w:t>
      </w:r>
      <w:r w:rsidR="001D082C">
        <w:rPr>
          <w:rFonts w:ascii="Palatino Linotype" w:hAnsi="Palatino Linotype"/>
          <w:sz w:val="22"/>
          <w:szCs w:val="22"/>
        </w:rPr>
        <w:t xml:space="preserve"> </w:t>
      </w:r>
      <w:r w:rsidR="001D082C" w:rsidRPr="00A52F4A">
        <w:rPr>
          <w:rFonts w:ascii="Palatino Linotype" w:hAnsi="Palatino Linotype"/>
          <w:sz w:val="22"/>
          <w:szCs w:val="22"/>
        </w:rPr>
        <w:t xml:space="preserve">de </w:t>
      </w:r>
      <w:r w:rsidR="004D0845">
        <w:rPr>
          <w:rFonts w:ascii="Palatino Linotype" w:hAnsi="Palatino Linotype"/>
          <w:sz w:val="22"/>
          <w:szCs w:val="22"/>
        </w:rPr>
        <w:t>San</w:t>
      </w:r>
      <w:r w:rsidR="001D082C" w:rsidRPr="004B18A6">
        <w:rPr>
          <w:rFonts w:ascii="Palatino Linotype" w:hAnsi="Palatino Linotype"/>
          <w:sz w:val="22"/>
          <w:szCs w:val="22"/>
        </w:rPr>
        <w:t>; de conformidad con los datos</w:t>
      </w:r>
      <w:r w:rsidR="001D082C">
        <w:rPr>
          <w:rFonts w:ascii="Palatino Linotype" w:hAnsi="Palatino Linotype"/>
          <w:sz w:val="22"/>
          <w:szCs w:val="22"/>
        </w:rPr>
        <w:t xml:space="preserve"> </w:t>
      </w:r>
      <w:r w:rsidR="001D082C" w:rsidRPr="004B18A6">
        <w:rPr>
          <w:rFonts w:ascii="Palatino Linotype" w:hAnsi="Palatino Linotype"/>
          <w:sz w:val="22"/>
          <w:szCs w:val="22"/>
        </w:rPr>
        <w:t>técnicos constantes en la</w:t>
      </w:r>
      <w:r w:rsidR="004D0845">
        <w:rPr>
          <w:rFonts w:ascii="Palatino Linotype" w:hAnsi="Palatino Linotype"/>
          <w:sz w:val="22"/>
          <w:szCs w:val="22"/>
        </w:rPr>
        <w:t xml:space="preserve"> ficha</w:t>
      </w:r>
      <w:r w:rsidR="001D082C" w:rsidRPr="004B18A6">
        <w:rPr>
          <w:rFonts w:ascii="Palatino Linotype" w:hAnsi="Palatino Linotype"/>
          <w:sz w:val="22"/>
          <w:szCs w:val="22"/>
        </w:rPr>
        <w:t xml:space="preserve"> técnica para la declaratoria de bien mostrenco</w:t>
      </w:r>
      <w:r w:rsidR="001D082C">
        <w:rPr>
          <w:rFonts w:ascii="Palatino Linotype" w:hAnsi="Palatino Linotype"/>
          <w:sz w:val="22"/>
          <w:szCs w:val="22"/>
        </w:rPr>
        <w:t xml:space="preserve"> </w:t>
      </w:r>
      <w:r w:rsidR="001D082C" w:rsidRPr="004B18A6">
        <w:rPr>
          <w:rFonts w:ascii="Palatino Linotype" w:hAnsi="Palatino Linotype"/>
          <w:sz w:val="22"/>
          <w:szCs w:val="22"/>
        </w:rPr>
        <w:t>emitida por la Dirección Metropolitana de Catastro</w:t>
      </w:r>
      <w:r w:rsidR="001D082C">
        <w:rPr>
          <w:rFonts w:ascii="Palatino Linotype" w:hAnsi="Palatino Linotype"/>
          <w:sz w:val="22"/>
          <w:szCs w:val="22"/>
        </w:rPr>
        <w:t xml:space="preserve">. </w:t>
      </w:r>
    </w:p>
    <w:p w:rsidR="00DC12CE" w:rsidRDefault="00DC12CE" w:rsidP="00816B47">
      <w:pPr>
        <w:autoSpaceDE w:val="0"/>
        <w:autoSpaceDN w:val="0"/>
        <w:adjustRightInd w:val="0"/>
        <w:jc w:val="both"/>
        <w:rPr>
          <w:rFonts w:ascii="Palatino Linotype" w:eastAsiaTheme="minorHAnsi" w:hAnsi="Palatino Linotype"/>
          <w:sz w:val="22"/>
          <w:szCs w:val="22"/>
          <w:lang w:val="es-EC" w:eastAsia="en-US"/>
        </w:rPr>
      </w:pPr>
    </w:p>
    <w:p w:rsidR="00D95EEA" w:rsidRDefault="005125A9" w:rsidP="00816B47">
      <w:pPr>
        <w:autoSpaceDE w:val="0"/>
        <w:autoSpaceDN w:val="0"/>
        <w:adjustRightInd w:val="0"/>
        <w:jc w:val="both"/>
        <w:rPr>
          <w:rFonts w:ascii="Palatino Linotype" w:eastAsiaTheme="minorHAnsi" w:hAnsi="Palatino Linotype"/>
          <w:sz w:val="22"/>
          <w:szCs w:val="22"/>
          <w:lang w:val="es-EC" w:eastAsia="en-US"/>
        </w:rPr>
      </w:pPr>
      <w:r w:rsidRPr="005125A9">
        <w:rPr>
          <w:rFonts w:ascii="Palatino Linotype" w:eastAsiaTheme="minorHAnsi" w:hAnsi="Palatino Linotype"/>
          <w:b/>
          <w:sz w:val="22"/>
          <w:szCs w:val="22"/>
          <w:lang w:val="es-EC" w:eastAsia="en-US"/>
        </w:rPr>
        <w:t>Art</w:t>
      </w:r>
      <w:r>
        <w:rPr>
          <w:rFonts w:ascii="Palatino Linotype" w:eastAsiaTheme="minorHAnsi" w:hAnsi="Palatino Linotype"/>
          <w:b/>
          <w:sz w:val="22"/>
          <w:szCs w:val="22"/>
          <w:lang w:val="es-EC" w:eastAsia="en-US"/>
        </w:rPr>
        <w:t>í</w:t>
      </w:r>
      <w:r w:rsidRPr="005125A9">
        <w:rPr>
          <w:rFonts w:ascii="Palatino Linotype" w:eastAsiaTheme="minorHAnsi" w:hAnsi="Palatino Linotype"/>
          <w:b/>
          <w:sz w:val="22"/>
          <w:szCs w:val="22"/>
          <w:lang w:val="es-EC" w:eastAsia="en-US"/>
        </w:rPr>
        <w:t xml:space="preserve">culo </w:t>
      </w:r>
      <w:r w:rsidR="00DC12CE">
        <w:rPr>
          <w:rFonts w:ascii="Palatino Linotype" w:eastAsiaTheme="minorHAnsi" w:hAnsi="Palatino Linotype"/>
          <w:b/>
          <w:sz w:val="22"/>
          <w:szCs w:val="22"/>
          <w:lang w:val="es-EC" w:eastAsia="en-US"/>
        </w:rPr>
        <w:t>2</w:t>
      </w:r>
      <w:r>
        <w:rPr>
          <w:rFonts w:ascii="Palatino Linotype" w:eastAsiaTheme="minorHAnsi" w:hAnsi="Palatino Linotype"/>
          <w:sz w:val="22"/>
          <w:szCs w:val="22"/>
          <w:lang w:val="es-EC" w:eastAsia="en-US"/>
        </w:rPr>
        <w:t xml:space="preserve">.- </w:t>
      </w:r>
      <w:r w:rsidR="00DC12CE" w:rsidRPr="00DC12CE">
        <w:rPr>
          <w:rFonts w:ascii="Palatino Linotype" w:hAnsi="Palatino Linotype"/>
          <w:sz w:val="22"/>
          <w:szCs w:val="22"/>
        </w:rPr>
        <w:t>Encárguese a la Secretaría de Comunicación, la publicación de la presente resolución, de conformidad a lo establecido en los artículos 709 del Código Civil y 29 de la Ley de Registro</w:t>
      </w:r>
      <w:r w:rsidR="00DC12CE">
        <w:rPr>
          <w:rFonts w:ascii="Palatino Linotype" w:hAnsi="Palatino Linotype"/>
          <w:sz w:val="22"/>
          <w:szCs w:val="22"/>
        </w:rPr>
        <w:t>.</w:t>
      </w:r>
    </w:p>
    <w:p w:rsidR="00D95EEA" w:rsidRDefault="00D95EEA" w:rsidP="00816B47">
      <w:pPr>
        <w:autoSpaceDE w:val="0"/>
        <w:autoSpaceDN w:val="0"/>
        <w:adjustRightInd w:val="0"/>
        <w:jc w:val="both"/>
        <w:rPr>
          <w:rFonts w:ascii="Palatino Linotype" w:eastAsiaTheme="minorHAnsi" w:hAnsi="Palatino Linotype"/>
          <w:sz w:val="22"/>
          <w:szCs w:val="22"/>
          <w:lang w:val="es-EC" w:eastAsia="en-US"/>
        </w:rPr>
      </w:pPr>
    </w:p>
    <w:p w:rsidR="00261856" w:rsidRDefault="00BC7A8A" w:rsidP="00816B47">
      <w:pPr>
        <w:autoSpaceDE w:val="0"/>
        <w:autoSpaceDN w:val="0"/>
        <w:adjustRightInd w:val="0"/>
        <w:jc w:val="both"/>
      </w:pPr>
      <w:r w:rsidRPr="00BC7A8A">
        <w:rPr>
          <w:b/>
        </w:rPr>
        <w:t xml:space="preserve">Artículo </w:t>
      </w:r>
      <w:r w:rsidR="00DC12CE">
        <w:rPr>
          <w:b/>
        </w:rPr>
        <w:t>3</w:t>
      </w:r>
      <w:r w:rsidRPr="00BC7A8A">
        <w:rPr>
          <w:b/>
        </w:rPr>
        <w:t>.-</w:t>
      </w:r>
      <w:r>
        <w:t xml:space="preserve"> </w:t>
      </w:r>
      <w:r w:rsidR="00DC12CE" w:rsidRPr="00DC12CE">
        <w:rPr>
          <w:rFonts w:ascii="Palatino Linotype" w:hAnsi="Palatino Linotype"/>
          <w:sz w:val="22"/>
          <w:szCs w:val="22"/>
        </w:rPr>
        <w:t>La Procuraduría Metropolitana realizará los trámites administrativos cor</w:t>
      </w:r>
      <w:r w:rsidR="00DC12CE">
        <w:rPr>
          <w:rFonts w:ascii="Palatino Linotype" w:hAnsi="Palatino Linotype"/>
          <w:sz w:val="22"/>
          <w:szCs w:val="22"/>
        </w:rPr>
        <w:t>respondientes</w:t>
      </w:r>
      <w:r w:rsidR="00DC12CE" w:rsidRPr="00DC12CE">
        <w:rPr>
          <w:rFonts w:ascii="Palatino Linotype" w:hAnsi="Palatino Linotype"/>
          <w:sz w:val="22"/>
          <w:szCs w:val="22"/>
        </w:rPr>
        <w:t xml:space="preserve"> a fin de que el Registro de la Propiedad del Distrito Metropolitano de Quito, inscriba </w:t>
      </w:r>
      <w:r w:rsidR="004D0845">
        <w:rPr>
          <w:rFonts w:ascii="Palatino Linotype" w:hAnsi="Palatino Linotype"/>
          <w:sz w:val="22"/>
          <w:szCs w:val="22"/>
        </w:rPr>
        <w:t>e</w:t>
      </w:r>
      <w:r w:rsidR="00DC12CE">
        <w:rPr>
          <w:rFonts w:ascii="Palatino Linotype" w:hAnsi="Palatino Linotype"/>
          <w:sz w:val="22"/>
          <w:szCs w:val="22"/>
        </w:rPr>
        <w:t>l</w:t>
      </w:r>
      <w:r w:rsidR="00DC12CE" w:rsidRPr="00DC12CE">
        <w:rPr>
          <w:rFonts w:ascii="Palatino Linotype" w:hAnsi="Palatino Linotype"/>
          <w:sz w:val="22"/>
          <w:szCs w:val="22"/>
        </w:rPr>
        <w:t xml:space="preserve"> predio como bien</w:t>
      </w:r>
      <w:r w:rsidR="004D0845">
        <w:rPr>
          <w:rFonts w:ascii="Palatino Linotype" w:hAnsi="Palatino Linotype"/>
          <w:sz w:val="22"/>
          <w:szCs w:val="22"/>
        </w:rPr>
        <w:t xml:space="preserve"> inmueble</w:t>
      </w:r>
      <w:r w:rsidR="00DC12CE" w:rsidRPr="00DC12CE">
        <w:rPr>
          <w:rFonts w:ascii="Palatino Linotype" w:hAnsi="Palatino Linotype"/>
          <w:sz w:val="22"/>
          <w:szCs w:val="22"/>
        </w:rPr>
        <w:t xml:space="preserve"> de dominio privado de propiedad municipal.</w:t>
      </w:r>
    </w:p>
    <w:p w:rsidR="00261856" w:rsidRDefault="00261856" w:rsidP="00816B47">
      <w:pPr>
        <w:autoSpaceDE w:val="0"/>
        <w:autoSpaceDN w:val="0"/>
        <w:adjustRightInd w:val="0"/>
        <w:jc w:val="both"/>
      </w:pPr>
    </w:p>
    <w:p w:rsidR="00371D00" w:rsidRPr="009937FA" w:rsidRDefault="004014B8" w:rsidP="003653E3">
      <w:pPr>
        <w:autoSpaceDE w:val="0"/>
        <w:autoSpaceDN w:val="0"/>
        <w:adjustRightInd w:val="0"/>
        <w:jc w:val="both"/>
        <w:rPr>
          <w:rFonts w:ascii="Palatino Linotype" w:hAnsi="Palatino Linotype"/>
          <w:sz w:val="22"/>
          <w:szCs w:val="22"/>
        </w:rPr>
      </w:pPr>
      <w:r w:rsidRPr="00974EE8">
        <w:rPr>
          <w:rFonts w:ascii="Palatino Linotype" w:eastAsiaTheme="minorHAnsi" w:hAnsi="Palatino Linotype"/>
          <w:b/>
          <w:sz w:val="22"/>
          <w:szCs w:val="22"/>
          <w:lang w:val="es-EC" w:eastAsia="en-US"/>
        </w:rPr>
        <w:t>Disposición Final. -</w:t>
      </w:r>
      <w:r w:rsidR="00371D00" w:rsidRPr="00974EE8">
        <w:rPr>
          <w:rFonts w:ascii="Palatino Linotype" w:eastAsiaTheme="minorHAnsi" w:hAnsi="Palatino Linotype"/>
          <w:b/>
          <w:sz w:val="22"/>
          <w:szCs w:val="22"/>
          <w:lang w:val="es-EC" w:eastAsia="en-US"/>
        </w:rPr>
        <w:t xml:space="preserve"> </w:t>
      </w:r>
      <w:r w:rsidRPr="00974EE8">
        <w:rPr>
          <w:rFonts w:ascii="Palatino Linotype" w:eastAsiaTheme="minorHAnsi" w:hAnsi="Palatino Linotype"/>
          <w:sz w:val="22"/>
          <w:szCs w:val="22"/>
          <w:lang w:val="es-EC" w:eastAsia="en-US"/>
        </w:rPr>
        <w:t>La presente Resolución entrará en vigencia a partir de su suscripción sin perjuicio de su publicación.</w:t>
      </w:r>
      <w:r w:rsidR="00371D00" w:rsidRPr="00974EE8">
        <w:rPr>
          <w:rFonts w:ascii="Palatino Linotype" w:eastAsiaTheme="minorHAnsi" w:hAnsi="Palatino Linotype"/>
          <w:sz w:val="22"/>
          <w:szCs w:val="22"/>
          <w:lang w:val="es-EC" w:eastAsia="en-US"/>
        </w:rPr>
        <w:t xml:space="preserve"> </w:t>
      </w:r>
    </w:p>
    <w:p w:rsidR="00371D00" w:rsidRPr="00974EE8" w:rsidRDefault="00371D00" w:rsidP="003653E3">
      <w:pPr>
        <w:autoSpaceDE w:val="0"/>
        <w:autoSpaceDN w:val="0"/>
        <w:adjustRightInd w:val="0"/>
        <w:jc w:val="both"/>
        <w:rPr>
          <w:rFonts w:ascii="Palatino Linotype" w:eastAsiaTheme="minorHAnsi" w:hAnsi="Palatino Linotype"/>
          <w:sz w:val="22"/>
          <w:szCs w:val="22"/>
          <w:lang w:val="es-EC" w:eastAsia="en-US"/>
        </w:rPr>
      </w:pPr>
    </w:p>
    <w:p w:rsidR="00371D00" w:rsidRPr="00974EE8" w:rsidRDefault="00371D00" w:rsidP="003653E3">
      <w:pPr>
        <w:jc w:val="both"/>
        <w:rPr>
          <w:rFonts w:ascii="Palatino Linotype" w:hAnsi="Palatino Linotype"/>
          <w:sz w:val="22"/>
          <w:szCs w:val="22"/>
        </w:rPr>
      </w:pPr>
      <w:r w:rsidRPr="00974EE8">
        <w:rPr>
          <w:rFonts w:ascii="Palatino Linotype" w:hAnsi="Palatino Linotype"/>
          <w:b/>
          <w:sz w:val="22"/>
          <w:szCs w:val="22"/>
        </w:rPr>
        <w:t xml:space="preserve">Alcaldía del Distrito Metropolitano. - </w:t>
      </w:r>
      <w:r w:rsidRPr="00974EE8">
        <w:rPr>
          <w:rFonts w:ascii="Palatino Linotype" w:hAnsi="Palatino Linotype"/>
          <w:sz w:val="22"/>
          <w:szCs w:val="22"/>
        </w:rPr>
        <w:t xml:space="preserve">Distrito Metropolitano de Quito, </w:t>
      </w:r>
    </w:p>
    <w:p w:rsidR="00371D00" w:rsidRPr="00974EE8" w:rsidRDefault="00371D00" w:rsidP="00371D00">
      <w:pPr>
        <w:jc w:val="both"/>
        <w:rPr>
          <w:rFonts w:ascii="Palatino Linotype" w:hAnsi="Palatino Linotype"/>
          <w:sz w:val="22"/>
          <w:szCs w:val="22"/>
        </w:rPr>
      </w:pPr>
    </w:p>
    <w:p w:rsidR="00371D00" w:rsidRPr="00974EE8" w:rsidRDefault="00371D00" w:rsidP="00371D00">
      <w:pPr>
        <w:jc w:val="center"/>
        <w:rPr>
          <w:rFonts w:ascii="Palatino Linotype" w:hAnsi="Palatino Linotype"/>
          <w:b/>
          <w:sz w:val="22"/>
          <w:szCs w:val="22"/>
        </w:rPr>
      </w:pPr>
      <w:r w:rsidRPr="00974EE8">
        <w:rPr>
          <w:rFonts w:ascii="Palatino Linotype" w:hAnsi="Palatino Linotype"/>
          <w:b/>
          <w:sz w:val="22"/>
          <w:szCs w:val="22"/>
        </w:rPr>
        <w:t>EJECÚTESE:</w:t>
      </w: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Dr. Jorge Yunda Machado</w:t>
      </w:r>
    </w:p>
    <w:p w:rsidR="00371D00" w:rsidRPr="00974EE8" w:rsidRDefault="00371D00" w:rsidP="00371D00">
      <w:pPr>
        <w:pStyle w:val="Sinespaciado"/>
        <w:jc w:val="center"/>
        <w:rPr>
          <w:rFonts w:ascii="Palatino Linotype" w:hAnsi="Palatino Linotype"/>
          <w:b/>
          <w:sz w:val="22"/>
          <w:szCs w:val="22"/>
        </w:rPr>
      </w:pPr>
      <w:r w:rsidRPr="00974EE8">
        <w:rPr>
          <w:rFonts w:ascii="Palatino Linotype" w:hAnsi="Palatino Linotype"/>
          <w:b/>
          <w:sz w:val="22"/>
          <w:szCs w:val="22"/>
        </w:rPr>
        <w:t>ALCALDE DEL DISTRITO METROPOLITANO DE QUITO</w:t>
      </w:r>
    </w:p>
    <w:p w:rsidR="00371D00" w:rsidRPr="00974EE8" w:rsidRDefault="00371D00" w:rsidP="00371D00">
      <w:pPr>
        <w:jc w:val="both"/>
        <w:rPr>
          <w:rFonts w:ascii="Palatino Linotype" w:hAnsi="Palatino Linotype"/>
          <w:b/>
          <w:sz w:val="22"/>
          <w:szCs w:val="22"/>
        </w:rPr>
      </w:pPr>
    </w:p>
    <w:p w:rsidR="00371D00" w:rsidRPr="00974EE8" w:rsidRDefault="00371D00" w:rsidP="00371D00">
      <w:pPr>
        <w:jc w:val="both"/>
        <w:rPr>
          <w:rFonts w:ascii="Palatino Linotype" w:hAnsi="Palatino Linotype"/>
          <w:sz w:val="22"/>
          <w:szCs w:val="22"/>
        </w:rPr>
      </w:pPr>
      <w:r w:rsidRPr="00974EE8">
        <w:rPr>
          <w:rFonts w:ascii="Palatino Linotype" w:hAnsi="Palatino Linotype"/>
          <w:b/>
          <w:sz w:val="22"/>
          <w:szCs w:val="22"/>
        </w:rPr>
        <w:lastRenderedPageBreak/>
        <w:t>CERTIFICO,</w:t>
      </w:r>
      <w:r w:rsidRPr="00974EE8">
        <w:rPr>
          <w:rFonts w:ascii="Palatino Linotype" w:hAnsi="Palatino Linotype"/>
          <w:sz w:val="22"/>
          <w:szCs w:val="22"/>
        </w:rPr>
        <w:t xml:space="preserve"> que la presente resolución fue discutida y aprobada en sesión pública ordinaria del Concejo Metropolitano de Quito, el</w:t>
      </w:r>
      <w:r w:rsidR="00B26D77">
        <w:rPr>
          <w:rFonts w:ascii="Palatino Linotype" w:hAnsi="Palatino Linotype"/>
          <w:sz w:val="22"/>
          <w:szCs w:val="22"/>
        </w:rPr>
        <w:t xml:space="preserve"> XXXXXXXXXXX</w:t>
      </w:r>
      <w:r w:rsidR="00140E5B" w:rsidRPr="00974EE8">
        <w:rPr>
          <w:rFonts w:ascii="Palatino Linotype" w:hAnsi="Palatino Linotype"/>
          <w:sz w:val="22"/>
          <w:szCs w:val="22"/>
        </w:rPr>
        <w:t>;</w:t>
      </w:r>
      <w:r w:rsidRPr="00974EE8">
        <w:rPr>
          <w:rFonts w:ascii="Palatino Linotype" w:hAnsi="Palatino Linotype"/>
          <w:sz w:val="22"/>
          <w:szCs w:val="22"/>
        </w:rPr>
        <w:t xml:space="preserve"> y, suscrita por el Dr. Jorge Yunda Machado, Alcalde del Distrito Metropolitano de Quito, el </w:t>
      </w:r>
      <w:r w:rsidR="00B26D77">
        <w:rPr>
          <w:rFonts w:ascii="Palatino Linotype" w:hAnsi="Palatino Linotype"/>
          <w:sz w:val="22"/>
          <w:szCs w:val="22"/>
        </w:rPr>
        <w:t>XXXXXXXXXXX</w:t>
      </w:r>
      <w:r w:rsidR="00140E5B" w:rsidRPr="00974EE8">
        <w:rPr>
          <w:rFonts w:ascii="Palatino Linotype" w:hAnsi="Palatino Linotype"/>
          <w:sz w:val="22"/>
          <w:szCs w:val="22"/>
        </w:rPr>
        <w:t xml:space="preserve"> de </w:t>
      </w:r>
      <w:r w:rsidR="00B26D77">
        <w:rPr>
          <w:rFonts w:ascii="Palatino Linotype" w:hAnsi="Palatino Linotype"/>
          <w:sz w:val="22"/>
          <w:szCs w:val="22"/>
        </w:rPr>
        <w:t>XXXXXXX</w:t>
      </w:r>
      <w:r w:rsidR="00140E5B" w:rsidRPr="00974EE8">
        <w:rPr>
          <w:rFonts w:ascii="Palatino Linotype" w:hAnsi="Palatino Linotype"/>
          <w:sz w:val="22"/>
          <w:szCs w:val="22"/>
        </w:rPr>
        <w:t xml:space="preserve"> de 202</w:t>
      </w:r>
      <w:r w:rsidR="004D0845">
        <w:rPr>
          <w:rFonts w:ascii="Palatino Linotype" w:hAnsi="Palatino Linotype"/>
          <w:sz w:val="22"/>
          <w:szCs w:val="22"/>
        </w:rPr>
        <w:t>1</w:t>
      </w:r>
      <w:r w:rsidR="009368DD" w:rsidRPr="00974EE8">
        <w:rPr>
          <w:rFonts w:ascii="Palatino Linotype" w:hAnsi="Palatino Linotype"/>
          <w:sz w:val="22"/>
          <w:szCs w:val="22"/>
        </w:rPr>
        <w:t>.</w:t>
      </w:r>
    </w:p>
    <w:p w:rsidR="00076EB1" w:rsidRPr="00974EE8" w:rsidRDefault="00076EB1" w:rsidP="00371D00">
      <w:pPr>
        <w:jc w:val="both"/>
        <w:rPr>
          <w:rFonts w:ascii="Palatino Linotype" w:hAnsi="Palatino Linotype"/>
          <w:b/>
          <w:sz w:val="22"/>
          <w:szCs w:val="22"/>
        </w:rPr>
      </w:pPr>
    </w:p>
    <w:p w:rsidR="00140E5B" w:rsidRPr="00974EE8" w:rsidRDefault="00371D00" w:rsidP="00140E5B">
      <w:pPr>
        <w:jc w:val="both"/>
        <w:rPr>
          <w:rFonts w:ascii="Palatino Linotype" w:hAnsi="Palatino Linotype"/>
          <w:sz w:val="22"/>
          <w:szCs w:val="22"/>
        </w:rPr>
      </w:pPr>
      <w:r w:rsidRPr="00974EE8">
        <w:rPr>
          <w:rFonts w:ascii="Palatino Linotype" w:hAnsi="Palatino Linotype"/>
          <w:b/>
          <w:sz w:val="22"/>
          <w:szCs w:val="22"/>
        </w:rPr>
        <w:t xml:space="preserve">Lo certifico. - </w:t>
      </w:r>
      <w:r w:rsidRPr="00974EE8">
        <w:rPr>
          <w:rFonts w:ascii="Palatino Linotype" w:hAnsi="Palatino Linotype"/>
          <w:sz w:val="22"/>
          <w:szCs w:val="22"/>
        </w:rPr>
        <w:t xml:space="preserve">Distrito Metropolitano de Quito, </w:t>
      </w:r>
      <w:r w:rsidR="003653E3" w:rsidRPr="00974EE8">
        <w:rPr>
          <w:rFonts w:ascii="Palatino Linotype" w:hAnsi="Palatino Linotype"/>
          <w:sz w:val="22"/>
          <w:szCs w:val="22"/>
        </w:rPr>
        <w:t xml:space="preserve">el </w:t>
      </w:r>
    </w:p>
    <w:p w:rsidR="00371D00" w:rsidRPr="00974EE8" w:rsidRDefault="00371D00" w:rsidP="00371D00">
      <w:pPr>
        <w:jc w:val="both"/>
        <w:rPr>
          <w:rFonts w:ascii="Palatino Linotype" w:hAnsi="Palatino Linotype"/>
          <w:sz w:val="22"/>
          <w:szCs w:val="22"/>
        </w:rPr>
      </w:pPr>
    </w:p>
    <w:p w:rsidR="00371D00" w:rsidRPr="00974EE8" w:rsidRDefault="00371D00" w:rsidP="00371D00">
      <w:pPr>
        <w:rPr>
          <w:rFonts w:ascii="Palatino Linotype" w:hAnsi="Palatino Linotype"/>
          <w:sz w:val="22"/>
          <w:szCs w:val="22"/>
        </w:rPr>
      </w:pPr>
    </w:p>
    <w:p w:rsidR="00371D00" w:rsidRPr="00974EE8" w:rsidRDefault="00371D00" w:rsidP="00371D00">
      <w:pPr>
        <w:jc w:val="both"/>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 xml:space="preserve">Abg. </w:t>
      </w:r>
      <w:r w:rsidR="00076EB1" w:rsidRPr="00974EE8">
        <w:rPr>
          <w:rFonts w:ascii="Palatino Linotype" w:hAnsi="Palatino Linotype"/>
          <w:sz w:val="22"/>
          <w:szCs w:val="22"/>
        </w:rPr>
        <w:t>Damaris Ortiz Pasuy</w:t>
      </w:r>
    </w:p>
    <w:p w:rsidR="00371D00" w:rsidRPr="00974EE8" w:rsidRDefault="00076EB1" w:rsidP="00DD62D4">
      <w:pPr>
        <w:pStyle w:val="Sinespaciado"/>
        <w:jc w:val="center"/>
        <w:rPr>
          <w:rFonts w:ascii="Palatino Linotype" w:hAnsi="Palatino Linotype"/>
          <w:sz w:val="22"/>
          <w:szCs w:val="22"/>
        </w:rPr>
      </w:pPr>
      <w:r w:rsidRPr="00974EE8">
        <w:rPr>
          <w:rFonts w:ascii="Palatino Linotype" w:hAnsi="Palatino Linotype"/>
          <w:b/>
          <w:sz w:val="22"/>
          <w:szCs w:val="22"/>
        </w:rPr>
        <w:t>SECRETARIA</w:t>
      </w:r>
      <w:r w:rsidR="00371D00" w:rsidRPr="00974EE8">
        <w:rPr>
          <w:rFonts w:ascii="Palatino Linotype" w:hAnsi="Palatino Linotype"/>
          <w:b/>
          <w:sz w:val="22"/>
          <w:szCs w:val="22"/>
        </w:rPr>
        <w:t xml:space="preserve"> GENERAL DEL CONCEJO METROPOLITANO DE QUITO</w:t>
      </w:r>
      <w:r w:rsidRPr="00974EE8">
        <w:rPr>
          <w:rFonts w:ascii="Palatino Linotype" w:hAnsi="Palatino Linotype"/>
          <w:b/>
          <w:sz w:val="22"/>
          <w:szCs w:val="22"/>
        </w:rPr>
        <w:t xml:space="preserve"> </w:t>
      </w:r>
    </w:p>
    <w:p w:rsidR="003C4C4F" w:rsidRPr="00974EE8" w:rsidRDefault="003C4C4F" w:rsidP="00371D00">
      <w:pPr>
        <w:pStyle w:val="Sinespaciado"/>
        <w:rPr>
          <w:rFonts w:ascii="Palatino Linotype" w:hAnsi="Palatino Linotype"/>
          <w:sz w:val="22"/>
          <w:szCs w:val="22"/>
        </w:rPr>
      </w:pPr>
    </w:p>
    <w:p w:rsidR="003C4C4F" w:rsidRPr="00974EE8" w:rsidRDefault="003C4C4F" w:rsidP="00371D00">
      <w:pPr>
        <w:pStyle w:val="Sinespaciado"/>
        <w:rPr>
          <w:rFonts w:ascii="Palatino Linotype" w:hAnsi="Palatino Linotype"/>
          <w:sz w:val="22"/>
          <w:szCs w:val="22"/>
        </w:rPr>
      </w:pPr>
    </w:p>
    <w:p w:rsidR="00371D00" w:rsidRPr="00974EE8" w:rsidRDefault="00371D00" w:rsidP="00371D00">
      <w:pPr>
        <w:pStyle w:val="Sinespaciado"/>
        <w:rPr>
          <w:rFonts w:ascii="Palatino Linotype" w:hAnsi="Palatino Linotype"/>
          <w:sz w:val="22"/>
          <w:szCs w:val="22"/>
        </w:rPr>
      </w:pPr>
    </w:p>
    <w:p w:rsidR="006F7558" w:rsidRPr="00974EE8" w:rsidRDefault="006F7558" w:rsidP="006F7558">
      <w:pPr>
        <w:ind w:left="708"/>
        <w:jc w:val="both"/>
        <w:rPr>
          <w:rFonts w:ascii="Palatino Linotype" w:hAnsi="Palatino Linotype"/>
          <w:sz w:val="22"/>
          <w:szCs w:val="22"/>
        </w:rPr>
      </w:pPr>
    </w:p>
    <w:p w:rsidR="008C7FBB" w:rsidRPr="00974EE8" w:rsidRDefault="008C7FBB">
      <w:pPr>
        <w:rPr>
          <w:rFonts w:ascii="Palatino Linotype" w:hAnsi="Palatino Linotype"/>
          <w:sz w:val="22"/>
          <w:szCs w:val="22"/>
        </w:rPr>
      </w:pPr>
    </w:p>
    <w:sectPr w:rsidR="008C7FBB" w:rsidRPr="00974EE8" w:rsidSect="006372F5">
      <w:headerReference w:type="even" r:id="rId7"/>
      <w:headerReference w:type="default" r:id="rId8"/>
      <w:footerReference w:type="default" r:id="rId9"/>
      <w:headerReference w:type="first" r:id="rId10"/>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B91" w:rsidRDefault="00484B91">
      <w:r>
        <w:separator/>
      </w:r>
    </w:p>
  </w:endnote>
  <w:endnote w:type="continuationSeparator" w:id="0">
    <w:p w:rsidR="00484B91" w:rsidRDefault="0048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NewNegr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8479FB" w:rsidRPr="008479FB" w:rsidRDefault="009862E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008E2A47"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008E2A47" w:rsidRPr="008479FB">
              <w:rPr>
                <w:rFonts w:ascii="Palatino Linotype" w:hAnsi="Palatino Linotype"/>
                <w:b/>
                <w:bCs/>
                <w:sz w:val="20"/>
                <w:szCs w:val="20"/>
              </w:rPr>
              <w:fldChar w:fldCharType="separate"/>
            </w:r>
            <w:r w:rsidR="00E11238">
              <w:rPr>
                <w:rFonts w:ascii="Palatino Linotype" w:hAnsi="Palatino Linotype"/>
                <w:b/>
                <w:bCs/>
                <w:noProof/>
                <w:sz w:val="20"/>
                <w:szCs w:val="20"/>
              </w:rPr>
              <w:t>3</w:t>
            </w:r>
            <w:r w:rsidR="008E2A47"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008E2A47"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008E2A47" w:rsidRPr="008479FB">
              <w:rPr>
                <w:rFonts w:ascii="Palatino Linotype" w:hAnsi="Palatino Linotype"/>
                <w:b/>
                <w:bCs/>
                <w:sz w:val="20"/>
                <w:szCs w:val="20"/>
              </w:rPr>
              <w:fldChar w:fldCharType="separate"/>
            </w:r>
            <w:r w:rsidR="00E11238">
              <w:rPr>
                <w:rFonts w:ascii="Palatino Linotype" w:hAnsi="Palatino Linotype"/>
                <w:b/>
                <w:bCs/>
                <w:noProof/>
                <w:sz w:val="20"/>
                <w:szCs w:val="20"/>
              </w:rPr>
              <w:t>5</w:t>
            </w:r>
            <w:r w:rsidR="008E2A47" w:rsidRPr="008479FB">
              <w:rPr>
                <w:rFonts w:ascii="Palatino Linotype" w:hAnsi="Palatino Linotype"/>
                <w:b/>
                <w:bCs/>
                <w:sz w:val="20"/>
                <w:szCs w:val="20"/>
              </w:rPr>
              <w:fldChar w:fldCharType="end"/>
            </w:r>
          </w:p>
        </w:sdtContent>
      </w:sdt>
    </w:sdtContent>
  </w:sdt>
  <w:p w:rsidR="008479FB" w:rsidRPr="008479FB" w:rsidRDefault="00484B91">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B91" w:rsidRDefault="00484B91">
      <w:r>
        <w:separator/>
      </w:r>
    </w:p>
  </w:footnote>
  <w:footnote w:type="continuationSeparator" w:id="0">
    <w:p w:rsidR="00484B91" w:rsidRDefault="0048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484B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6" o:spid="_x0000_s2050" type="#_x0000_t136" style="position:absolute;margin-left:0;margin-top:0;width:441.9pt;height:110.45pt;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484B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7" o:spid="_x0000_s2051" type="#_x0000_t136" style="position:absolute;margin-left:0;margin-top:0;width:441.9pt;height:110.45pt;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484B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5" o:spid="_x0000_s2049" type="#_x0000_t136" style="position:absolute;margin-left:0;margin-top:0;width:441.9pt;height:110.45pt;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58"/>
    <w:rsid w:val="00004615"/>
    <w:rsid w:val="000207F1"/>
    <w:rsid w:val="000352E0"/>
    <w:rsid w:val="00035B0F"/>
    <w:rsid w:val="000426DD"/>
    <w:rsid w:val="00043D93"/>
    <w:rsid w:val="00045A6C"/>
    <w:rsid w:val="000654FD"/>
    <w:rsid w:val="00076EB1"/>
    <w:rsid w:val="00084379"/>
    <w:rsid w:val="000900BA"/>
    <w:rsid w:val="000A02CD"/>
    <w:rsid w:val="000A2956"/>
    <w:rsid w:val="000B4236"/>
    <w:rsid w:val="000B736C"/>
    <w:rsid w:val="000C230C"/>
    <w:rsid w:val="000C33A3"/>
    <w:rsid w:val="000D095A"/>
    <w:rsid w:val="000E018B"/>
    <w:rsid w:val="000E1DDE"/>
    <w:rsid w:val="000E6777"/>
    <w:rsid w:val="00102BEB"/>
    <w:rsid w:val="00103A56"/>
    <w:rsid w:val="00106439"/>
    <w:rsid w:val="0011274C"/>
    <w:rsid w:val="00116C0F"/>
    <w:rsid w:val="001208B7"/>
    <w:rsid w:val="00121B7E"/>
    <w:rsid w:val="0013605F"/>
    <w:rsid w:val="00140E5B"/>
    <w:rsid w:val="0016353C"/>
    <w:rsid w:val="001649BA"/>
    <w:rsid w:val="001776AB"/>
    <w:rsid w:val="00183658"/>
    <w:rsid w:val="0019225A"/>
    <w:rsid w:val="00197779"/>
    <w:rsid w:val="00197C45"/>
    <w:rsid w:val="001A5479"/>
    <w:rsid w:val="001B0841"/>
    <w:rsid w:val="001B0913"/>
    <w:rsid w:val="001B12A1"/>
    <w:rsid w:val="001B367D"/>
    <w:rsid w:val="001C0B81"/>
    <w:rsid w:val="001C2838"/>
    <w:rsid w:val="001C6FEA"/>
    <w:rsid w:val="001C7D49"/>
    <w:rsid w:val="001D082C"/>
    <w:rsid w:val="001D7422"/>
    <w:rsid w:val="001E5733"/>
    <w:rsid w:val="001F2CD2"/>
    <w:rsid w:val="001F31C5"/>
    <w:rsid w:val="002042A3"/>
    <w:rsid w:val="00205E32"/>
    <w:rsid w:val="00206F99"/>
    <w:rsid w:val="00212B00"/>
    <w:rsid w:val="00223B71"/>
    <w:rsid w:val="00225D22"/>
    <w:rsid w:val="002312FC"/>
    <w:rsid w:val="00234D87"/>
    <w:rsid w:val="002365A6"/>
    <w:rsid w:val="0023794C"/>
    <w:rsid w:val="00237CA1"/>
    <w:rsid w:val="00245412"/>
    <w:rsid w:val="00247336"/>
    <w:rsid w:val="002534F2"/>
    <w:rsid w:val="00260A9D"/>
    <w:rsid w:val="00261856"/>
    <w:rsid w:val="00263CE2"/>
    <w:rsid w:val="0028210B"/>
    <w:rsid w:val="0028355A"/>
    <w:rsid w:val="002B11B3"/>
    <w:rsid w:val="002B51F4"/>
    <w:rsid w:val="002C04FB"/>
    <w:rsid w:val="002D6F62"/>
    <w:rsid w:val="002E2CA5"/>
    <w:rsid w:val="002F034D"/>
    <w:rsid w:val="002F0A16"/>
    <w:rsid w:val="002F199A"/>
    <w:rsid w:val="002F4A96"/>
    <w:rsid w:val="002F5BA3"/>
    <w:rsid w:val="00302B05"/>
    <w:rsid w:val="00303F16"/>
    <w:rsid w:val="00305C8A"/>
    <w:rsid w:val="0031642D"/>
    <w:rsid w:val="003325C5"/>
    <w:rsid w:val="003361D1"/>
    <w:rsid w:val="00347941"/>
    <w:rsid w:val="0035335C"/>
    <w:rsid w:val="003627CB"/>
    <w:rsid w:val="003653E3"/>
    <w:rsid w:val="00371D00"/>
    <w:rsid w:val="00373370"/>
    <w:rsid w:val="00377192"/>
    <w:rsid w:val="00377AFB"/>
    <w:rsid w:val="003837F3"/>
    <w:rsid w:val="00387B31"/>
    <w:rsid w:val="00397810"/>
    <w:rsid w:val="003B2A8E"/>
    <w:rsid w:val="003C4C4F"/>
    <w:rsid w:val="003C6346"/>
    <w:rsid w:val="003C656B"/>
    <w:rsid w:val="003C75B0"/>
    <w:rsid w:val="003E1331"/>
    <w:rsid w:val="003E3193"/>
    <w:rsid w:val="003E4BFF"/>
    <w:rsid w:val="003F1DD0"/>
    <w:rsid w:val="003F50D9"/>
    <w:rsid w:val="003F718D"/>
    <w:rsid w:val="004014B8"/>
    <w:rsid w:val="0040538D"/>
    <w:rsid w:val="00410550"/>
    <w:rsid w:val="00410CBE"/>
    <w:rsid w:val="0041307F"/>
    <w:rsid w:val="00421449"/>
    <w:rsid w:val="00426BFC"/>
    <w:rsid w:val="00427B59"/>
    <w:rsid w:val="00430B1C"/>
    <w:rsid w:val="00436221"/>
    <w:rsid w:val="004365CB"/>
    <w:rsid w:val="00444EBC"/>
    <w:rsid w:val="00445D37"/>
    <w:rsid w:val="00445F1C"/>
    <w:rsid w:val="00447553"/>
    <w:rsid w:val="00452AD1"/>
    <w:rsid w:val="0045355A"/>
    <w:rsid w:val="00453791"/>
    <w:rsid w:val="004568A5"/>
    <w:rsid w:val="00457A8D"/>
    <w:rsid w:val="004666F4"/>
    <w:rsid w:val="00470289"/>
    <w:rsid w:val="00474DDF"/>
    <w:rsid w:val="004779D5"/>
    <w:rsid w:val="00484B91"/>
    <w:rsid w:val="00487063"/>
    <w:rsid w:val="00494191"/>
    <w:rsid w:val="004B07E1"/>
    <w:rsid w:val="004B18A6"/>
    <w:rsid w:val="004C1483"/>
    <w:rsid w:val="004D0845"/>
    <w:rsid w:val="004D7DDE"/>
    <w:rsid w:val="004E3DEB"/>
    <w:rsid w:val="004F0E2F"/>
    <w:rsid w:val="004F1E77"/>
    <w:rsid w:val="004F3B81"/>
    <w:rsid w:val="00501D9A"/>
    <w:rsid w:val="00502C6B"/>
    <w:rsid w:val="005077B1"/>
    <w:rsid w:val="005125A9"/>
    <w:rsid w:val="00515B43"/>
    <w:rsid w:val="00517EC3"/>
    <w:rsid w:val="005225B2"/>
    <w:rsid w:val="00526C22"/>
    <w:rsid w:val="00527CFB"/>
    <w:rsid w:val="00540863"/>
    <w:rsid w:val="005525E0"/>
    <w:rsid w:val="005554A5"/>
    <w:rsid w:val="005605E0"/>
    <w:rsid w:val="005617D9"/>
    <w:rsid w:val="005641FF"/>
    <w:rsid w:val="0057165E"/>
    <w:rsid w:val="00587B68"/>
    <w:rsid w:val="005A57D5"/>
    <w:rsid w:val="005A6079"/>
    <w:rsid w:val="005B2A24"/>
    <w:rsid w:val="005B4B5D"/>
    <w:rsid w:val="005C54C9"/>
    <w:rsid w:val="005C65BE"/>
    <w:rsid w:val="005D330E"/>
    <w:rsid w:val="005E0CFB"/>
    <w:rsid w:val="005F785F"/>
    <w:rsid w:val="00612644"/>
    <w:rsid w:val="00636023"/>
    <w:rsid w:val="006442D0"/>
    <w:rsid w:val="0064438A"/>
    <w:rsid w:val="006623FE"/>
    <w:rsid w:val="00682934"/>
    <w:rsid w:val="00684090"/>
    <w:rsid w:val="00686A06"/>
    <w:rsid w:val="00692ADA"/>
    <w:rsid w:val="00693946"/>
    <w:rsid w:val="006A1262"/>
    <w:rsid w:val="006B10C8"/>
    <w:rsid w:val="006B51BE"/>
    <w:rsid w:val="006B63AB"/>
    <w:rsid w:val="006C2BAB"/>
    <w:rsid w:val="006E4084"/>
    <w:rsid w:val="006E66D6"/>
    <w:rsid w:val="006F26BE"/>
    <w:rsid w:val="006F7558"/>
    <w:rsid w:val="0070474C"/>
    <w:rsid w:val="00706835"/>
    <w:rsid w:val="0072076E"/>
    <w:rsid w:val="00724137"/>
    <w:rsid w:val="007322FB"/>
    <w:rsid w:val="00737950"/>
    <w:rsid w:val="007561F7"/>
    <w:rsid w:val="00760E00"/>
    <w:rsid w:val="00767483"/>
    <w:rsid w:val="007957C8"/>
    <w:rsid w:val="00796746"/>
    <w:rsid w:val="007A40E8"/>
    <w:rsid w:val="007C4E85"/>
    <w:rsid w:val="007D2A9C"/>
    <w:rsid w:val="007D4E1F"/>
    <w:rsid w:val="007E70E8"/>
    <w:rsid w:val="007E75C9"/>
    <w:rsid w:val="007F4760"/>
    <w:rsid w:val="007F60DD"/>
    <w:rsid w:val="007F6839"/>
    <w:rsid w:val="008005EC"/>
    <w:rsid w:val="00800F3A"/>
    <w:rsid w:val="008046F5"/>
    <w:rsid w:val="0081412D"/>
    <w:rsid w:val="00816B47"/>
    <w:rsid w:val="00822962"/>
    <w:rsid w:val="00826D08"/>
    <w:rsid w:val="00832BC7"/>
    <w:rsid w:val="00836BC5"/>
    <w:rsid w:val="00837642"/>
    <w:rsid w:val="0084137F"/>
    <w:rsid w:val="00846F5F"/>
    <w:rsid w:val="008515C7"/>
    <w:rsid w:val="008529C4"/>
    <w:rsid w:val="0085441E"/>
    <w:rsid w:val="00862031"/>
    <w:rsid w:val="00862D32"/>
    <w:rsid w:val="00866908"/>
    <w:rsid w:val="0086718B"/>
    <w:rsid w:val="00874C84"/>
    <w:rsid w:val="00883741"/>
    <w:rsid w:val="008A11D4"/>
    <w:rsid w:val="008A140F"/>
    <w:rsid w:val="008A6A5B"/>
    <w:rsid w:val="008B5F96"/>
    <w:rsid w:val="008B72EF"/>
    <w:rsid w:val="008C1731"/>
    <w:rsid w:val="008C2104"/>
    <w:rsid w:val="008C2767"/>
    <w:rsid w:val="008C2910"/>
    <w:rsid w:val="008C2A72"/>
    <w:rsid w:val="008C7FBB"/>
    <w:rsid w:val="008D0A6E"/>
    <w:rsid w:val="008D30F7"/>
    <w:rsid w:val="008D4CC4"/>
    <w:rsid w:val="008D589B"/>
    <w:rsid w:val="008D6897"/>
    <w:rsid w:val="008E107B"/>
    <w:rsid w:val="008E2A47"/>
    <w:rsid w:val="008E6A38"/>
    <w:rsid w:val="008F1A94"/>
    <w:rsid w:val="008F2E88"/>
    <w:rsid w:val="008F4BC5"/>
    <w:rsid w:val="008F63DA"/>
    <w:rsid w:val="00906929"/>
    <w:rsid w:val="0091489D"/>
    <w:rsid w:val="00916C7F"/>
    <w:rsid w:val="009171B4"/>
    <w:rsid w:val="00921E72"/>
    <w:rsid w:val="00924D36"/>
    <w:rsid w:val="009257B8"/>
    <w:rsid w:val="009368DD"/>
    <w:rsid w:val="009369BE"/>
    <w:rsid w:val="00946371"/>
    <w:rsid w:val="00952120"/>
    <w:rsid w:val="009540BE"/>
    <w:rsid w:val="00964A12"/>
    <w:rsid w:val="009670A4"/>
    <w:rsid w:val="00970C3A"/>
    <w:rsid w:val="00971525"/>
    <w:rsid w:val="00974EE8"/>
    <w:rsid w:val="009823D4"/>
    <w:rsid w:val="009862ED"/>
    <w:rsid w:val="009937FA"/>
    <w:rsid w:val="00995E06"/>
    <w:rsid w:val="009C0946"/>
    <w:rsid w:val="009C3E74"/>
    <w:rsid w:val="009C74F3"/>
    <w:rsid w:val="009D59C8"/>
    <w:rsid w:val="009F5813"/>
    <w:rsid w:val="00A01E0B"/>
    <w:rsid w:val="00A0701E"/>
    <w:rsid w:val="00A1090A"/>
    <w:rsid w:val="00A12AAA"/>
    <w:rsid w:val="00A1492B"/>
    <w:rsid w:val="00A264F8"/>
    <w:rsid w:val="00A41C25"/>
    <w:rsid w:val="00A52F4A"/>
    <w:rsid w:val="00A54E7F"/>
    <w:rsid w:val="00A670E7"/>
    <w:rsid w:val="00A72162"/>
    <w:rsid w:val="00A75561"/>
    <w:rsid w:val="00A90669"/>
    <w:rsid w:val="00A940A1"/>
    <w:rsid w:val="00AB3A93"/>
    <w:rsid w:val="00AB6AFA"/>
    <w:rsid w:val="00AB7F29"/>
    <w:rsid w:val="00AD12FB"/>
    <w:rsid w:val="00AD601E"/>
    <w:rsid w:val="00AE2A18"/>
    <w:rsid w:val="00AE2A26"/>
    <w:rsid w:val="00AE64F9"/>
    <w:rsid w:val="00AF1457"/>
    <w:rsid w:val="00AF227D"/>
    <w:rsid w:val="00AF3316"/>
    <w:rsid w:val="00AF4573"/>
    <w:rsid w:val="00AF4E7B"/>
    <w:rsid w:val="00AF5151"/>
    <w:rsid w:val="00B0338D"/>
    <w:rsid w:val="00B11A72"/>
    <w:rsid w:val="00B11E1F"/>
    <w:rsid w:val="00B12067"/>
    <w:rsid w:val="00B20A65"/>
    <w:rsid w:val="00B23C68"/>
    <w:rsid w:val="00B26D77"/>
    <w:rsid w:val="00B30D6F"/>
    <w:rsid w:val="00B3519C"/>
    <w:rsid w:val="00B37F9F"/>
    <w:rsid w:val="00B40647"/>
    <w:rsid w:val="00B415CF"/>
    <w:rsid w:val="00B42A68"/>
    <w:rsid w:val="00B42B9B"/>
    <w:rsid w:val="00B470B6"/>
    <w:rsid w:val="00B536D3"/>
    <w:rsid w:val="00B62B19"/>
    <w:rsid w:val="00B641EF"/>
    <w:rsid w:val="00B74EE9"/>
    <w:rsid w:val="00B84E12"/>
    <w:rsid w:val="00B85812"/>
    <w:rsid w:val="00B870E0"/>
    <w:rsid w:val="00B9243D"/>
    <w:rsid w:val="00B952E1"/>
    <w:rsid w:val="00B954C7"/>
    <w:rsid w:val="00B95A41"/>
    <w:rsid w:val="00BA1967"/>
    <w:rsid w:val="00BB01B9"/>
    <w:rsid w:val="00BB0232"/>
    <w:rsid w:val="00BB141A"/>
    <w:rsid w:val="00BC7A8A"/>
    <w:rsid w:val="00BE1872"/>
    <w:rsid w:val="00BE6CFB"/>
    <w:rsid w:val="00C16819"/>
    <w:rsid w:val="00C20911"/>
    <w:rsid w:val="00C277ED"/>
    <w:rsid w:val="00C3066C"/>
    <w:rsid w:val="00C3378E"/>
    <w:rsid w:val="00C3379B"/>
    <w:rsid w:val="00C3401C"/>
    <w:rsid w:val="00C3468C"/>
    <w:rsid w:val="00C35AD5"/>
    <w:rsid w:val="00C36C71"/>
    <w:rsid w:val="00C454CC"/>
    <w:rsid w:val="00C463A7"/>
    <w:rsid w:val="00C50E56"/>
    <w:rsid w:val="00C51A3F"/>
    <w:rsid w:val="00C5244E"/>
    <w:rsid w:val="00C5581F"/>
    <w:rsid w:val="00C60691"/>
    <w:rsid w:val="00C6700F"/>
    <w:rsid w:val="00C71B96"/>
    <w:rsid w:val="00C743F4"/>
    <w:rsid w:val="00C75085"/>
    <w:rsid w:val="00C75D88"/>
    <w:rsid w:val="00C8111C"/>
    <w:rsid w:val="00C8504F"/>
    <w:rsid w:val="00C941C4"/>
    <w:rsid w:val="00C96B1C"/>
    <w:rsid w:val="00CA0D7C"/>
    <w:rsid w:val="00CA74A4"/>
    <w:rsid w:val="00CC37FC"/>
    <w:rsid w:val="00CD285E"/>
    <w:rsid w:val="00CD4D3D"/>
    <w:rsid w:val="00CE5A2F"/>
    <w:rsid w:val="00CF2A0C"/>
    <w:rsid w:val="00CF36F1"/>
    <w:rsid w:val="00D22406"/>
    <w:rsid w:val="00D27CC5"/>
    <w:rsid w:val="00D372CA"/>
    <w:rsid w:val="00D60378"/>
    <w:rsid w:val="00D80A29"/>
    <w:rsid w:val="00D850CF"/>
    <w:rsid w:val="00D8544E"/>
    <w:rsid w:val="00D86743"/>
    <w:rsid w:val="00D8774A"/>
    <w:rsid w:val="00D95DB6"/>
    <w:rsid w:val="00D95EEA"/>
    <w:rsid w:val="00DA5568"/>
    <w:rsid w:val="00DB1E50"/>
    <w:rsid w:val="00DB64D8"/>
    <w:rsid w:val="00DC12CE"/>
    <w:rsid w:val="00DC1AF3"/>
    <w:rsid w:val="00DD0020"/>
    <w:rsid w:val="00DD09A4"/>
    <w:rsid w:val="00DD3787"/>
    <w:rsid w:val="00DD4559"/>
    <w:rsid w:val="00DD62D4"/>
    <w:rsid w:val="00DD72AF"/>
    <w:rsid w:val="00DF0B4F"/>
    <w:rsid w:val="00DF21AB"/>
    <w:rsid w:val="00E03299"/>
    <w:rsid w:val="00E035DB"/>
    <w:rsid w:val="00E11238"/>
    <w:rsid w:val="00E175D0"/>
    <w:rsid w:val="00E213C8"/>
    <w:rsid w:val="00E30CCD"/>
    <w:rsid w:val="00E348B3"/>
    <w:rsid w:val="00E367AE"/>
    <w:rsid w:val="00E40902"/>
    <w:rsid w:val="00E52A1F"/>
    <w:rsid w:val="00E62529"/>
    <w:rsid w:val="00E70011"/>
    <w:rsid w:val="00E74B3D"/>
    <w:rsid w:val="00E769DA"/>
    <w:rsid w:val="00E80F18"/>
    <w:rsid w:val="00E941DF"/>
    <w:rsid w:val="00EA1E48"/>
    <w:rsid w:val="00EB1DDC"/>
    <w:rsid w:val="00EC11EB"/>
    <w:rsid w:val="00ED3D71"/>
    <w:rsid w:val="00EF42F5"/>
    <w:rsid w:val="00F0029E"/>
    <w:rsid w:val="00F0200B"/>
    <w:rsid w:val="00F02902"/>
    <w:rsid w:val="00F2464A"/>
    <w:rsid w:val="00F25E0F"/>
    <w:rsid w:val="00F30838"/>
    <w:rsid w:val="00F3519B"/>
    <w:rsid w:val="00F365C2"/>
    <w:rsid w:val="00F43477"/>
    <w:rsid w:val="00F4568F"/>
    <w:rsid w:val="00F574C4"/>
    <w:rsid w:val="00F9290F"/>
    <w:rsid w:val="00FA5017"/>
    <w:rsid w:val="00FB22E8"/>
    <w:rsid w:val="00FB6291"/>
    <w:rsid w:val="00FD02C4"/>
    <w:rsid w:val="00FD05C1"/>
    <w:rsid w:val="00FD4AF1"/>
    <w:rsid w:val="00FD4B67"/>
    <w:rsid w:val="00FD64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21C03"/>
  <w15:docId w15:val="{3B80CA41-4EDF-48FF-B71A-0DF23A65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58"/>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6F7558"/>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6F7558"/>
    <w:pPr>
      <w:tabs>
        <w:tab w:val="center" w:pos="4252"/>
        <w:tab w:val="right" w:pos="8504"/>
      </w:tabs>
    </w:pPr>
  </w:style>
  <w:style w:type="character" w:customStyle="1" w:styleId="PiedepginaCar">
    <w:name w:val="Pie de página Car"/>
    <w:basedOn w:val="Fuentedeprrafopredeter"/>
    <w:link w:val="Piedepgina"/>
    <w:uiPriority w:val="99"/>
    <w:rsid w:val="006F75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21449"/>
    <w:rPr>
      <w:sz w:val="16"/>
      <w:szCs w:val="16"/>
    </w:rPr>
  </w:style>
  <w:style w:type="paragraph" w:styleId="Textocomentario">
    <w:name w:val="annotation text"/>
    <w:basedOn w:val="Normal"/>
    <w:link w:val="TextocomentarioCar"/>
    <w:uiPriority w:val="99"/>
    <w:semiHidden/>
    <w:unhideWhenUsed/>
    <w:rsid w:val="00421449"/>
    <w:rPr>
      <w:sz w:val="20"/>
      <w:szCs w:val="20"/>
    </w:rPr>
  </w:style>
  <w:style w:type="character" w:customStyle="1" w:styleId="TextocomentarioCar">
    <w:name w:val="Texto comentario Car"/>
    <w:basedOn w:val="Fuentedeprrafopredeter"/>
    <w:link w:val="Textocomentario"/>
    <w:uiPriority w:val="99"/>
    <w:semiHidden/>
    <w:rsid w:val="00421449"/>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21449"/>
    <w:rPr>
      <w:b/>
      <w:bCs/>
    </w:rPr>
  </w:style>
  <w:style w:type="character" w:customStyle="1" w:styleId="AsuntodelcomentarioCar">
    <w:name w:val="Asunto del comentario Car"/>
    <w:basedOn w:val="TextocomentarioCar"/>
    <w:link w:val="Asuntodelcomentario"/>
    <w:uiPriority w:val="99"/>
    <w:semiHidden/>
    <w:rsid w:val="00421449"/>
    <w:rPr>
      <w:rFonts w:ascii="Times New Roman" w:eastAsia="Times New Roman" w:hAnsi="Times New Roman" w:cs="Times New Roman"/>
      <w:b/>
      <w:bCs/>
      <w:lang w:val="es-ES" w:eastAsia="es-ES"/>
    </w:rPr>
  </w:style>
  <w:style w:type="paragraph" w:styleId="Textodeglobo">
    <w:name w:val="Balloon Text"/>
    <w:basedOn w:val="Normal"/>
    <w:link w:val="TextodegloboCar"/>
    <w:uiPriority w:val="99"/>
    <w:semiHidden/>
    <w:unhideWhenUsed/>
    <w:rsid w:val="00421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449"/>
    <w:rPr>
      <w:rFonts w:ascii="Segoe UI" w:eastAsia="Times New Roman" w:hAnsi="Segoe UI" w:cs="Segoe UI"/>
      <w:sz w:val="18"/>
      <w:szCs w:val="18"/>
      <w:lang w:val="es-ES" w:eastAsia="es-ES"/>
    </w:rPr>
  </w:style>
  <w:style w:type="character" w:customStyle="1" w:styleId="hit">
    <w:name w:val="hit"/>
    <w:basedOn w:val="Fuentedeprrafopredeter"/>
    <w:rsid w:val="005F785F"/>
  </w:style>
  <w:style w:type="paragraph" w:styleId="Encabezado">
    <w:name w:val="header"/>
    <w:basedOn w:val="Normal"/>
    <w:link w:val="EncabezadoCar"/>
    <w:uiPriority w:val="99"/>
    <w:unhideWhenUsed/>
    <w:rsid w:val="004779D5"/>
    <w:pPr>
      <w:tabs>
        <w:tab w:val="center" w:pos="4252"/>
        <w:tab w:val="right" w:pos="8504"/>
      </w:tabs>
    </w:pPr>
  </w:style>
  <w:style w:type="character" w:customStyle="1" w:styleId="EncabezadoCar">
    <w:name w:val="Encabezado Car"/>
    <w:basedOn w:val="Fuentedeprrafopredeter"/>
    <w:link w:val="Encabezado"/>
    <w:uiPriority w:val="99"/>
    <w:rsid w:val="004779D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9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7279-CC5E-42F0-9034-9327936D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1560</Words>
  <Characters>8583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Juan Sebastian Jimenez Osorio</cp:lastModifiedBy>
  <cp:revision>8</cp:revision>
  <cp:lastPrinted>2020-02-12T17:44:00Z</cp:lastPrinted>
  <dcterms:created xsi:type="dcterms:W3CDTF">2021-01-25T15:38:00Z</dcterms:created>
  <dcterms:modified xsi:type="dcterms:W3CDTF">2021-01-25T16:11:00Z</dcterms:modified>
</cp:coreProperties>
</file>