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BF" w:rsidRPr="003368BC" w:rsidRDefault="000E65BF" w:rsidP="000E65BF">
      <w:pPr>
        <w:jc w:val="center"/>
        <w:rPr>
          <w:rFonts w:ascii="Book Antiqua" w:hAnsi="Book Antiqua"/>
          <w:b/>
          <w:color w:val="000000" w:themeColor="text1"/>
          <w:sz w:val="20"/>
          <w:szCs w:val="20"/>
        </w:rPr>
      </w:pPr>
    </w:p>
    <w:p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 xml:space="preserve">ORDENANZA METROPOLITANA No. </w:t>
      </w:r>
      <w:r w:rsidRPr="0012404C">
        <w:rPr>
          <w:rFonts w:ascii="Book Antiqua" w:hAnsi="Book Antiqua"/>
          <w:b/>
          <w:color w:val="000000" w:themeColor="text1"/>
          <w:sz w:val="20"/>
          <w:szCs w:val="20"/>
        </w:rPr>
        <w:t>000</w:t>
      </w:r>
      <w:r w:rsidRPr="003368BC">
        <w:rPr>
          <w:rFonts w:ascii="Book Antiqua" w:hAnsi="Book Antiqua"/>
          <w:b/>
          <w:color w:val="000000" w:themeColor="text1"/>
          <w:sz w:val="20"/>
          <w:szCs w:val="20"/>
        </w:rPr>
        <w:t xml:space="preserve"> — 2021</w:t>
      </w:r>
    </w:p>
    <w:p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EXPOSICIÓN DE MOTIVOS</w:t>
      </w:r>
    </w:p>
    <w:p w:rsidR="000E65BF" w:rsidRPr="003368BC" w:rsidRDefault="000E65BF" w:rsidP="000E65BF">
      <w:pPr>
        <w:jc w:val="both"/>
        <w:rPr>
          <w:rFonts w:ascii="Book Antiqua" w:hAnsi="Book Antiqua"/>
          <w:color w:val="000000" w:themeColor="text1"/>
          <w:sz w:val="20"/>
          <w:szCs w:val="20"/>
        </w:rPr>
      </w:pPr>
    </w:p>
    <w:p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 xml:space="preserve">La política tributaria es una disciplina de la política económica centrada en la gestión de los recursos de un Estado y su Administración. Está en manos del Gobierno del país, quién controla los niveles de gasto e ingresos mediante variables como los impuestos y el </w:t>
      </w:r>
      <w:hyperlink r:id="rId7" w:history="1">
        <w:r w:rsidRPr="00CA3CA5">
          <w:rPr>
            <w:rFonts w:ascii="Book Antiqua" w:hAnsi="Book Antiqua"/>
            <w:color w:val="000000" w:themeColor="text1"/>
            <w:sz w:val="20"/>
            <w:szCs w:val="20"/>
          </w:rPr>
          <w:t>gasto público</w:t>
        </w:r>
      </w:hyperlink>
      <w:r w:rsidRPr="00CA3CA5">
        <w:rPr>
          <w:rFonts w:ascii="Book Antiqua" w:hAnsi="Book Antiqua"/>
          <w:color w:val="000000" w:themeColor="text1"/>
          <w:sz w:val="20"/>
          <w:szCs w:val="20"/>
        </w:rPr>
        <w:t xml:space="preserve"> para mantener un nivel de estabilidad en los países.</w:t>
      </w:r>
    </w:p>
    <w:p w:rsidR="000E65BF" w:rsidRDefault="000E65BF" w:rsidP="000E65BF">
      <w:pPr>
        <w:jc w:val="both"/>
        <w:rPr>
          <w:rFonts w:ascii="Book Antiqua" w:hAnsi="Book Antiqua"/>
          <w:color w:val="000000" w:themeColor="text1"/>
          <w:sz w:val="20"/>
          <w:szCs w:val="20"/>
        </w:rPr>
      </w:pPr>
    </w:p>
    <w:p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La política tributaria debe jugar un papel central en la mitigación del impacto social y económico derivado de la pandemia del COVID-19 y, al mismo tiempo, proporcionar el impulso necesario para lograr una reactivación de la actividad económica que permita guiar al país hacia un desarrollo sostenible e inclusivo en un mundo post COVID-19.</w:t>
      </w:r>
    </w:p>
    <w:p w:rsidR="000E65BF" w:rsidRPr="00CA3CA5" w:rsidRDefault="000E65BF" w:rsidP="000E65BF">
      <w:pPr>
        <w:jc w:val="both"/>
        <w:rPr>
          <w:rFonts w:ascii="Book Antiqua" w:hAnsi="Book Antiqua"/>
          <w:color w:val="000000" w:themeColor="text1"/>
          <w:sz w:val="20"/>
          <w:szCs w:val="20"/>
        </w:rPr>
      </w:pPr>
    </w:p>
    <w:p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Ante la magnitud de la crisis, resulta indispensable que los gobiernos (nacional y seccionales) promuevan respuestas contundentes que permitan contrarrestar la gravedad de sus posibles efectos en el bienestar de las personas y en la economía. En este sentido, la política tributaria se convierte en una herramienta fundamental para impulsar medidas precisas y oportunas que permitan contenerla, así como acelerar la capacidad de reactivación de la economía conforme se vaya superando la crisis sanitaria.</w:t>
      </w:r>
    </w:p>
    <w:p w:rsidR="000E65BF" w:rsidRDefault="000E65BF" w:rsidP="000E65BF">
      <w:pPr>
        <w:jc w:val="both"/>
        <w:rPr>
          <w:rFonts w:ascii="Book Antiqua" w:hAnsi="Book Antiqua"/>
          <w:color w:val="000000" w:themeColor="text1"/>
          <w:sz w:val="20"/>
          <w:szCs w:val="20"/>
        </w:rPr>
      </w:pPr>
    </w:p>
    <w:p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En este contexto teórico el GAD del Distrito Metropolitano de Quito, tiene ante sí, el reto de establecer mediante el ejercicio de sus facultades constitucionales y legales una política tributaria coherente con la situación económica que a nivel mundial mantiene sus secuelas, sin descuidar al mismo tiempo las necesidades financieras inherentes que esta compelido a observar a fin de mantener un servicio eficiente e idóneo para la ciudadanía.</w:t>
      </w:r>
    </w:p>
    <w:p w:rsidR="000E65BF" w:rsidRDefault="000E65BF" w:rsidP="000E65BF">
      <w:pPr>
        <w:jc w:val="both"/>
        <w:rPr>
          <w:rFonts w:ascii="Book Antiqua" w:hAnsi="Book Antiqua"/>
          <w:color w:val="000000" w:themeColor="text1"/>
          <w:sz w:val="20"/>
          <w:szCs w:val="20"/>
        </w:rPr>
      </w:pPr>
    </w:p>
    <w:p w:rsidR="000E65BF" w:rsidRPr="005F4A5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El Código Orgánico de Organización Territorial, Autonomía y Descentralización («COOTAD») establece dentro de las competencias de los Gobiernos Autónomos Descentralizados Municipales y Metropolitanos, la construcción y administración del catastro inmobiliario, y por ende, la obligación de actualizar cada dos años los catastros y la valoración de la propiedad urbana y rural, tal y como lo establece el Art. 496 ibídem que señala: “</w:t>
      </w:r>
      <w:r w:rsidRPr="005F4A56">
        <w:rPr>
          <w:rFonts w:ascii="Book Antiqua" w:hAnsi="Book Antiqua"/>
          <w:i/>
          <w:color w:val="000000" w:themeColor="text1"/>
          <w:sz w:val="20"/>
          <w:szCs w:val="20"/>
        </w:rPr>
        <w:t>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p>
    <w:p w:rsidR="000E65BF" w:rsidRDefault="000E65BF" w:rsidP="000E65BF">
      <w:pPr>
        <w:jc w:val="both"/>
        <w:rPr>
          <w:rFonts w:ascii="Book Antiqua" w:hAnsi="Book Antiqua"/>
          <w:color w:val="000000" w:themeColor="text1"/>
          <w:sz w:val="20"/>
          <w:szCs w:val="20"/>
        </w:rPr>
      </w:pPr>
    </w:p>
    <w:p w:rsidR="000E65BF" w:rsidRPr="005F4A5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 xml:space="preserve">En ese sentido y considerando que, con la actualización del avalúo y del catastro, resulta inminente que las municipalidades y distritos metropolitanos actualicen, consecuentemente, los impuestos prediales cada bienio en función de las referidas actualizaciones que se efectúan a la valoración predial, de acuerdo al artículo 497 del Código Orgánico de Organización Territorial, </w:t>
      </w:r>
      <w:r w:rsidRPr="005F4A56">
        <w:rPr>
          <w:rFonts w:ascii="Book Antiqua" w:hAnsi="Book Antiqua"/>
          <w:color w:val="000000" w:themeColor="text1"/>
          <w:sz w:val="20"/>
          <w:szCs w:val="20"/>
        </w:rPr>
        <w:lastRenderedPageBreak/>
        <w:t>Autonomía y Descentralización, («COOTAD»), que dispone “</w:t>
      </w:r>
      <w:r w:rsidRPr="005F4A56">
        <w:rPr>
          <w:rFonts w:ascii="Book Antiqua" w:hAnsi="Book Antiqua"/>
          <w:i/>
          <w:color w:val="000000" w:themeColor="text1"/>
          <w:sz w:val="20"/>
          <w:szCs w:val="20"/>
        </w:rPr>
        <w:t xml:space="preserve">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 </w:t>
      </w:r>
      <w:r w:rsidRPr="005F4A56">
        <w:rPr>
          <w:rFonts w:ascii="Book Antiqua" w:hAnsi="Book Antiqua"/>
          <w:color w:val="000000" w:themeColor="text1"/>
          <w:sz w:val="20"/>
          <w:szCs w:val="20"/>
        </w:rPr>
        <w:t>normativa cuyo objetivo en definitiva es proveer a dichos gobiernos de recursos acorde a la realidad económica y social de su territorio.</w:t>
      </w:r>
    </w:p>
    <w:p w:rsidR="000E65BF" w:rsidRDefault="000E65BF" w:rsidP="000E65BF">
      <w:pPr>
        <w:jc w:val="both"/>
        <w:rPr>
          <w:rFonts w:ascii="Book Antiqua" w:hAnsi="Book Antiqua"/>
          <w:color w:val="000000" w:themeColor="text1"/>
          <w:sz w:val="20"/>
          <w:szCs w:val="20"/>
        </w:rPr>
      </w:pPr>
    </w:p>
    <w:p w:rsidR="000E65BF" w:rsidRPr="00BF36B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Por lo expuesto, es mandatorio el cumplimiento de las disposiciones nor</w:t>
      </w:r>
      <w:r w:rsidRPr="00BF36B6">
        <w:rPr>
          <w:rFonts w:ascii="Book Antiqua" w:hAnsi="Book Antiqua"/>
          <w:color w:val="000000" w:themeColor="text1"/>
          <w:sz w:val="20"/>
          <w:szCs w:val="20"/>
        </w:rPr>
        <w:t>mativas antes referidas, y bajo esa premisa, corresponde emitir la Ordenanza Metropolitana Sustitutiva que regula el Impuesto a los Predios Urbanos y Rurales en el Distrito Metropolitano de Quito, para el bienio 2022-2023.</w:t>
      </w:r>
    </w:p>
    <w:p w:rsidR="000E65BF" w:rsidRPr="00BF36B6" w:rsidRDefault="000E65BF" w:rsidP="000E65BF">
      <w:pPr>
        <w:jc w:val="both"/>
        <w:rPr>
          <w:rFonts w:ascii="Book Antiqua" w:hAnsi="Book Antiqua"/>
          <w:color w:val="000000" w:themeColor="text1"/>
          <w:sz w:val="20"/>
          <w:szCs w:val="20"/>
        </w:rPr>
      </w:pPr>
    </w:p>
    <w:p w:rsidR="000E65BF" w:rsidRPr="00BF36B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Ahora bien, más allá del cumplimiento de la ley, el proyecto de ordenanza tiene como meta dotar al GAD del Distrito Metropolitano de Quito de suficiencia recaudatoria, como un principio y herramienta técnica y jurídica que le asegure la provisión de recursos económicos acorde a la realidad económica y social de su circunscripción  territorial,  a fin  de  impulsar el desarrollo  de  su  distrito  y  mejorar  el bienestar de su población,  como  consecuencia de su capacidad  legal  de generar  y administrar sus propios recursos acorde a lo dispuesto en la Constitución y la  ley.</w:t>
      </w:r>
    </w:p>
    <w:p w:rsidR="000E65BF" w:rsidRPr="00BF36B6" w:rsidRDefault="000E65BF" w:rsidP="000E65BF">
      <w:pPr>
        <w:jc w:val="both"/>
        <w:rPr>
          <w:rFonts w:ascii="Book Antiqua" w:hAnsi="Book Antiqua"/>
          <w:color w:val="000000" w:themeColor="text1"/>
          <w:sz w:val="20"/>
          <w:szCs w:val="20"/>
        </w:rPr>
      </w:pPr>
    </w:p>
    <w:p w:rsidR="000E65BF" w:rsidRPr="005F4A5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Finalmente, cabe recordar que los impuestos prediales  representan un importante  rubro  para la financiación  y presupuesto del  municipio,  debido  al considerable  número de sujetos pasivos del tributo en cuestión,  ubicados dentro de su jurisdicción, por lo que el manejo  apropiado  de  la  información  del  catastro,  vía actualización  del avalúo y de los  catastros,  permitirá al GAD del Distrito  Metropolitano de Quito mejorar su gestión recaudatoria, a efectos de</w:t>
      </w:r>
      <w:r w:rsidRPr="00AA403E">
        <w:rPr>
          <w:rFonts w:ascii="Book Antiqua" w:hAnsi="Book Antiqua"/>
          <w:color w:val="000000" w:themeColor="text1"/>
          <w:sz w:val="20"/>
          <w:szCs w:val="20"/>
        </w:rPr>
        <w:t xml:space="preserve"> una emisión  de</w:t>
      </w:r>
      <w:r>
        <w:rPr>
          <w:rFonts w:ascii="Book Antiqua" w:hAnsi="Book Antiqua"/>
          <w:color w:val="000000" w:themeColor="text1"/>
          <w:sz w:val="20"/>
          <w:szCs w:val="20"/>
        </w:rPr>
        <w:t xml:space="preserve">l impuesto predial equitativo, </w:t>
      </w:r>
      <w:r w:rsidRPr="00AA403E">
        <w:rPr>
          <w:rFonts w:ascii="Book Antiqua" w:hAnsi="Book Antiqua"/>
          <w:color w:val="000000" w:themeColor="text1"/>
          <w:sz w:val="20"/>
          <w:szCs w:val="20"/>
        </w:rPr>
        <w:t>general,  igualitario y progresivo acorde  a la capacidad  contributiva de los respectivos sujetos pasivos, que debe tomarse en cuenta al momento de</w:t>
      </w:r>
      <w:r>
        <w:rPr>
          <w:rFonts w:ascii="Book Antiqua" w:hAnsi="Book Antiqua"/>
          <w:color w:val="000000" w:themeColor="text1"/>
          <w:sz w:val="20"/>
          <w:szCs w:val="20"/>
        </w:rPr>
        <w:t xml:space="preserve"> establecer la carga tributaria</w:t>
      </w:r>
    </w:p>
    <w:p w:rsidR="000E65BF" w:rsidRPr="003368BC" w:rsidRDefault="000E65BF" w:rsidP="000E65BF">
      <w:pPr>
        <w:jc w:val="center"/>
        <w:rPr>
          <w:rFonts w:ascii="Book Antiqua" w:hAnsi="Book Antiqua"/>
          <w:b/>
          <w:color w:val="000000" w:themeColor="text1"/>
          <w:sz w:val="20"/>
          <w:szCs w:val="20"/>
        </w:rPr>
      </w:pPr>
    </w:p>
    <w:p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EL CONCEJO METROPOLITANO</w:t>
      </w:r>
    </w:p>
    <w:p w:rsidR="000E65BF" w:rsidRPr="003368BC" w:rsidRDefault="000E65BF" w:rsidP="000E65BF">
      <w:pPr>
        <w:jc w:val="both"/>
        <w:rPr>
          <w:rFonts w:ascii="Book Antiqua" w:hAnsi="Book Antiqua"/>
          <w:color w:val="000000" w:themeColor="text1"/>
          <w:sz w:val="20"/>
          <w:szCs w:val="20"/>
        </w:rPr>
      </w:pP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Visto el Informe No</w:t>
      </w:r>
      <w:r w:rsidRPr="0012404C">
        <w:rPr>
          <w:rFonts w:ascii="Book Antiqua" w:hAnsi="Book Antiqua"/>
          <w:color w:val="000000" w:themeColor="text1"/>
          <w:sz w:val="20"/>
          <w:szCs w:val="20"/>
        </w:rPr>
        <w:t>. XXXXXXX 2021 de XXXXXXXX</w:t>
      </w:r>
      <w:r w:rsidRPr="003368BC">
        <w:rPr>
          <w:rFonts w:ascii="Book Antiqua" w:hAnsi="Book Antiqua"/>
          <w:color w:val="000000" w:themeColor="text1"/>
          <w:sz w:val="20"/>
          <w:szCs w:val="20"/>
        </w:rPr>
        <w:t xml:space="preserve"> de 2021, emitido por la Comisión de Presupuesto, Finanzas y Tributación. </w:t>
      </w:r>
    </w:p>
    <w:p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CONSIDERANDO:</w:t>
      </w:r>
    </w:p>
    <w:p w:rsidR="000E65BF" w:rsidRPr="003368BC" w:rsidRDefault="000E65BF" w:rsidP="000E65BF">
      <w:pPr>
        <w:jc w:val="both"/>
        <w:rPr>
          <w:rFonts w:ascii="Book Antiqua" w:hAnsi="Book Antiqua"/>
          <w:b/>
          <w:color w:val="000000" w:themeColor="text1"/>
          <w:sz w:val="20"/>
          <w:szCs w:val="20"/>
        </w:rPr>
      </w:pPr>
      <w:r w:rsidRPr="003368BC">
        <w:rPr>
          <w:rFonts w:ascii="Book Antiqua" w:hAnsi="Book Antiqua"/>
          <w:b/>
          <w:color w:val="000000" w:themeColor="text1"/>
          <w:sz w:val="20"/>
          <w:szCs w:val="20"/>
        </w:rPr>
        <w:t xml:space="preserve">Que, </w:t>
      </w:r>
      <w:r w:rsidRPr="003368BC">
        <w:rPr>
          <w:rFonts w:ascii="Book Antiqua" w:hAnsi="Book Antiqua"/>
          <w:color w:val="000000" w:themeColor="text1"/>
          <w:sz w:val="20"/>
          <w:szCs w:val="20"/>
        </w:rPr>
        <w:t>de acuerdo a los principios recogidos en el artículo 300 de la Constitución de la República y el Código Tributario, el régimen tributario se regirá entre otros, por los principios de generalidad, progresividad, eficiencia, simplicidad administrativa, irretroactividad, equidad, transparencia y suficiencia recaudatoria.</w:t>
      </w:r>
      <w:r w:rsidRPr="003368BC">
        <w:rPr>
          <w:rFonts w:ascii="Book Antiqua" w:hAnsi="Book Antiqua"/>
          <w:b/>
          <w:color w:val="000000" w:themeColor="text1"/>
          <w:sz w:val="20"/>
          <w:szCs w:val="20"/>
        </w:rPr>
        <w:t xml:space="preserve"> </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de acuerdo al artículo 226 de la Constitución de la República del Ecuador las instituciones del Estado, sus organismos, dependencias, las servidoras o servidores públicos y las personas que actúen en</w:t>
      </w:r>
      <w:r>
        <w:rPr>
          <w:rFonts w:ascii="Book Antiqua" w:hAnsi="Book Antiqua"/>
          <w:color w:val="000000" w:themeColor="text1"/>
          <w:sz w:val="20"/>
          <w:szCs w:val="20"/>
        </w:rPr>
        <w:t xml:space="preserve"> virtud de una potestad estatal, </w:t>
      </w:r>
      <w:r w:rsidRPr="003368BC">
        <w:rPr>
          <w:rFonts w:ascii="Book Antiqua" w:hAnsi="Book Antiqua"/>
          <w:color w:val="000000" w:themeColor="text1"/>
          <w:sz w:val="20"/>
          <w:szCs w:val="20"/>
        </w:rPr>
        <w:t>tendrán el deber de coordinar acciones para el cumplimiento de sus fines y hacer efectivo el goce y ejercicio de los derechos reconocidos en la Constitución;</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el artículo 240 de la Constitución de la República del Ecuador reconoce la facultad legislativa de los gobiernos autónomos descentralizados municipales y metropolitanos en el ámbito de sus competencias y jurisdicciones territoriales;</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lastRenderedPageBreak/>
        <w:t>Que</w:t>
      </w:r>
      <w:r w:rsidRPr="003368BC">
        <w:rPr>
          <w:rFonts w:ascii="Book Antiqua" w:hAnsi="Book Antiqua"/>
          <w:color w:val="000000" w:themeColor="text1"/>
          <w:sz w:val="20"/>
          <w:szCs w:val="20"/>
        </w:rPr>
        <w:t>, el artículo 492 del Código Orgánico de Organización Territorial, Autonomía y Descentralización, faculta a los gobiernos autónomos descentralizados distritales y municipales a reglamentar mediante ordenanza, el cobro de tributos;</w:t>
      </w:r>
    </w:p>
    <w:p w:rsidR="000E65BF" w:rsidRPr="003368BC" w:rsidRDefault="000E65BF" w:rsidP="000E65BF">
      <w:pPr>
        <w:jc w:val="both"/>
        <w:rPr>
          <w:rFonts w:ascii="Book Antiqua" w:hAnsi="Book Antiqua"/>
          <w:color w:val="000000" w:themeColor="text1"/>
          <w:sz w:val="20"/>
          <w:szCs w:val="20"/>
        </w:rPr>
      </w:pPr>
      <w:r w:rsidRPr="001A44EB">
        <w:rPr>
          <w:rFonts w:ascii="Book Antiqua" w:hAnsi="Book Antiqua"/>
          <w:b/>
          <w:color w:val="000000" w:themeColor="text1"/>
          <w:sz w:val="20"/>
          <w:szCs w:val="20"/>
        </w:rPr>
        <w:t>Que</w:t>
      </w:r>
      <w:r w:rsidRPr="001A44EB">
        <w:rPr>
          <w:rFonts w:ascii="Book Antiqua" w:hAnsi="Book Antiqua"/>
          <w:color w:val="000000" w:themeColor="text1"/>
          <w:sz w:val="20"/>
          <w:szCs w:val="20"/>
        </w:rPr>
        <w:t xml:space="preserve">, el Art. 497 del COOTAD, </w:t>
      </w:r>
      <w:r>
        <w:rPr>
          <w:rFonts w:ascii="Book Antiqua" w:hAnsi="Book Antiqua"/>
          <w:color w:val="000000" w:themeColor="text1"/>
          <w:sz w:val="20"/>
          <w:szCs w:val="20"/>
        </w:rPr>
        <w:t>dispone: “</w:t>
      </w:r>
      <w:r w:rsidRPr="00BF36B6">
        <w:rPr>
          <w:rFonts w:ascii="Book Antiqua" w:hAnsi="Book Antiqua"/>
          <w:i/>
          <w:iCs/>
          <w:color w:val="000000" w:themeColor="text1"/>
          <w:sz w:val="20"/>
          <w:szCs w:val="20"/>
        </w:rPr>
        <w:t>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w:t>
      </w:r>
      <w:r>
        <w:rPr>
          <w:rFonts w:ascii="Book Antiqua" w:hAnsi="Book Antiqua"/>
          <w:color w:val="000000" w:themeColor="text1"/>
          <w:sz w:val="20"/>
          <w:szCs w:val="20"/>
        </w:rPr>
        <w:t>”</w:t>
      </w:r>
      <w:r w:rsidRPr="001A44EB">
        <w:rPr>
          <w:rFonts w:ascii="Book Antiqua" w:hAnsi="Book Antiqua"/>
          <w:color w:val="000000" w:themeColor="text1"/>
          <w:sz w:val="20"/>
          <w:szCs w:val="20"/>
        </w:rPr>
        <w:t>;</w:t>
      </w:r>
      <w:r w:rsidRPr="003368BC">
        <w:rPr>
          <w:rFonts w:ascii="Book Antiqua" w:hAnsi="Book Antiqua"/>
          <w:color w:val="000000" w:themeColor="text1"/>
          <w:sz w:val="20"/>
          <w:szCs w:val="20"/>
        </w:rPr>
        <w:t xml:space="preserve"> </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los arts. 505 y 518 del COOTAD, establecen la forma de obtener el valor catastral imponible para aplicar la tarifa del Impuesto Predial Urbano e Impuesto Predial Rural. En concordancia con ello, los arts. 504 y 517 del ibídem, establecen las bandas impositivas para fijar la tarifa del Impuesto Predial Urbano e Impuesto Predial Rural;</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xml:space="preserve"> de conformidad con el Art. 2 de la Ley de Incentivos Tributarios por la Conservación de Áreas Históricas de Quito, el Gobierno Autónomo Descentralizado del Distrito Metropolitano de Quito tiene la competencia para reglamentar, mediante ordenanza, los procedimientos para la aplicación de la exención del pago del Impuesto Predial de las propiedades rehabilitadas, restauradas o en las que se hayan realizado obras de conservación y mantenimiento, debidamente autorizadas por la Comisión de Áreas Históricas;</w:t>
      </w:r>
    </w:p>
    <w:p w:rsidR="000E65BF" w:rsidRPr="00BF36B6"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bajo los principios constitucionales y legales del régimen tributario, así como la disposición expresa del Art. 497 del COOTAD</w:t>
      </w:r>
      <w:r w:rsidRPr="00BF36B6">
        <w:rPr>
          <w:rFonts w:ascii="Book Antiqua" w:hAnsi="Book Antiqua"/>
          <w:color w:val="000000" w:themeColor="text1"/>
          <w:sz w:val="20"/>
          <w:szCs w:val="20"/>
        </w:rPr>
        <w:t xml:space="preserve">, una vez que se ha realizado la actualización de los avalúos, es procedente revisar el Impuesto Predial Urbano e Impuesto Predial Rural para el bienio 2022-2023, así como establecer procedimientos generales que promuevan la suficiencia recaudatoria del Impuesto Predial y adicionales en el Distrito Metropolitano de Quito. </w:t>
      </w:r>
    </w:p>
    <w:p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En ejercicio de las atribuciones que le confieren los artículos 240 de la Constitución de la República; 7, 87 letras a) y b), 492 y</w:t>
      </w:r>
      <w:r>
        <w:rPr>
          <w:rFonts w:ascii="Book Antiqua" w:hAnsi="Book Antiqua"/>
          <w:color w:val="000000" w:themeColor="text1"/>
          <w:sz w:val="20"/>
          <w:szCs w:val="20"/>
        </w:rPr>
        <w:t xml:space="preserve"> </w:t>
      </w:r>
      <w:r w:rsidRPr="003368BC">
        <w:rPr>
          <w:rFonts w:ascii="Book Antiqua" w:hAnsi="Book Antiqua"/>
          <w:color w:val="000000" w:themeColor="text1"/>
          <w:sz w:val="20"/>
          <w:szCs w:val="20"/>
        </w:rPr>
        <w:t>497 del Código Orgánico de Organización Territorial, Autonomía y Descentralización; 2 de la Ley de Incentivos Tributarios por la Conservación de Áreas Históricas de Quito; y, 8 núm. 1 de la Ley Orgánica de Régimen para el Distrito Metropolitano de Quito.</w:t>
      </w:r>
    </w:p>
    <w:p w:rsidR="000E65BF" w:rsidRPr="003368BC" w:rsidRDefault="000E65BF" w:rsidP="000E65BF">
      <w:pPr>
        <w:jc w:val="both"/>
        <w:rPr>
          <w:rFonts w:ascii="Book Antiqua" w:hAnsi="Book Antiqua"/>
          <w:color w:val="000000" w:themeColor="text1"/>
          <w:sz w:val="20"/>
          <w:szCs w:val="20"/>
        </w:rPr>
      </w:pPr>
    </w:p>
    <w:p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EXPIDE LA SIGUIENTE:</w:t>
      </w:r>
    </w:p>
    <w:p w:rsidR="000E65BF" w:rsidRPr="00BF36B6"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ORDENANZA METROPOLITANA SUSTITUTIVA DEL CAPÍTULO II DEL TÍTULO III DEL LIBRO III.5 DEL CÓDIGO MUNICIPAL PARA EL DISTRITO METROPOLITANO DE QUITO “DEL IMPUESTO A LOS PREDIOS URBANOS Y RURALES Y ADICIONALES EN EL DISTRITO </w:t>
      </w:r>
      <w:r w:rsidRPr="00BF36B6">
        <w:rPr>
          <w:rFonts w:ascii="Book Antiqua" w:hAnsi="Book Antiqua"/>
          <w:b/>
          <w:color w:val="000000" w:themeColor="text1"/>
          <w:sz w:val="20"/>
          <w:szCs w:val="20"/>
        </w:rPr>
        <w:t>METROPOLITANO DE QUITO”</w:t>
      </w:r>
    </w:p>
    <w:p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b/>
          <w:color w:val="000000" w:themeColor="text1"/>
          <w:sz w:val="20"/>
          <w:szCs w:val="20"/>
        </w:rPr>
        <w:t xml:space="preserve">Artículo </w:t>
      </w:r>
      <w:proofErr w:type="gramStart"/>
      <w:r w:rsidRPr="00BF36B6">
        <w:rPr>
          <w:rFonts w:ascii="Book Antiqua" w:hAnsi="Book Antiqua"/>
          <w:b/>
          <w:color w:val="000000" w:themeColor="text1"/>
          <w:sz w:val="20"/>
          <w:szCs w:val="20"/>
        </w:rPr>
        <w:t>Único.-</w:t>
      </w:r>
      <w:proofErr w:type="gramEnd"/>
      <w:r w:rsidRPr="00BF36B6">
        <w:rPr>
          <w:rFonts w:ascii="Book Antiqua" w:hAnsi="Book Antiqua"/>
          <w:color w:val="000000" w:themeColor="text1"/>
          <w:sz w:val="20"/>
          <w:szCs w:val="20"/>
        </w:rPr>
        <w:t xml:space="preserve"> Sustitúyase el</w:t>
      </w:r>
      <w:r w:rsidRPr="003368BC">
        <w:rPr>
          <w:rFonts w:ascii="Book Antiqua" w:hAnsi="Book Antiqua"/>
          <w:color w:val="000000" w:themeColor="text1"/>
          <w:sz w:val="20"/>
          <w:szCs w:val="20"/>
        </w:rPr>
        <w:t xml:space="preserve"> Capítulo II del Título III del Libro III.5 del Código Municipal para el Distrito Metropolitano de Quito por el siguiente:</w:t>
      </w:r>
    </w:p>
    <w:p w:rsidR="000E65BF" w:rsidRPr="003368BC" w:rsidRDefault="000E65BF" w:rsidP="000E65BF">
      <w:pPr>
        <w:jc w:val="center"/>
        <w:rPr>
          <w:rFonts w:ascii="Book Antiqua" w:hAnsi="Book Antiqua" w:cs="Arial"/>
          <w:b/>
          <w:color w:val="000000" w:themeColor="text1"/>
          <w:sz w:val="20"/>
          <w:szCs w:val="20"/>
          <w:shd w:val="clear" w:color="auto" w:fill="FFFFFF"/>
        </w:rPr>
      </w:pPr>
      <w:r w:rsidRPr="003368BC">
        <w:rPr>
          <w:rFonts w:ascii="Book Antiqua" w:hAnsi="Book Antiqua" w:cs="Arial"/>
          <w:b/>
          <w:color w:val="000000" w:themeColor="text1"/>
          <w:sz w:val="20"/>
          <w:szCs w:val="20"/>
          <w:shd w:val="clear" w:color="auto" w:fill="FFFFFF"/>
        </w:rPr>
        <w:t>CAPÍTULO II</w:t>
      </w:r>
      <w:r w:rsidRPr="003368BC">
        <w:rPr>
          <w:rFonts w:ascii="Book Antiqua" w:hAnsi="Book Antiqua" w:cs="Arial"/>
          <w:b/>
          <w:color w:val="000000" w:themeColor="text1"/>
          <w:sz w:val="20"/>
          <w:szCs w:val="20"/>
          <w:shd w:val="clear" w:color="auto" w:fill="FFFFFF"/>
        </w:rPr>
        <w:br/>
        <w:t>DEL IMPUESTO A LOS PREDIOS URBANOS Y RURALES Y ADICIONALES EN EL DISTRITO METROPOLITANO DE QUITO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1</w:t>
      </w:r>
      <w:proofErr w:type="gramEnd"/>
      <w:r w:rsidRPr="003368BC">
        <w:rPr>
          <w:rFonts w:ascii="Book Antiqua" w:hAnsi="Book Antiqua"/>
          <w:b/>
          <w:color w:val="000000" w:themeColor="text1"/>
          <w:sz w:val="20"/>
          <w:szCs w:val="20"/>
        </w:rPr>
        <w:t>.- Objeto.-</w:t>
      </w:r>
      <w:r w:rsidRPr="003368BC">
        <w:rPr>
          <w:rFonts w:ascii="Book Antiqua" w:hAnsi="Book Antiqua"/>
          <w:color w:val="000000" w:themeColor="text1"/>
          <w:sz w:val="20"/>
          <w:szCs w:val="20"/>
        </w:rPr>
        <w:t xml:space="preserve"> En atención a lo previsto en los artículos 497, 504 y 517 del Código Orgánico de Organización Territorial, Autonomía y Descentralización, el presente capítulo tiene por objeto dar cumplimiento a la actualización tributaria periódica, relacionada a los impuestos prediales urbano y rural y tributos adicionales del Distrito Metropolitano de Quito y, por tanto, el establecimiento de las bandas impositivas a regir durante el bienio 2022 – 2023.</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lastRenderedPageBreak/>
        <w:t>También es objeto del presente capítulo la reglamentación dispuesta por el inciso segundo del artículo 2 de la Ley de Incentivos Tributarios por la Conservación de las Áreas Históricas de Quito.</w:t>
      </w:r>
    </w:p>
    <w:p w:rsidR="000E65BF" w:rsidRDefault="000E65BF" w:rsidP="000E65BF">
      <w:pPr>
        <w:jc w:val="both"/>
        <w:rPr>
          <w:rFonts w:ascii="Book Antiqua" w:hAnsi="Book Antiqua"/>
          <w:color w:val="000000" w:themeColor="text1"/>
          <w:sz w:val="20"/>
          <w:szCs w:val="20"/>
        </w:rPr>
      </w:pPr>
      <w:r>
        <w:rPr>
          <w:rFonts w:ascii="Book Antiqua" w:hAnsi="Book Antiqua"/>
          <w:b/>
          <w:color w:val="000000" w:themeColor="text1"/>
          <w:sz w:val="20"/>
          <w:szCs w:val="20"/>
        </w:rPr>
        <w:t>Art. (...) 2.- Tributos Adicionales. -</w:t>
      </w:r>
      <w:r>
        <w:rPr>
          <w:rFonts w:ascii="Book Antiqua" w:hAnsi="Book Antiqua"/>
          <w:color w:val="000000" w:themeColor="text1"/>
          <w:sz w:val="20"/>
          <w:szCs w:val="20"/>
        </w:rPr>
        <w:t xml:space="preserve"> Se consideran como tributos adicionales cuya determinación, liquidación y emisión es anual y conjunta con el impuesto predial urbano a los siguientes: </w:t>
      </w:r>
    </w:p>
    <w:p w:rsidR="000E65BF" w:rsidRDefault="000E65BF" w:rsidP="000E65BF">
      <w:pPr>
        <w:pStyle w:val="Prrafodelista"/>
        <w:numPr>
          <w:ilvl w:val="0"/>
          <w:numId w:val="1"/>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Impuesto a los inmuebles no edificados;</w:t>
      </w:r>
    </w:p>
    <w:p w:rsidR="000E65BF" w:rsidRDefault="000E65BF" w:rsidP="000E65BF">
      <w:pPr>
        <w:pStyle w:val="Prrafodelista"/>
        <w:numPr>
          <w:ilvl w:val="0"/>
          <w:numId w:val="1"/>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Contribución predial para el Cuerpo de Bomberos del Distrito Metropolitano de Quito; y,</w:t>
      </w:r>
    </w:p>
    <w:p w:rsidR="000E65BF" w:rsidRDefault="000E65BF" w:rsidP="000E65BF">
      <w:pPr>
        <w:pStyle w:val="Prrafodelista"/>
        <w:numPr>
          <w:ilvl w:val="0"/>
          <w:numId w:val="1"/>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Tasa de Seguridad Ciudadana.</w:t>
      </w:r>
    </w:p>
    <w:p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Respecto al impuesto predial rural, se consideran tributos adicionales a los siguientes:</w:t>
      </w:r>
    </w:p>
    <w:p w:rsidR="000E65BF" w:rsidRDefault="000E65BF" w:rsidP="000E65BF">
      <w:pPr>
        <w:pStyle w:val="Prrafodelista"/>
        <w:numPr>
          <w:ilvl w:val="0"/>
          <w:numId w:val="2"/>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Contribución predial para el Cuerpo de Bomberos del Distrito Metropolitano de Quito; y,</w:t>
      </w:r>
    </w:p>
    <w:p w:rsidR="000E65BF" w:rsidRDefault="000E65BF" w:rsidP="000E65BF">
      <w:pPr>
        <w:pStyle w:val="Prrafodelista"/>
        <w:numPr>
          <w:ilvl w:val="0"/>
          <w:numId w:val="2"/>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Tasa de Seguridad Ciudadana.</w:t>
      </w:r>
    </w:p>
    <w:p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La determinación tributaria de los tributos adicionales se rige por las normas que los establecen respectivamente.</w:t>
      </w:r>
    </w:p>
    <w:p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 xml:space="preserve">El impuesto predial urbano y rural, así como los </w:t>
      </w:r>
      <w:r w:rsidRPr="00BF36B6">
        <w:rPr>
          <w:rFonts w:ascii="Book Antiqua" w:hAnsi="Book Antiqua"/>
          <w:color w:val="000000" w:themeColor="text1"/>
          <w:sz w:val="20"/>
          <w:szCs w:val="20"/>
        </w:rPr>
        <w:t>tributos adicionales señalados para cada caso, se emitirán</w:t>
      </w:r>
      <w:r>
        <w:rPr>
          <w:rFonts w:ascii="Book Antiqua" w:hAnsi="Book Antiqua"/>
          <w:color w:val="000000" w:themeColor="text1"/>
          <w:sz w:val="20"/>
          <w:szCs w:val="20"/>
        </w:rPr>
        <w:t xml:space="preserve"> de manera conjunta en una sola orden de cobro, con la debida especificación de cada rubro,</w:t>
      </w:r>
      <w:r w:rsidRPr="00BF36B6">
        <w:rPr>
          <w:rFonts w:ascii="Book Antiqua" w:hAnsi="Book Antiqua"/>
          <w:color w:val="000000" w:themeColor="text1"/>
          <w:sz w:val="20"/>
          <w:szCs w:val="20"/>
        </w:rPr>
        <w:t xml:space="preserve"> a excepción del impuesto a los inmuebles no edificados</w:t>
      </w:r>
      <w:r>
        <w:rPr>
          <w:rFonts w:ascii="Book Antiqua" w:hAnsi="Book Antiqua"/>
          <w:color w:val="000000" w:themeColor="text1"/>
          <w:sz w:val="20"/>
          <w:szCs w:val="20"/>
        </w:rPr>
        <w:t xml:space="preserve"> que contará con su orden de cobro propia. </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3</w:t>
      </w:r>
      <w:proofErr w:type="gramEnd"/>
      <w:r w:rsidRPr="003368BC">
        <w:rPr>
          <w:rFonts w:ascii="Book Antiqua" w:hAnsi="Book Antiqua"/>
          <w:b/>
          <w:color w:val="000000" w:themeColor="text1"/>
          <w:sz w:val="20"/>
          <w:szCs w:val="20"/>
        </w:rPr>
        <w:t>.- Hecho Generador. -</w:t>
      </w:r>
      <w:r w:rsidRPr="003368BC">
        <w:rPr>
          <w:rFonts w:ascii="Book Antiqua" w:hAnsi="Book Antiqua"/>
          <w:color w:val="000000" w:themeColor="text1"/>
          <w:sz w:val="20"/>
          <w:szCs w:val="20"/>
        </w:rPr>
        <w:t xml:space="preserve"> Conforme lo establecido en el Código Orgánico de Organización Territorial, Autonomía y Descentralización, constituye hecho generador del impuesto a los predios urbanos y rurales, lo que la Ley reputa como propiedad de bienes inmuebles ubicados dentro y fuera del límite urbano, respectivamente, del Distrito Metropolitano de Quito, a 31 de diciembre del año inmediato anterior al de tributación.</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4</w:t>
      </w:r>
      <w:proofErr w:type="gramEnd"/>
      <w:r w:rsidRPr="003368BC">
        <w:rPr>
          <w:rFonts w:ascii="Book Antiqua" w:hAnsi="Book Antiqua"/>
          <w:b/>
          <w:color w:val="000000" w:themeColor="text1"/>
          <w:sz w:val="20"/>
          <w:szCs w:val="20"/>
        </w:rPr>
        <w:t>.- Sujeto Activo. -</w:t>
      </w:r>
      <w:r w:rsidRPr="003368BC">
        <w:rPr>
          <w:rFonts w:ascii="Book Antiqua" w:hAnsi="Book Antiqua"/>
          <w:color w:val="000000" w:themeColor="text1"/>
          <w:sz w:val="20"/>
          <w:szCs w:val="20"/>
        </w:rPr>
        <w:t xml:space="preserve"> El Gobierno Autónomo Descentralizado del Distrito Metropolitano de Quito, es el sujeto activo del impuesto a los predios urbanos y rurales de los bienes inmuebles ubicados en el Distrito Metropolitano de Quito.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5</w:t>
      </w:r>
      <w:proofErr w:type="gramEnd"/>
      <w:r w:rsidRPr="003368BC">
        <w:rPr>
          <w:rFonts w:ascii="Book Antiqua" w:hAnsi="Book Antiqua"/>
          <w:b/>
          <w:color w:val="000000" w:themeColor="text1"/>
          <w:sz w:val="20"/>
          <w:szCs w:val="20"/>
        </w:rPr>
        <w:t>.- Sujeto Pasivo.-</w:t>
      </w:r>
      <w:r w:rsidRPr="003368BC">
        <w:rPr>
          <w:rFonts w:ascii="Book Antiqua" w:hAnsi="Book Antiqua"/>
          <w:color w:val="000000" w:themeColor="text1"/>
          <w:sz w:val="20"/>
          <w:szCs w:val="20"/>
        </w:rPr>
        <w:t xml:space="preserve"> El sujeto pasivo del impuesto a los predios urbanos y rurales, es la persona natural o sociedad, que la ley reputa como propietaria de predios urbanos y/o rurales, ubicados en la jurisdicción territorial del Distrito Metropolitano de Quito. El término sociedad se entenderá conforme su definición establecida en el artículo 98 de la Ley de Régimen Tributario Interno. </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6.- Base Imponible. -</w:t>
      </w:r>
      <w:r w:rsidRPr="003368BC">
        <w:rPr>
          <w:rFonts w:ascii="Book Antiqua" w:hAnsi="Book Antiqua"/>
          <w:color w:val="000000" w:themeColor="text1"/>
          <w:sz w:val="20"/>
          <w:szCs w:val="20"/>
        </w:rPr>
        <w:t xml:space="preserve"> Constitúyase base imponible del impuesto a los predios urbanos y rurales, al valor resultante del valor catastral imponible</w:t>
      </w:r>
      <w:r>
        <w:rPr>
          <w:rFonts w:ascii="Book Antiqua" w:hAnsi="Book Antiqua"/>
          <w:color w:val="000000" w:themeColor="text1"/>
          <w:sz w:val="20"/>
          <w:szCs w:val="20"/>
        </w:rPr>
        <w:t xml:space="preserve"> que es la suma del valor de la propiedad de los distintos predios que posea el mismo propietario, incluidos los derechos que posea en otro predio, en la misma zona, sea urbano o rural, acorde con la información actualizada en el catastro inmobiliario metropolitano</w:t>
      </w:r>
      <w:r w:rsidRPr="003368BC">
        <w:rPr>
          <w:rFonts w:ascii="Book Antiqua" w:hAnsi="Book Antiqua"/>
          <w:color w:val="000000" w:themeColor="text1"/>
          <w:sz w:val="20"/>
          <w:szCs w:val="20"/>
        </w:rPr>
        <w:t xml:space="preserve">, </w:t>
      </w:r>
      <w:r>
        <w:rPr>
          <w:rFonts w:ascii="Book Antiqua" w:hAnsi="Book Antiqua"/>
          <w:color w:val="000000" w:themeColor="text1"/>
          <w:sz w:val="20"/>
          <w:szCs w:val="20"/>
        </w:rPr>
        <w:t xml:space="preserve">conforme lo </w:t>
      </w:r>
      <w:r w:rsidRPr="003368BC">
        <w:rPr>
          <w:rFonts w:ascii="Book Antiqua" w:hAnsi="Book Antiqua"/>
          <w:color w:val="000000" w:themeColor="text1"/>
          <w:sz w:val="20"/>
          <w:szCs w:val="20"/>
        </w:rPr>
        <w:t>establecido en los artículos 505 y 518 del Código Orgánico de Organización Territorial, Autonomía y Descentralización, respectivamente, menos las deducciones que la misma ley ha previsto para cada caso.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Conforme lo dispuesto por el artículo 87 del Código Orgánico Tributario, para la definición del valor de la propiedad, se atenderá obligatoriamente al valor con que figuren los bienes en el catastro inmobiliario oficial del Gobierno Autónomo Descentralizado del Distrito Metropolitano de Quito, a la fecha de producido el hecho generador. La Dirección Metropolitana de Catastro, mantendrá actualizada y suministrará tal información conforme lo establecido en el artículo 1366 de este Código.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lastRenderedPageBreak/>
        <w:t xml:space="preserve">Art. (...). 7.- </w:t>
      </w:r>
      <w:proofErr w:type="gramStart"/>
      <w:r w:rsidRPr="003368BC">
        <w:rPr>
          <w:rFonts w:ascii="Book Antiqua" w:hAnsi="Book Antiqua"/>
          <w:b/>
          <w:color w:val="000000" w:themeColor="text1"/>
          <w:sz w:val="20"/>
          <w:szCs w:val="20"/>
        </w:rPr>
        <w:t>Deducciones.-</w:t>
      </w:r>
      <w:proofErr w:type="gramEnd"/>
      <w:r w:rsidRPr="003368BC">
        <w:rPr>
          <w:rFonts w:ascii="Book Antiqua" w:hAnsi="Book Antiqua"/>
          <w:color w:val="000000" w:themeColor="text1"/>
          <w:sz w:val="20"/>
          <w:szCs w:val="20"/>
        </w:rPr>
        <w:t xml:space="preserve"> Los propietarios cuyos predios ubicados en zona urbana, que soporten deudas hipotecarias conforme las disposiciones contenidas en el artículo 503 del Código Orgánico de Organización Territorial, Autonomía y Descentralización, tendrán derecho a solicitar </w:t>
      </w:r>
      <w:r>
        <w:rPr>
          <w:rFonts w:ascii="Book Antiqua" w:hAnsi="Book Antiqua"/>
          <w:color w:val="000000" w:themeColor="text1"/>
          <w:sz w:val="20"/>
          <w:szCs w:val="20"/>
        </w:rPr>
        <w:t>hasta el 30 de noviembre de cada año,</w:t>
      </w:r>
      <w:r w:rsidRPr="003368BC">
        <w:rPr>
          <w:rFonts w:ascii="Book Antiqua" w:hAnsi="Book Antiqua"/>
          <w:color w:val="000000" w:themeColor="text1"/>
          <w:sz w:val="20"/>
          <w:szCs w:val="20"/>
        </w:rPr>
        <w:t xml:space="preserve"> la aplicación de la deducción de acuerdo a la siguiente tabla, sin que pueda exceder del </w:t>
      </w:r>
      <w:r w:rsidRPr="001A3218">
        <w:rPr>
          <w:rFonts w:ascii="Book Antiqua" w:hAnsi="Book Antiqua"/>
          <w:color w:val="000000" w:themeColor="text1"/>
          <w:sz w:val="20"/>
          <w:szCs w:val="20"/>
        </w:rPr>
        <w:t>cincuenta por ciento</w:t>
      </w:r>
      <w:r w:rsidRPr="003368BC">
        <w:rPr>
          <w:rFonts w:ascii="Book Antiqua" w:hAnsi="Book Antiqua"/>
          <w:color w:val="000000" w:themeColor="text1"/>
          <w:sz w:val="20"/>
          <w:szCs w:val="20"/>
        </w:rPr>
        <w:t xml:space="preserve"> del avalúo del respectivo predio:</w:t>
      </w:r>
    </w:p>
    <w:tbl>
      <w:tblPr>
        <w:tblW w:w="3964" w:type="dxa"/>
        <w:jc w:val="center"/>
        <w:tblCellMar>
          <w:left w:w="70" w:type="dxa"/>
          <w:right w:w="70" w:type="dxa"/>
        </w:tblCellMar>
        <w:tblLook w:val="04A0" w:firstRow="1" w:lastRow="0" w:firstColumn="1" w:lastColumn="0" w:noHBand="0" w:noVBand="1"/>
      </w:tblPr>
      <w:tblGrid>
        <w:gridCol w:w="2019"/>
        <w:gridCol w:w="1945"/>
      </w:tblGrid>
      <w:tr w:rsidR="000E65BF" w:rsidRPr="0017762E" w:rsidTr="00E64F22">
        <w:trPr>
          <w:trHeight w:val="300"/>
          <w:jc w:val="center"/>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b/>
                <w:bCs/>
                <w:color w:val="000000"/>
                <w:sz w:val="20"/>
                <w:szCs w:val="20"/>
                <w:lang w:eastAsia="es-EC"/>
              </w:rPr>
            </w:pPr>
            <w:r w:rsidRPr="0017762E">
              <w:rPr>
                <w:rFonts w:ascii="Book Antiqua" w:eastAsia="Times New Roman" w:hAnsi="Book Antiqua" w:cs="Times New Roman"/>
                <w:b/>
                <w:bCs/>
                <w:color w:val="000000"/>
                <w:sz w:val="20"/>
                <w:szCs w:val="20"/>
                <w:lang w:eastAsia="es-EC"/>
              </w:rPr>
              <w:t xml:space="preserve">AÑO PAGO PRÉSTAMO </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b/>
                <w:bCs/>
                <w:color w:val="000000"/>
                <w:sz w:val="20"/>
                <w:szCs w:val="20"/>
                <w:lang w:eastAsia="es-EC"/>
              </w:rPr>
            </w:pPr>
            <w:r w:rsidRPr="0017762E">
              <w:rPr>
                <w:rFonts w:ascii="Book Antiqua" w:eastAsia="Times New Roman" w:hAnsi="Book Antiqua" w:cs="Times New Roman"/>
                <w:b/>
                <w:bCs/>
                <w:color w:val="000000"/>
                <w:sz w:val="20"/>
                <w:szCs w:val="20"/>
                <w:lang w:eastAsia="es-EC"/>
              </w:rPr>
              <w:t xml:space="preserve">PORCENTAJE A APLICAR </w:t>
            </w:r>
          </w:p>
        </w:tc>
      </w:tr>
      <w:tr w:rsidR="000E65BF" w:rsidRPr="0017762E"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0 a 5</w:t>
            </w:r>
          </w:p>
        </w:tc>
        <w:tc>
          <w:tcPr>
            <w:tcW w:w="1945" w:type="dxa"/>
            <w:tcBorders>
              <w:top w:val="nil"/>
              <w:left w:val="nil"/>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40</w:t>
            </w:r>
          </w:p>
        </w:tc>
      </w:tr>
      <w:tr w:rsidR="000E65BF" w:rsidRPr="0017762E"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6 a 10</w:t>
            </w:r>
          </w:p>
        </w:tc>
        <w:tc>
          <w:tcPr>
            <w:tcW w:w="1945" w:type="dxa"/>
            <w:tcBorders>
              <w:top w:val="nil"/>
              <w:left w:val="nil"/>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35</w:t>
            </w:r>
          </w:p>
        </w:tc>
      </w:tr>
      <w:tr w:rsidR="000E65BF" w:rsidRPr="0017762E"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11 a 15</w:t>
            </w:r>
          </w:p>
        </w:tc>
        <w:tc>
          <w:tcPr>
            <w:tcW w:w="1945" w:type="dxa"/>
            <w:tcBorders>
              <w:top w:val="nil"/>
              <w:left w:val="nil"/>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30</w:t>
            </w:r>
          </w:p>
        </w:tc>
      </w:tr>
      <w:tr w:rsidR="000E65BF" w:rsidRPr="0017762E"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16 a 20</w:t>
            </w:r>
          </w:p>
        </w:tc>
        <w:tc>
          <w:tcPr>
            <w:tcW w:w="1945" w:type="dxa"/>
            <w:tcBorders>
              <w:top w:val="nil"/>
              <w:left w:val="nil"/>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25</w:t>
            </w:r>
          </w:p>
        </w:tc>
      </w:tr>
      <w:tr w:rsidR="000E65BF" w:rsidRPr="0017762E"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21 en adelante</w:t>
            </w:r>
          </w:p>
        </w:tc>
        <w:tc>
          <w:tcPr>
            <w:tcW w:w="1945" w:type="dxa"/>
            <w:tcBorders>
              <w:top w:val="nil"/>
              <w:left w:val="nil"/>
              <w:bottom w:val="single" w:sz="4" w:space="0" w:color="auto"/>
              <w:right w:val="single" w:sz="4" w:space="0" w:color="auto"/>
            </w:tcBorders>
            <w:shd w:val="clear" w:color="auto" w:fill="auto"/>
            <w:noWrap/>
            <w:vAlign w:val="center"/>
            <w:hideMark/>
          </w:tcPr>
          <w:p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20</w:t>
            </w:r>
          </w:p>
        </w:tc>
      </w:tr>
    </w:tbl>
    <w:p w:rsidR="000E65BF" w:rsidRPr="003368BC" w:rsidRDefault="000E65BF" w:rsidP="000E65BF">
      <w:pPr>
        <w:jc w:val="both"/>
        <w:rPr>
          <w:rFonts w:ascii="Book Antiqua" w:hAnsi="Book Antiqua"/>
          <w:color w:val="000000" w:themeColor="text1"/>
          <w:sz w:val="20"/>
          <w:szCs w:val="20"/>
        </w:rPr>
      </w:pP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Por su parte, los propietarios de predios rurales, que se encuentren en los supuestos determinados en el artículo 521 del Código Orgánico de Organ</w:t>
      </w:r>
      <w:r>
        <w:rPr>
          <w:rFonts w:ascii="Book Antiqua" w:hAnsi="Book Antiqua"/>
          <w:color w:val="000000" w:themeColor="text1"/>
          <w:sz w:val="20"/>
          <w:szCs w:val="20"/>
        </w:rPr>
        <w:t>ización Territorial, Autonomía y</w:t>
      </w:r>
      <w:r w:rsidRPr="003368BC">
        <w:rPr>
          <w:rFonts w:ascii="Book Antiqua" w:hAnsi="Book Antiqua"/>
          <w:color w:val="000000" w:themeColor="text1"/>
          <w:sz w:val="20"/>
          <w:szCs w:val="20"/>
        </w:rPr>
        <w:t xml:space="preserve"> Descentralización, tendrán derecho a solicitar la aplicación de la deducción allí determinada, únicamente dentro del año siguiente al de la situación que dio origen a la deducción. El total de la deducción por todos estos conceptos no podrá exceder del cincuenta por ciento del valor de la propiedad.</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En todo caso</w:t>
      </w:r>
      <w:r w:rsidRPr="00BF36B6">
        <w:rPr>
          <w:rFonts w:ascii="Book Antiqua" w:hAnsi="Book Antiqua"/>
          <w:color w:val="000000" w:themeColor="text1"/>
          <w:sz w:val="20"/>
          <w:szCs w:val="20"/>
        </w:rPr>
        <w:t xml:space="preserve">, las solicitudes de aplicación de deducciones legalmente establecidas, deberán ser presentadas dentro de los plazos </w:t>
      </w:r>
      <w:r>
        <w:rPr>
          <w:rFonts w:ascii="Book Antiqua" w:hAnsi="Book Antiqua"/>
          <w:color w:val="000000" w:themeColor="text1"/>
          <w:sz w:val="20"/>
          <w:szCs w:val="20"/>
        </w:rPr>
        <w:t>señalados</w:t>
      </w:r>
      <w:r w:rsidRPr="00BF36B6">
        <w:rPr>
          <w:rFonts w:ascii="Book Antiqua" w:hAnsi="Book Antiqua"/>
          <w:color w:val="000000" w:themeColor="text1"/>
          <w:sz w:val="20"/>
          <w:szCs w:val="20"/>
        </w:rPr>
        <w:t xml:space="preserve"> y acompañadas</w:t>
      </w:r>
      <w:r w:rsidRPr="003368BC">
        <w:rPr>
          <w:rFonts w:ascii="Book Antiqua" w:hAnsi="Book Antiqua"/>
          <w:color w:val="000000" w:themeColor="text1"/>
          <w:sz w:val="20"/>
          <w:szCs w:val="20"/>
        </w:rPr>
        <w:t xml:space="preserve"> de la documentación de soporte prevista en la norma, de manera formal para conocimiento y resolución de la Dirección Metropolitana Tributaria. </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8.- Exenciones y estímulos </w:t>
      </w:r>
      <w:proofErr w:type="gramStart"/>
      <w:r w:rsidRPr="003368BC">
        <w:rPr>
          <w:rFonts w:ascii="Book Antiqua" w:hAnsi="Book Antiqua"/>
          <w:b/>
          <w:color w:val="000000" w:themeColor="text1"/>
          <w:sz w:val="20"/>
          <w:szCs w:val="20"/>
        </w:rPr>
        <w:t>tributarios.-</w:t>
      </w:r>
      <w:proofErr w:type="gramEnd"/>
      <w:r w:rsidRPr="003368BC">
        <w:rPr>
          <w:rFonts w:ascii="Book Antiqua" w:hAnsi="Book Antiqua"/>
          <w:color w:val="000000" w:themeColor="text1"/>
          <w:sz w:val="20"/>
          <w:szCs w:val="20"/>
        </w:rPr>
        <w:t xml:space="preserve"> Respecto a las exenciones del impuesto a los predios urbanos y rurales e impuesto a los inmuebles no edificados, conforme lo dispuesto en el artículo 301 de la Constitución de la República del Ecuador, se reconoce y se aplicarán únicamente las exenciones específicamente establecidas mediante ley sancionada por la Asamblea Nacional, vigente a la época del respectivo hecho generador.</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En materia de estímulos tributarios, se reconoce y se aplicarán únicamente aquellos dictados por el Concejo Metropolitano de Quito, en el marco de lo dispuesto en el artículo 498 del Código Orgánico de Organización Territorial, Autonomía y Descentralización.</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En relación a las exenciones de las tasas y contribuciones especiales, identificados como adicionales al impuesto predial en este Código, conforme lo establecido en el mismo artículo 301 de la Constitución de la República del Ecuador, se reconoce y se aplicarán únicamente aquellas específicamente establecidas mediante acto normativo del Concejo Metropolitano de Quito, vigente a la época del respectivo hecho generador. </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Dichas exenciones, se aplicarán previa solicitud del contribuyente, conforme el artículo 115 y</w:t>
      </w:r>
      <w:r>
        <w:rPr>
          <w:rFonts w:ascii="Book Antiqua" w:hAnsi="Book Antiqua"/>
          <w:color w:val="000000" w:themeColor="text1"/>
          <w:sz w:val="20"/>
          <w:szCs w:val="20"/>
        </w:rPr>
        <w:t xml:space="preserve"> siguientes del Código </w:t>
      </w:r>
      <w:r w:rsidRPr="003368BC">
        <w:rPr>
          <w:rFonts w:ascii="Book Antiqua" w:hAnsi="Book Antiqua"/>
          <w:color w:val="000000" w:themeColor="text1"/>
          <w:sz w:val="20"/>
          <w:szCs w:val="20"/>
        </w:rPr>
        <w:t>Tributario, debiendo adjuntar los respectivos sustentos documentales que demuestren el cumplimiento de las condiciones que la norma establezca en cada caso.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La Dirección Metropolitana Tributaria verificará en cualquier momento, que las condiciones que motivaron la aplicación de las exenciones no hayan variado. De verificarse que los sujetos exentos, en ejercicios posteriores ya no cumplen con los requisitos o condiciones previstos normativamente en cada caso, de oficio, retirará la exención concedida.</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9.- Exención Temporal Especial Ley Conservación de Áreas Históricas.-</w:t>
      </w:r>
      <w:r w:rsidRPr="003368BC">
        <w:rPr>
          <w:rFonts w:ascii="Book Antiqua" w:hAnsi="Book Antiqua"/>
          <w:color w:val="000000" w:themeColor="text1"/>
          <w:sz w:val="20"/>
          <w:szCs w:val="20"/>
        </w:rPr>
        <w:t xml:space="preserve"> Conforme lo dispuesto por el artículo 2 de la Ley de Incentivos Tributarios por la Conservación de las Áreas Históricas de Quito, las propiedades rehabilitadas, restauradas o en las que se hayan realizado </w:t>
      </w:r>
      <w:r w:rsidRPr="003368BC">
        <w:rPr>
          <w:rFonts w:ascii="Book Antiqua" w:hAnsi="Book Antiqua"/>
          <w:color w:val="000000" w:themeColor="text1"/>
          <w:sz w:val="20"/>
          <w:szCs w:val="20"/>
        </w:rPr>
        <w:lastRenderedPageBreak/>
        <w:t>obras de conservación y mantenimiento, debidamente autorizadas por el Instituto Metropolitano de Patrimonio, gozarán de la exoneración del 100% del impuesto predial urbano y sus adicionales, durante un lapso de cinco años, contado a partir del año siguiente al de la terminación de las obras.</w:t>
      </w:r>
    </w:p>
    <w:p w:rsidR="000E65BF" w:rsidRPr="00BF36B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El Instituto Metropolitano de Patrimonio informará a la Dirección Metropolitana Tributaria, sobre</w:t>
      </w:r>
      <w:r w:rsidRPr="003368BC">
        <w:rPr>
          <w:rFonts w:ascii="Book Antiqua" w:hAnsi="Book Antiqua"/>
          <w:color w:val="000000" w:themeColor="text1"/>
          <w:sz w:val="20"/>
          <w:szCs w:val="20"/>
        </w:rPr>
        <w:t xml:space="preserve"> cada autorización emitida respecto de los trabajos señalados en la Ley de Incentivos Tributarios por la Conservación de las Áreas Históricas de Quito, así como los registros</w:t>
      </w:r>
      <w:r>
        <w:rPr>
          <w:rFonts w:ascii="Book Antiqua" w:hAnsi="Book Antiqua"/>
          <w:color w:val="000000" w:themeColor="text1"/>
          <w:sz w:val="20"/>
          <w:szCs w:val="20"/>
        </w:rPr>
        <w:t xml:space="preserve"> con los que cue</w:t>
      </w:r>
      <w:r w:rsidRPr="00BF36B6">
        <w:rPr>
          <w:rFonts w:ascii="Book Antiqua" w:hAnsi="Book Antiqua"/>
          <w:color w:val="000000" w:themeColor="text1"/>
          <w:sz w:val="20"/>
          <w:szCs w:val="20"/>
        </w:rPr>
        <w:t>nte sobre la culminación de tales obras.</w:t>
      </w:r>
    </w:p>
    <w:p w:rsidR="000E65BF" w:rsidRPr="00BF36B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 xml:space="preserve">Para el reconocimiento de esta exención, el sujeto pasivo interesado deberá solicitarlo de manera expresa, cumpliendo con los preceptos determinados en el artículo 119 del Código Orgánico Tributario, posterior a lo cual, la Dirección Metropolitana Tributaria dará el trámite respectivo y emitirá la resolución administrativa correspondiente. </w:t>
      </w:r>
    </w:p>
    <w:p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Para el efecto,</w:t>
      </w:r>
      <w:r w:rsidRPr="003368BC">
        <w:rPr>
          <w:rFonts w:ascii="Book Antiqua" w:hAnsi="Book Antiqua"/>
          <w:color w:val="000000" w:themeColor="text1"/>
          <w:sz w:val="20"/>
          <w:szCs w:val="20"/>
        </w:rPr>
        <w:t xml:space="preserve"> la Dirección Metropolitana Tributaria verificará que el resultado de los trabajos realizados se vea reflejado en la información catastral correspondiente al año de terminación de las obras, para lo cual requerirá validación al respecto a la Dirección Metropolitana de Catastro.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10.- Cuantía o Tarifa Impuesto Predial </w:t>
      </w:r>
      <w:proofErr w:type="gramStart"/>
      <w:r w:rsidRPr="003368BC">
        <w:rPr>
          <w:rFonts w:ascii="Book Antiqua" w:hAnsi="Book Antiqua"/>
          <w:b/>
          <w:color w:val="000000" w:themeColor="text1"/>
          <w:sz w:val="20"/>
          <w:szCs w:val="20"/>
        </w:rPr>
        <w:t>Urbano.-</w:t>
      </w:r>
      <w:proofErr w:type="gramEnd"/>
      <w:r w:rsidRPr="003368BC">
        <w:rPr>
          <w:rFonts w:ascii="Book Antiqua" w:hAnsi="Book Antiqua"/>
          <w:color w:val="000000" w:themeColor="text1"/>
          <w:sz w:val="20"/>
          <w:szCs w:val="20"/>
        </w:rPr>
        <w:t xml:space="preserve"> Conforme el artículo 504 del Código Orgánico de Organización Territorial, Autonomía y Descentralización, se fijan las siguientes tarifas diferenciales para los bienes inmuebles de naturaleza urbana, para el bienio 2022-2023, de acuerdo a la siguiente tabla:</w:t>
      </w:r>
    </w:p>
    <w:p w:rsidR="00BB3368" w:rsidRPr="00BB3368" w:rsidRDefault="00BB3368" w:rsidP="000E65BF">
      <w:pPr>
        <w:jc w:val="both"/>
        <w:rPr>
          <w:rFonts w:ascii="Book Antiqua" w:hAnsi="Book Antiqua"/>
        </w:rPr>
      </w:pPr>
    </w:p>
    <w:tbl>
      <w:tblPr>
        <w:tblpPr w:leftFromText="141" w:rightFromText="141" w:vertAnchor="text" w:horzAnchor="margin" w:tblpXSpec="center" w:tblpY="279"/>
        <w:tblW w:w="6480" w:type="dxa"/>
        <w:tblCellMar>
          <w:left w:w="70" w:type="dxa"/>
          <w:right w:w="70" w:type="dxa"/>
        </w:tblCellMar>
        <w:tblLook w:val="04A0" w:firstRow="1" w:lastRow="0" w:firstColumn="1" w:lastColumn="0" w:noHBand="0" w:noVBand="1"/>
      </w:tblPr>
      <w:tblGrid>
        <w:gridCol w:w="1180"/>
        <w:gridCol w:w="1310"/>
        <w:gridCol w:w="1310"/>
        <w:gridCol w:w="1260"/>
        <w:gridCol w:w="1420"/>
      </w:tblGrid>
      <w:tr w:rsidR="00107321" w:rsidRPr="005B709C" w:rsidTr="00E64F22">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RANGO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VALOR CATASTRAL IMPONIBLE </w:t>
            </w:r>
            <w:r>
              <w:rPr>
                <w:rFonts w:ascii="Book Antiqua" w:eastAsia="Times New Roman" w:hAnsi="Book Antiqua" w:cs="Times New Roman"/>
                <w:b/>
                <w:bCs/>
                <w:color w:val="000000"/>
                <w:sz w:val="20"/>
                <w:szCs w:val="20"/>
                <w:lang w:eastAsia="es-EC"/>
              </w:rPr>
              <w:t>EN USD.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Tarifa Básica por mil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Tarifa Excedente por mil </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Desde </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Hasta </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0,25</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0,25</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0,27</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0,27</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0,29</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0,29</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0,32</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0,32</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0,36</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6</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0,36</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0,66</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0,66</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0,96</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8</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750.000,00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0,96</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1,26</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9</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750.000,01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1,26</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1,56</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1.250.000,00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1,56</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1,86</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1.250.000,01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1,86</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2,6</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1.750.000,00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2,6</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2,9</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13</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1.750.000,01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2,9</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3,2</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14</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2.500.000,00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3,2</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2.500.000,01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3,8</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16</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3,8</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4,1</w:t>
            </w:r>
          </w:p>
        </w:tc>
      </w:tr>
      <w:tr w:rsidR="00107321" w:rsidRPr="005B709C"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3.500.000,01</w:t>
            </w:r>
          </w:p>
        </w:tc>
        <w:tc>
          <w:tcPr>
            <w:tcW w:w="131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4.000.000,00</w:t>
            </w:r>
          </w:p>
        </w:tc>
        <w:tc>
          <w:tcPr>
            <w:tcW w:w="126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4,1</w:t>
            </w:r>
          </w:p>
        </w:tc>
        <w:tc>
          <w:tcPr>
            <w:tcW w:w="1420" w:type="dxa"/>
            <w:tcBorders>
              <w:top w:val="nil"/>
              <w:left w:val="nil"/>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4,5</w:t>
            </w:r>
          </w:p>
        </w:tc>
      </w:tr>
      <w:tr w:rsidR="00107321" w:rsidRPr="003368BC" w:rsidTr="00E64F2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r>
      <w:tr w:rsidR="00107321" w:rsidRPr="003368BC" w:rsidTr="00E64F2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en adelante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r>
    </w:tbl>
    <w:p w:rsidR="000E65BF" w:rsidRDefault="000E65BF" w:rsidP="000E65BF">
      <w:pPr>
        <w:jc w:val="both"/>
        <w:rPr>
          <w:rFonts w:ascii="Book Antiqua" w:hAnsi="Book Antiqua"/>
          <w:color w:val="000000" w:themeColor="text1"/>
          <w:sz w:val="20"/>
          <w:szCs w:val="20"/>
        </w:rPr>
      </w:pPr>
    </w:p>
    <w:p w:rsidR="00107321" w:rsidRPr="003368BC" w:rsidRDefault="00107321" w:rsidP="000E65BF">
      <w:pPr>
        <w:jc w:val="both"/>
        <w:rPr>
          <w:rFonts w:ascii="Book Antiqua" w:hAnsi="Book Antiqua"/>
          <w:color w:val="000000" w:themeColor="text1"/>
          <w:sz w:val="20"/>
          <w:szCs w:val="20"/>
        </w:rPr>
      </w:pPr>
      <w:bookmarkStart w:id="0" w:name="_GoBack"/>
      <w:bookmarkEnd w:id="0"/>
    </w:p>
    <w:p w:rsidR="000E65BF" w:rsidRPr="003368BC" w:rsidRDefault="000E65BF" w:rsidP="000E65BF">
      <w:pPr>
        <w:jc w:val="both"/>
        <w:rPr>
          <w:rFonts w:ascii="Book Antiqua" w:hAnsi="Book Antiqua"/>
          <w:color w:val="000000" w:themeColor="text1"/>
          <w:sz w:val="20"/>
          <w:szCs w:val="20"/>
        </w:rPr>
      </w:pPr>
    </w:p>
    <w:p w:rsidR="000E65BF" w:rsidRPr="003368BC" w:rsidRDefault="000E65BF" w:rsidP="000E65BF">
      <w:pPr>
        <w:jc w:val="both"/>
        <w:rPr>
          <w:rFonts w:ascii="Book Antiqua" w:hAnsi="Book Antiqua"/>
          <w:b/>
          <w:color w:val="000000" w:themeColor="text1"/>
          <w:sz w:val="20"/>
          <w:szCs w:val="20"/>
        </w:rPr>
      </w:pPr>
    </w:p>
    <w:p w:rsidR="000E65BF" w:rsidRPr="003368BC" w:rsidRDefault="000E65BF" w:rsidP="000E65BF">
      <w:pPr>
        <w:jc w:val="both"/>
        <w:rPr>
          <w:rFonts w:ascii="Book Antiqua" w:hAnsi="Book Antiqua"/>
          <w:b/>
          <w:color w:val="000000" w:themeColor="text1"/>
          <w:sz w:val="20"/>
          <w:szCs w:val="20"/>
        </w:rPr>
      </w:pPr>
    </w:p>
    <w:p w:rsidR="000E65BF" w:rsidRPr="003368BC" w:rsidRDefault="000E65BF" w:rsidP="000E65BF">
      <w:pPr>
        <w:jc w:val="both"/>
        <w:rPr>
          <w:rFonts w:ascii="Book Antiqua" w:hAnsi="Book Antiqua"/>
          <w:b/>
          <w:color w:val="000000" w:themeColor="text1"/>
          <w:sz w:val="20"/>
          <w:szCs w:val="20"/>
        </w:rPr>
      </w:pPr>
    </w:p>
    <w:p w:rsidR="000E65BF" w:rsidRPr="003368BC" w:rsidRDefault="000E65BF" w:rsidP="000E65BF">
      <w:pPr>
        <w:jc w:val="both"/>
        <w:rPr>
          <w:rFonts w:ascii="Book Antiqua" w:hAnsi="Book Antiqua"/>
          <w:b/>
          <w:color w:val="000000" w:themeColor="text1"/>
          <w:sz w:val="20"/>
          <w:szCs w:val="20"/>
        </w:rPr>
      </w:pPr>
    </w:p>
    <w:p w:rsidR="000E65BF" w:rsidRPr="003368BC"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Default="000E65BF" w:rsidP="000E65BF">
      <w:pPr>
        <w:jc w:val="both"/>
        <w:rPr>
          <w:rFonts w:ascii="Book Antiqua" w:hAnsi="Book Antiqua"/>
          <w:b/>
          <w:color w:val="000000" w:themeColor="text1"/>
          <w:sz w:val="20"/>
          <w:szCs w:val="20"/>
        </w:rPr>
      </w:pP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lastRenderedPageBreak/>
        <w:t>Art. (...) 11.- Cuantía o Tarifa Impuesto Predial Rural. -</w:t>
      </w:r>
      <w:r w:rsidRPr="003368BC">
        <w:rPr>
          <w:rFonts w:ascii="Book Antiqua" w:hAnsi="Book Antiqua"/>
          <w:color w:val="000000" w:themeColor="text1"/>
          <w:sz w:val="20"/>
          <w:szCs w:val="20"/>
        </w:rPr>
        <w:t xml:space="preserve"> Conforme el artículo 517 del Código Orgánico de Organización Territorial, Autonomía y Descentralización, se fijan las siguientes tarifas diferenciales para los bienes inmuebles de naturaleza rural, para el bienio 2022-2023, de acuerdo a la siguiente tabla:</w:t>
      </w:r>
    </w:p>
    <w:tbl>
      <w:tblPr>
        <w:tblW w:w="6524" w:type="dxa"/>
        <w:tblInd w:w="988" w:type="dxa"/>
        <w:tblCellMar>
          <w:left w:w="70" w:type="dxa"/>
          <w:right w:w="70" w:type="dxa"/>
        </w:tblCellMar>
        <w:tblLook w:val="04A0" w:firstRow="1" w:lastRow="0" w:firstColumn="1" w:lastColumn="0" w:noHBand="0" w:noVBand="1"/>
      </w:tblPr>
      <w:tblGrid>
        <w:gridCol w:w="1111"/>
        <w:gridCol w:w="1656"/>
        <w:gridCol w:w="1295"/>
        <w:gridCol w:w="1286"/>
        <w:gridCol w:w="1269"/>
      </w:tblGrid>
      <w:tr w:rsidR="000E65BF" w:rsidRPr="003368BC" w:rsidTr="00E64F22">
        <w:trPr>
          <w:trHeight w:val="690"/>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RANGO </w:t>
            </w:r>
          </w:p>
        </w:tc>
        <w:tc>
          <w:tcPr>
            <w:tcW w:w="2858" w:type="dxa"/>
            <w:gridSpan w:val="2"/>
            <w:tcBorders>
              <w:top w:val="single" w:sz="4" w:space="0" w:color="auto"/>
              <w:left w:val="nil"/>
              <w:bottom w:val="single" w:sz="4" w:space="0" w:color="auto"/>
              <w:right w:val="single" w:sz="4" w:space="0" w:color="auto"/>
            </w:tcBorders>
            <w:shd w:val="clear" w:color="auto" w:fill="auto"/>
            <w:vAlign w:val="center"/>
            <w:hideMark/>
          </w:tcPr>
          <w:p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VALOR CATASTRAL IMPONIBLE </w:t>
            </w:r>
            <w:r>
              <w:rPr>
                <w:rFonts w:ascii="Book Antiqua" w:eastAsia="Times New Roman" w:hAnsi="Book Antiqua" w:cs="Times New Roman"/>
                <w:b/>
                <w:bCs/>
                <w:color w:val="000000"/>
                <w:lang w:eastAsia="es-EC"/>
              </w:rPr>
              <w:t>EN USD.</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Tarifa Básica por mil </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Tarifa Excedente por mil </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Desde </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Hasta </w:t>
            </w: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0E65BF" w:rsidRPr="00752CF0" w:rsidRDefault="000E65BF" w:rsidP="00E64F22">
            <w:pPr>
              <w:spacing w:after="0" w:line="240" w:lineRule="auto"/>
              <w:rPr>
                <w:rFonts w:ascii="Book Antiqua" w:eastAsia="Times New Roman" w:hAnsi="Book Antiqua" w:cs="Times New Roman"/>
                <w:b/>
                <w:bCs/>
                <w:color w:val="000000"/>
                <w:lang w:eastAsia="es-EC"/>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0E65BF" w:rsidRPr="00752CF0" w:rsidRDefault="000E65BF" w:rsidP="00E64F22">
            <w:pPr>
              <w:spacing w:after="0" w:line="240" w:lineRule="auto"/>
              <w:rPr>
                <w:rFonts w:ascii="Book Antiqua" w:eastAsia="Times New Roman" w:hAnsi="Book Antiqua" w:cs="Times New Roman"/>
                <w:b/>
                <w:bCs/>
                <w:color w:val="000000"/>
                <w:lang w:eastAsia="es-EC"/>
              </w:rPr>
            </w:pP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0.00</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0,25</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0,25</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0,27</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0,27</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0,29</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0,29</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0,32</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0,32</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0,36</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6</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0,36</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0,66</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0,66</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0,96</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8</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750.000,00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0,96</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1,26</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9</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750.000,01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1,26</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1,56</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1.250.000,00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1,56</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1,86</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11</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1.250.000,01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1,86</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2,2</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1.750.000,00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2,2</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2,9</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13</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1.750.000,01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2.000.000,00</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2,9</w:t>
            </w:r>
          </w:p>
        </w:tc>
        <w:tc>
          <w:tcPr>
            <w:tcW w:w="1269"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r>
      <w:tr w:rsidR="000E65BF" w:rsidRPr="003368BC"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14</w:t>
            </w:r>
          </w:p>
        </w:tc>
        <w:tc>
          <w:tcPr>
            <w:tcW w:w="165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2.000.000,01</w:t>
            </w:r>
          </w:p>
        </w:tc>
        <w:tc>
          <w:tcPr>
            <w:tcW w:w="1202"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en adelante</w:t>
            </w:r>
          </w:p>
        </w:tc>
        <w:tc>
          <w:tcPr>
            <w:tcW w:w="1286" w:type="dxa"/>
            <w:tcBorders>
              <w:top w:val="nil"/>
              <w:left w:val="nil"/>
              <w:bottom w:val="single" w:sz="4" w:space="0" w:color="auto"/>
              <w:right w:val="single" w:sz="4" w:space="0" w:color="auto"/>
            </w:tcBorders>
            <w:shd w:val="clear" w:color="auto" w:fill="auto"/>
            <w:noWrap/>
            <w:vAlign w:val="center"/>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c>
          <w:tcPr>
            <w:tcW w:w="1269" w:type="dxa"/>
            <w:tcBorders>
              <w:top w:val="nil"/>
              <w:left w:val="nil"/>
              <w:bottom w:val="single" w:sz="4" w:space="0" w:color="auto"/>
              <w:right w:val="single" w:sz="4" w:space="0" w:color="auto"/>
            </w:tcBorders>
            <w:shd w:val="clear" w:color="auto" w:fill="auto"/>
            <w:noWrap/>
            <w:vAlign w:val="bottom"/>
            <w:hideMark/>
          </w:tcPr>
          <w:p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 </w:t>
            </w:r>
          </w:p>
        </w:tc>
      </w:tr>
    </w:tbl>
    <w:p w:rsidR="000E65BF" w:rsidRPr="003368BC" w:rsidRDefault="000E65BF" w:rsidP="000E65BF">
      <w:pPr>
        <w:jc w:val="center"/>
        <w:rPr>
          <w:rFonts w:ascii="Book Antiqua" w:hAnsi="Book Antiqua"/>
          <w:color w:val="000000" w:themeColor="text1"/>
          <w:sz w:val="20"/>
          <w:szCs w:val="20"/>
        </w:rPr>
      </w:pPr>
    </w:p>
    <w:p w:rsidR="000E65BF" w:rsidRPr="00BF36B6" w:rsidRDefault="000E65BF" w:rsidP="000E65BF">
      <w:pPr>
        <w:jc w:val="both"/>
        <w:rPr>
          <w:rFonts w:ascii="Book Antiqua" w:hAnsi="Book Antiqua"/>
          <w:bCs/>
          <w:color w:val="000000" w:themeColor="text1"/>
          <w:sz w:val="20"/>
          <w:szCs w:val="20"/>
        </w:rPr>
      </w:pPr>
      <w:r w:rsidRPr="003368BC">
        <w:rPr>
          <w:rFonts w:ascii="Book Antiqua" w:hAnsi="Book Antiqua"/>
          <w:b/>
          <w:color w:val="000000" w:themeColor="text1"/>
          <w:sz w:val="20"/>
          <w:szCs w:val="20"/>
        </w:rPr>
        <w:t xml:space="preserve">Art. (...) 12.- </w:t>
      </w:r>
      <w:r>
        <w:rPr>
          <w:rFonts w:ascii="Book Antiqua" w:hAnsi="Book Antiqua"/>
          <w:b/>
          <w:color w:val="000000" w:themeColor="text1"/>
          <w:sz w:val="20"/>
          <w:szCs w:val="20"/>
        </w:rPr>
        <w:t xml:space="preserve">Viviendas de interés social e interés </w:t>
      </w:r>
      <w:proofErr w:type="gramStart"/>
      <w:r>
        <w:rPr>
          <w:rFonts w:ascii="Book Antiqua" w:hAnsi="Book Antiqua"/>
          <w:b/>
          <w:color w:val="000000" w:themeColor="text1"/>
          <w:sz w:val="20"/>
          <w:szCs w:val="20"/>
        </w:rPr>
        <w:t>público.--</w:t>
      </w:r>
      <w:proofErr w:type="gramEnd"/>
      <w:r>
        <w:rPr>
          <w:rFonts w:ascii="Book Antiqua" w:hAnsi="Book Antiqua"/>
          <w:b/>
          <w:color w:val="000000" w:themeColor="text1"/>
          <w:sz w:val="20"/>
          <w:szCs w:val="20"/>
        </w:rPr>
        <w:t xml:space="preserve"> </w:t>
      </w:r>
      <w:r w:rsidRPr="00BF36B6">
        <w:rPr>
          <w:rFonts w:ascii="Book Antiqua" w:hAnsi="Book Antiqua"/>
          <w:bCs/>
          <w:color w:val="000000" w:themeColor="text1"/>
          <w:sz w:val="20"/>
          <w:szCs w:val="20"/>
        </w:rPr>
        <w:t>Para efectos del presente beneficio, se consideran viviendas de interés socia</w:t>
      </w:r>
      <w:r>
        <w:rPr>
          <w:rFonts w:ascii="Book Antiqua" w:hAnsi="Book Antiqua"/>
          <w:bCs/>
          <w:color w:val="000000" w:themeColor="text1"/>
          <w:sz w:val="20"/>
          <w:szCs w:val="20"/>
        </w:rPr>
        <w:t>l</w:t>
      </w:r>
      <w:r w:rsidRPr="00BF36B6">
        <w:rPr>
          <w:rFonts w:ascii="Book Antiqua" w:hAnsi="Book Antiqua"/>
          <w:bCs/>
          <w:color w:val="000000" w:themeColor="text1"/>
          <w:sz w:val="20"/>
          <w:szCs w:val="20"/>
        </w:rPr>
        <w:t xml:space="preserve"> y de interés público, las viviendas de propiedad de personas naturales cuyo valor de la propiedad sea urbano o rural, sea de hasta USD. 70.000,00. Cuando se trate de propiedad horizontal, se incluirán los predios de vivienda secundarias o complementarias como bodegas, parqueaderos, secaderos o similares, siempre que la suma de esos avalúos no supere el monto señalado. Los propietarios de este tipo de viviendas tendrán una reducción del cien por ciento sobre el impuesto predial generado durante el bienio 20</w:t>
      </w:r>
      <w:r>
        <w:rPr>
          <w:rFonts w:ascii="Book Antiqua" w:hAnsi="Book Antiqua"/>
          <w:bCs/>
          <w:color w:val="000000" w:themeColor="text1"/>
          <w:sz w:val="20"/>
          <w:szCs w:val="20"/>
        </w:rPr>
        <w:t>22</w:t>
      </w:r>
      <w:r w:rsidRPr="00BF36B6">
        <w:rPr>
          <w:rFonts w:ascii="Book Antiqua" w:hAnsi="Book Antiqua"/>
          <w:bCs/>
          <w:color w:val="000000" w:themeColor="text1"/>
          <w:sz w:val="20"/>
          <w:szCs w:val="20"/>
        </w:rPr>
        <w:t>-202</w:t>
      </w:r>
      <w:r>
        <w:rPr>
          <w:rFonts w:ascii="Book Antiqua" w:hAnsi="Book Antiqua"/>
          <w:bCs/>
          <w:color w:val="000000" w:themeColor="text1"/>
          <w:sz w:val="20"/>
          <w:szCs w:val="20"/>
        </w:rPr>
        <w:t>3</w:t>
      </w:r>
      <w:r w:rsidRPr="00BF36B6">
        <w:rPr>
          <w:rFonts w:ascii="Book Antiqua" w:hAnsi="Book Antiqua"/>
          <w:bCs/>
          <w:color w:val="000000" w:themeColor="text1"/>
          <w:sz w:val="20"/>
          <w:szCs w:val="20"/>
        </w:rPr>
        <w:t>, siempre que posea una única vivienda, y que no corresponda a predios no ed</w:t>
      </w:r>
      <w:r>
        <w:rPr>
          <w:rFonts w:ascii="Book Antiqua" w:hAnsi="Book Antiqua"/>
          <w:bCs/>
          <w:color w:val="000000" w:themeColor="text1"/>
          <w:sz w:val="20"/>
          <w:szCs w:val="20"/>
        </w:rPr>
        <w:t>ifi</w:t>
      </w:r>
      <w:r w:rsidRPr="00BF36B6">
        <w:rPr>
          <w:rFonts w:ascii="Book Antiqua" w:hAnsi="Book Antiqua"/>
          <w:bCs/>
          <w:color w:val="000000" w:themeColor="text1"/>
          <w:sz w:val="20"/>
          <w:szCs w:val="20"/>
        </w:rPr>
        <w:t>cados</w:t>
      </w:r>
      <w:r>
        <w:rPr>
          <w:rFonts w:ascii="Book Antiqua" w:hAnsi="Book Antiqua"/>
          <w:bCs/>
          <w:color w:val="000000" w:themeColor="text1"/>
          <w:sz w:val="20"/>
          <w:szCs w:val="20"/>
        </w:rPr>
        <w:t>.</w:t>
      </w:r>
    </w:p>
    <w:p w:rsidR="000E65BF" w:rsidRPr="00BF36B6" w:rsidRDefault="000E65BF" w:rsidP="000E65BF">
      <w:pPr>
        <w:jc w:val="both"/>
        <w:rPr>
          <w:rFonts w:ascii="Book Antiqua" w:hAnsi="Book Antiqua"/>
          <w:bCs/>
          <w:color w:val="000000" w:themeColor="text1"/>
          <w:sz w:val="20"/>
          <w:szCs w:val="20"/>
        </w:rPr>
      </w:pPr>
      <w:r w:rsidRPr="00BF36B6">
        <w:rPr>
          <w:rFonts w:ascii="Book Antiqua" w:hAnsi="Book Antiqua"/>
          <w:bCs/>
          <w:color w:val="000000" w:themeColor="text1"/>
          <w:sz w:val="20"/>
          <w:szCs w:val="20"/>
        </w:rPr>
        <w:t>Este beneficio no aplicará para el caso de predios donde se encuentran asentamientos humanos de hecho y consolidados que hayan sido beneficiados o no por una ordenanza de regulación, y de aquellos de propiedad de organizaciones de vivienda que integran el sector de la economía popular y solidaria, distintos a los de propiedad horizontal o los de entes sin personalidad jurídica.</w:t>
      </w:r>
    </w:p>
    <w:p w:rsidR="000E65BF" w:rsidRPr="003368BC" w:rsidRDefault="000E65BF" w:rsidP="000E65BF">
      <w:pPr>
        <w:jc w:val="both"/>
        <w:rPr>
          <w:rFonts w:ascii="Book Antiqua" w:hAnsi="Book Antiqua"/>
          <w:color w:val="000000" w:themeColor="text1"/>
          <w:sz w:val="20"/>
          <w:szCs w:val="20"/>
        </w:rPr>
      </w:pPr>
      <w:r>
        <w:rPr>
          <w:rFonts w:ascii="Book Antiqua" w:hAnsi="Book Antiqua"/>
          <w:b/>
          <w:color w:val="000000" w:themeColor="text1"/>
          <w:sz w:val="20"/>
          <w:szCs w:val="20"/>
        </w:rPr>
        <w:t xml:space="preserve">Art. (…) 13.- </w:t>
      </w:r>
      <w:r w:rsidRPr="003368BC">
        <w:rPr>
          <w:rFonts w:ascii="Book Antiqua" w:hAnsi="Book Antiqua"/>
          <w:b/>
          <w:color w:val="000000" w:themeColor="text1"/>
          <w:sz w:val="20"/>
          <w:szCs w:val="20"/>
        </w:rPr>
        <w:t xml:space="preserve">Base Imponible del Impuesto Predial Urbano en Asentamientos de Hecho y consolidados que cuentan con Ordenanzas de </w:t>
      </w:r>
      <w:proofErr w:type="gramStart"/>
      <w:r w:rsidRPr="003368BC">
        <w:rPr>
          <w:rFonts w:ascii="Book Antiqua" w:hAnsi="Book Antiqua"/>
          <w:b/>
          <w:color w:val="000000" w:themeColor="text1"/>
          <w:sz w:val="20"/>
          <w:szCs w:val="20"/>
        </w:rPr>
        <w:t>Regulación.-</w:t>
      </w:r>
      <w:proofErr w:type="gramEnd"/>
      <w:r w:rsidRPr="003368BC">
        <w:rPr>
          <w:rFonts w:ascii="Book Antiqua" w:hAnsi="Book Antiqua"/>
          <w:color w:val="000000" w:themeColor="text1"/>
          <w:sz w:val="20"/>
          <w:szCs w:val="20"/>
        </w:rPr>
        <w:t xml:space="preserve"> Para obtener la base imponible del impuesto predial urbano del predio o predios donde se encuentren los asentamientos humanos </w:t>
      </w:r>
      <w:r w:rsidRPr="00BF36B6">
        <w:rPr>
          <w:rFonts w:ascii="Book Antiqua" w:hAnsi="Book Antiqua"/>
          <w:color w:val="000000" w:themeColor="text1"/>
          <w:sz w:val="20"/>
          <w:szCs w:val="20"/>
        </w:rPr>
        <w:t>de hecho y consolidados que cuenten con una ordenanza metropolitana que reconozca y apruebe el asentamiento</w:t>
      </w:r>
      <w:r w:rsidRPr="003368BC">
        <w:rPr>
          <w:rFonts w:ascii="Book Antiqua" w:hAnsi="Book Antiqua"/>
          <w:color w:val="000000" w:themeColor="text1"/>
          <w:sz w:val="20"/>
          <w:szCs w:val="20"/>
        </w:rPr>
        <w:t>, en atención a lo dispuesto por el segundo inciso del artículo 715 del Código Civil, se deberá aplicarla siguiente fórmula:</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avalúo total del predio</w:t>
      </w:r>
      <w:r>
        <w:rPr>
          <w:rFonts w:ascii="Book Antiqua" w:hAnsi="Book Antiqua"/>
          <w:color w:val="000000" w:themeColor="text1"/>
          <w:sz w:val="20"/>
          <w:szCs w:val="20"/>
        </w:rPr>
        <w:t xml:space="preserve"> </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Base imponible = </w:t>
      </w:r>
      <w:r w:rsidRPr="003368BC">
        <w:rPr>
          <w:rFonts w:ascii="Book Antiqua" w:hAnsi="Book Antiqua"/>
          <w:color w:val="000000" w:themeColor="text1"/>
          <w:sz w:val="20"/>
          <w:szCs w:val="20"/>
        </w:rPr>
        <w:tab/>
        <w:t>-----------------------------------</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Número total de lotes reconocidos en la ordenanza</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lastRenderedPageBreak/>
        <w:t>Para la aplicación del impuesto, se aplicará a la base imponible así obtenida, las tarifas contenidas en las tablas de factores de aplicación establecidas en la correspondiente normativa vigente. Para obtener el impuesto a pagar, se deberá multiplicar el impuesto obtenido calculado para cada lote por el número de lotes que conformen el predio global. Esta determinación estará sujeta a una determinación posterior, en los términos del artículo 91.1 del Código Orgánico Tributario, una vez que la Dirección Metropolitana de Catastro proceda con la debida actualización del catastro inmobiliario individual y resultante de la regularización en mención. De establecerse diferencias a favor del sujeto activo, las mismas serán debidamente notificadas a los sujetos pasivos para su pago de acuerdo a los años que correspondan.</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los casos en los cuales exista identificación y avalúo catastral individual conforme los registros catastrales, el impuesto predial se determinará aplicando las disposiciones generales pertinentes al caso, sobre la base del avalúo catastral atribuible a cada predio y valor catastral imponible.</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4</w:t>
      </w:r>
      <w:r w:rsidRPr="003368BC">
        <w:rPr>
          <w:rFonts w:ascii="Book Antiqua" w:hAnsi="Book Antiqua"/>
          <w:b/>
          <w:color w:val="000000" w:themeColor="text1"/>
          <w:sz w:val="20"/>
          <w:szCs w:val="20"/>
        </w:rPr>
        <w:t>.- Base Imponible del Impuesto Predial Urbano en Asentamientos de Hecho y consolidados que no cuentan con Ordenanza de Regularización pero que estén en proceso de reconocimiento y aprobación.-</w:t>
      </w:r>
      <w:r w:rsidRPr="003368BC">
        <w:rPr>
          <w:rFonts w:ascii="Book Antiqua" w:hAnsi="Book Antiqua"/>
          <w:color w:val="000000" w:themeColor="text1"/>
          <w:sz w:val="20"/>
          <w:szCs w:val="20"/>
        </w:rPr>
        <w:t xml:space="preserve"> Para establecer la base imponible del impuesto predial urbano del predio o predios donde se encuentren los asentamientos humanos de hecho y consolidados que no cuenten con una ordenanza metropolitana que reconozca y apruebe el asentamiento, pero que, según certificación de la Unidad Especial Regula Tu Barrio, se encuentren en proceso cumpliendo con todos los requisitos para tales efectos, distintos de los constituidos en derechos y acciones, se utilizará la siguiente fórmula:</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avalúo total del predio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Base imponible = </w:t>
      </w:r>
      <w:r w:rsidRPr="003368BC">
        <w:rPr>
          <w:rFonts w:ascii="Book Antiqua" w:hAnsi="Book Antiqua"/>
          <w:color w:val="000000" w:themeColor="text1"/>
          <w:sz w:val="20"/>
          <w:szCs w:val="20"/>
        </w:rPr>
        <w:tab/>
        <w:t>-----------------------------------</w:t>
      </w:r>
    </w:p>
    <w:p w:rsidR="000E65BF" w:rsidRPr="003368BC" w:rsidRDefault="000E65BF" w:rsidP="000E65BF">
      <w:pPr>
        <w:ind w:left="2124"/>
        <w:jc w:val="both"/>
        <w:rPr>
          <w:rFonts w:ascii="Book Antiqua" w:hAnsi="Book Antiqua"/>
          <w:color w:val="000000" w:themeColor="text1"/>
          <w:sz w:val="20"/>
          <w:szCs w:val="20"/>
        </w:rPr>
      </w:pPr>
      <w:r w:rsidRPr="003368BC">
        <w:rPr>
          <w:rFonts w:ascii="Book Antiqua" w:hAnsi="Book Antiqua"/>
          <w:color w:val="000000" w:themeColor="text1"/>
          <w:sz w:val="20"/>
          <w:szCs w:val="20"/>
        </w:rPr>
        <w:t>Número total de socios o partícipes (máximo uno por cada lote proyectado)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Para la liquidación del impuesto, se aplicará a la base imponible así obtenida, las tarifas contenidas en las tablas de factores </w:t>
      </w:r>
      <w:r w:rsidRPr="00BF36B6">
        <w:rPr>
          <w:rFonts w:ascii="Book Antiqua" w:hAnsi="Book Antiqua"/>
          <w:color w:val="000000" w:themeColor="text1"/>
          <w:sz w:val="20"/>
          <w:szCs w:val="20"/>
        </w:rPr>
        <w:t>correspondientes.</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obtener el impuesto a pagar, se deberá multiplicar el impuesto obtenido calculado para cada socio por el número de lotes que conformen el predio global.</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Una vez emitida la correspondiente ordenanza metropolitana de regularización, la Dirección Metropolitana de Catastro realizará las gestiones correspondientes de generación y actualización de información catastral individual de cada predio, tras lo cual, notificará inmediatamente a la Dirección Metropolitana Tributaria, a fin de que ésta, conforme el artículo 91.1 del Código Orgánico Tributario, lleve a cabo el proceso de determinación posterior a fin de establecer diferencias a favor del sujeto activo, las cuales serán debidamente notificadas a los sujetos pasivos para su pago de acuerdo a los años que correspondan.</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5</w:t>
      </w:r>
      <w:r w:rsidRPr="003368BC">
        <w:rPr>
          <w:rFonts w:ascii="Book Antiqua" w:hAnsi="Book Antiqua"/>
          <w:b/>
          <w:color w:val="000000" w:themeColor="text1"/>
          <w:sz w:val="20"/>
          <w:szCs w:val="20"/>
        </w:rPr>
        <w:t>.- Publicidad de las Obligaciones.-</w:t>
      </w:r>
      <w:r w:rsidRPr="003368BC">
        <w:rPr>
          <w:rFonts w:ascii="Book Antiqua" w:hAnsi="Book Antiqua"/>
          <w:color w:val="000000" w:themeColor="text1"/>
          <w:sz w:val="20"/>
          <w:szCs w:val="20"/>
        </w:rPr>
        <w:t xml:space="preserve"> Sin perjuicio de lo determinado por el Código Orgánico de Organización Territorial, Autonomía y Descentralización, el Gobierno Autónomo Descentralizado del Distrito Metropolitano de Quito, mantendrá un portal electrónico de acceso público para la consulta individual de obligaciones, puesta a disposición de los sujetos pasivos, donde se informe sobre el monto a pagar por cada predio, aplicación de descuentos o recargos conforme a la Ley y demás información necesaria para el oportuno cumplimiento </w:t>
      </w:r>
      <w:r w:rsidRPr="00BF36B6">
        <w:rPr>
          <w:rFonts w:ascii="Book Antiqua" w:hAnsi="Book Antiqua"/>
          <w:color w:val="000000" w:themeColor="text1"/>
          <w:sz w:val="20"/>
          <w:szCs w:val="20"/>
        </w:rPr>
        <w:t>de la</w:t>
      </w:r>
      <w:r>
        <w:rPr>
          <w:rFonts w:ascii="Book Antiqua" w:hAnsi="Book Antiqua"/>
          <w:color w:val="000000" w:themeColor="text1"/>
          <w:sz w:val="20"/>
          <w:szCs w:val="20"/>
        </w:rPr>
        <w:t xml:space="preserve"> </w:t>
      </w:r>
      <w:r w:rsidRPr="003368BC">
        <w:rPr>
          <w:rFonts w:ascii="Book Antiqua" w:hAnsi="Book Antiqua"/>
          <w:color w:val="000000" w:themeColor="text1"/>
          <w:sz w:val="20"/>
          <w:szCs w:val="20"/>
        </w:rPr>
        <w:t>obligación tributaria.</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6</w:t>
      </w:r>
      <w:r w:rsidRPr="003368BC">
        <w:rPr>
          <w:rFonts w:ascii="Book Antiqua" w:hAnsi="Book Antiqua"/>
          <w:b/>
          <w:color w:val="000000" w:themeColor="text1"/>
          <w:sz w:val="20"/>
          <w:szCs w:val="20"/>
        </w:rPr>
        <w:t xml:space="preserve">.- Contribución a Favor del Cuerpo de </w:t>
      </w:r>
      <w:proofErr w:type="gramStart"/>
      <w:r w:rsidRPr="003368BC">
        <w:rPr>
          <w:rFonts w:ascii="Book Antiqua" w:hAnsi="Book Antiqua"/>
          <w:b/>
          <w:color w:val="000000" w:themeColor="text1"/>
          <w:sz w:val="20"/>
          <w:szCs w:val="20"/>
        </w:rPr>
        <w:t>Bomberos.-</w:t>
      </w:r>
      <w:proofErr w:type="gramEnd"/>
      <w:r w:rsidRPr="003368BC">
        <w:rPr>
          <w:rFonts w:ascii="Book Antiqua" w:hAnsi="Book Antiqua"/>
          <w:color w:val="000000" w:themeColor="text1"/>
          <w:sz w:val="20"/>
          <w:szCs w:val="20"/>
        </w:rPr>
        <w:t xml:space="preserve"> El cálculo de la Contribución a favor del Cuerpo de Bomberos establecida en el artículo 33 de la Ley de Defensa Contra Incendios, se realizará considerando el avalúo catastral vigente a la fecha de emisión del impuesto predial.</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lastRenderedPageBreak/>
        <w:t>Art. (...) 1</w:t>
      </w:r>
      <w:r>
        <w:rPr>
          <w:rFonts w:ascii="Book Antiqua" w:hAnsi="Book Antiqua"/>
          <w:b/>
          <w:color w:val="000000" w:themeColor="text1"/>
          <w:sz w:val="20"/>
          <w:szCs w:val="20"/>
        </w:rPr>
        <w:t>7</w:t>
      </w:r>
      <w:r w:rsidRPr="003368BC">
        <w:rPr>
          <w:rFonts w:ascii="Book Antiqua" w:hAnsi="Book Antiqua"/>
          <w:b/>
          <w:color w:val="000000" w:themeColor="text1"/>
          <w:sz w:val="20"/>
          <w:szCs w:val="20"/>
        </w:rPr>
        <w:t xml:space="preserve">.- Salario Básico </w:t>
      </w:r>
      <w:proofErr w:type="gramStart"/>
      <w:r w:rsidRPr="003368BC">
        <w:rPr>
          <w:rFonts w:ascii="Book Antiqua" w:hAnsi="Book Antiqua"/>
          <w:b/>
          <w:color w:val="000000" w:themeColor="text1"/>
          <w:sz w:val="20"/>
          <w:szCs w:val="20"/>
        </w:rPr>
        <w:t>Unificado.-</w:t>
      </w:r>
      <w:proofErr w:type="gramEnd"/>
      <w:r w:rsidRPr="003368BC">
        <w:rPr>
          <w:rFonts w:ascii="Book Antiqua" w:hAnsi="Book Antiqua"/>
          <w:color w:val="000000" w:themeColor="text1"/>
          <w:sz w:val="20"/>
          <w:szCs w:val="20"/>
        </w:rPr>
        <w:t xml:space="preserve"> Para efectos de l</w:t>
      </w:r>
      <w:r>
        <w:rPr>
          <w:rFonts w:ascii="Book Antiqua" w:hAnsi="Book Antiqua"/>
          <w:color w:val="000000" w:themeColor="text1"/>
          <w:sz w:val="20"/>
          <w:szCs w:val="20"/>
        </w:rPr>
        <w:t xml:space="preserve">a aplicación de los beneficios tributarios </w:t>
      </w:r>
      <w:r w:rsidRPr="003368BC">
        <w:rPr>
          <w:rFonts w:ascii="Book Antiqua" w:hAnsi="Book Antiqua"/>
          <w:color w:val="000000" w:themeColor="text1"/>
          <w:sz w:val="20"/>
          <w:szCs w:val="20"/>
        </w:rPr>
        <w:t>que la Ley prevé tengan como base o referencia al salario básico unificado, durante el bienio 2022-2023, para el ejercicio fiscal 2022 se considerará al salario básico unificado vigente al 31 de diciembre de 2021; y para el ejercicio fiscal 2023, al salario básico unificado vigente al 31 de diciembre de 2022, según lo dispuesto por el ente rector del sector laboral nacional.</w:t>
      </w:r>
    </w:p>
    <w:p w:rsidR="000E65BF" w:rsidRPr="009849AB" w:rsidRDefault="000E65BF" w:rsidP="000E65BF">
      <w:pPr>
        <w:spacing w:line="276" w:lineRule="auto"/>
        <w:jc w:val="both"/>
        <w:rPr>
          <w:rFonts w:ascii="Arial" w:eastAsia="Arial" w:hAnsi="Arial" w:cs="Arial"/>
          <w:lang w:val="es-ES_tradnl"/>
        </w:rPr>
      </w:pPr>
      <w:r>
        <w:rPr>
          <w:rFonts w:ascii="Book Antiqua" w:hAnsi="Book Antiqua"/>
          <w:b/>
          <w:sz w:val="20"/>
          <w:szCs w:val="20"/>
        </w:rPr>
        <w:t xml:space="preserve">Disposición </w:t>
      </w:r>
      <w:proofErr w:type="gramStart"/>
      <w:r>
        <w:rPr>
          <w:rFonts w:ascii="Book Antiqua" w:hAnsi="Book Antiqua"/>
          <w:b/>
          <w:sz w:val="20"/>
          <w:szCs w:val="20"/>
        </w:rPr>
        <w:t>General :</w:t>
      </w:r>
      <w:proofErr w:type="gramEnd"/>
      <w:r>
        <w:rPr>
          <w:rFonts w:ascii="Book Antiqua" w:hAnsi="Book Antiqua"/>
          <w:b/>
          <w:sz w:val="20"/>
          <w:szCs w:val="20"/>
        </w:rPr>
        <w:t xml:space="preserve"> </w:t>
      </w:r>
      <w:r w:rsidRPr="00FE0445">
        <w:rPr>
          <w:rFonts w:ascii="Book Antiqua" w:hAnsi="Book Antiqua"/>
          <w:color w:val="000000" w:themeColor="text1"/>
          <w:sz w:val="20"/>
          <w:szCs w:val="20"/>
        </w:rPr>
        <w:t>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rsidR="000E65BF" w:rsidRPr="003368BC" w:rsidRDefault="000E65BF" w:rsidP="000E65BF">
      <w:pPr>
        <w:jc w:val="both"/>
        <w:rPr>
          <w:rFonts w:ascii="Book Antiqua" w:hAnsi="Book Antiqua"/>
          <w:sz w:val="20"/>
          <w:szCs w:val="20"/>
        </w:rPr>
      </w:pPr>
      <w:r w:rsidRPr="003368BC">
        <w:rPr>
          <w:rFonts w:ascii="Book Antiqua" w:hAnsi="Book Antiqua"/>
          <w:b/>
          <w:sz w:val="20"/>
          <w:szCs w:val="20"/>
        </w:rPr>
        <w:t>Disposición Transitoria.</w:t>
      </w:r>
      <w:r w:rsidRPr="003368BC">
        <w:rPr>
          <w:rFonts w:ascii="Book Antiqua" w:hAnsi="Book Antiqua"/>
          <w:sz w:val="20"/>
          <w:szCs w:val="20"/>
        </w:rPr>
        <w:t xml:space="preserve"> - Encárguese a la Secretaría General del Concejo Metropolitano la publicación de la presente ordenanza, de conformidad con lo previsto en los arts. 324 del Código Orgánico de Organización Territorial, Autonomía y Descentralización, y 11 del Código Tributario. </w:t>
      </w:r>
    </w:p>
    <w:p w:rsidR="000E65BF" w:rsidRPr="003368BC" w:rsidRDefault="000E65BF" w:rsidP="000E65BF">
      <w:pPr>
        <w:jc w:val="both"/>
        <w:rPr>
          <w:rFonts w:ascii="Book Antiqua" w:hAnsi="Book Antiqua"/>
          <w:b/>
          <w:sz w:val="20"/>
          <w:szCs w:val="20"/>
        </w:rPr>
      </w:pPr>
      <w:r w:rsidRPr="003368BC">
        <w:rPr>
          <w:rFonts w:ascii="Book Antiqua" w:hAnsi="Book Antiqua"/>
          <w:b/>
          <w:sz w:val="20"/>
          <w:szCs w:val="20"/>
        </w:rPr>
        <w:t xml:space="preserve">Disposiciones Derogatorias. – </w:t>
      </w:r>
    </w:p>
    <w:p w:rsidR="000E65BF" w:rsidRPr="003368BC" w:rsidRDefault="000E65BF" w:rsidP="000E65BF">
      <w:pPr>
        <w:jc w:val="both"/>
        <w:rPr>
          <w:rFonts w:ascii="Book Antiqua" w:hAnsi="Book Antiqua"/>
          <w:sz w:val="20"/>
          <w:szCs w:val="20"/>
        </w:rPr>
      </w:pPr>
      <w:r w:rsidRPr="003368BC">
        <w:rPr>
          <w:rFonts w:ascii="Book Antiqua" w:hAnsi="Book Antiqua"/>
          <w:b/>
          <w:sz w:val="20"/>
          <w:szCs w:val="20"/>
        </w:rPr>
        <w:t>Primera. –</w:t>
      </w:r>
      <w:r w:rsidRPr="003368BC">
        <w:rPr>
          <w:rFonts w:ascii="Book Antiqua" w:hAnsi="Book Antiqua"/>
          <w:sz w:val="20"/>
          <w:szCs w:val="20"/>
        </w:rPr>
        <w:t xml:space="preserve"> A partir de la publicación en el registro oficial, se entenderá sustituida y</w:t>
      </w:r>
      <w:r>
        <w:rPr>
          <w:rFonts w:ascii="Book Antiqua" w:hAnsi="Book Antiqua"/>
          <w:sz w:val="20"/>
          <w:szCs w:val="20"/>
        </w:rPr>
        <w:t>,</w:t>
      </w:r>
      <w:r w:rsidRPr="003368BC">
        <w:rPr>
          <w:rFonts w:ascii="Book Antiqua" w:hAnsi="Book Antiqua"/>
          <w:sz w:val="20"/>
          <w:szCs w:val="20"/>
        </w:rPr>
        <w:t xml:space="preserve"> por tanto</w:t>
      </w:r>
      <w:r>
        <w:rPr>
          <w:rFonts w:ascii="Book Antiqua" w:hAnsi="Book Antiqua"/>
          <w:sz w:val="20"/>
          <w:szCs w:val="20"/>
        </w:rPr>
        <w:t>,</w:t>
      </w:r>
      <w:r w:rsidRPr="003368BC">
        <w:rPr>
          <w:rFonts w:ascii="Book Antiqua" w:hAnsi="Book Antiqua"/>
          <w:sz w:val="20"/>
          <w:szCs w:val="20"/>
        </w:rPr>
        <w:t xml:space="preserve"> derogada la Ordenanza Metropolitana No. 009-2019, sancionada el 23 de diciembre de 2019.</w:t>
      </w:r>
    </w:p>
    <w:p w:rsidR="000E65BF" w:rsidRPr="003368BC" w:rsidRDefault="000E65BF" w:rsidP="000E65BF">
      <w:pPr>
        <w:jc w:val="both"/>
        <w:rPr>
          <w:rFonts w:ascii="Book Antiqua" w:hAnsi="Book Antiqua"/>
          <w:sz w:val="20"/>
          <w:szCs w:val="20"/>
        </w:rPr>
      </w:pPr>
      <w:r w:rsidRPr="003368BC">
        <w:rPr>
          <w:rFonts w:ascii="Book Antiqua" w:hAnsi="Book Antiqua"/>
          <w:b/>
          <w:sz w:val="20"/>
          <w:szCs w:val="20"/>
        </w:rPr>
        <w:t>Segunda. -</w:t>
      </w:r>
      <w:r w:rsidRPr="003368BC">
        <w:rPr>
          <w:rFonts w:ascii="Book Antiqua" w:hAnsi="Book Antiqua"/>
          <w:sz w:val="20"/>
          <w:szCs w:val="20"/>
        </w:rPr>
        <w:t xml:space="preserve"> Deróguense las disposiciones de igual o menor jerarquía que se opongan a la presente Ordenanza. </w:t>
      </w:r>
    </w:p>
    <w:p w:rsidR="000E65BF" w:rsidRPr="003368BC" w:rsidRDefault="000E65BF" w:rsidP="000E65BF">
      <w:pPr>
        <w:jc w:val="both"/>
        <w:rPr>
          <w:rFonts w:ascii="Book Antiqua" w:hAnsi="Book Antiqua"/>
          <w:sz w:val="20"/>
          <w:szCs w:val="20"/>
        </w:rPr>
      </w:pPr>
      <w:r w:rsidRPr="003368BC">
        <w:rPr>
          <w:rFonts w:ascii="Book Antiqua" w:hAnsi="Book Antiqua"/>
          <w:b/>
          <w:sz w:val="20"/>
          <w:szCs w:val="20"/>
        </w:rPr>
        <w:t>Disposición final.</w:t>
      </w:r>
      <w:r w:rsidRPr="003368BC">
        <w:rPr>
          <w:rFonts w:ascii="Book Antiqua" w:hAnsi="Book Antiqua"/>
          <w:sz w:val="20"/>
          <w:szCs w:val="20"/>
        </w:rPr>
        <w:t xml:space="preserve"> - La presente ordenanza entrará en vigencia </w:t>
      </w:r>
      <w:r>
        <w:rPr>
          <w:rFonts w:ascii="Book Antiqua" w:hAnsi="Book Antiqua"/>
          <w:sz w:val="20"/>
          <w:szCs w:val="20"/>
        </w:rPr>
        <w:t>con su publicación en el Registro Oficial, sin perjuicio de lo dispuesto en el artículo</w:t>
      </w:r>
      <w:r w:rsidRPr="003368BC">
        <w:rPr>
          <w:rFonts w:ascii="Book Antiqua" w:hAnsi="Book Antiqua"/>
          <w:sz w:val="20"/>
          <w:szCs w:val="20"/>
        </w:rPr>
        <w:t xml:space="preserve"> 11 del Código Orgánico Tributario.</w:t>
      </w:r>
    </w:p>
    <w:p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s="Book Antiqua"/>
          <w:bCs/>
          <w:sz w:val="20"/>
          <w:szCs w:val="20"/>
        </w:rPr>
        <w:t xml:space="preserve">Dada, en la sala de sesiones del Concejo Metropolitano de Quito, en el Distrito Metropolitano de Quito, </w:t>
      </w:r>
      <w:proofErr w:type="spellStart"/>
      <w:r w:rsidRPr="00CF0FD2">
        <w:rPr>
          <w:rFonts w:ascii="Book Antiqua" w:hAnsi="Book Antiqua" w:cs="Book Antiqua"/>
          <w:bCs/>
          <w:sz w:val="20"/>
          <w:szCs w:val="20"/>
        </w:rPr>
        <w:t>xxxxxxx</w:t>
      </w:r>
      <w:proofErr w:type="spellEnd"/>
    </w:p>
    <w:p w:rsidR="00132A25" w:rsidRDefault="00D05EFC"/>
    <w:sectPr w:rsidR="00132A25" w:rsidSect="00752CF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FC" w:rsidRDefault="00D05EFC">
      <w:pPr>
        <w:spacing w:after="0" w:line="240" w:lineRule="auto"/>
      </w:pPr>
      <w:r>
        <w:separator/>
      </w:r>
    </w:p>
  </w:endnote>
  <w:endnote w:type="continuationSeparator" w:id="0">
    <w:p w:rsidR="00D05EFC" w:rsidRDefault="00D0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2E" w:rsidRDefault="00D05E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80877"/>
      <w:docPartObj>
        <w:docPartGallery w:val="Page Numbers (Bottom of Page)"/>
        <w:docPartUnique/>
      </w:docPartObj>
    </w:sdtPr>
    <w:sdtEndPr/>
    <w:sdtContent>
      <w:sdt>
        <w:sdtPr>
          <w:id w:val="-1769616900"/>
          <w:docPartObj>
            <w:docPartGallery w:val="Page Numbers (Top of Page)"/>
            <w:docPartUnique/>
          </w:docPartObj>
        </w:sdtPr>
        <w:sdtEndPr/>
        <w:sdtContent>
          <w:p w:rsidR="004A0A1C" w:rsidRPr="00995058" w:rsidRDefault="000E65BF">
            <w:pPr>
              <w:pStyle w:val="Piedepgina"/>
              <w:jc w:val="right"/>
            </w:pPr>
            <w:r w:rsidRPr="00995058">
              <w:rPr>
                <w:lang w:val="es-ES"/>
              </w:rPr>
              <w:t xml:space="preserve">Página </w:t>
            </w:r>
            <w:r w:rsidRPr="00995058">
              <w:rPr>
                <w:b/>
                <w:bCs/>
              </w:rPr>
              <w:fldChar w:fldCharType="begin"/>
            </w:r>
            <w:r w:rsidRPr="00995058">
              <w:rPr>
                <w:b/>
                <w:bCs/>
              </w:rPr>
              <w:instrText>PAGE</w:instrText>
            </w:r>
            <w:r w:rsidRPr="00995058">
              <w:rPr>
                <w:b/>
                <w:bCs/>
              </w:rPr>
              <w:fldChar w:fldCharType="separate"/>
            </w:r>
            <w:r w:rsidR="00107321">
              <w:rPr>
                <w:b/>
                <w:bCs/>
                <w:noProof/>
              </w:rPr>
              <w:t>9</w:t>
            </w:r>
            <w:r w:rsidRPr="00995058">
              <w:rPr>
                <w:b/>
                <w:bCs/>
              </w:rPr>
              <w:fldChar w:fldCharType="end"/>
            </w:r>
            <w:r w:rsidRPr="00995058">
              <w:rPr>
                <w:lang w:val="es-ES"/>
              </w:rPr>
              <w:t xml:space="preserve"> de </w:t>
            </w:r>
            <w:r w:rsidRPr="00995058">
              <w:rPr>
                <w:b/>
                <w:bCs/>
              </w:rPr>
              <w:fldChar w:fldCharType="begin"/>
            </w:r>
            <w:r w:rsidRPr="00995058">
              <w:rPr>
                <w:b/>
                <w:bCs/>
              </w:rPr>
              <w:instrText>NUMPAGES</w:instrText>
            </w:r>
            <w:r w:rsidRPr="00995058">
              <w:rPr>
                <w:b/>
                <w:bCs/>
              </w:rPr>
              <w:fldChar w:fldCharType="separate"/>
            </w:r>
            <w:r w:rsidR="00107321">
              <w:rPr>
                <w:b/>
                <w:bCs/>
                <w:noProof/>
              </w:rPr>
              <w:t>9</w:t>
            </w:r>
            <w:r w:rsidRPr="00995058">
              <w:rPr>
                <w:b/>
                <w:bCs/>
              </w:rPr>
              <w:fldChar w:fldCharType="end"/>
            </w:r>
          </w:p>
        </w:sdtContent>
      </w:sdt>
    </w:sdtContent>
  </w:sdt>
  <w:p w:rsidR="000C53A2" w:rsidRDefault="00D05E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2E" w:rsidRDefault="00D05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FC" w:rsidRDefault="00D05EFC">
      <w:pPr>
        <w:spacing w:after="0" w:line="240" w:lineRule="auto"/>
      </w:pPr>
      <w:r>
        <w:separator/>
      </w:r>
    </w:p>
  </w:footnote>
  <w:footnote w:type="continuationSeparator" w:id="0">
    <w:p w:rsidR="00D05EFC" w:rsidRDefault="00D0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2E" w:rsidRDefault="00D05E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2E" w:rsidRDefault="00D05EF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2E" w:rsidRDefault="00D05E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464FB"/>
    <w:multiLevelType w:val="hybridMultilevel"/>
    <w:tmpl w:val="94C868A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F0F5EFF"/>
    <w:multiLevelType w:val="hybridMultilevel"/>
    <w:tmpl w:val="3D7E5F2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BF"/>
    <w:rsid w:val="000E65BF"/>
    <w:rsid w:val="00107321"/>
    <w:rsid w:val="00824F49"/>
    <w:rsid w:val="00844E5C"/>
    <w:rsid w:val="00AE51AB"/>
    <w:rsid w:val="00B25A3D"/>
    <w:rsid w:val="00BB3368"/>
    <w:rsid w:val="00C52009"/>
    <w:rsid w:val="00C61ED8"/>
    <w:rsid w:val="00C7542C"/>
    <w:rsid w:val="00D05EFC"/>
    <w:rsid w:val="00D45579"/>
    <w:rsid w:val="00E754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AD0"/>
  <w15:chartTrackingRefBased/>
  <w15:docId w15:val="{3FBB1251-7900-4075-A3DC-C5B68145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5BF"/>
    <w:pPr>
      <w:ind w:left="720"/>
      <w:contextualSpacing/>
    </w:pPr>
  </w:style>
  <w:style w:type="paragraph" w:styleId="Encabezado">
    <w:name w:val="header"/>
    <w:basedOn w:val="Normal"/>
    <w:link w:val="EncabezadoCar"/>
    <w:uiPriority w:val="99"/>
    <w:unhideWhenUsed/>
    <w:rsid w:val="000E6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5BF"/>
  </w:style>
  <w:style w:type="paragraph" w:styleId="Piedepgina">
    <w:name w:val="footer"/>
    <w:basedOn w:val="Normal"/>
    <w:link w:val="PiedepginaCar"/>
    <w:uiPriority w:val="99"/>
    <w:unhideWhenUsed/>
    <w:rsid w:val="000E6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8082">
      <w:bodyDiv w:val="1"/>
      <w:marLeft w:val="0"/>
      <w:marRight w:val="0"/>
      <w:marTop w:val="0"/>
      <w:marBottom w:val="0"/>
      <w:divBdr>
        <w:top w:val="none" w:sz="0" w:space="0" w:color="auto"/>
        <w:left w:val="none" w:sz="0" w:space="0" w:color="auto"/>
        <w:bottom w:val="none" w:sz="0" w:space="0" w:color="auto"/>
        <w:right w:val="none" w:sz="0" w:space="0" w:color="auto"/>
      </w:divBdr>
    </w:div>
    <w:div w:id="649096499">
      <w:bodyDiv w:val="1"/>
      <w:marLeft w:val="0"/>
      <w:marRight w:val="0"/>
      <w:marTop w:val="0"/>
      <w:marBottom w:val="0"/>
      <w:divBdr>
        <w:top w:val="none" w:sz="0" w:space="0" w:color="auto"/>
        <w:left w:val="none" w:sz="0" w:space="0" w:color="auto"/>
        <w:bottom w:val="none" w:sz="0" w:space="0" w:color="auto"/>
        <w:right w:val="none" w:sz="0" w:space="0" w:color="auto"/>
      </w:divBdr>
    </w:div>
    <w:div w:id="16991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onomipedia.com/definiciones/gasto-publico.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4165</Words>
  <Characters>22908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Mauricio Rodriguez Herrera</dc:creator>
  <cp:keywords/>
  <dc:description/>
  <cp:lastModifiedBy>Fabian Mauricio Rodriguez Herrera</cp:lastModifiedBy>
  <cp:revision>5</cp:revision>
  <dcterms:created xsi:type="dcterms:W3CDTF">2021-12-13T20:48:00Z</dcterms:created>
  <dcterms:modified xsi:type="dcterms:W3CDTF">2021-12-13T20:54:00Z</dcterms:modified>
</cp:coreProperties>
</file>