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C6E6" w14:textId="77777777" w:rsidR="003D0C45" w:rsidRPr="00602B45" w:rsidRDefault="003D0C45" w:rsidP="003D0C45">
      <w:pPr>
        <w:ind w:left="24" w:right="34" w:hanging="10"/>
        <w:jc w:val="center"/>
        <w:rPr>
          <w:rFonts w:ascii="Palatino Linotype" w:hAnsi="Palatino Linotype" w:cs="Arial"/>
          <w:b/>
        </w:rPr>
      </w:pPr>
      <w:r w:rsidRPr="00602B45">
        <w:rPr>
          <w:rFonts w:ascii="Palatino Linotype" w:hAnsi="Palatino Linotype" w:cs="Arial"/>
          <w:b/>
        </w:rPr>
        <w:t>EXPOSICIÓN DE MOTIVOS</w:t>
      </w:r>
    </w:p>
    <w:p w14:paraId="476C522F" w14:textId="77777777" w:rsidR="003D0C45" w:rsidRPr="00602B45" w:rsidRDefault="003D0C45" w:rsidP="003D0C45">
      <w:pPr>
        <w:ind w:right="34"/>
        <w:jc w:val="both"/>
        <w:rPr>
          <w:rFonts w:ascii="Palatino Linotype" w:hAnsi="Palatino Linotype" w:cs="Arial"/>
        </w:rPr>
      </w:pPr>
    </w:p>
    <w:p w14:paraId="1303C9DA" w14:textId="6065EE3F" w:rsidR="003D0C45" w:rsidRPr="00602B45" w:rsidRDefault="00FE79F1" w:rsidP="003D0C45">
      <w:pPr>
        <w:ind w:left="24" w:right="34" w:hanging="10"/>
        <w:jc w:val="both"/>
        <w:rPr>
          <w:rFonts w:ascii="Palatino Linotype" w:hAnsi="Palatino Linotype" w:cs="Arial"/>
        </w:rPr>
      </w:pPr>
      <w:r>
        <w:rPr>
          <w:rFonts w:ascii="Palatino Linotype" w:hAnsi="Palatino Linotype" w:cs="Arial"/>
        </w:rPr>
        <w:t>La</w:t>
      </w:r>
      <w:r w:rsidR="003D0C45" w:rsidRPr="00602B45">
        <w:rPr>
          <w:rFonts w:ascii="Palatino Linotype" w:hAnsi="Palatino Linotype" w:cs="Arial"/>
        </w:rPr>
        <w:t xml:space="preserve"> </w:t>
      </w:r>
      <w:r>
        <w:rPr>
          <w:rFonts w:ascii="Palatino Linotype" w:hAnsi="Palatino Linotype" w:cs="Arial"/>
        </w:rPr>
        <w:t>v</w:t>
      </w:r>
      <w:r w:rsidR="003D0C45" w:rsidRPr="00602B45">
        <w:rPr>
          <w:rFonts w:ascii="Palatino Linotype" w:hAnsi="Palatino Linotype" w:cs="Arial"/>
        </w:rPr>
        <w:t xml:space="preserve">ía </w:t>
      </w:r>
      <w:r w:rsidR="00BE6A21">
        <w:rPr>
          <w:rFonts w:ascii="Palatino Linotype" w:hAnsi="Palatino Linotype" w:cs="Arial"/>
        </w:rPr>
        <w:t>denominada</w:t>
      </w:r>
      <w:r w:rsidR="003D0C45" w:rsidRPr="00602B45">
        <w:rPr>
          <w:rFonts w:ascii="Palatino Linotype" w:hAnsi="Palatino Linotype" w:cs="Arial"/>
        </w:rPr>
        <w:t xml:space="preserve"> </w:t>
      </w:r>
      <w:r w:rsidRPr="003D0C45">
        <w:rPr>
          <w:rFonts w:ascii="Palatino Linotype" w:hAnsi="Palatino Linotype"/>
          <w:lang w:val="es-ES"/>
        </w:rPr>
        <w:t>«</w:t>
      </w:r>
      <w:r>
        <w:rPr>
          <w:rFonts w:ascii="Palatino Linotype" w:hAnsi="Palatino Linotype"/>
          <w:bCs/>
          <w:u w:val="single"/>
          <w:lang w:val="es-ES"/>
        </w:rPr>
        <w:t>Ruta Viva</w:t>
      </w:r>
      <w:r w:rsidRPr="003D0C45">
        <w:rPr>
          <w:rFonts w:ascii="Palatino Linotype" w:hAnsi="Palatino Linotype"/>
          <w:lang w:val="es-ES"/>
        </w:rPr>
        <w:t>»</w:t>
      </w:r>
      <w:r>
        <w:rPr>
          <w:rFonts w:ascii="Palatino Linotype" w:hAnsi="Palatino Linotype"/>
          <w:lang w:val="es-ES"/>
        </w:rPr>
        <w:t xml:space="preserve"> </w:t>
      </w:r>
      <w:r w:rsidR="003D0C45" w:rsidRPr="00602B45">
        <w:rPr>
          <w:rFonts w:ascii="Palatino Linotype" w:hAnsi="Palatino Linotype" w:cs="Arial"/>
        </w:rPr>
        <w:t>es una autopista expresa que forma parte del anillo vial urbano de conexión entre la ciudad de Quito, Tumbaco, el Aeropuerto Internacional de Quito y Calderón</w:t>
      </w:r>
      <w:r>
        <w:rPr>
          <w:rFonts w:ascii="Palatino Linotype" w:hAnsi="Palatino Linotype" w:cs="Arial"/>
        </w:rPr>
        <w:t xml:space="preserve">, constituyendo </w:t>
      </w:r>
      <w:r w:rsidR="003D0C45" w:rsidRPr="00602B45">
        <w:rPr>
          <w:rFonts w:ascii="Palatino Linotype" w:hAnsi="Palatino Linotype" w:cs="Arial"/>
        </w:rPr>
        <w:t>un importante eje de acceso desde y hacia la zona nororiental del Distrito Metropolitano de Quito</w:t>
      </w:r>
      <w:r>
        <w:rPr>
          <w:rFonts w:ascii="Palatino Linotype" w:hAnsi="Palatino Linotype" w:cs="Arial"/>
        </w:rPr>
        <w:t xml:space="preserve">. </w:t>
      </w:r>
    </w:p>
    <w:p w14:paraId="13636C71" w14:textId="77777777" w:rsidR="003D0C45" w:rsidRPr="00602B45" w:rsidRDefault="003D0C45" w:rsidP="003D0C45">
      <w:pPr>
        <w:ind w:left="24" w:right="34" w:hanging="10"/>
        <w:jc w:val="both"/>
        <w:rPr>
          <w:rFonts w:ascii="Palatino Linotype" w:hAnsi="Palatino Linotype" w:cs="Arial"/>
        </w:rPr>
      </w:pPr>
    </w:p>
    <w:p w14:paraId="6843E006" w14:textId="0FD9F0AF" w:rsidR="003D0C45" w:rsidRPr="00602B45" w:rsidRDefault="003D0C45" w:rsidP="003D0C45">
      <w:pPr>
        <w:ind w:left="24" w:right="34" w:hanging="10"/>
        <w:jc w:val="both"/>
        <w:rPr>
          <w:rFonts w:ascii="Palatino Linotype" w:hAnsi="Palatino Linotype" w:cs="Arial"/>
        </w:rPr>
      </w:pPr>
      <w:r w:rsidRPr="00602B45">
        <w:rPr>
          <w:rFonts w:ascii="Palatino Linotype" w:hAnsi="Palatino Linotype" w:cs="Arial"/>
        </w:rPr>
        <w:t xml:space="preserve">La vía se encuentra localizada en </w:t>
      </w:r>
      <w:r w:rsidR="00FE79F1">
        <w:rPr>
          <w:rFonts w:ascii="Palatino Linotype" w:hAnsi="Palatino Linotype" w:cs="Arial"/>
        </w:rPr>
        <w:t>el Distrito Metropolitano de Quito</w:t>
      </w:r>
      <w:r w:rsidRPr="00602B45">
        <w:rPr>
          <w:rFonts w:ascii="Palatino Linotype" w:hAnsi="Palatino Linotype" w:cs="Arial"/>
        </w:rPr>
        <w:t>, jurisdicción de las parroquias de Puembo, Cumbayá y Tumbaco. El Plan Maestro de Movilidad del Distrito Metropolitano de Quito para el año 2025, contempla un aumento en el número de desplazamientos motorizados desde los sectores de influencia hacia el hipercentro de Quito en un 48%, distribuyendo los viajes a realizarse en: Los Chillos 24.000 viajes, Tumbaco y Cumbayá 76.000 viajes y Nayón y Zámbiza 75.000 viajes, por lo que la vía Ruta Viva se convertirá en el modo de atracción de movilización de estos viajes</w:t>
      </w:r>
      <w:r w:rsidR="008B1279">
        <w:rPr>
          <w:rFonts w:ascii="Palatino Linotype" w:hAnsi="Palatino Linotype" w:cs="Arial"/>
        </w:rPr>
        <w:t xml:space="preserve">. </w:t>
      </w:r>
    </w:p>
    <w:p w14:paraId="6495504A" w14:textId="77777777" w:rsidR="003D0C45" w:rsidRPr="00602B45" w:rsidRDefault="003D0C45" w:rsidP="008B1279">
      <w:pPr>
        <w:ind w:right="34"/>
        <w:jc w:val="both"/>
        <w:rPr>
          <w:rFonts w:ascii="Palatino Linotype" w:hAnsi="Palatino Linotype" w:cs="Arial"/>
        </w:rPr>
      </w:pPr>
    </w:p>
    <w:p w14:paraId="4F361F4B" w14:textId="15933853" w:rsidR="003D0C45" w:rsidRDefault="003D0C45" w:rsidP="003D0C45">
      <w:pPr>
        <w:ind w:left="5" w:right="34"/>
        <w:jc w:val="both"/>
        <w:rPr>
          <w:rFonts w:ascii="Palatino Linotype" w:hAnsi="Palatino Linotype" w:cs="Arial"/>
        </w:rPr>
      </w:pPr>
      <w:r w:rsidRPr="00602B45">
        <w:rPr>
          <w:rFonts w:ascii="Palatino Linotype" w:hAnsi="Palatino Linotype" w:cs="Arial"/>
        </w:rPr>
        <w:t>En agosto de 2012</w:t>
      </w:r>
      <w:r w:rsidR="00602B45">
        <w:rPr>
          <w:rFonts w:ascii="Palatino Linotype" w:hAnsi="Palatino Linotype" w:cs="Arial"/>
        </w:rPr>
        <w:t>,</w:t>
      </w:r>
      <w:r w:rsidRPr="00602B45">
        <w:rPr>
          <w:rFonts w:ascii="Palatino Linotype" w:hAnsi="Palatino Linotype" w:cs="Arial"/>
        </w:rPr>
        <w:t xml:space="preserve"> se inició la construcción de la primera fase de Ruta Viva, la cual conecta la avenida Simón Bolívar con Lumbisí. La implementación de la Fase II comenzó en enero de 2013, inaugurándose la obra en su totalidad a finales del año 2014. La ruta se inicia en el Intercambiador denominado Auquitas, proyectado sobre la Av. Simón Bolívar, el sector de San Juan Bautista Alto. En ese sitio inicia el descenso de la ladera dirigiéndose hacia el valle de Cumbayá, pasando por el sector San Patricio, Urbanización La Primavera, cruza el río San Pedro en el sector denominado Rojas, posteriormente la vía Intervalles, continua su recorrido por la parte Sur de Tumbaco, atraviesa el sector de La Morita, el Arenal, cruza el río Chiche, y termina en el cruce con la vía Interoceánica en un sitio muy próximo a la población de Puembo.</w:t>
      </w:r>
    </w:p>
    <w:p w14:paraId="4BE495B4" w14:textId="1B4FF428" w:rsidR="008B1279" w:rsidRDefault="008B1279" w:rsidP="003D0C45">
      <w:pPr>
        <w:ind w:left="5" w:right="34"/>
        <w:jc w:val="both"/>
        <w:rPr>
          <w:rFonts w:ascii="Palatino Linotype" w:hAnsi="Palatino Linotype" w:cs="Arial"/>
        </w:rPr>
      </w:pPr>
    </w:p>
    <w:p w14:paraId="65566D3C" w14:textId="27D43BCC" w:rsidR="008B1279" w:rsidRPr="00602B45" w:rsidRDefault="008B1279" w:rsidP="003D0C45">
      <w:pPr>
        <w:ind w:left="5" w:right="34"/>
        <w:jc w:val="both"/>
        <w:rPr>
          <w:rFonts w:ascii="Palatino Linotype" w:hAnsi="Palatino Linotype" w:cs="Arial"/>
        </w:rPr>
      </w:pPr>
      <w:r>
        <w:rPr>
          <w:rFonts w:ascii="Palatino Linotype" w:hAnsi="Palatino Linotype" w:cs="Arial"/>
        </w:rPr>
        <w:t xml:space="preserve">Por medio de la Ordenanza Metropolitana Nro. 198, </w:t>
      </w:r>
      <w:r w:rsidRPr="003D0C45">
        <w:rPr>
          <w:rFonts w:ascii="Palatino Linotype" w:eastAsia="Arial" w:hAnsi="Palatino Linotype" w:cs="Arial"/>
          <w:lang w:val="es-ES"/>
        </w:rPr>
        <w:t>de 22 de diciembre de 2017</w:t>
      </w:r>
      <w:r>
        <w:rPr>
          <w:rFonts w:ascii="Palatino Linotype" w:hAnsi="Palatino Linotype" w:cs="Arial"/>
        </w:rPr>
        <w:t xml:space="preserve">, se estableció, en una de sus disposiciones, el pago de una contribución especial de mejoras por una parte del costo de la Ruta Viva, siendo necesario efectuar una modificación en el ámbito de la norma que se refiera a la totalidad del costo de conformidad con el régimen jurídico aplicable, en especial, el art. 569 del Código Orgánico de Organización Territorial, Autónomía y Descentralización. </w:t>
      </w:r>
    </w:p>
    <w:p w14:paraId="033C5C20" w14:textId="6A5BD7D8" w:rsidR="00B73B1D" w:rsidRDefault="00B73B1D" w:rsidP="001322D2">
      <w:pPr>
        <w:ind w:right="34"/>
        <w:rPr>
          <w:rFonts w:ascii="Palatino Linotype" w:eastAsia="Arial" w:hAnsi="Palatino Linotype" w:cs="Arial"/>
          <w:b/>
          <w:lang w:val="es-ES"/>
        </w:rPr>
      </w:pPr>
    </w:p>
    <w:p w14:paraId="60745A59" w14:textId="6ABB0336" w:rsidR="006569B6" w:rsidRDefault="006569B6">
      <w:pPr>
        <w:spacing w:after="141" w:line="261" w:lineRule="auto"/>
        <w:ind w:left="10" w:hanging="5"/>
        <w:jc w:val="both"/>
        <w:rPr>
          <w:rFonts w:ascii="Palatino Linotype" w:eastAsia="Arial" w:hAnsi="Palatino Linotype" w:cs="Arial"/>
          <w:b/>
          <w:lang w:val="es-ES"/>
        </w:rPr>
      </w:pPr>
      <w:r>
        <w:rPr>
          <w:rFonts w:ascii="Palatino Linotype" w:eastAsia="Arial" w:hAnsi="Palatino Linotype" w:cs="Arial"/>
          <w:b/>
          <w:lang w:val="es-ES"/>
        </w:rPr>
        <w:br w:type="page"/>
      </w:r>
    </w:p>
    <w:p w14:paraId="23772AA0" w14:textId="77777777" w:rsidR="006569B6" w:rsidRPr="003D0C45" w:rsidRDefault="006569B6" w:rsidP="001322D2">
      <w:pPr>
        <w:ind w:right="34"/>
        <w:rPr>
          <w:rFonts w:ascii="Palatino Linotype" w:eastAsia="Arial" w:hAnsi="Palatino Linotype" w:cs="Arial"/>
          <w:b/>
          <w:lang w:val="es-ES"/>
        </w:rPr>
      </w:pPr>
    </w:p>
    <w:p w14:paraId="00000001" w14:textId="1D663CED" w:rsidR="0080799E" w:rsidRPr="003D0C45" w:rsidRDefault="00B13419" w:rsidP="00B37F55">
      <w:pPr>
        <w:ind w:left="24" w:right="34" w:hanging="10"/>
        <w:jc w:val="center"/>
        <w:rPr>
          <w:rFonts w:ascii="Palatino Linotype" w:eastAsia="Arial" w:hAnsi="Palatino Linotype" w:cs="Arial"/>
          <w:b/>
          <w:lang w:val="es-ES"/>
        </w:rPr>
      </w:pPr>
      <w:r w:rsidRPr="003D0C45">
        <w:rPr>
          <w:rFonts w:ascii="Palatino Linotype" w:eastAsia="Arial" w:hAnsi="Palatino Linotype" w:cs="Arial"/>
          <w:b/>
          <w:lang w:val="es-ES"/>
        </w:rPr>
        <w:t>EL CONCEJO METROPOLITANO DE QUITO</w:t>
      </w:r>
    </w:p>
    <w:p w14:paraId="00000002" w14:textId="77777777" w:rsidR="0080799E" w:rsidRPr="003D0C45" w:rsidRDefault="0080799E" w:rsidP="003D0C45">
      <w:pPr>
        <w:ind w:left="33" w:right="28" w:firstLine="5"/>
        <w:jc w:val="center"/>
        <w:rPr>
          <w:rFonts w:ascii="Palatino Linotype" w:eastAsia="Arial" w:hAnsi="Palatino Linotype" w:cs="Arial"/>
          <w:lang w:val="es-ES"/>
        </w:rPr>
      </w:pPr>
    </w:p>
    <w:p w14:paraId="00000003" w14:textId="1A94E8CD" w:rsidR="0080799E" w:rsidRPr="003D0C45" w:rsidRDefault="00B13419" w:rsidP="003D0C45">
      <w:pPr>
        <w:ind w:left="33" w:right="28" w:firstLine="5"/>
        <w:jc w:val="both"/>
        <w:rPr>
          <w:rFonts w:ascii="Palatino Linotype" w:eastAsia="Arial" w:hAnsi="Palatino Linotype" w:cs="Arial"/>
          <w:lang w:val="es-ES"/>
        </w:rPr>
      </w:pPr>
      <w:r w:rsidRPr="003D0C45">
        <w:rPr>
          <w:rFonts w:ascii="Palatino Linotype" w:eastAsia="Arial" w:hAnsi="Palatino Linotype" w:cs="Arial"/>
          <w:lang w:val="es-ES"/>
        </w:rPr>
        <w:t xml:space="preserve">Visto el Informe </w:t>
      </w:r>
      <w:r w:rsidR="006569B6">
        <w:rPr>
          <w:rFonts w:ascii="Palatino Linotype" w:eastAsia="Arial" w:hAnsi="Palatino Linotype" w:cs="Arial"/>
          <w:lang w:val="es-ES"/>
        </w:rPr>
        <w:t>Nro. […]</w:t>
      </w:r>
      <w:r w:rsidRPr="003D0C45">
        <w:rPr>
          <w:rFonts w:ascii="Palatino Linotype" w:eastAsia="Arial" w:hAnsi="Palatino Linotype" w:cs="Arial"/>
          <w:lang w:val="es-ES"/>
        </w:rPr>
        <w:t>.</w:t>
      </w:r>
    </w:p>
    <w:p w14:paraId="62DDD34B" w14:textId="77777777" w:rsidR="007A1ADF" w:rsidRPr="003D0C45" w:rsidRDefault="007A1ADF" w:rsidP="001322D2">
      <w:pPr>
        <w:ind w:right="28"/>
        <w:rPr>
          <w:rFonts w:ascii="Palatino Linotype" w:eastAsia="Arial" w:hAnsi="Palatino Linotype" w:cs="Arial"/>
          <w:lang w:val="es-ES"/>
        </w:rPr>
      </w:pPr>
    </w:p>
    <w:p w14:paraId="00000005" w14:textId="77777777" w:rsidR="0080799E" w:rsidRPr="003D0C45" w:rsidRDefault="00B13419" w:rsidP="00B37F55">
      <w:pPr>
        <w:ind w:left="24" w:hanging="10"/>
        <w:jc w:val="center"/>
        <w:rPr>
          <w:rFonts w:ascii="Palatino Linotype" w:eastAsia="Arial" w:hAnsi="Palatino Linotype" w:cs="Arial"/>
          <w:b/>
          <w:lang w:val="es-ES"/>
        </w:rPr>
      </w:pPr>
      <w:r w:rsidRPr="003D0C45">
        <w:rPr>
          <w:rFonts w:ascii="Palatino Linotype" w:eastAsia="Arial" w:hAnsi="Palatino Linotype" w:cs="Arial"/>
          <w:b/>
          <w:lang w:val="es-ES"/>
        </w:rPr>
        <w:t>CONSIDERANDO:</w:t>
      </w:r>
    </w:p>
    <w:p w14:paraId="00000006" w14:textId="77777777" w:rsidR="0080799E" w:rsidRPr="003D0C45" w:rsidRDefault="0080799E" w:rsidP="003D0C45">
      <w:pPr>
        <w:ind w:left="24" w:hanging="10"/>
        <w:jc w:val="both"/>
        <w:rPr>
          <w:rFonts w:ascii="Palatino Linotype" w:eastAsia="Arial" w:hAnsi="Palatino Linotype" w:cs="Arial"/>
          <w:lang w:val="es-ES"/>
        </w:rPr>
      </w:pPr>
    </w:p>
    <w:p w14:paraId="18FC6542" w14:textId="4DA4E4B3" w:rsidR="00AA5A9E" w:rsidRPr="003D0C45" w:rsidRDefault="00AA5A9E" w:rsidP="003D0C45">
      <w:pPr>
        <w:ind w:left="700" w:hanging="700"/>
        <w:jc w:val="both"/>
        <w:rPr>
          <w:rFonts w:ascii="Palatino Linotype" w:hAnsi="Palatino Linotype"/>
          <w:lang w:val="es-ES"/>
        </w:rPr>
      </w:pPr>
      <w:r w:rsidRPr="003D0C45">
        <w:rPr>
          <w:rFonts w:ascii="Palatino Linotype" w:hAnsi="Palatino Linotype"/>
          <w:b/>
          <w:bCs/>
          <w:lang w:val="es-ES"/>
        </w:rPr>
        <w:t>Que,</w:t>
      </w:r>
      <w:r w:rsidRPr="003D0C45">
        <w:rPr>
          <w:rFonts w:ascii="Palatino Linotype" w:hAnsi="Palatino Linotype"/>
          <w:b/>
          <w:bCs/>
          <w:lang w:val="es-ES"/>
        </w:rPr>
        <w:tab/>
      </w:r>
      <w:r w:rsidRPr="003D0C45">
        <w:rPr>
          <w:rFonts w:ascii="Palatino Linotype" w:hAnsi="Palatino Linotype"/>
          <w:lang w:val="es-ES"/>
        </w:rPr>
        <w:t xml:space="preserve">el art. 240 de la Constitución de la República </w:t>
      </w:r>
      <w:r w:rsidRPr="003D0C45">
        <w:rPr>
          <w:rFonts w:ascii="Palatino Linotype" w:hAnsi="Palatino Linotype"/>
          <w:bCs/>
          <w:lang w:val="es-ES"/>
        </w:rPr>
        <w:t xml:space="preserve">(la </w:t>
      </w:r>
      <w:r w:rsidRPr="003D0C45">
        <w:rPr>
          <w:rFonts w:ascii="Palatino Linotype" w:hAnsi="Palatino Linotype"/>
          <w:lang w:val="es-ES"/>
        </w:rPr>
        <w:t>«</w:t>
      </w:r>
      <w:r w:rsidRPr="003D0C45">
        <w:rPr>
          <w:rFonts w:ascii="Palatino Linotype" w:hAnsi="Palatino Linotype"/>
          <w:bCs/>
          <w:u w:val="single"/>
          <w:lang w:val="es-ES"/>
        </w:rPr>
        <w:t>Constitución</w:t>
      </w:r>
      <w:r w:rsidRPr="003D0C45">
        <w:rPr>
          <w:rFonts w:ascii="Palatino Linotype" w:hAnsi="Palatino Linotype"/>
          <w:lang w:val="es-ES"/>
        </w:rPr>
        <w:t>»</w:t>
      </w:r>
      <w:r w:rsidRPr="003D0C45">
        <w:rPr>
          <w:rFonts w:ascii="Palatino Linotype" w:hAnsi="Palatino Linotype"/>
          <w:bCs/>
          <w:lang w:val="es-ES"/>
        </w:rPr>
        <w:t xml:space="preserve">) reconoce facultades legislativas a los gobiernos autónomos </w:t>
      </w:r>
      <w:r w:rsidRPr="003D0C45">
        <w:rPr>
          <w:rFonts w:ascii="Palatino Linotype" w:hAnsi="Palatino Linotype" w:cs="Arial"/>
          <w:color w:val="000000"/>
          <w:shd w:val="clear" w:color="auto" w:fill="FFFFFF"/>
          <w:lang w:val="es-ES"/>
        </w:rPr>
        <w:t>descentralizados de las regiones, distritos metropolitanos, provincias y cantones el ámbito de sus competencias y jurisdicciones territoriales;</w:t>
      </w:r>
    </w:p>
    <w:p w14:paraId="7A78E028" w14:textId="77777777" w:rsidR="00AA5A9E" w:rsidRPr="003D0C45" w:rsidRDefault="00AA5A9E" w:rsidP="003D0C45">
      <w:pPr>
        <w:jc w:val="both"/>
        <w:rPr>
          <w:rFonts w:ascii="Palatino Linotype" w:hAnsi="Palatino Linotype"/>
          <w:b/>
          <w:bCs/>
          <w:lang w:val="es-ES"/>
        </w:rPr>
      </w:pPr>
    </w:p>
    <w:p w14:paraId="14CD6FF6" w14:textId="444D9D7F" w:rsidR="00AA5A9E" w:rsidRPr="003D0C45" w:rsidRDefault="00AA5A9E" w:rsidP="003D0C45">
      <w:pPr>
        <w:ind w:left="700" w:hanging="700"/>
        <w:jc w:val="both"/>
        <w:rPr>
          <w:rFonts w:ascii="Palatino Linotype" w:hAnsi="Palatino Linotype"/>
          <w:lang w:val="es-ES"/>
        </w:rPr>
      </w:pPr>
      <w:r w:rsidRPr="003D0C45">
        <w:rPr>
          <w:rFonts w:ascii="Palatino Linotype" w:hAnsi="Palatino Linotype"/>
          <w:b/>
          <w:bCs/>
          <w:lang w:val="es-ES"/>
        </w:rPr>
        <w:t xml:space="preserve">Que, </w:t>
      </w:r>
      <w:r w:rsidRPr="003D0C45">
        <w:rPr>
          <w:rFonts w:ascii="Palatino Linotype" w:hAnsi="Palatino Linotype"/>
          <w:b/>
          <w:bCs/>
          <w:lang w:val="es-ES"/>
        </w:rPr>
        <w:tab/>
      </w:r>
      <w:r w:rsidRPr="003D0C45">
        <w:rPr>
          <w:rFonts w:ascii="Palatino Linotype" w:hAnsi="Palatino Linotype"/>
          <w:lang w:val="es-ES"/>
        </w:rPr>
        <w:t xml:space="preserve">según lo dispuesto por el art. 266, en concordancia con el art. 264, núm. 5 de la Constitución, y los arts. 85 y 55 letra e) </w:t>
      </w:r>
      <w:r w:rsidRPr="003D0C45">
        <w:rPr>
          <w:rFonts w:ascii="Palatino Linotype" w:hAnsi="Palatino Linotype"/>
          <w:bCs/>
          <w:lang w:val="es-ES"/>
        </w:rPr>
        <w:t>del Código Orgánico de Organización Territorial Autonomía y Descentralización (</w:t>
      </w:r>
      <w:r w:rsidRPr="003D0C45">
        <w:rPr>
          <w:rFonts w:ascii="Palatino Linotype" w:hAnsi="Palatino Linotype"/>
          <w:lang w:val="es-ES"/>
        </w:rPr>
        <w:t>«</w:t>
      </w:r>
      <w:r w:rsidRPr="003D0C45">
        <w:rPr>
          <w:rFonts w:ascii="Palatino Linotype" w:hAnsi="Palatino Linotype"/>
          <w:bCs/>
          <w:u w:val="single"/>
          <w:lang w:val="es-ES"/>
        </w:rPr>
        <w:t>COOTAD</w:t>
      </w:r>
      <w:r w:rsidRPr="003D0C45">
        <w:rPr>
          <w:rFonts w:ascii="Palatino Linotype" w:hAnsi="Palatino Linotype"/>
          <w:lang w:val="es-ES"/>
        </w:rPr>
        <w:t>»</w:t>
      </w:r>
      <w:r w:rsidRPr="003D0C45">
        <w:rPr>
          <w:rFonts w:ascii="Palatino Linotype" w:hAnsi="Palatino Linotype"/>
          <w:bCs/>
          <w:lang w:val="es-ES"/>
        </w:rPr>
        <w:t>),</w:t>
      </w:r>
      <w:r w:rsidRPr="003D0C45">
        <w:rPr>
          <w:rFonts w:ascii="Palatino Linotype" w:hAnsi="Palatino Linotype"/>
          <w:lang w:val="es-ES"/>
        </w:rPr>
        <w:t xml:space="preserve"> es competencia de los gobiernos de los distritos metropolitanos autónomos crear, modificar o suprimir mediante ordenanzas tasas, tarifas y contribuciones especiales de mejoras; </w:t>
      </w:r>
    </w:p>
    <w:p w14:paraId="77E10E6F" w14:textId="2F69FA96" w:rsidR="00AA5A9E" w:rsidRPr="003D0C45" w:rsidRDefault="00AA5A9E" w:rsidP="00B37F55">
      <w:pPr>
        <w:ind w:left="705" w:right="28" w:hanging="705"/>
        <w:jc w:val="both"/>
        <w:rPr>
          <w:rFonts w:ascii="Palatino Linotype" w:eastAsia="Arial" w:hAnsi="Palatino Linotype" w:cs="Arial"/>
          <w:lang w:val="es-ES"/>
        </w:rPr>
      </w:pPr>
    </w:p>
    <w:p w14:paraId="0FBF1673" w14:textId="77155350" w:rsidR="00DE4506" w:rsidRPr="003D0C45" w:rsidRDefault="00DE4506" w:rsidP="00B37F55">
      <w:pPr>
        <w:ind w:left="705" w:right="28" w:hanging="705"/>
        <w:jc w:val="both"/>
        <w:rPr>
          <w:rFonts w:ascii="Palatino Linotype" w:eastAsia="Arial" w:hAnsi="Palatino Linotype" w:cs="Arial"/>
          <w:lang w:val="es-ES"/>
        </w:rPr>
      </w:pPr>
      <w:r w:rsidRPr="003D0C45">
        <w:rPr>
          <w:rFonts w:ascii="Palatino Linotype" w:eastAsia="Arial" w:hAnsi="Palatino Linotype" w:cs="Arial"/>
          <w:b/>
          <w:bCs/>
          <w:lang w:val="es-ES"/>
        </w:rPr>
        <w:t>Que,</w:t>
      </w:r>
      <w:r w:rsidRPr="003D0C45">
        <w:rPr>
          <w:rFonts w:ascii="Palatino Linotype" w:eastAsia="Arial" w:hAnsi="Palatino Linotype" w:cs="Arial"/>
          <w:lang w:val="es-ES"/>
        </w:rPr>
        <w:tab/>
        <w:t xml:space="preserve">de conformidad con el art. 87 letra c) del COOTAD, es atribución de los concejos metropolitanos la creación, </w:t>
      </w:r>
      <w:r w:rsidR="00801913" w:rsidRPr="00801913">
        <w:rPr>
          <w:rFonts w:ascii="Palatino Linotype" w:eastAsia="Arial" w:hAnsi="Palatino Linotype" w:cs="Arial"/>
          <w:lang w:val="es-ES"/>
        </w:rPr>
        <w:t>modificación</w:t>
      </w:r>
      <w:r w:rsidRPr="003D0C45">
        <w:rPr>
          <w:rFonts w:ascii="Palatino Linotype" w:eastAsia="Arial" w:hAnsi="Palatino Linotype" w:cs="Arial"/>
          <w:lang w:val="es-ES"/>
        </w:rPr>
        <w:t xml:space="preserve"> o extinción de tasas y contribuciones especiales por los servicios que presta y obras que ejecuta; </w:t>
      </w:r>
    </w:p>
    <w:p w14:paraId="561F25F9" w14:textId="3CDF22D5" w:rsidR="00D26735" w:rsidRDefault="00D26735" w:rsidP="00D26735">
      <w:pPr>
        <w:ind w:right="28"/>
        <w:jc w:val="both"/>
        <w:rPr>
          <w:rFonts w:ascii="Palatino Linotype" w:eastAsia="Arial" w:hAnsi="Palatino Linotype" w:cs="Arial"/>
          <w:lang w:val="es-ES"/>
        </w:rPr>
      </w:pPr>
    </w:p>
    <w:p w14:paraId="275538A5" w14:textId="631522A6" w:rsidR="00D26735" w:rsidRPr="003D0C45" w:rsidRDefault="00D26735" w:rsidP="00DE4506">
      <w:pPr>
        <w:ind w:left="705" w:right="28" w:hanging="705"/>
        <w:jc w:val="both"/>
        <w:rPr>
          <w:rFonts w:ascii="Palatino Linotype" w:eastAsia="Arial" w:hAnsi="Palatino Linotype" w:cs="Arial"/>
          <w:lang w:val="es-ES"/>
        </w:rPr>
      </w:pPr>
      <w:r w:rsidRPr="00D26735">
        <w:rPr>
          <w:rFonts w:ascii="Palatino Linotype" w:eastAsia="Arial" w:hAnsi="Palatino Linotype" w:cs="Arial"/>
          <w:b/>
          <w:lang w:val="es-ES"/>
        </w:rPr>
        <w:t>Que</w:t>
      </w:r>
      <w:r w:rsidRPr="00D26735">
        <w:rPr>
          <w:rFonts w:ascii="Palatino Linotype" w:eastAsia="Arial" w:hAnsi="Palatino Linotype" w:cs="Arial"/>
          <w:lang w:val="es-ES"/>
        </w:rPr>
        <w:t>, e</w:t>
      </w:r>
      <w:r>
        <w:rPr>
          <w:rFonts w:ascii="Palatino Linotype" w:eastAsia="Arial" w:hAnsi="Palatino Linotype" w:cs="Arial"/>
          <w:lang w:val="es-ES"/>
        </w:rPr>
        <w:t>l art. 186 del COOTAD determina</w:t>
      </w:r>
      <w:r w:rsidRPr="00D26735">
        <w:rPr>
          <w:rFonts w:ascii="Palatino Linotype" w:eastAsia="Arial" w:hAnsi="Palatino Linotype" w:cs="Arial"/>
          <w:lang w:val="es-ES"/>
        </w:rPr>
        <w:t xml:space="preserve"> que los gobiernos autónomos municipales y distritos metropolitanos podrán crear, modificar o supri</w:t>
      </w:r>
      <w:r>
        <w:rPr>
          <w:rFonts w:ascii="Palatino Linotype" w:eastAsia="Arial" w:hAnsi="Palatino Linotype" w:cs="Arial"/>
          <w:lang w:val="es-ES"/>
        </w:rPr>
        <w:t>mir mediante normas distritales</w:t>
      </w:r>
      <w:r w:rsidRPr="00D26735">
        <w:rPr>
          <w:rFonts w:ascii="Palatino Linotype" w:eastAsia="Arial" w:hAnsi="Palatino Linotype" w:cs="Arial"/>
          <w:lang w:val="es-ES"/>
        </w:rPr>
        <w:t>, tasas y contribuciones especiales de mejoras generales o específicas por los servicios que son de su responsabilidad y por las obras que se ejecuten dentro del ámbito de sus competencias y circunscripción territorial. En concordancia, el art. 492 ibídem, faculta a los municipios y distritos metropolitanos, la reglamentación del cobro de sus tributos por medio de ordenanzas</w:t>
      </w:r>
    </w:p>
    <w:p w14:paraId="00000016" w14:textId="77777777" w:rsidR="0080799E" w:rsidRPr="003D0C45" w:rsidRDefault="0080799E" w:rsidP="008B1279">
      <w:pPr>
        <w:ind w:right="28"/>
        <w:jc w:val="both"/>
        <w:rPr>
          <w:rFonts w:ascii="Palatino Linotype" w:eastAsia="Arial" w:hAnsi="Palatino Linotype" w:cs="Arial"/>
          <w:lang w:val="es-ES"/>
        </w:rPr>
      </w:pPr>
    </w:p>
    <w:p w14:paraId="441DEFB1" w14:textId="1661F16D" w:rsidR="00BE6A21" w:rsidRDefault="00B13419" w:rsidP="00B37F55">
      <w:pPr>
        <w:ind w:left="708" w:right="28" w:hanging="680"/>
        <w:jc w:val="both"/>
        <w:rPr>
          <w:rFonts w:ascii="Palatino Linotype" w:eastAsia="Arial" w:hAnsi="Palatino Linotype" w:cs="Arial"/>
          <w:lang w:val="es-ES"/>
        </w:rPr>
      </w:pPr>
      <w:bookmarkStart w:id="0" w:name="_gjdgxs" w:colFirst="0" w:colLast="0"/>
      <w:bookmarkEnd w:id="0"/>
      <w:r w:rsidRPr="003D0C45">
        <w:rPr>
          <w:rFonts w:ascii="Palatino Linotype" w:eastAsia="Arial" w:hAnsi="Palatino Linotype" w:cs="Arial"/>
          <w:b/>
          <w:bCs/>
          <w:lang w:val="es-ES"/>
        </w:rPr>
        <w:t>Que,</w:t>
      </w:r>
      <w:r w:rsidRPr="003D0C45">
        <w:rPr>
          <w:rFonts w:ascii="Palatino Linotype" w:eastAsia="Arial" w:hAnsi="Palatino Linotype" w:cs="Arial"/>
          <w:lang w:val="es-ES"/>
        </w:rPr>
        <w:t xml:space="preserve"> </w:t>
      </w:r>
      <w:r w:rsidRPr="003D0C45">
        <w:rPr>
          <w:rFonts w:ascii="Palatino Linotype" w:eastAsia="Arial" w:hAnsi="Palatino Linotype" w:cs="Arial"/>
          <w:lang w:val="es-ES"/>
        </w:rPr>
        <w:tab/>
      </w:r>
      <w:r w:rsidR="00BE6A21">
        <w:rPr>
          <w:rFonts w:ascii="Palatino Linotype" w:eastAsia="Arial" w:hAnsi="Palatino Linotype" w:cs="Arial"/>
          <w:lang w:val="es-ES"/>
        </w:rPr>
        <w:t>según el art. 569 del COOTAD, el objeto de la contribución especial de mejoras es el beneficio real o presuntivo proporcionado a las propiedades inmuebles por la construcción de cualquier obra pública municipal o metropolitana</w:t>
      </w:r>
      <w:r w:rsidR="00405B2D">
        <w:rPr>
          <w:rFonts w:ascii="Palatino Linotype" w:eastAsia="Arial" w:hAnsi="Palatino Linotype" w:cs="Arial"/>
          <w:lang w:val="es-ES"/>
        </w:rPr>
        <w:t xml:space="preserve">; </w:t>
      </w:r>
    </w:p>
    <w:p w14:paraId="46779FAA" w14:textId="76351804" w:rsidR="00405B2D" w:rsidRDefault="00405B2D" w:rsidP="00B37F55">
      <w:pPr>
        <w:ind w:left="708" w:right="28" w:hanging="680"/>
        <w:jc w:val="both"/>
        <w:rPr>
          <w:rFonts w:ascii="Palatino Linotype" w:eastAsia="Arial" w:hAnsi="Palatino Linotype" w:cs="Arial"/>
          <w:lang w:val="es-ES"/>
        </w:rPr>
      </w:pPr>
    </w:p>
    <w:p w14:paraId="6446D0C3" w14:textId="6F6FC8A6" w:rsidR="00405B2D"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Pr>
          <w:rFonts w:ascii="Palatino Linotype" w:eastAsia="Arial" w:hAnsi="Palatino Linotype" w:cs="Arial"/>
          <w:lang w:val="es-ES"/>
        </w:rPr>
        <w:tab/>
        <w:t xml:space="preserve">de acuerdo con el art. 572 del COOTAD, la construcción de vías conectoras y avenidas principales genera contribución por mejoras para el conjunto de la zona o de la ciudad, según el caso. En complemento, el </w:t>
      </w:r>
      <w:r>
        <w:rPr>
          <w:rFonts w:ascii="Palatino Linotype" w:eastAsia="Arial" w:hAnsi="Palatino Linotype" w:cs="Arial"/>
          <w:lang w:val="es-ES"/>
        </w:rPr>
        <w:lastRenderedPageBreak/>
        <w:t xml:space="preserve">art. 575 </w:t>
      </w:r>
      <w:r w:rsidRPr="00405B2D">
        <w:rPr>
          <w:rFonts w:ascii="Palatino Linotype" w:eastAsia="Arial" w:hAnsi="Palatino Linotype" w:cs="Arial"/>
          <w:i/>
          <w:iCs/>
          <w:lang w:val="es-ES"/>
        </w:rPr>
        <w:t>ibídem</w:t>
      </w:r>
      <w:r>
        <w:rPr>
          <w:rFonts w:ascii="Palatino Linotype" w:eastAsia="Arial" w:hAnsi="Palatino Linotype" w:cs="Arial"/>
          <w:lang w:val="es-ES"/>
        </w:rPr>
        <w:t xml:space="preserve">, determina que son sujetos pasivos de contribuciones especiales, los propietarios de inmuebles beneficiados por la ejecución de la obra pública, </w:t>
      </w:r>
    </w:p>
    <w:p w14:paraId="2E7184D6" w14:textId="5401DB62" w:rsidR="00405B2D" w:rsidRDefault="00405B2D" w:rsidP="00405B2D">
      <w:pPr>
        <w:ind w:left="708" w:right="28" w:hanging="680"/>
        <w:jc w:val="both"/>
        <w:rPr>
          <w:rFonts w:ascii="Palatino Linotype" w:eastAsia="Arial" w:hAnsi="Palatino Linotype" w:cs="Arial"/>
          <w:lang w:val="es-ES"/>
        </w:rPr>
      </w:pPr>
    </w:p>
    <w:p w14:paraId="7DA18739" w14:textId="77777777" w:rsidR="00405B2D"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Pr>
          <w:rFonts w:ascii="Palatino Linotype" w:eastAsia="Arial" w:hAnsi="Palatino Linotype" w:cs="Arial"/>
          <w:lang w:val="es-ES"/>
        </w:rPr>
        <w:tab/>
        <w:t xml:space="preserve">los art. 578, 591 y 592 del COOTAD, se refieren en específico a la base de la contribución especial, su determinación y cobro por parte de las municipalidades y distritos metropolitanos, según el caso; </w:t>
      </w:r>
    </w:p>
    <w:p w14:paraId="42A395E4" w14:textId="77777777" w:rsidR="00405B2D" w:rsidRDefault="00405B2D" w:rsidP="00405B2D">
      <w:pPr>
        <w:ind w:left="708" w:right="28" w:hanging="680"/>
        <w:jc w:val="both"/>
        <w:rPr>
          <w:rFonts w:ascii="Palatino Linotype" w:eastAsia="Arial" w:hAnsi="Palatino Linotype" w:cs="Arial"/>
          <w:lang w:val="es-ES"/>
        </w:rPr>
      </w:pPr>
    </w:p>
    <w:p w14:paraId="1D1CD32D" w14:textId="42EF613B" w:rsidR="00613CB7" w:rsidRPr="003D0C45" w:rsidRDefault="00405B2D" w:rsidP="00405B2D">
      <w:pPr>
        <w:ind w:left="708" w:right="28" w:hanging="680"/>
        <w:jc w:val="both"/>
        <w:rPr>
          <w:rFonts w:ascii="Palatino Linotype" w:eastAsia="Arial" w:hAnsi="Palatino Linotype" w:cs="Arial"/>
          <w:lang w:val="es-ES"/>
        </w:rPr>
      </w:pPr>
      <w:r w:rsidRPr="00405B2D">
        <w:rPr>
          <w:rFonts w:ascii="Palatino Linotype" w:eastAsia="Arial" w:hAnsi="Palatino Linotype" w:cs="Arial"/>
          <w:b/>
          <w:bCs/>
          <w:lang w:val="es-ES"/>
        </w:rPr>
        <w:t>Que,</w:t>
      </w:r>
      <w:r>
        <w:rPr>
          <w:rFonts w:ascii="Palatino Linotype" w:eastAsia="Arial" w:hAnsi="Palatino Linotype" w:cs="Arial"/>
          <w:lang w:val="es-ES"/>
        </w:rPr>
        <w:t xml:space="preserve"> </w:t>
      </w:r>
      <w:r w:rsidR="00B13419" w:rsidRPr="003D0C45">
        <w:rPr>
          <w:rFonts w:ascii="Palatino Linotype" w:eastAsia="Arial" w:hAnsi="Palatino Linotype" w:cs="Arial"/>
          <w:lang w:val="es-ES"/>
        </w:rPr>
        <w:t>la vía denominada Ruta Viva</w:t>
      </w:r>
      <w:r w:rsidR="00803667" w:rsidRPr="003D0C45">
        <w:rPr>
          <w:rFonts w:ascii="Palatino Linotype" w:eastAsia="Arial" w:hAnsi="Palatino Linotype" w:cs="Arial"/>
          <w:lang w:val="es-ES"/>
        </w:rPr>
        <w:t>,</w:t>
      </w:r>
      <w:r w:rsidR="00B13419" w:rsidRPr="003D0C45">
        <w:rPr>
          <w:rFonts w:ascii="Palatino Linotype" w:eastAsia="Arial" w:hAnsi="Palatino Linotype" w:cs="Arial"/>
          <w:lang w:val="es-ES"/>
        </w:rPr>
        <w:t xml:space="preserve"> constituye un eje </w:t>
      </w:r>
      <w:r w:rsidR="005756C5" w:rsidRPr="003D0C45">
        <w:rPr>
          <w:rFonts w:ascii="Palatino Linotype" w:eastAsia="Arial" w:hAnsi="Palatino Linotype" w:cs="Arial"/>
          <w:lang w:val="es-ES"/>
        </w:rPr>
        <w:t xml:space="preserve">adicional </w:t>
      </w:r>
      <w:r w:rsidR="00B13419" w:rsidRPr="003D0C45">
        <w:rPr>
          <w:rFonts w:ascii="Palatino Linotype" w:eastAsia="Arial" w:hAnsi="Palatino Linotype" w:cs="Arial"/>
          <w:lang w:val="es-ES"/>
        </w:rPr>
        <w:t>importante de acceso desde y hacia la Zona Nororiental del Distrito Metropolitano de Quito, facilita el tránsito y conexión con el aeropuerto internacional “Mariscal Sucre” de Quito</w:t>
      </w:r>
      <w:r w:rsidR="008B1279">
        <w:rPr>
          <w:rFonts w:ascii="Palatino Linotype" w:eastAsia="Arial" w:hAnsi="Palatino Linotype" w:cs="Arial"/>
          <w:lang w:val="es-ES"/>
        </w:rPr>
        <w:t xml:space="preserve">; </w:t>
      </w:r>
    </w:p>
    <w:p w14:paraId="63070A69" w14:textId="77777777" w:rsidR="00613CB7" w:rsidRPr="003D0C45" w:rsidRDefault="00613CB7" w:rsidP="00B37F55">
      <w:pPr>
        <w:ind w:left="708" w:right="28" w:hanging="680"/>
        <w:jc w:val="both"/>
        <w:rPr>
          <w:rFonts w:ascii="Palatino Linotype" w:eastAsia="Arial" w:hAnsi="Palatino Linotype" w:cs="Arial"/>
          <w:lang w:val="es-ES"/>
        </w:rPr>
      </w:pPr>
    </w:p>
    <w:p w14:paraId="0000002E" w14:textId="2EA5D7BF" w:rsidR="0080799E" w:rsidRPr="003D0C45" w:rsidRDefault="00613CB7" w:rsidP="003D0C45">
      <w:pPr>
        <w:ind w:left="708" w:right="28" w:hanging="680"/>
        <w:jc w:val="both"/>
        <w:rPr>
          <w:rFonts w:ascii="Palatino Linotype" w:eastAsia="Arial" w:hAnsi="Palatino Linotype" w:cs="Arial"/>
          <w:lang w:val="es-ES"/>
        </w:rPr>
      </w:pPr>
      <w:r w:rsidRPr="003D0C45">
        <w:rPr>
          <w:rFonts w:ascii="Palatino Linotype" w:eastAsia="Arial" w:hAnsi="Palatino Linotype" w:cs="Arial"/>
          <w:b/>
          <w:bCs/>
          <w:lang w:val="es-ES"/>
        </w:rPr>
        <w:t>Que,</w:t>
      </w:r>
      <w:r w:rsidRPr="003D0C45">
        <w:rPr>
          <w:rFonts w:ascii="Palatino Linotype" w:eastAsia="Arial" w:hAnsi="Palatino Linotype" w:cs="Arial"/>
          <w:lang w:val="es-ES"/>
        </w:rPr>
        <w:t xml:space="preserve"> </w:t>
      </w:r>
      <w:r w:rsidRPr="003D0C45">
        <w:rPr>
          <w:rFonts w:ascii="Palatino Linotype" w:eastAsia="Arial" w:hAnsi="Palatino Linotype" w:cs="Arial"/>
          <w:lang w:val="es-ES"/>
        </w:rPr>
        <w:tab/>
      </w:r>
      <w:r w:rsidR="008B1279">
        <w:rPr>
          <w:rFonts w:ascii="Palatino Linotype" w:eastAsia="Arial" w:hAnsi="Palatino Linotype" w:cs="Arial"/>
          <w:lang w:val="es-ES"/>
        </w:rPr>
        <w:t xml:space="preserve">la </w:t>
      </w:r>
      <w:r w:rsidRPr="003D0C45">
        <w:rPr>
          <w:rFonts w:ascii="Palatino Linotype" w:eastAsia="Arial" w:hAnsi="Palatino Linotype" w:cs="Arial"/>
          <w:lang w:val="es-ES"/>
        </w:rPr>
        <w:t>Ordenanza Metropolitana N</w:t>
      </w:r>
      <w:r w:rsidR="008B1279">
        <w:rPr>
          <w:rFonts w:ascii="Palatino Linotype" w:eastAsia="Arial" w:hAnsi="Palatino Linotype" w:cs="Arial"/>
          <w:lang w:val="es-ES"/>
        </w:rPr>
        <w:t>r</w:t>
      </w:r>
      <w:r w:rsidRPr="003D0C45">
        <w:rPr>
          <w:rFonts w:ascii="Palatino Linotype" w:eastAsia="Arial" w:hAnsi="Palatino Linotype" w:cs="Arial"/>
          <w:lang w:val="es-ES"/>
        </w:rPr>
        <w:t>o. 198</w:t>
      </w:r>
      <w:r w:rsidR="008B1279">
        <w:rPr>
          <w:rFonts w:ascii="Palatino Linotype" w:eastAsia="Arial" w:hAnsi="Palatino Linotype" w:cs="Arial"/>
          <w:lang w:val="es-ES"/>
        </w:rPr>
        <w:t>,</w:t>
      </w:r>
      <w:r w:rsidRPr="003D0C45">
        <w:rPr>
          <w:rFonts w:ascii="Palatino Linotype" w:eastAsia="Arial" w:hAnsi="Palatino Linotype" w:cs="Arial"/>
          <w:lang w:val="es-ES"/>
        </w:rPr>
        <w:t xml:space="preserve"> de 22 de diciembre de 2017</w:t>
      </w:r>
      <w:r w:rsidR="008B1279">
        <w:rPr>
          <w:rFonts w:ascii="Palatino Linotype" w:eastAsia="Arial" w:hAnsi="Palatino Linotype" w:cs="Arial"/>
          <w:lang w:val="es-ES"/>
        </w:rPr>
        <w:t>,</w:t>
      </w:r>
      <w:r w:rsidR="00F77410" w:rsidRPr="003D0C45">
        <w:rPr>
          <w:rFonts w:ascii="Palatino Linotype" w:eastAsia="Arial" w:hAnsi="Palatino Linotype" w:cs="Arial"/>
          <w:lang w:val="es-ES"/>
        </w:rPr>
        <w:t xml:space="preserve"> en su disposición transitoria segunda </w:t>
      </w:r>
      <w:r w:rsidR="00801913" w:rsidRPr="00801913">
        <w:rPr>
          <w:rFonts w:ascii="Palatino Linotype" w:eastAsia="Arial" w:hAnsi="Palatino Linotype" w:cs="Arial"/>
          <w:lang w:val="es-ES"/>
        </w:rPr>
        <w:t>determinó</w:t>
      </w:r>
      <w:r w:rsidR="00F77410" w:rsidRPr="003D0C45">
        <w:rPr>
          <w:rFonts w:ascii="Palatino Linotype" w:eastAsia="Arial" w:hAnsi="Palatino Linotype" w:cs="Arial"/>
          <w:lang w:val="es-ES"/>
        </w:rPr>
        <w:t xml:space="preserve"> un régimen específico </w:t>
      </w:r>
      <w:r w:rsidR="00405B2D">
        <w:rPr>
          <w:rFonts w:ascii="Palatino Linotype" w:eastAsia="Arial" w:hAnsi="Palatino Linotype" w:cs="Arial"/>
          <w:lang w:val="es-ES"/>
        </w:rPr>
        <w:t>en relación con la Ruta Viva</w:t>
      </w:r>
      <w:r w:rsidR="00F77410" w:rsidRPr="003D0C45">
        <w:rPr>
          <w:rFonts w:ascii="Palatino Linotype" w:eastAsia="Arial" w:hAnsi="Palatino Linotype" w:cs="Arial"/>
          <w:lang w:val="es-ES"/>
        </w:rPr>
        <w:t xml:space="preserve">, que debe adecuarse al régimen general previsto en el ordenamiento jurídico. </w:t>
      </w:r>
    </w:p>
    <w:p w14:paraId="0000002F" w14:textId="77777777" w:rsidR="0080799E" w:rsidRPr="003D0C45" w:rsidRDefault="0080799E" w:rsidP="003D0C45">
      <w:pPr>
        <w:ind w:left="708" w:right="28" w:hanging="680"/>
        <w:jc w:val="both"/>
        <w:rPr>
          <w:rFonts w:ascii="Palatino Linotype" w:eastAsia="Arial" w:hAnsi="Palatino Linotype" w:cs="Arial"/>
          <w:lang w:val="es-ES"/>
        </w:rPr>
      </w:pPr>
    </w:p>
    <w:p w14:paraId="00000030" w14:textId="79E01BF9" w:rsidR="0080799E" w:rsidRPr="003D0C45" w:rsidRDefault="00F77410" w:rsidP="003D0C45">
      <w:pPr>
        <w:jc w:val="both"/>
        <w:rPr>
          <w:rFonts w:ascii="Palatino Linotype" w:hAnsi="Palatino Linotype"/>
          <w:b/>
          <w:bCs/>
          <w:lang w:val="es-ES"/>
        </w:rPr>
      </w:pPr>
      <w:r w:rsidRPr="003D0C45">
        <w:rPr>
          <w:rFonts w:ascii="Palatino Linotype" w:hAnsi="Palatino Linotype"/>
          <w:b/>
          <w:bCs/>
          <w:lang w:val="es-ES"/>
        </w:rPr>
        <w:t>En ejercicio de las competencias establecidas en los arts. 264 núm. 5 y 266 de la Constitución, 87 l</w:t>
      </w:r>
      <w:r w:rsidR="00BE1F40">
        <w:rPr>
          <w:rFonts w:ascii="Palatino Linotype" w:hAnsi="Palatino Linotype"/>
          <w:b/>
          <w:bCs/>
          <w:lang w:val="es-ES"/>
        </w:rPr>
        <w:t>etra</w:t>
      </w:r>
      <w:r w:rsidRPr="003D0C45">
        <w:rPr>
          <w:rFonts w:ascii="Palatino Linotype" w:hAnsi="Palatino Linotype"/>
          <w:b/>
          <w:bCs/>
          <w:lang w:val="es-ES"/>
        </w:rPr>
        <w:t xml:space="preserve"> c) del Código Orgánico de Organización Territorial, Autonomía y Descentralización, 8 </w:t>
      </w:r>
      <w:r w:rsidR="00B13419" w:rsidRPr="003D0C45">
        <w:rPr>
          <w:rFonts w:ascii="Palatino Linotype" w:eastAsia="Arial" w:hAnsi="Palatino Linotype" w:cs="Arial"/>
          <w:b/>
          <w:bCs/>
          <w:lang w:val="es-ES"/>
        </w:rPr>
        <w:t>de la Ley Orgánica de Régimen para el Distrito Metropolitan</w:t>
      </w:r>
      <w:r w:rsidR="00995540" w:rsidRPr="003D0C45">
        <w:rPr>
          <w:rFonts w:ascii="Palatino Linotype" w:eastAsia="Arial" w:hAnsi="Palatino Linotype" w:cs="Arial"/>
          <w:b/>
          <w:bCs/>
          <w:lang w:val="es-ES"/>
        </w:rPr>
        <w:t>o de Quito, expide la siguiente,</w:t>
      </w:r>
    </w:p>
    <w:p w14:paraId="00000031" w14:textId="77777777" w:rsidR="0080799E" w:rsidRPr="003D0C45" w:rsidRDefault="0080799E" w:rsidP="003D0C45">
      <w:pPr>
        <w:ind w:left="5" w:right="28"/>
        <w:jc w:val="both"/>
        <w:rPr>
          <w:rFonts w:ascii="Palatino Linotype" w:eastAsia="Arial" w:hAnsi="Palatino Linotype" w:cs="Arial"/>
          <w:lang w:val="es-ES"/>
        </w:rPr>
      </w:pPr>
    </w:p>
    <w:p w14:paraId="00000032" w14:textId="259E0EA7" w:rsidR="0080799E" w:rsidRPr="003D0C45" w:rsidRDefault="00B13419" w:rsidP="003D0C45">
      <w:pPr>
        <w:ind w:left="5" w:right="28"/>
        <w:jc w:val="center"/>
        <w:rPr>
          <w:rFonts w:ascii="Palatino Linotype" w:eastAsia="Arial" w:hAnsi="Palatino Linotype" w:cs="Arial"/>
          <w:b/>
          <w:lang w:val="es-ES"/>
        </w:rPr>
      </w:pPr>
      <w:r w:rsidRPr="003D0C45">
        <w:rPr>
          <w:rFonts w:ascii="Palatino Linotype" w:eastAsia="Arial" w:hAnsi="Palatino Linotype" w:cs="Arial"/>
          <w:b/>
          <w:lang w:val="es-ES"/>
        </w:rPr>
        <w:t xml:space="preserve">ORDENANZA METROPOLITANA REFORMATORIA </w:t>
      </w:r>
      <w:r w:rsidR="008640B5" w:rsidRPr="003D0C45">
        <w:rPr>
          <w:rFonts w:ascii="Palatino Linotype" w:eastAsia="Arial" w:hAnsi="Palatino Linotype" w:cs="Arial"/>
          <w:b/>
          <w:lang w:val="es-ES"/>
        </w:rPr>
        <w:t xml:space="preserve">DEL </w:t>
      </w:r>
      <w:r w:rsidRPr="003D0C45">
        <w:rPr>
          <w:rFonts w:ascii="Palatino Linotype" w:eastAsia="Arial" w:hAnsi="Palatino Linotype" w:cs="Arial"/>
          <w:b/>
          <w:lang w:val="es-ES"/>
        </w:rPr>
        <w:t>CÓDIGO MUNICIPAL PARA EL DISTRITO METROPOLITANO DE QUITO</w:t>
      </w:r>
    </w:p>
    <w:p w14:paraId="00000033" w14:textId="77777777" w:rsidR="0080799E" w:rsidRPr="003D0C45" w:rsidRDefault="0080799E" w:rsidP="003D0C45">
      <w:pPr>
        <w:ind w:left="5" w:right="28"/>
        <w:jc w:val="both"/>
        <w:rPr>
          <w:rFonts w:ascii="Palatino Linotype" w:eastAsia="Arial" w:hAnsi="Palatino Linotype" w:cs="Arial"/>
          <w:highlight w:val="yellow"/>
          <w:lang w:val="es-ES"/>
        </w:rPr>
      </w:pPr>
    </w:p>
    <w:p w14:paraId="2F169B0E" w14:textId="77777777" w:rsidR="00BE6A21" w:rsidRDefault="00B13419" w:rsidP="00BE6A21">
      <w:pPr>
        <w:ind w:left="5" w:right="28"/>
        <w:jc w:val="both"/>
        <w:rPr>
          <w:rFonts w:ascii="Palatino Linotype" w:eastAsia="Arial" w:hAnsi="Palatino Linotype" w:cs="Arial"/>
          <w:lang w:val="es-ES"/>
        </w:rPr>
      </w:pPr>
      <w:r w:rsidRPr="003D0C45">
        <w:rPr>
          <w:rFonts w:ascii="Palatino Linotype" w:eastAsia="Arial" w:hAnsi="Palatino Linotype" w:cs="Arial"/>
          <w:b/>
          <w:bCs/>
          <w:lang w:val="es-ES"/>
        </w:rPr>
        <w:t>Art. 1.-</w:t>
      </w:r>
      <w:r w:rsidRPr="003D0C45">
        <w:rPr>
          <w:rFonts w:ascii="Palatino Linotype" w:eastAsia="Arial" w:hAnsi="Palatino Linotype" w:cs="Arial"/>
          <w:lang w:val="es-ES"/>
        </w:rPr>
        <w:t xml:space="preserve"> Deróguese</w:t>
      </w:r>
      <w:r w:rsidR="006569B6">
        <w:rPr>
          <w:rFonts w:ascii="Palatino Linotype" w:eastAsia="Arial" w:hAnsi="Palatino Linotype" w:cs="Arial"/>
          <w:lang w:val="es-ES"/>
        </w:rPr>
        <w:t xml:space="preserve"> expresamente</w:t>
      </w:r>
      <w:r w:rsidRPr="003D0C45">
        <w:rPr>
          <w:rFonts w:ascii="Palatino Linotype" w:eastAsia="Arial" w:hAnsi="Palatino Linotype" w:cs="Arial"/>
          <w:lang w:val="es-ES"/>
        </w:rPr>
        <w:t xml:space="preserve"> </w:t>
      </w:r>
      <w:r w:rsidR="00F77410" w:rsidRPr="003D0C45">
        <w:rPr>
          <w:rFonts w:ascii="Palatino Linotype" w:eastAsia="Arial" w:hAnsi="Palatino Linotype" w:cs="Arial"/>
          <w:lang w:val="es-ES"/>
        </w:rPr>
        <w:t>la</w:t>
      </w:r>
      <w:r w:rsidRPr="003D0C45">
        <w:rPr>
          <w:rFonts w:ascii="Palatino Linotype" w:eastAsia="Arial" w:hAnsi="Palatino Linotype" w:cs="Arial"/>
          <w:lang w:val="es-ES"/>
        </w:rPr>
        <w:t xml:space="preserve"> </w:t>
      </w:r>
      <w:r w:rsidR="001E780D">
        <w:rPr>
          <w:rFonts w:ascii="Palatino Linotype" w:eastAsia="Arial" w:hAnsi="Palatino Linotype" w:cs="Arial"/>
          <w:lang w:val="es-ES"/>
        </w:rPr>
        <w:t>“</w:t>
      </w:r>
      <w:r w:rsidRPr="003D0C45">
        <w:rPr>
          <w:rFonts w:ascii="Palatino Linotype" w:eastAsia="Arial" w:hAnsi="Palatino Linotype" w:cs="Arial"/>
          <w:bCs/>
          <w:lang w:val="es-ES"/>
        </w:rPr>
        <w:t>Disposición Transitoria Única”</w:t>
      </w:r>
      <w:r w:rsidRPr="003D0C45">
        <w:rPr>
          <w:rFonts w:ascii="Palatino Linotype" w:eastAsia="Arial" w:hAnsi="Palatino Linotype" w:cs="Arial"/>
          <w:lang w:val="es-ES"/>
        </w:rPr>
        <w:t xml:space="preserve"> de la Ordenanza Metropolitana N</w:t>
      </w:r>
      <w:r w:rsidR="001E780D">
        <w:rPr>
          <w:rFonts w:ascii="Palatino Linotype" w:eastAsia="Arial" w:hAnsi="Palatino Linotype" w:cs="Arial"/>
          <w:lang w:val="es-ES"/>
        </w:rPr>
        <w:t>r</w:t>
      </w:r>
      <w:r w:rsidRPr="003D0C45">
        <w:rPr>
          <w:rFonts w:ascii="Palatino Linotype" w:eastAsia="Arial" w:hAnsi="Palatino Linotype" w:cs="Arial"/>
          <w:lang w:val="es-ES"/>
        </w:rPr>
        <w:t>o. 198</w:t>
      </w:r>
      <w:r w:rsidR="001E780D">
        <w:rPr>
          <w:rFonts w:ascii="Palatino Linotype" w:eastAsia="Arial" w:hAnsi="Palatino Linotype" w:cs="Arial"/>
          <w:lang w:val="es-ES"/>
        </w:rPr>
        <w:t>,</w:t>
      </w:r>
      <w:r w:rsidRPr="003D0C45">
        <w:rPr>
          <w:rFonts w:ascii="Palatino Linotype" w:eastAsia="Arial" w:hAnsi="Palatino Linotype" w:cs="Arial"/>
          <w:lang w:val="es-ES"/>
        </w:rPr>
        <w:t xml:space="preserve"> de 22 de diciembre de 2017</w:t>
      </w:r>
      <w:r w:rsidR="00BE6A21">
        <w:rPr>
          <w:rFonts w:ascii="Palatino Linotype" w:eastAsia="Arial" w:hAnsi="Palatino Linotype" w:cs="Arial"/>
          <w:lang w:val="es-ES"/>
        </w:rPr>
        <w:t xml:space="preserve">. </w:t>
      </w:r>
    </w:p>
    <w:p w14:paraId="72FB9252" w14:textId="77777777" w:rsidR="00BE6A21" w:rsidRDefault="00BE6A21" w:rsidP="00BE6A21">
      <w:pPr>
        <w:ind w:left="5" w:right="28"/>
        <w:jc w:val="both"/>
        <w:rPr>
          <w:rFonts w:ascii="Palatino Linotype" w:hAnsi="Palatino Linotype"/>
          <w:lang w:val="es-ES"/>
        </w:rPr>
      </w:pPr>
    </w:p>
    <w:p w14:paraId="188DBFC8" w14:textId="77777777" w:rsidR="005E5C52" w:rsidRDefault="00BE6A21" w:rsidP="005E5C52">
      <w:pPr>
        <w:ind w:left="5" w:right="28"/>
        <w:jc w:val="both"/>
        <w:rPr>
          <w:rFonts w:ascii="Palatino Linotype" w:hAnsi="Palatino Linotype"/>
          <w:lang w:val="es-ES"/>
        </w:rPr>
      </w:pPr>
      <w:r w:rsidRPr="00BE6A21">
        <w:rPr>
          <w:rFonts w:ascii="Palatino Linotype" w:hAnsi="Palatino Linotype"/>
          <w:b/>
          <w:bCs/>
          <w:lang w:val="es-ES"/>
        </w:rPr>
        <w:t>Art. 2.-</w:t>
      </w:r>
      <w:r>
        <w:rPr>
          <w:rFonts w:ascii="Palatino Linotype" w:hAnsi="Palatino Linotype"/>
          <w:lang w:val="es-ES"/>
        </w:rPr>
        <w:t xml:space="preserve"> Inclúyase como disposición transitoria en el Código Municipal para el Distrito Metropolitano de Quito, el siguiente texto: </w:t>
      </w:r>
    </w:p>
    <w:p w14:paraId="3FD26138" w14:textId="77777777" w:rsidR="005E5C52" w:rsidRDefault="005E5C52" w:rsidP="005E5C52">
      <w:pPr>
        <w:ind w:left="5" w:right="28"/>
        <w:jc w:val="both"/>
        <w:rPr>
          <w:rFonts w:ascii="Palatino Linotype" w:hAnsi="Palatino Linotype"/>
          <w:i/>
          <w:lang w:val="es-ES"/>
        </w:rPr>
      </w:pPr>
    </w:p>
    <w:p w14:paraId="695E107A" w14:textId="35D3883B" w:rsidR="000C4651" w:rsidRPr="000C4651" w:rsidRDefault="00BE6A21" w:rsidP="000C4651">
      <w:pPr>
        <w:ind w:left="5" w:right="28"/>
        <w:jc w:val="both"/>
        <w:rPr>
          <w:rFonts w:ascii="Palatino Linotype" w:hAnsi="Palatino Linotype"/>
          <w:i/>
          <w:lang w:val="es-ES"/>
        </w:rPr>
      </w:pPr>
      <w:r w:rsidRPr="005E5C52">
        <w:rPr>
          <w:rFonts w:ascii="Palatino Linotype" w:hAnsi="Palatino Linotype"/>
          <w:i/>
          <w:lang w:val="es-ES"/>
        </w:rPr>
        <w:t>«</w:t>
      </w:r>
      <w:r w:rsidR="00405B2D" w:rsidRPr="005E5C52">
        <w:rPr>
          <w:rFonts w:ascii="Palatino Linotype" w:hAnsi="Palatino Linotype"/>
          <w:i/>
          <w:lang w:val="es-ES"/>
        </w:rPr>
        <w:t xml:space="preserve">Disposición </w:t>
      </w:r>
      <w:r w:rsidR="00D26735" w:rsidRPr="005E5C52">
        <w:rPr>
          <w:rFonts w:ascii="Palatino Linotype" w:hAnsi="Palatino Linotype"/>
          <w:i/>
          <w:lang w:val="es-ES"/>
        </w:rPr>
        <w:t>Transitoria. -</w:t>
      </w:r>
      <w:r w:rsidRPr="005E5C52">
        <w:rPr>
          <w:rFonts w:ascii="Palatino Linotype" w:hAnsi="Palatino Linotype"/>
          <w:i/>
          <w:lang w:val="es-ES"/>
        </w:rPr>
        <w:t xml:space="preserve"> </w:t>
      </w:r>
      <w:bookmarkStart w:id="1" w:name="_GoBack"/>
      <w:bookmarkEnd w:id="1"/>
      <w:r w:rsidR="000C4651" w:rsidRPr="000C4651">
        <w:rPr>
          <w:rFonts w:ascii="Palatino Linotype" w:hAnsi="Palatino Linotype"/>
          <w:i/>
          <w:lang w:val="es-ES"/>
        </w:rPr>
        <w:t>La Empresa Pública Metropolitana de Movilidad y Obras Públicas, calculará el valor de la contribución especial de mejoras correspondiente a los costos de construcción de la Ruta Viva sobre la base de la información utilizada para el cobro del mismo tributo en el año 2018.</w:t>
      </w:r>
    </w:p>
    <w:p w14:paraId="58AB11A1" w14:textId="77777777" w:rsidR="000C4651" w:rsidRPr="000C4651" w:rsidRDefault="000C4651" w:rsidP="000C4651">
      <w:pPr>
        <w:ind w:left="5" w:right="28"/>
        <w:jc w:val="both"/>
        <w:rPr>
          <w:rFonts w:ascii="Palatino Linotype" w:hAnsi="Palatino Linotype"/>
          <w:i/>
          <w:lang w:val="es-ES"/>
        </w:rPr>
      </w:pPr>
      <w:r w:rsidRPr="000C4651">
        <w:rPr>
          <w:rFonts w:ascii="Palatino Linotype" w:hAnsi="Palatino Linotype"/>
          <w:i/>
          <w:lang w:val="es-ES"/>
        </w:rPr>
        <w:t xml:space="preserve"> </w:t>
      </w:r>
    </w:p>
    <w:p w14:paraId="35D02A40" w14:textId="461805AB" w:rsidR="000C4651" w:rsidRPr="000C4651" w:rsidRDefault="000C4651" w:rsidP="000C4651">
      <w:pPr>
        <w:ind w:left="5" w:right="28"/>
        <w:jc w:val="both"/>
        <w:rPr>
          <w:rFonts w:ascii="Palatino Linotype" w:hAnsi="Palatino Linotype"/>
          <w:i/>
          <w:lang w:val="es-ES"/>
        </w:rPr>
      </w:pPr>
      <w:r w:rsidRPr="000C4651">
        <w:rPr>
          <w:rFonts w:ascii="Palatino Linotype" w:hAnsi="Palatino Linotype"/>
          <w:i/>
          <w:lang w:val="es-ES"/>
        </w:rPr>
        <w:t xml:space="preserve">La Empresa Pública Metropolitana de Movilidad y Obras Públicas, restando el valor determinado en el año 2018, calculará la contribución especial de mejoras sobrante, ya sea prorrateando el valor a diez años o al tiempo equivalente al plazo establecido en el </w:t>
      </w:r>
      <w:r w:rsidRPr="000C4651">
        <w:rPr>
          <w:rFonts w:ascii="Palatino Linotype" w:hAnsi="Palatino Linotype"/>
          <w:i/>
          <w:lang w:val="es-ES"/>
        </w:rPr>
        <w:lastRenderedPageBreak/>
        <w:t>crédito público, optando por el que fuere mayor (en cualquier caso restará un año correspondiente al tributo cobrado en el ejercicio fiscal 2018).</w:t>
      </w:r>
    </w:p>
    <w:p w14:paraId="0DF1AE26" w14:textId="77777777" w:rsidR="000C4651" w:rsidRPr="000C4651" w:rsidRDefault="000C4651" w:rsidP="000C4651">
      <w:pPr>
        <w:ind w:left="5" w:right="28"/>
        <w:jc w:val="both"/>
        <w:rPr>
          <w:rFonts w:ascii="Palatino Linotype" w:hAnsi="Palatino Linotype"/>
          <w:i/>
          <w:lang w:val="es-ES"/>
        </w:rPr>
      </w:pPr>
      <w:r w:rsidRPr="000C4651">
        <w:rPr>
          <w:rFonts w:ascii="Palatino Linotype" w:hAnsi="Palatino Linotype"/>
          <w:i/>
          <w:lang w:val="es-ES"/>
        </w:rPr>
        <w:t xml:space="preserve"> </w:t>
      </w:r>
    </w:p>
    <w:p w14:paraId="73D3D3C4" w14:textId="0BB29391" w:rsidR="00613CB7" w:rsidRDefault="000C4651" w:rsidP="000C4651">
      <w:pPr>
        <w:ind w:left="5" w:right="28"/>
        <w:jc w:val="both"/>
        <w:rPr>
          <w:rFonts w:ascii="Palatino Linotype" w:hAnsi="Palatino Linotype"/>
          <w:i/>
          <w:lang w:val="es-ES"/>
        </w:rPr>
      </w:pPr>
      <w:r w:rsidRPr="000C4651">
        <w:rPr>
          <w:rFonts w:ascii="Palatino Linotype" w:hAnsi="Palatino Linotype"/>
          <w:i/>
          <w:lang w:val="es-ES"/>
        </w:rPr>
        <w:t>De conformidad al tercer inciso del artículo Art. III.5.350 del Código Municipal para el Distrito Metropolitano de Quito, la Empresa Pública Metropolitana de Movilidad y Obras Públicas remitirá a la Dirección Metropolitana Tributaria los valores de la contribución especial de mejoras por la construcción de la Ruta Viva hasta el 05 de diciembre de 2020, para que se pueda realizar el cobro respectivo</w:t>
      </w:r>
      <w:r w:rsidR="00554798" w:rsidRPr="00E35EA5">
        <w:rPr>
          <w:rFonts w:ascii="Palatino Linotype" w:hAnsi="Palatino Linotype"/>
          <w:i/>
          <w:lang w:val="es-ES"/>
        </w:rPr>
        <w:t>.</w:t>
      </w:r>
      <w:r w:rsidR="00BE6A21" w:rsidRPr="00E35EA5">
        <w:rPr>
          <w:rFonts w:ascii="Palatino Linotype" w:hAnsi="Palatino Linotype"/>
          <w:i/>
          <w:lang w:val="es-ES"/>
        </w:rPr>
        <w:t>»</w:t>
      </w:r>
    </w:p>
    <w:p w14:paraId="71C58C35" w14:textId="5BC339D8" w:rsidR="00613CB7" w:rsidRDefault="00613CB7" w:rsidP="003D0C45">
      <w:pPr>
        <w:ind w:right="28"/>
        <w:jc w:val="both"/>
        <w:rPr>
          <w:rFonts w:ascii="Palatino Linotype" w:eastAsia="Arial" w:hAnsi="Palatino Linotype" w:cs="Arial"/>
          <w:lang w:val="es-ES"/>
        </w:rPr>
      </w:pPr>
    </w:p>
    <w:p w14:paraId="00000059" w14:textId="33434BC5" w:rsidR="0080799E" w:rsidRPr="003D0C45" w:rsidRDefault="009900D5" w:rsidP="003D0C45">
      <w:pPr>
        <w:ind w:left="33" w:right="28" w:firstLine="5"/>
        <w:jc w:val="both"/>
        <w:rPr>
          <w:rFonts w:ascii="Palatino Linotype" w:eastAsia="Arial" w:hAnsi="Palatino Linotype" w:cs="Arial"/>
          <w:lang w:val="es-ES"/>
        </w:rPr>
      </w:pPr>
      <w:r w:rsidRPr="003D0C45">
        <w:rPr>
          <w:rFonts w:ascii="Palatino Linotype" w:eastAsia="Arial" w:hAnsi="Palatino Linotype" w:cs="Arial"/>
          <w:b/>
          <w:lang w:val="es-ES"/>
        </w:rPr>
        <w:t>DISPOSICIÓN FINAL. -</w:t>
      </w:r>
      <w:r w:rsidR="00B13419" w:rsidRPr="003D0C45">
        <w:rPr>
          <w:rFonts w:ascii="Palatino Linotype" w:eastAsia="Arial" w:hAnsi="Palatino Linotype" w:cs="Arial"/>
          <w:lang w:val="es-ES"/>
        </w:rPr>
        <w:t xml:space="preserve"> La presente Ordenanza entrará en vigencia a partir de su publicación en el Registro Oficial.</w:t>
      </w:r>
      <w:r w:rsidR="009502C3">
        <w:rPr>
          <w:rFonts w:ascii="Palatino Linotype" w:eastAsia="Arial" w:hAnsi="Palatino Linotype" w:cs="Arial"/>
          <w:lang w:val="es-ES"/>
        </w:rPr>
        <w:t xml:space="preserve"> </w:t>
      </w:r>
    </w:p>
    <w:p w14:paraId="0000005A" w14:textId="77777777" w:rsidR="0080799E" w:rsidRPr="003D0C45" w:rsidRDefault="0080799E" w:rsidP="003D0C45">
      <w:pPr>
        <w:ind w:left="33" w:right="28" w:firstLine="5"/>
        <w:jc w:val="both"/>
        <w:rPr>
          <w:rFonts w:ascii="Palatino Linotype" w:eastAsia="Arial" w:hAnsi="Palatino Linotype" w:cs="Arial"/>
          <w:lang w:val="es-ES"/>
        </w:rPr>
      </w:pPr>
    </w:p>
    <w:p w14:paraId="0000005B" w14:textId="14A48CAC" w:rsidR="0080799E" w:rsidRPr="003D0C45" w:rsidRDefault="00B13419">
      <w:pPr>
        <w:ind w:left="33" w:right="28" w:firstLine="5"/>
        <w:jc w:val="both"/>
        <w:rPr>
          <w:rFonts w:ascii="Palatino Linotype" w:eastAsia="Arial" w:hAnsi="Palatino Linotype" w:cs="Arial"/>
          <w:lang w:val="es-ES"/>
        </w:rPr>
      </w:pPr>
      <w:r w:rsidRPr="003D0C45">
        <w:rPr>
          <w:rFonts w:ascii="Palatino Linotype" w:eastAsia="Arial" w:hAnsi="Palatino Linotype" w:cs="Arial"/>
          <w:lang w:val="es-ES"/>
        </w:rPr>
        <w:t xml:space="preserve">Dada, en la Sala de Sesiones del Concejo Metropolitano de Quito, el </w:t>
      </w:r>
      <w:r w:rsidR="00E67FF8">
        <w:rPr>
          <w:rFonts w:ascii="Palatino Linotype" w:eastAsia="Arial" w:hAnsi="Palatino Linotype" w:cs="Arial"/>
          <w:lang w:val="es-ES"/>
        </w:rPr>
        <w:t>[</w:t>
      </w:r>
      <w:r w:rsidR="00E67FF8" w:rsidRPr="00E67FF8">
        <w:rPr>
          <w:rFonts w:ascii="Palatino Linotype" w:eastAsia="Arial" w:hAnsi="Palatino Linotype" w:cs="Arial"/>
          <w:highlight w:val="yellow"/>
          <w:lang w:val="es-ES"/>
        </w:rPr>
        <w:t>…</w:t>
      </w:r>
      <w:r w:rsidR="00E67FF8">
        <w:rPr>
          <w:rFonts w:ascii="Palatino Linotype" w:eastAsia="Arial" w:hAnsi="Palatino Linotype" w:cs="Arial"/>
          <w:lang w:val="es-ES"/>
        </w:rPr>
        <w:t>]</w:t>
      </w:r>
    </w:p>
    <w:sectPr w:rsidR="0080799E" w:rsidRPr="003D0C45">
      <w:footerReference w:type="even" r:id="rId7"/>
      <w:footerReference w:type="default" r:id="rId8"/>
      <w:footerReference w:type="first" r:id="rId9"/>
      <w:pgSz w:w="11906" w:h="16838"/>
      <w:pgMar w:top="1637" w:right="1772" w:bottom="1591" w:left="1820" w:header="720" w:footer="13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C768" w14:textId="77777777" w:rsidR="006B6689" w:rsidRDefault="006B6689">
      <w:r>
        <w:separator/>
      </w:r>
    </w:p>
  </w:endnote>
  <w:endnote w:type="continuationSeparator" w:id="0">
    <w:p w14:paraId="031FD202" w14:textId="77777777" w:rsidR="006B6689" w:rsidRDefault="006B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80799E" w:rsidRDefault="00B13419">
    <w:pPr>
      <w:spacing w:line="259" w:lineRule="auto"/>
      <w:ind w:right="19"/>
      <w:jc w:val="right"/>
    </w:pPr>
    <w:r>
      <w:rPr>
        <w:rFonts w:ascii="Calibri" w:eastAsia="Calibri" w:hAnsi="Calibri" w:cs="Calibri"/>
      </w:rPr>
      <w:t xml:space="preserve">Página </w:t>
    </w:r>
    <w:r>
      <w:fldChar w:fldCharType="begin"/>
    </w:r>
    <w:r>
      <w:instrText>PAGE</w:instrText>
    </w:r>
    <w:r>
      <w:fldChar w:fldCharType="end"/>
    </w:r>
    <w:r>
      <w:rPr>
        <w:rFonts w:ascii="Calibri" w:eastAsia="Calibri" w:hAnsi="Calibri" w:cs="Calibri"/>
      </w:rPr>
      <w:t xml:space="preserve"> </w:t>
    </w:r>
    <w:r>
      <w:rPr>
        <w:rFonts w:ascii="Calibri" w:eastAsia="Calibri" w:hAnsi="Calibri" w:cs="Calibri"/>
        <w:sz w:val="22"/>
        <w:szCs w:val="22"/>
      </w:rPr>
      <w:t xml:space="preserve">de </w:t>
    </w:r>
    <w:r>
      <w:fldChar w:fldCharType="begin"/>
    </w:r>
    <w:r>
      <w:instrText>NUMPAGES</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2488ABA7" w:rsidR="0080799E" w:rsidRDefault="0080799E" w:rsidP="00BE1F40">
    <w:pPr>
      <w:spacing w:line="259" w:lineRule="auto"/>
      <w:ind w:right="1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80799E" w:rsidRDefault="00B13419">
    <w:pPr>
      <w:spacing w:line="259" w:lineRule="auto"/>
      <w:ind w:right="19"/>
      <w:jc w:val="right"/>
    </w:pPr>
    <w:r>
      <w:rPr>
        <w:rFonts w:ascii="Calibri" w:eastAsia="Calibri" w:hAnsi="Calibri" w:cs="Calibri"/>
      </w:rPr>
      <w:t xml:space="preserve">Página </w:t>
    </w:r>
    <w:r>
      <w:fldChar w:fldCharType="begin"/>
    </w:r>
    <w:r>
      <w:instrText>PAGE</w:instrText>
    </w:r>
    <w:r>
      <w:fldChar w:fldCharType="end"/>
    </w:r>
    <w:r>
      <w:rPr>
        <w:rFonts w:ascii="Calibri" w:eastAsia="Calibri" w:hAnsi="Calibri" w:cs="Calibri"/>
      </w:rPr>
      <w:t xml:space="preserve"> </w:t>
    </w:r>
    <w:r>
      <w:rPr>
        <w:rFonts w:ascii="Calibri" w:eastAsia="Calibri" w:hAnsi="Calibri" w:cs="Calibri"/>
        <w:sz w:val="22"/>
        <w:szCs w:val="22"/>
      </w:rPr>
      <w:t xml:space="preserve">de </w:t>
    </w:r>
    <w:r>
      <w:fldChar w:fldCharType="begin"/>
    </w:r>
    <w:r>
      <w:instrText>NUMPAGES</w:instrTex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8423" w14:textId="77777777" w:rsidR="006B6689" w:rsidRDefault="006B6689">
      <w:r>
        <w:separator/>
      </w:r>
    </w:p>
  </w:footnote>
  <w:footnote w:type="continuationSeparator" w:id="0">
    <w:p w14:paraId="60DDF0CF" w14:textId="77777777" w:rsidR="006B6689" w:rsidRDefault="006B66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870"/>
    <w:multiLevelType w:val="hybridMultilevel"/>
    <w:tmpl w:val="3C9C966A"/>
    <w:lvl w:ilvl="0" w:tplc="9B3A968E">
      <w:start w:val="1"/>
      <w:numFmt w:val="decimal"/>
      <w:lvlText w:val="%1."/>
      <w:lvlJc w:val="left"/>
      <w:pPr>
        <w:ind w:left="374" w:hanging="360"/>
      </w:pPr>
      <w:rPr>
        <w:rFonts w:hint="default"/>
      </w:rPr>
    </w:lvl>
    <w:lvl w:ilvl="1" w:tplc="040A0019" w:tentative="1">
      <w:start w:val="1"/>
      <w:numFmt w:val="lowerLetter"/>
      <w:lvlText w:val="%2."/>
      <w:lvlJc w:val="left"/>
      <w:pPr>
        <w:ind w:left="1094" w:hanging="360"/>
      </w:pPr>
    </w:lvl>
    <w:lvl w:ilvl="2" w:tplc="040A001B" w:tentative="1">
      <w:start w:val="1"/>
      <w:numFmt w:val="lowerRoman"/>
      <w:lvlText w:val="%3."/>
      <w:lvlJc w:val="right"/>
      <w:pPr>
        <w:ind w:left="1814" w:hanging="180"/>
      </w:pPr>
    </w:lvl>
    <w:lvl w:ilvl="3" w:tplc="040A000F" w:tentative="1">
      <w:start w:val="1"/>
      <w:numFmt w:val="decimal"/>
      <w:lvlText w:val="%4."/>
      <w:lvlJc w:val="left"/>
      <w:pPr>
        <w:ind w:left="2534" w:hanging="360"/>
      </w:pPr>
    </w:lvl>
    <w:lvl w:ilvl="4" w:tplc="040A0019" w:tentative="1">
      <w:start w:val="1"/>
      <w:numFmt w:val="lowerLetter"/>
      <w:lvlText w:val="%5."/>
      <w:lvlJc w:val="left"/>
      <w:pPr>
        <w:ind w:left="3254" w:hanging="360"/>
      </w:pPr>
    </w:lvl>
    <w:lvl w:ilvl="5" w:tplc="040A001B" w:tentative="1">
      <w:start w:val="1"/>
      <w:numFmt w:val="lowerRoman"/>
      <w:lvlText w:val="%6."/>
      <w:lvlJc w:val="right"/>
      <w:pPr>
        <w:ind w:left="3974" w:hanging="180"/>
      </w:pPr>
    </w:lvl>
    <w:lvl w:ilvl="6" w:tplc="040A000F" w:tentative="1">
      <w:start w:val="1"/>
      <w:numFmt w:val="decimal"/>
      <w:lvlText w:val="%7."/>
      <w:lvlJc w:val="left"/>
      <w:pPr>
        <w:ind w:left="4694" w:hanging="360"/>
      </w:pPr>
    </w:lvl>
    <w:lvl w:ilvl="7" w:tplc="040A0019" w:tentative="1">
      <w:start w:val="1"/>
      <w:numFmt w:val="lowerLetter"/>
      <w:lvlText w:val="%8."/>
      <w:lvlJc w:val="left"/>
      <w:pPr>
        <w:ind w:left="5414" w:hanging="360"/>
      </w:pPr>
    </w:lvl>
    <w:lvl w:ilvl="8" w:tplc="040A001B" w:tentative="1">
      <w:start w:val="1"/>
      <w:numFmt w:val="lowerRoman"/>
      <w:lvlText w:val="%9."/>
      <w:lvlJc w:val="right"/>
      <w:pPr>
        <w:ind w:left="6134" w:hanging="180"/>
      </w:pPr>
    </w:lvl>
  </w:abstractNum>
  <w:abstractNum w:abstractNumId="1" w15:restartNumberingAfterBreak="0">
    <w:nsid w:val="18FD5034"/>
    <w:multiLevelType w:val="hybridMultilevel"/>
    <w:tmpl w:val="29F4FF3E"/>
    <w:lvl w:ilvl="0" w:tplc="300A0019">
      <w:start w:val="1"/>
      <w:numFmt w:val="lowerLetter"/>
      <w:lvlText w:val="%1."/>
      <w:lvlJc w:val="left"/>
      <w:pPr>
        <w:ind w:left="398" w:hanging="360"/>
      </w:pPr>
    </w:lvl>
    <w:lvl w:ilvl="1" w:tplc="300A0019" w:tentative="1">
      <w:start w:val="1"/>
      <w:numFmt w:val="lowerLetter"/>
      <w:lvlText w:val="%2."/>
      <w:lvlJc w:val="left"/>
      <w:pPr>
        <w:ind w:left="1118" w:hanging="360"/>
      </w:pPr>
    </w:lvl>
    <w:lvl w:ilvl="2" w:tplc="300A001B" w:tentative="1">
      <w:start w:val="1"/>
      <w:numFmt w:val="lowerRoman"/>
      <w:lvlText w:val="%3."/>
      <w:lvlJc w:val="right"/>
      <w:pPr>
        <w:ind w:left="1838" w:hanging="180"/>
      </w:pPr>
    </w:lvl>
    <w:lvl w:ilvl="3" w:tplc="300A000F" w:tentative="1">
      <w:start w:val="1"/>
      <w:numFmt w:val="decimal"/>
      <w:lvlText w:val="%4."/>
      <w:lvlJc w:val="left"/>
      <w:pPr>
        <w:ind w:left="2558" w:hanging="360"/>
      </w:pPr>
    </w:lvl>
    <w:lvl w:ilvl="4" w:tplc="300A0019" w:tentative="1">
      <w:start w:val="1"/>
      <w:numFmt w:val="lowerLetter"/>
      <w:lvlText w:val="%5."/>
      <w:lvlJc w:val="left"/>
      <w:pPr>
        <w:ind w:left="3278" w:hanging="360"/>
      </w:pPr>
    </w:lvl>
    <w:lvl w:ilvl="5" w:tplc="300A001B" w:tentative="1">
      <w:start w:val="1"/>
      <w:numFmt w:val="lowerRoman"/>
      <w:lvlText w:val="%6."/>
      <w:lvlJc w:val="right"/>
      <w:pPr>
        <w:ind w:left="3998" w:hanging="180"/>
      </w:pPr>
    </w:lvl>
    <w:lvl w:ilvl="6" w:tplc="300A000F" w:tentative="1">
      <w:start w:val="1"/>
      <w:numFmt w:val="decimal"/>
      <w:lvlText w:val="%7."/>
      <w:lvlJc w:val="left"/>
      <w:pPr>
        <w:ind w:left="4718" w:hanging="360"/>
      </w:pPr>
    </w:lvl>
    <w:lvl w:ilvl="7" w:tplc="300A0019" w:tentative="1">
      <w:start w:val="1"/>
      <w:numFmt w:val="lowerLetter"/>
      <w:lvlText w:val="%8."/>
      <w:lvlJc w:val="left"/>
      <w:pPr>
        <w:ind w:left="5438" w:hanging="360"/>
      </w:pPr>
    </w:lvl>
    <w:lvl w:ilvl="8" w:tplc="300A001B" w:tentative="1">
      <w:start w:val="1"/>
      <w:numFmt w:val="lowerRoman"/>
      <w:lvlText w:val="%9."/>
      <w:lvlJc w:val="right"/>
      <w:pPr>
        <w:ind w:left="6158" w:hanging="180"/>
      </w:pPr>
    </w:lvl>
  </w:abstractNum>
  <w:abstractNum w:abstractNumId="2" w15:restartNumberingAfterBreak="0">
    <w:nsid w:val="2F39587E"/>
    <w:multiLevelType w:val="hybridMultilevel"/>
    <w:tmpl w:val="3D0AF1FC"/>
    <w:lvl w:ilvl="0" w:tplc="300A0019">
      <w:start w:val="1"/>
      <w:numFmt w:val="lowerLetter"/>
      <w:lvlText w:val="%1."/>
      <w:lvlJc w:val="left"/>
      <w:pPr>
        <w:ind w:left="389" w:hanging="360"/>
      </w:pPr>
    </w:lvl>
    <w:lvl w:ilvl="1" w:tplc="300A0019" w:tentative="1">
      <w:start w:val="1"/>
      <w:numFmt w:val="lowerLetter"/>
      <w:lvlText w:val="%2."/>
      <w:lvlJc w:val="left"/>
      <w:pPr>
        <w:ind w:left="1109" w:hanging="360"/>
      </w:pPr>
    </w:lvl>
    <w:lvl w:ilvl="2" w:tplc="300A001B" w:tentative="1">
      <w:start w:val="1"/>
      <w:numFmt w:val="lowerRoman"/>
      <w:lvlText w:val="%3."/>
      <w:lvlJc w:val="right"/>
      <w:pPr>
        <w:ind w:left="1829" w:hanging="180"/>
      </w:pPr>
    </w:lvl>
    <w:lvl w:ilvl="3" w:tplc="300A000F" w:tentative="1">
      <w:start w:val="1"/>
      <w:numFmt w:val="decimal"/>
      <w:lvlText w:val="%4."/>
      <w:lvlJc w:val="left"/>
      <w:pPr>
        <w:ind w:left="2549" w:hanging="360"/>
      </w:pPr>
    </w:lvl>
    <w:lvl w:ilvl="4" w:tplc="300A0019" w:tentative="1">
      <w:start w:val="1"/>
      <w:numFmt w:val="lowerLetter"/>
      <w:lvlText w:val="%5."/>
      <w:lvlJc w:val="left"/>
      <w:pPr>
        <w:ind w:left="3269" w:hanging="360"/>
      </w:pPr>
    </w:lvl>
    <w:lvl w:ilvl="5" w:tplc="300A001B" w:tentative="1">
      <w:start w:val="1"/>
      <w:numFmt w:val="lowerRoman"/>
      <w:lvlText w:val="%6."/>
      <w:lvlJc w:val="right"/>
      <w:pPr>
        <w:ind w:left="3989" w:hanging="180"/>
      </w:pPr>
    </w:lvl>
    <w:lvl w:ilvl="6" w:tplc="300A000F" w:tentative="1">
      <w:start w:val="1"/>
      <w:numFmt w:val="decimal"/>
      <w:lvlText w:val="%7."/>
      <w:lvlJc w:val="left"/>
      <w:pPr>
        <w:ind w:left="4709" w:hanging="360"/>
      </w:pPr>
    </w:lvl>
    <w:lvl w:ilvl="7" w:tplc="300A0019" w:tentative="1">
      <w:start w:val="1"/>
      <w:numFmt w:val="lowerLetter"/>
      <w:lvlText w:val="%8."/>
      <w:lvlJc w:val="left"/>
      <w:pPr>
        <w:ind w:left="5429" w:hanging="360"/>
      </w:pPr>
    </w:lvl>
    <w:lvl w:ilvl="8" w:tplc="300A001B" w:tentative="1">
      <w:start w:val="1"/>
      <w:numFmt w:val="lowerRoman"/>
      <w:lvlText w:val="%9."/>
      <w:lvlJc w:val="right"/>
      <w:pPr>
        <w:ind w:left="6149" w:hanging="180"/>
      </w:pPr>
    </w:lvl>
  </w:abstractNum>
  <w:abstractNum w:abstractNumId="3" w15:restartNumberingAfterBreak="0">
    <w:nsid w:val="443722A8"/>
    <w:multiLevelType w:val="hybridMultilevel"/>
    <w:tmpl w:val="847E6E60"/>
    <w:lvl w:ilvl="0" w:tplc="09625306">
      <w:numFmt w:val="bullet"/>
      <w:lvlText w:val="-"/>
      <w:lvlJc w:val="left"/>
      <w:pPr>
        <w:ind w:left="389" w:hanging="360"/>
      </w:pPr>
      <w:rPr>
        <w:rFonts w:ascii="Arial" w:eastAsia="Arial" w:hAnsi="Arial" w:cs="Arial" w:hint="default"/>
      </w:rPr>
    </w:lvl>
    <w:lvl w:ilvl="1" w:tplc="300A0003" w:tentative="1">
      <w:start w:val="1"/>
      <w:numFmt w:val="bullet"/>
      <w:lvlText w:val="o"/>
      <w:lvlJc w:val="left"/>
      <w:pPr>
        <w:ind w:left="1109" w:hanging="360"/>
      </w:pPr>
      <w:rPr>
        <w:rFonts w:ascii="Courier New" w:hAnsi="Courier New" w:cs="Courier New" w:hint="default"/>
      </w:rPr>
    </w:lvl>
    <w:lvl w:ilvl="2" w:tplc="300A0005" w:tentative="1">
      <w:start w:val="1"/>
      <w:numFmt w:val="bullet"/>
      <w:lvlText w:val=""/>
      <w:lvlJc w:val="left"/>
      <w:pPr>
        <w:ind w:left="1829" w:hanging="360"/>
      </w:pPr>
      <w:rPr>
        <w:rFonts w:ascii="Wingdings" w:hAnsi="Wingdings" w:hint="default"/>
      </w:rPr>
    </w:lvl>
    <w:lvl w:ilvl="3" w:tplc="300A0001" w:tentative="1">
      <w:start w:val="1"/>
      <w:numFmt w:val="bullet"/>
      <w:lvlText w:val=""/>
      <w:lvlJc w:val="left"/>
      <w:pPr>
        <w:ind w:left="2549" w:hanging="360"/>
      </w:pPr>
      <w:rPr>
        <w:rFonts w:ascii="Symbol" w:hAnsi="Symbol" w:hint="default"/>
      </w:rPr>
    </w:lvl>
    <w:lvl w:ilvl="4" w:tplc="300A0003" w:tentative="1">
      <w:start w:val="1"/>
      <w:numFmt w:val="bullet"/>
      <w:lvlText w:val="o"/>
      <w:lvlJc w:val="left"/>
      <w:pPr>
        <w:ind w:left="3269" w:hanging="360"/>
      </w:pPr>
      <w:rPr>
        <w:rFonts w:ascii="Courier New" w:hAnsi="Courier New" w:cs="Courier New" w:hint="default"/>
      </w:rPr>
    </w:lvl>
    <w:lvl w:ilvl="5" w:tplc="300A0005" w:tentative="1">
      <w:start w:val="1"/>
      <w:numFmt w:val="bullet"/>
      <w:lvlText w:val=""/>
      <w:lvlJc w:val="left"/>
      <w:pPr>
        <w:ind w:left="3989" w:hanging="360"/>
      </w:pPr>
      <w:rPr>
        <w:rFonts w:ascii="Wingdings" w:hAnsi="Wingdings" w:hint="default"/>
      </w:rPr>
    </w:lvl>
    <w:lvl w:ilvl="6" w:tplc="300A0001" w:tentative="1">
      <w:start w:val="1"/>
      <w:numFmt w:val="bullet"/>
      <w:lvlText w:val=""/>
      <w:lvlJc w:val="left"/>
      <w:pPr>
        <w:ind w:left="4709" w:hanging="360"/>
      </w:pPr>
      <w:rPr>
        <w:rFonts w:ascii="Symbol" w:hAnsi="Symbol" w:hint="default"/>
      </w:rPr>
    </w:lvl>
    <w:lvl w:ilvl="7" w:tplc="300A0003" w:tentative="1">
      <w:start w:val="1"/>
      <w:numFmt w:val="bullet"/>
      <w:lvlText w:val="o"/>
      <w:lvlJc w:val="left"/>
      <w:pPr>
        <w:ind w:left="5429" w:hanging="360"/>
      </w:pPr>
      <w:rPr>
        <w:rFonts w:ascii="Courier New" w:hAnsi="Courier New" w:cs="Courier New" w:hint="default"/>
      </w:rPr>
    </w:lvl>
    <w:lvl w:ilvl="8" w:tplc="300A0005" w:tentative="1">
      <w:start w:val="1"/>
      <w:numFmt w:val="bullet"/>
      <w:lvlText w:val=""/>
      <w:lvlJc w:val="left"/>
      <w:pPr>
        <w:ind w:left="6149" w:hanging="360"/>
      </w:pPr>
      <w:rPr>
        <w:rFonts w:ascii="Wingdings" w:hAnsi="Wingdings" w:hint="default"/>
      </w:rPr>
    </w:lvl>
  </w:abstractNum>
  <w:abstractNum w:abstractNumId="4" w15:restartNumberingAfterBreak="0">
    <w:nsid w:val="705A086B"/>
    <w:multiLevelType w:val="hybridMultilevel"/>
    <w:tmpl w:val="30FCB0D0"/>
    <w:lvl w:ilvl="0" w:tplc="8F2299C8">
      <w:start w:val="1"/>
      <w:numFmt w:val="lowerLetter"/>
      <w:lvlText w:val="%1."/>
      <w:lvlJc w:val="left"/>
      <w:pPr>
        <w:ind w:left="398" w:hanging="360"/>
      </w:pPr>
      <w:rPr>
        <w:rFonts w:hint="default"/>
      </w:rPr>
    </w:lvl>
    <w:lvl w:ilvl="1" w:tplc="040A0019" w:tentative="1">
      <w:start w:val="1"/>
      <w:numFmt w:val="lowerLetter"/>
      <w:lvlText w:val="%2."/>
      <w:lvlJc w:val="left"/>
      <w:pPr>
        <w:ind w:left="1118" w:hanging="360"/>
      </w:pPr>
    </w:lvl>
    <w:lvl w:ilvl="2" w:tplc="040A001B" w:tentative="1">
      <w:start w:val="1"/>
      <w:numFmt w:val="lowerRoman"/>
      <w:lvlText w:val="%3."/>
      <w:lvlJc w:val="right"/>
      <w:pPr>
        <w:ind w:left="1838" w:hanging="180"/>
      </w:pPr>
    </w:lvl>
    <w:lvl w:ilvl="3" w:tplc="040A000F" w:tentative="1">
      <w:start w:val="1"/>
      <w:numFmt w:val="decimal"/>
      <w:lvlText w:val="%4."/>
      <w:lvlJc w:val="left"/>
      <w:pPr>
        <w:ind w:left="2558" w:hanging="360"/>
      </w:pPr>
    </w:lvl>
    <w:lvl w:ilvl="4" w:tplc="040A0019" w:tentative="1">
      <w:start w:val="1"/>
      <w:numFmt w:val="lowerLetter"/>
      <w:lvlText w:val="%5."/>
      <w:lvlJc w:val="left"/>
      <w:pPr>
        <w:ind w:left="3278" w:hanging="360"/>
      </w:pPr>
    </w:lvl>
    <w:lvl w:ilvl="5" w:tplc="040A001B" w:tentative="1">
      <w:start w:val="1"/>
      <w:numFmt w:val="lowerRoman"/>
      <w:lvlText w:val="%6."/>
      <w:lvlJc w:val="right"/>
      <w:pPr>
        <w:ind w:left="3998" w:hanging="180"/>
      </w:pPr>
    </w:lvl>
    <w:lvl w:ilvl="6" w:tplc="040A000F" w:tentative="1">
      <w:start w:val="1"/>
      <w:numFmt w:val="decimal"/>
      <w:lvlText w:val="%7."/>
      <w:lvlJc w:val="left"/>
      <w:pPr>
        <w:ind w:left="4718" w:hanging="360"/>
      </w:pPr>
    </w:lvl>
    <w:lvl w:ilvl="7" w:tplc="040A0019" w:tentative="1">
      <w:start w:val="1"/>
      <w:numFmt w:val="lowerLetter"/>
      <w:lvlText w:val="%8."/>
      <w:lvlJc w:val="left"/>
      <w:pPr>
        <w:ind w:left="5438" w:hanging="360"/>
      </w:pPr>
    </w:lvl>
    <w:lvl w:ilvl="8" w:tplc="040A001B" w:tentative="1">
      <w:start w:val="1"/>
      <w:numFmt w:val="lowerRoman"/>
      <w:lvlText w:val="%9."/>
      <w:lvlJc w:val="right"/>
      <w:pPr>
        <w:ind w:left="615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9E"/>
    <w:rsid w:val="00011E69"/>
    <w:rsid w:val="00042472"/>
    <w:rsid w:val="000639F4"/>
    <w:rsid w:val="000C4651"/>
    <w:rsid w:val="00107112"/>
    <w:rsid w:val="001172CF"/>
    <w:rsid w:val="001313E6"/>
    <w:rsid w:val="001322D2"/>
    <w:rsid w:val="001331C5"/>
    <w:rsid w:val="001A1E52"/>
    <w:rsid w:val="001C7C61"/>
    <w:rsid w:val="001D19D7"/>
    <w:rsid w:val="001E780D"/>
    <w:rsid w:val="00254CA7"/>
    <w:rsid w:val="002747A9"/>
    <w:rsid w:val="002A0BDE"/>
    <w:rsid w:val="002C7BC1"/>
    <w:rsid w:val="00326309"/>
    <w:rsid w:val="00327339"/>
    <w:rsid w:val="00333F83"/>
    <w:rsid w:val="00363D54"/>
    <w:rsid w:val="003B1AB2"/>
    <w:rsid w:val="003D0C45"/>
    <w:rsid w:val="004022D5"/>
    <w:rsid w:val="00404E23"/>
    <w:rsid w:val="00405B2D"/>
    <w:rsid w:val="00415BC4"/>
    <w:rsid w:val="00436E33"/>
    <w:rsid w:val="00454F2B"/>
    <w:rsid w:val="004678FF"/>
    <w:rsid w:val="004C6AFD"/>
    <w:rsid w:val="004D2603"/>
    <w:rsid w:val="004F32DE"/>
    <w:rsid w:val="005105F5"/>
    <w:rsid w:val="00554798"/>
    <w:rsid w:val="005756C5"/>
    <w:rsid w:val="005E5C52"/>
    <w:rsid w:val="00602B45"/>
    <w:rsid w:val="00613CB7"/>
    <w:rsid w:val="00655C70"/>
    <w:rsid w:val="006569B6"/>
    <w:rsid w:val="00665594"/>
    <w:rsid w:val="006A4384"/>
    <w:rsid w:val="006A680D"/>
    <w:rsid w:val="006B6689"/>
    <w:rsid w:val="006D2C02"/>
    <w:rsid w:val="006E66A3"/>
    <w:rsid w:val="006F2772"/>
    <w:rsid w:val="00715F98"/>
    <w:rsid w:val="00727617"/>
    <w:rsid w:val="007332C1"/>
    <w:rsid w:val="00747A81"/>
    <w:rsid w:val="0079798A"/>
    <w:rsid w:val="007A1ADF"/>
    <w:rsid w:val="007A4576"/>
    <w:rsid w:val="007E3289"/>
    <w:rsid w:val="007F2B8D"/>
    <w:rsid w:val="00801913"/>
    <w:rsid w:val="00803667"/>
    <w:rsid w:val="0080799E"/>
    <w:rsid w:val="008265E9"/>
    <w:rsid w:val="00827060"/>
    <w:rsid w:val="00842CDB"/>
    <w:rsid w:val="00855DC1"/>
    <w:rsid w:val="008640B5"/>
    <w:rsid w:val="00874A1B"/>
    <w:rsid w:val="008B1279"/>
    <w:rsid w:val="0090467D"/>
    <w:rsid w:val="009103B5"/>
    <w:rsid w:val="009502C3"/>
    <w:rsid w:val="00976496"/>
    <w:rsid w:val="009900D5"/>
    <w:rsid w:val="00995540"/>
    <w:rsid w:val="009F17EE"/>
    <w:rsid w:val="00A7650D"/>
    <w:rsid w:val="00A92A20"/>
    <w:rsid w:val="00AA5A9E"/>
    <w:rsid w:val="00AF7AE3"/>
    <w:rsid w:val="00B13419"/>
    <w:rsid w:val="00B37F55"/>
    <w:rsid w:val="00B73B1D"/>
    <w:rsid w:val="00B91165"/>
    <w:rsid w:val="00BE1F40"/>
    <w:rsid w:val="00BE6A21"/>
    <w:rsid w:val="00C11AE9"/>
    <w:rsid w:val="00C82434"/>
    <w:rsid w:val="00C97C8C"/>
    <w:rsid w:val="00D26735"/>
    <w:rsid w:val="00D54EB0"/>
    <w:rsid w:val="00D66084"/>
    <w:rsid w:val="00DC6610"/>
    <w:rsid w:val="00DE4506"/>
    <w:rsid w:val="00E03F8B"/>
    <w:rsid w:val="00E35EA5"/>
    <w:rsid w:val="00E67FF8"/>
    <w:rsid w:val="00EA2543"/>
    <w:rsid w:val="00EB74AC"/>
    <w:rsid w:val="00ED1183"/>
    <w:rsid w:val="00F02C80"/>
    <w:rsid w:val="00F77410"/>
    <w:rsid w:val="00F96F01"/>
    <w:rsid w:val="00FE79F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0B56"/>
  <w15:docId w15:val="{67734004-D385-5543-A1FA-DF89528B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C" w:eastAsia="es-EC" w:bidi="ar-SA"/>
      </w:rPr>
    </w:rPrDefault>
    <w:pPrDefault>
      <w:pPr>
        <w:spacing w:after="141" w:line="261" w:lineRule="auto"/>
        <w:ind w:left="10" w:hanging="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10"/>
    <w:pPr>
      <w:spacing w:after="0" w:line="240" w:lineRule="auto"/>
      <w:ind w:left="0" w:firstLine="0"/>
      <w:jc w:val="left"/>
    </w:pPr>
    <w:rPr>
      <w:lang w:eastAsia="es-ES_tradnl"/>
    </w:rPr>
  </w:style>
  <w:style w:type="paragraph" w:styleId="Ttulo1">
    <w:name w:val="heading 1"/>
    <w:basedOn w:val="Normal"/>
    <w:next w:val="Normal"/>
    <w:pPr>
      <w:keepNext/>
      <w:keepLines/>
      <w:spacing w:before="480" w:after="120" w:line="261" w:lineRule="auto"/>
      <w:ind w:left="10" w:hanging="5"/>
      <w:jc w:val="both"/>
      <w:outlineLvl w:val="0"/>
    </w:pPr>
    <w:rPr>
      <w:b/>
      <w:sz w:val="48"/>
      <w:szCs w:val="48"/>
      <w:lang w:eastAsia="es-EC"/>
    </w:rPr>
  </w:style>
  <w:style w:type="paragraph" w:styleId="Ttulo2">
    <w:name w:val="heading 2"/>
    <w:basedOn w:val="Normal"/>
    <w:next w:val="Normal"/>
    <w:pPr>
      <w:keepNext/>
      <w:keepLines/>
      <w:spacing w:before="360" w:after="80" w:line="261" w:lineRule="auto"/>
      <w:ind w:left="10" w:hanging="5"/>
      <w:jc w:val="both"/>
      <w:outlineLvl w:val="1"/>
    </w:pPr>
    <w:rPr>
      <w:b/>
      <w:sz w:val="36"/>
      <w:szCs w:val="36"/>
      <w:lang w:eastAsia="es-EC"/>
    </w:rPr>
  </w:style>
  <w:style w:type="paragraph" w:styleId="Ttulo3">
    <w:name w:val="heading 3"/>
    <w:basedOn w:val="Normal"/>
    <w:next w:val="Normal"/>
    <w:pPr>
      <w:keepNext/>
      <w:keepLines/>
      <w:spacing w:before="280" w:after="80" w:line="261" w:lineRule="auto"/>
      <w:ind w:left="10" w:hanging="5"/>
      <w:jc w:val="both"/>
      <w:outlineLvl w:val="2"/>
    </w:pPr>
    <w:rPr>
      <w:b/>
      <w:sz w:val="28"/>
      <w:szCs w:val="28"/>
      <w:lang w:eastAsia="es-EC"/>
    </w:rPr>
  </w:style>
  <w:style w:type="paragraph" w:styleId="Ttulo4">
    <w:name w:val="heading 4"/>
    <w:basedOn w:val="Normal"/>
    <w:next w:val="Normal"/>
    <w:pPr>
      <w:keepNext/>
      <w:keepLines/>
      <w:spacing w:before="240" w:after="40" w:line="261" w:lineRule="auto"/>
      <w:ind w:left="10" w:hanging="5"/>
      <w:jc w:val="both"/>
      <w:outlineLvl w:val="3"/>
    </w:pPr>
    <w:rPr>
      <w:b/>
      <w:lang w:eastAsia="es-EC"/>
    </w:rPr>
  </w:style>
  <w:style w:type="paragraph" w:styleId="Ttulo5">
    <w:name w:val="heading 5"/>
    <w:basedOn w:val="Normal"/>
    <w:next w:val="Normal"/>
    <w:pPr>
      <w:keepNext/>
      <w:keepLines/>
      <w:spacing w:before="220" w:after="40" w:line="261" w:lineRule="auto"/>
      <w:ind w:left="10" w:hanging="5"/>
      <w:jc w:val="both"/>
      <w:outlineLvl w:val="4"/>
    </w:pPr>
    <w:rPr>
      <w:b/>
      <w:sz w:val="22"/>
      <w:szCs w:val="22"/>
      <w:lang w:eastAsia="es-EC"/>
    </w:rPr>
  </w:style>
  <w:style w:type="paragraph" w:styleId="Ttulo6">
    <w:name w:val="heading 6"/>
    <w:basedOn w:val="Normal"/>
    <w:next w:val="Normal"/>
    <w:pPr>
      <w:keepNext/>
      <w:keepLines/>
      <w:spacing w:before="200" w:after="40" w:line="261" w:lineRule="auto"/>
      <w:ind w:left="10" w:hanging="5"/>
      <w:jc w:val="both"/>
      <w:outlineLvl w:val="5"/>
    </w:pPr>
    <w:rPr>
      <w:b/>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61" w:lineRule="auto"/>
      <w:ind w:left="10" w:hanging="5"/>
      <w:jc w:val="both"/>
    </w:pPr>
    <w:rPr>
      <w:b/>
      <w:sz w:val="72"/>
      <w:szCs w:val="72"/>
      <w:lang w:eastAsia="es-EC"/>
    </w:rPr>
  </w:style>
  <w:style w:type="paragraph" w:styleId="Subttulo">
    <w:name w:val="Subtitle"/>
    <w:basedOn w:val="Normal"/>
    <w:next w:val="Normal"/>
    <w:pPr>
      <w:keepNext/>
      <w:keepLines/>
      <w:spacing w:before="360" w:after="80" w:line="261" w:lineRule="auto"/>
      <w:ind w:left="10" w:hanging="5"/>
      <w:jc w:val="both"/>
    </w:pPr>
    <w:rPr>
      <w:rFonts w:ascii="Georgia" w:eastAsia="Georgia" w:hAnsi="Georgia" w:cs="Georgia"/>
      <w:i/>
      <w:color w:val="666666"/>
      <w:sz w:val="48"/>
      <w:szCs w:val="48"/>
      <w:lang w:eastAsia="es-EC"/>
    </w:rPr>
  </w:style>
  <w:style w:type="paragraph" w:styleId="Encabezado">
    <w:name w:val="header"/>
    <w:basedOn w:val="Normal"/>
    <w:link w:val="EncabezadoCar"/>
    <w:uiPriority w:val="99"/>
    <w:unhideWhenUsed/>
    <w:rsid w:val="00F02C80"/>
    <w:pPr>
      <w:tabs>
        <w:tab w:val="center" w:pos="4419"/>
        <w:tab w:val="right" w:pos="8838"/>
      </w:tabs>
      <w:ind w:left="10" w:hanging="5"/>
      <w:jc w:val="both"/>
    </w:pPr>
    <w:rPr>
      <w:lang w:eastAsia="es-EC"/>
    </w:rPr>
  </w:style>
  <w:style w:type="character" w:customStyle="1" w:styleId="EncabezadoCar">
    <w:name w:val="Encabezado Car"/>
    <w:basedOn w:val="Fuentedeprrafopredeter"/>
    <w:link w:val="Encabezado"/>
    <w:uiPriority w:val="99"/>
    <w:rsid w:val="00F02C80"/>
  </w:style>
  <w:style w:type="paragraph" w:styleId="Prrafodelista">
    <w:name w:val="List Paragraph"/>
    <w:basedOn w:val="Normal"/>
    <w:uiPriority w:val="34"/>
    <w:qFormat/>
    <w:rsid w:val="005105F5"/>
    <w:pPr>
      <w:spacing w:after="141" w:line="261" w:lineRule="auto"/>
      <w:ind w:left="720" w:hanging="5"/>
      <w:contextualSpacing/>
      <w:jc w:val="both"/>
    </w:pPr>
    <w:rPr>
      <w:lang w:eastAsia="es-EC"/>
    </w:rPr>
  </w:style>
  <w:style w:type="paragraph" w:styleId="Textodeglobo">
    <w:name w:val="Balloon Text"/>
    <w:basedOn w:val="Normal"/>
    <w:link w:val="TextodegloboCar"/>
    <w:uiPriority w:val="99"/>
    <w:semiHidden/>
    <w:unhideWhenUsed/>
    <w:rsid w:val="001A1E52"/>
    <w:pPr>
      <w:ind w:left="10" w:hanging="5"/>
      <w:jc w:val="both"/>
    </w:pPr>
    <w:rPr>
      <w:sz w:val="18"/>
      <w:szCs w:val="18"/>
      <w:lang w:eastAsia="es-EC"/>
    </w:rPr>
  </w:style>
  <w:style w:type="character" w:customStyle="1" w:styleId="TextodegloboCar">
    <w:name w:val="Texto de globo Car"/>
    <w:basedOn w:val="Fuentedeprrafopredeter"/>
    <w:link w:val="Textodeglobo"/>
    <w:uiPriority w:val="99"/>
    <w:semiHidden/>
    <w:rsid w:val="001A1E52"/>
    <w:rPr>
      <w:sz w:val="18"/>
      <w:szCs w:val="18"/>
    </w:rPr>
  </w:style>
  <w:style w:type="paragraph" w:styleId="Revisin">
    <w:name w:val="Revision"/>
    <w:hidden/>
    <w:uiPriority w:val="99"/>
    <w:semiHidden/>
    <w:rsid w:val="001A1E52"/>
    <w:pPr>
      <w:spacing w:after="0" w:line="240" w:lineRule="auto"/>
      <w:ind w:left="0" w:firstLine="0"/>
      <w:jc w:val="left"/>
    </w:pPr>
  </w:style>
  <w:style w:type="character" w:styleId="Refdecomentario">
    <w:name w:val="annotation reference"/>
    <w:basedOn w:val="Fuentedeprrafopredeter"/>
    <w:uiPriority w:val="99"/>
    <w:semiHidden/>
    <w:unhideWhenUsed/>
    <w:rsid w:val="00B37F55"/>
    <w:rPr>
      <w:sz w:val="16"/>
      <w:szCs w:val="16"/>
    </w:rPr>
  </w:style>
  <w:style w:type="paragraph" w:styleId="Textocomentario">
    <w:name w:val="annotation text"/>
    <w:basedOn w:val="Normal"/>
    <w:link w:val="TextocomentarioCar"/>
    <w:uiPriority w:val="99"/>
    <w:semiHidden/>
    <w:unhideWhenUsed/>
    <w:rsid w:val="00B37F55"/>
    <w:rPr>
      <w:sz w:val="20"/>
      <w:szCs w:val="20"/>
    </w:rPr>
  </w:style>
  <w:style w:type="character" w:customStyle="1" w:styleId="TextocomentarioCar">
    <w:name w:val="Texto comentario Car"/>
    <w:basedOn w:val="Fuentedeprrafopredeter"/>
    <w:link w:val="Textocomentario"/>
    <w:uiPriority w:val="99"/>
    <w:semiHidden/>
    <w:rsid w:val="00B37F55"/>
    <w:rPr>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37F55"/>
    <w:rPr>
      <w:b/>
      <w:bCs/>
    </w:rPr>
  </w:style>
  <w:style w:type="character" w:customStyle="1" w:styleId="AsuntodelcomentarioCar">
    <w:name w:val="Asunto del comentario Car"/>
    <w:basedOn w:val="TextocomentarioCar"/>
    <w:link w:val="Asuntodelcomentario"/>
    <w:uiPriority w:val="99"/>
    <w:semiHidden/>
    <w:rsid w:val="00B37F55"/>
    <w:rPr>
      <w:b/>
      <w:bCs/>
      <w:sz w:val="20"/>
      <w:szCs w:val="20"/>
      <w:lang w:eastAsia="es-ES_tradnl"/>
    </w:rPr>
  </w:style>
  <w:style w:type="character" w:customStyle="1" w:styleId="nrmar">
    <w:name w:val="nrmar"/>
    <w:basedOn w:val="Fuentedeprrafopredeter"/>
    <w:rsid w:val="00AA5A9E"/>
  </w:style>
  <w:style w:type="character" w:customStyle="1" w:styleId="hit">
    <w:name w:val="hit"/>
    <w:basedOn w:val="Fuentedeprrafopredeter"/>
    <w:rsid w:val="00DE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2393">
      <w:bodyDiv w:val="1"/>
      <w:marLeft w:val="0"/>
      <w:marRight w:val="0"/>
      <w:marTop w:val="0"/>
      <w:marBottom w:val="0"/>
      <w:divBdr>
        <w:top w:val="none" w:sz="0" w:space="0" w:color="auto"/>
        <w:left w:val="none" w:sz="0" w:space="0" w:color="auto"/>
        <w:bottom w:val="none" w:sz="0" w:space="0" w:color="auto"/>
        <w:right w:val="none" w:sz="0" w:space="0" w:color="auto"/>
      </w:divBdr>
    </w:div>
    <w:div w:id="117650429">
      <w:bodyDiv w:val="1"/>
      <w:marLeft w:val="0"/>
      <w:marRight w:val="0"/>
      <w:marTop w:val="0"/>
      <w:marBottom w:val="0"/>
      <w:divBdr>
        <w:top w:val="none" w:sz="0" w:space="0" w:color="auto"/>
        <w:left w:val="none" w:sz="0" w:space="0" w:color="auto"/>
        <w:bottom w:val="none" w:sz="0" w:space="0" w:color="auto"/>
        <w:right w:val="none" w:sz="0" w:space="0" w:color="auto"/>
      </w:divBdr>
    </w:div>
    <w:div w:id="365181253">
      <w:bodyDiv w:val="1"/>
      <w:marLeft w:val="0"/>
      <w:marRight w:val="0"/>
      <w:marTop w:val="0"/>
      <w:marBottom w:val="0"/>
      <w:divBdr>
        <w:top w:val="none" w:sz="0" w:space="0" w:color="auto"/>
        <w:left w:val="none" w:sz="0" w:space="0" w:color="auto"/>
        <w:bottom w:val="none" w:sz="0" w:space="0" w:color="auto"/>
        <w:right w:val="none" w:sz="0" w:space="0" w:color="auto"/>
      </w:divBdr>
    </w:div>
    <w:div w:id="432677415">
      <w:bodyDiv w:val="1"/>
      <w:marLeft w:val="0"/>
      <w:marRight w:val="0"/>
      <w:marTop w:val="0"/>
      <w:marBottom w:val="0"/>
      <w:divBdr>
        <w:top w:val="none" w:sz="0" w:space="0" w:color="auto"/>
        <w:left w:val="none" w:sz="0" w:space="0" w:color="auto"/>
        <w:bottom w:val="none" w:sz="0" w:space="0" w:color="auto"/>
        <w:right w:val="none" w:sz="0" w:space="0" w:color="auto"/>
      </w:divBdr>
    </w:div>
    <w:div w:id="622854839">
      <w:bodyDiv w:val="1"/>
      <w:marLeft w:val="0"/>
      <w:marRight w:val="0"/>
      <w:marTop w:val="0"/>
      <w:marBottom w:val="0"/>
      <w:divBdr>
        <w:top w:val="none" w:sz="0" w:space="0" w:color="auto"/>
        <w:left w:val="none" w:sz="0" w:space="0" w:color="auto"/>
        <w:bottom w:val="none" w:sz="0" w:space="0" w:color="auto"/>
        <w:right w:val="none" w:sz="0" w:space="0" w:color="auto"/>
      </w:divBdr>
    </w:div>
    <w:div w:id="878858623">
      <w:bodyDiv w:val="1"/>
      <w:marLeft w:val="0"/>
      <w:marRight w:val="0"/>
      <w:marTop w:val="0"/>
      <w:marBottom w:val="0"/>
      <w:divBdr>
        <w:top w:val="none" w:sz="0" w:space="0" w:color="auto"/>
        <w:left w:val="none" w:sz="0" w:space="0" w:color="auto"/>
        <w:bottom w:val="none" w:sz="0" w:space="0" w:color="auto"/>
        <w:right w:val="none" w:sz="0" w:space="0" w:color="auto"/>
      </w:divBdr>
    </w:div>
    <w:div w:id="1323895832">
      <w:bodyDiv w:val="1"/>
      <w:marLeft w:val="0"/>
      <w:marRight w:val="0"/>
      <w:marTop w:val="0"/>
      <w:marBottom w:val="0"/>
      <w:divBdr>
        <w:top w:val="none" w:sz="0" w:space="0" w:color="auto"/>
        <w:left w:val="none" w:sz="0" w:space="0" w:color="auto"/>
        <w:bottom w:val="none" w:sz="0" w:space="0" w:color="auto"/>
        <w:right w:val="none" w:sz="0" w:space="0" w:color="auto"/>
      </w:divBdr>
    </w:div>
    <w:div w:id="1384450031">
      <w:bodyDiv w:val="1"/>
      <w:marLeft w:val="0"/>
      <w:marRight w:val="0"/>
      <w:marTop w:val="0"/>
      <w:marBottom w:val="0"/>
      <w:divBdr>
        <w:top w:val="none" w:sz="0" w:space="0" w:color="auto"/>
        <w:left w:val="none" w:sz="0" w:space="0" w:color="auto"/>
        <w:bottom w:val="none" w:sz="0" w:space="0" w:color="auto"/>
        <w:right w:val="none" w:sz="0" w:space="0" w:color="auto"/>
      </w:divBdr>
    </w:div>
    <w:div w:id="1565287491">
      <w:bodyDiv w:val="1"/>
      <w:marLeft w:val="0"/>
      <w:marRight w:val="0"/>
      <w:marTop w:val="0"/>
      <w:marBottom w:val="0"/>
      <w:divBdr>
        <w:top w:val="none" w:sz="0" w:space="0" w:color="auto"/>
        <w:left w:val="none" w:sz="0" w:space="0" w:color="auto"/>
        <w:bottom w:val="none" w:sz="0" w:space="0" w:color="auto"/>
        <w:right w:val="none" w:sz="0" w:space="0" w:color="auto"/>
      </w:divBdr>
    </w:div>
    <w:div w:id="1580943261">
      <w:bodyDiv w:val="1"/>
      <w:marLeft w:val="0"/>
      <w:marRight w:val="0"/>
      <w:marTop w:val="0"/>
      <w:marBottom w:val="0"/>
      <w:divBdr>
        <w:top w:val="none" w:sz="0" w:space="0" w:color="auto"/>
        <w:left w:val="none" w:sz="0" w:space="0" w:color="auto"/>
        <w:bottom w:val="none" w:sz="0" w:space="0" w:color="auto"/>
        <w:right w:val="none" w:sz="0" w:space="0" w:color="auto"/>
      </w:divBdr>
    </w:div>
    <w:div w:id="1620257630">
      <w:bodyDiv w:val="1"/>
      <w:marLeft w:val="0"/>
      <w:marRight w:val="0"/>
      <w:marTop w:val="0"/>
      <w:marBottom w:val="0"/>
      <w:divBdr>
        <w:top w:val="none" w:sz="0" w:space="0" w:color="auto"/>
        <w:left w:val="none" w:sz="0" w:space="0" w:color="auto"/>
        <w:bottom w:val="none" w:sz="0" w:space="0" w:color="auto"/>
        <w:right w:val="none" w:sz="0" w:space="0" w:color="auto"/>
      </w:divBdr>
    </w:div>
    <w:div w:id="1700426973">
      <w:bodyDiv w:val="1"/>
      <w:marLeft w:val="0"/>
      <w:marRight w:val="0"/>
      <w:marTop w:val="0"/>
      <w:marBottom w:val="0"/>
      <w:divBdr>
        <w:top w:val="none" w:sz="0" w:space="0" w:color="auto"/>
        <w:left w:val="none" w:sz="0" w:space="0" w:color="auto"/>
        <w:bottom w:val="none" w:sz="0" w:space="0" w:color="auto"/>
        <w:right w:val="none" w:sz="0" w:space="0" w:color="auto"/>
      </w:divBdr>
    </w:div>
    <w:div w:id="1776558818">
      <w:bodyDiv w:val="1"/>
      <w:marLeft w:val="0"/>
      <w:marRight w:val="0"/>
      <w:marTop w:val="0"/>
      <w:marBottom w:val="0"/>
      <w:divBdr>
        <w:top w:val="none" w:sz="0" w:space="0" w:color="auto"/>
        <w:left w:val="none" w:sz="0" w:space="0" w:color="auto"/>
        <w:bottom w:val="none" w:sz="0" w:space="0" w:color="auto"/>
        <w:right w:val="none" w:sz="0" w:space="0" w:color="auto"/>
      </w:divBdr>
    </w:div>
    <w:div w:id="177825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 Alvear Bautista</dc:creator>
  <cp:lastModifiedBy>Esteban Alejandro Rodriguez Vaca</cp:lastModifiedBy>
  <cp:revision>5</cp:revision>
  <dcterms:created xsi:type="dcterms:W3CDTF">2020-11-10T01:13:00Z</dcterms:created>
  <dcterms:modified xsi:type="dcterms:W3CDTF">2020-11-10T03:09:00Z</dcterms:modified>
</cp:coreProperties>
</file>