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61" w:rsidRPr="00296F35" w:rsidRDefault="003D19B6" w:rsidP="00704DA6">
      <w:pPr>
        <w:spacing w:after="0" w:line="240" w:lineRule="auto"/>
        <w:jc w:val="right"/>
        <w:rPr>
          <w:rFonts w:ascii="Palatino Linotype" w:hAnsi="Palatino Linotype" w:cs="Times New Roman"/>
        </w:rPr>
      </w:pPr>
      <w:r w:rsidRPr="00296F35">
        <w:rPr>
          <w:rFonts w:ascii="Palatino Linotype" w:hAnsi="Palatino Linotype" w:cs="Times New Roman"/>
          <w:b/>
        </w:rPr>
        <w:t>Resolución No. 0</w:t>
      </w:r>
      <w:r w:rsidR="00FD7422" w:rsidRPr="00296F35">
        <w:rPr>
          <w:rFonts w:ascii="Palatino Linotype" w:hAnsi="Palatino Linotype" w:cs="Times New Roman"/>
          <w:b/>
        </w:rPr>
        <w:t>0</w:t>
      </w:r>
      <w:r w:rsidR="00E961C0" w:rsidRPr="00296F35">
        <w:rPr>
          <w:rFonts w:ascii="Palatino Linotype" w:hAnsi="Palatino Linotype" w:cs="Times New Roman"/>
          <w:b/>
        </w:rPr>
        <w:t>9</w:t>
      </w:r>
      <w:r w:rsidR="00387B5B" w:rsidRPr="00296F35">
        <w:rPr>
          <w:rFonts w:ascii="Palatino Linotype" w:hAnsi="Palatino Linotype" w:cs="Times New Roman"/>
          <w:b/>
        </w:rPr>
        <w:t>-CPC-2020</w:t>
      </w:r>
    </w:p>
    <w:p w:rsidR="007D3136" w:rsidRPr="00296F35" w:rsidRDefault="007D3136" w:rsidP="00704DA6">
      <w:pPr>
        <w:spacing w:after="0" w:line="240" w:lineRule="auto"/>
        <w:jc w:val="right"/>
        <w:rPr>
          <w:rFonts w:ascii="Palatino Linotype" w:hAnsi="Palatino Linotype" w:cs="Times New Roman"/>
        </w:rPr>
      </w:pPr>
    </w:p>
    <w:p w:rsidR="002150FC" w:rsidRDefault="002150FC" w:rsidP="00025992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2150FC" w:rsidRDefault="002150FC" w:rsidP="00025992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D57F14" w:rsidRPr="00296F35" w:rsidRDefault="00D57F14" w:rsidP="00025992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296F35">
        <w:rPr>
          <w:rFonts w:ascii="Palatino Linotype" w:hAnsi="Palatino Linotype"/>
          <w:sz w:val="22"/>
          <w:szCs w:val="22"/>
        </w:rPr>
        <w:t xml:space="preserve">María Fernanda Garcés </w:t>
      </w:r>
    </w:p>
    <w:p w:rsidR="00E961C0" w:rsidRPr="002150FC" w:rsidRDefault="00C04858" w:rsidP="00025992">
      <w:pPr>
        <w:pStyle w:val="Defaul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Secretari</w:t>
      </w:r>
      <w:r w:rsidR="00E961C0" w:rsidRPr="002150FC">
        <w:rPr>
          <w:rFonts w:ascii="Palatino Linotype" w:hAnsi="Palatino Linotype" w:cs="Times New Roman"/>
          <w:b/>
          <w:sz w:val="22"/>
          <w:szCs w:val="22"/>
        </w:rPr>
        <w:t>a de Desarrol</w:t>
      </w:r>
      <w:r w:rsidR="00D57F14" w:rsidRPr="002150FC">
        <w:rPr>
          <w:rFonts w:ascii="Palatino Linotype" w:hAnsi="Palatino Linotype" w:cs="Times New Roman"/>
          <w:b/>
          <w:sz w:val="22"/>
          <w:szCs w:val="22"/>
        </w:rPr>
        <w:t>lo Productivo y Competitividad</w:t>
      </w:r>
    </w:p>
    <w:p w:rsidR="00E961C0" w:rsidRPr="00296F35" w:rsidRDefault="00E961C0" w:rsidP="00025992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</w:p>
    <w:p w:rsidR="00D57F14" w:rsidRPr="00296F35" w:rsidRDefault="00D57F14" w:rsidP="00025992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296F35">
        <w:rPr>
          <w:rFonts w:ascii="Palatino Linotype" w:hAnsi="Palatino Linotype"/>
          <w:sz w:val="22"/>
          <w:szCs w:val="22"/>
        </w:rPr>
        <w:t xml:space="preserve">María Gabriela Quiroga </w:t>
      </w:r>
    </w:p>
    <w:p w:rsidR="00E961C0" w:rsidRPr="002150FC" w:rsidRDefault="00D57F14" w:rsidP="00025992">
      <w:pPr>
        <w:pStyle w:val="Defaul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150FC">
        <w:rPr>
          <w:rFonts w:ascii="Palatino Linotype" w:hAnsi="Palatino Linotype" w:cs="Times New Roman"/>
          <w:b/>
          <w:sz w:val="22"/>
          <w:szCs w:val="22"/>
        </w:rPr>
        <w:t>Secretari</w:t>
      </w:r>
      <w:r w:rsidR="00E961C0" w:rsidRPr="002150FC">
        <w:rPr>
          <w:rFonts w:ascii="Palatino Linotype" w:hAnsi="Palatino Linotype" w:cs="Times New Roman"/>
          <w:b/>
          <w:sz w:val="22"/>
          <w:szCs w:val="22"/>
        </w:rPr>
        <w:t xml:space="preserve">a de Inclusión Social </w:t>
      </w:r>
    </w:p>
    <w:p w:rsidR="00E961C0" w:rsidRPr="002150FC" w:rsidRDefault="00E961C0" w:rsidP="00025992">
      <w:pPr>
        <w:pStyle w:val="Defaul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:rsidR="00D57F14" w:rsidRPr="00296F35" w:rsidRDefault="00D57F14" w:rsidP="00025992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296F35">
        <w:rPr>
          <w:rFonts w:ascii="Palatino Linotype" w:hAnsi="Palatino Linotype" w:cs="Times New Roman"/>
          <w:sz w:val="22"/>
          <w:szCs w:val="22"/>
        </w:rPr>
        <w:t xml:space="preserve">Patricio </w:t>
      </w:r>
      <w:proofErr w:type="spellStart"/>
      <w:r w:rsidRPr="00296F35">
        <w:rPr>
          <w:rFonts w:ascii="Palatino Linotype" w:hAnsi="Palatino Linotype" w:cs="Times New Roman"/>
          <w:sz w:val="22"/>
          <w:szCs w:val="22"/>
        </w:rPr>
        <w:t>Ubidia</w:t>
      </w:r>
      <w:proofErr w:type="spellEnd"/>
    </w:p>
    <w:p w:rsidR="00E961C0" w:rsidRPr="00296F35" w:rsidRDefault="00D57F14" w:rsidP="00025992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2150FC">
        <w:rPr>
          <w:rFonts w:ascii="Palatino Linotype" w:hAnsi="Palatino Linotype" w:cs="Times New Roman"/>
          <w:b/>
          <w:sz w:val="22"/>
          <w:szCs w:val="22"/>
        </w:rPr>
        <w:t>Secretario</w:t>
      </w:r>
      <w:r w:rsidR="00E961C0" w:rsidRPr="002150FC">
        <w:rPr>
          <w:rFonts w:ascii="Palatino Linotype" w:hAnsi="Palatino Linotype" w:cs="Times New Roman"/>
          <w:b/>
          <w:sz w:val="22"/>
          <w:szCs w:val="22"/>
        </w:rPr>
        <w:t xml:space="preserve"> de Coordinación Territorial y Participación Ciudadana</w:t>
      </w:r>
      <w:r w:rsidR="00E961C0" w:rsidRPr="00296F35">
        <w:rPr>
          <w:rFonts w:ascii="Palatino Linotype" w:hAnsi="Palatino Linotype" w:cs="Times New Roman"/>
          <w:sz w:val="22"/>
          <w:szCs w:val="22"/>
        </w:rPr>
        <w:t xml:space="preserve"> </w:t>
      </w:r>
    </w:p>
    <w:p w:rsidR="00E961C0" w:rsidRPr="00296F35" w:rsidRDefault="00E961C0" w:rsidP="00025992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</w:p>
    <w:p w:rsidR="001C05EA" w:rsidRPr="00296F35" w:rsidRDefault="001C05EA" w:rsidP="00025992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296F35">
        <w:rPr>
          <w:rFonts w:ascii="Palatino Linotype" w:hAnsi="Palatino Linotype"/>
          <w:sz w:val="22"/>
          <w:szCs w:val="22"/>
        </w:rPr>
        <w:t>María Montalvo Carrión</w:t>
      </w:r>
    </w:p>
    <w:p w:rsidR="001C05EA" w:rsidRPr="002150FC" w:rsidRDefault="001C05EA" w:rsidP="00025992">
      <w:pPr>
        <w:pStyle w:val="Defaul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150FC">
        <w:rPr>
          <w:rFonts w:ascii="Palatino Linotype" w:hAnsi="Palatino Linotype" w:cs="Times New Roman"/>
          <w:b/>
          <w:sz w:val="22"/>
          <w:szCs w:val="22"/>
        </w:rPr>
        <w:t xml:space="preserve">Directora Ejecutiva </w:t>
      </w:r>
    </w:p>
    <w:p w:rsidR="00E961C0" w:rsidRPr="00296F35" w:rsidRDefault="00E961C0" w:rsidP="00025992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2150FC">
        <w:rPr>
          <w:rFonts w:ascii="Palatino Linotype" w:hAnsi="Palatino Linotype" w:cs="Times New Roman"/>
          <w:b/>
          <w:sz w:val="22"/>
          <w:szCs w:val="22"/>
        </w:rPr>
        <w:t xml:space="preserve">Corporación de Promoción Económica CONQUITO </w:t>
      </w:r>
    </w:p>
    <w:p w:rsidR="00E961C0" w:rsidRPr="00296F35" w:rsidRDefault="00E961C0" w:rsidP="00025992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</w:p>
    <w:p w:rsidR="001C05EA" w:rsidRPr="00296F35" w:rsidRDefault="001C05EA" w:rsidP="0002599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296F35">
        <w:rPr>
          <w:rFonts w:ascii="Palatino Linotype" w:hAnsi="Palatino Linotype"/>
          <w:sz w:val="22"/>
          <w:szCs w:val="22"/>
        </w:rPr>
        <w:t>Nelson Tapia Rodríguez</w:t>
      </w:r>
    </w:p>
    <w:p w:rsidR="001C05EA" w:rsidRPr="002150FC" w:rsidRDefault="001C05EA" w:rsidP="00025992">
      <w:pPr>
        <w:pStyle w:val="Defaul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150FC">
        <w:rPr>
          <w:rFonts w:ascii="Palatino Linotype" w:hAnsi="Palatino Linotype"/>
          <w:b/>
          <w:sz w:val="22"/>
          <w:szCs w:val="22"/>
        </w:rPr>
        <w:t>Gerente General</w:t>
      </w:r>
    </w:p>
    <w:p w:rsidR="00D65EC9" w:rsidRPr="00296F35" w:rsidRDefault="00E961C0" w:rsidP="00025992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2150FC">
        <w:rPr>
          <w:rFonts w:ascii="Palatino Linotype" w:hAnsi="Palatino Linotype" w:cs="Times New Roman"/>
          <w:b/>
          <w:sz w:val="22"/>
          <w:szCs w:val="22"/>
        </w:rPr>
        <w:t>Empresa Pública Metropolitana Mercado Mayorista de Quito</w:t>
      </w:r>
    </w:p>
    <w:p w:rsidR="009F70C5" w:rsidRPr="00296F35" w:rsidRDefault="009F70C5" w:rsidP="00CE7D7F">
      <w:pPr>
        <w:pStyle w:val="Default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FF51A6" w:rsidRPr="00296F35" w:rsidRDefault="00704DA6" w:rsidP="00CE7D7F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296F35">
        <w:rPr>
          <w:rFonts w:ascii="Palatino Linotype" w:hAnsi="Palatino Linotype" w:cs="Times New Roman"/>
          <w:sz w:val="22"/>
          <w:szCs w:val="22"/>
        </w:rPr>
        <w:t>Presente. -</w:t>
      </w:r>
    </w:p>
    <w:p w:rsidR="00415361" w:rsidRPr="00296F35" w:rsidRDefault="00415361" w:rsidP="00025992">
      <w:pPr>
        <w:pStyle w:val="Default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</w:p>
    <w:p w:rsidR="00FA29CE" w:rsidRPr="00296F35" w:rsidRDefault="003D19B6" w:rsidP="00850C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96F35">
        <w:rPr>
          <w:rFonts w:ascii="Palatino Linotype" w:hAnsi="Palatino Linotype" w:cs="Tahoma"/>
          <w:color w:val="000000" w:themeColor="text1"/>
        </w:rPr>
        <w:t xml:space="preserve">La Comisión de Participación Ciudadana y Gobierno </w:t>
      </w:r>
      <w:r w:rsidR="00643D48" w:rsidRPr="00296F35">
        <w:rPr>
          <w:rFonts w:ascii="Palatino Linotype" w:hAnsi="Palatino Linotype" w:cs="Tahoma"/>
          <w:color w:val="000000" w:themeColor="text1"/>
        </w:rPr>
        <w:t xml:space="preserve">Abierto, en sesión </w:t>
      </w:r>
      <w:r w:rsidR="003304D7" w:rsidRPr="00296F35">
        <w:rPr>
          <w:rFonts w:ascii="Palatino Linotype" w:hAnsi="Palatino Linotype" w:cs="Tahoma"/>
          <w:color w:val="000000" w:themeColor="text1"/>
        </w:rPr>
        <w:t>No. 020</w:t>
      </w:r>
      <w:r w:rsidR="00DE50C4" w:rsidRPr="00296F35">
        <w:rPr>
          <w:rFonts w:ascii="Palatino Linotype" w:hAnsi="Palatino Linotype" w:cs="Tahoma"/>
          <w:color w:val="000000" w:themeColor="text1"/>
        </w:rPr>
        <w:t xml:space="preserve"> O</w:t>
      </w:r>
      <w:r w:rsidR="00643D48" w:rsidRPr="00296F35">
        <w:rPr>
          <w:rFonts w:ascii="Palatino Linotype" w:hAnsi="Palatino Linotype" w:cs="Tahoma"/>
          <w:color w:val="000000" w:themeColor="text1"/>
        </w:rPr>
        <w:t xml:space="preserve">rdinaria de </w:t>
      </w:r>
      <w:r w:rsidR="003304D7" w:rsidRPr="00296F35">
        <w:rPr>
          <w:rFonts w:ascii="Palatino Linotype" w:hAnsi="Palatino Linotype" w:cs="Tahoma"/>
          <w:color w:val="000000" w:themeColor="text1"/>
        </w:rPr>
        <w:t xml:space="preserve">08 </w:t>
      </w:r>
      <w:r w:rsidR="00387B5B" w:rsidRPr="00296F35">
        <w:rPr>
          <w:rFonts w:ascii="Palatino Linotype" w:hAnsi="Palatino Linotype" w:cs="Tahoma"/>
          <w:color w:val="000000" w:themeColor="text1"/>
        </w:rPr>
        <w:t xml:space="preserve">de </w:t>
      </w:r>
      <w:r w:rsidR="003304D7" w:rsidRPr="00296F35">
        <w:rPr>
          <w:rFonts w:ascii="Palatino Linotype" w:hAnsi="Palatino Linotype" w:cs="Tahoma"/>
          <w:color w:val="000000" w:themeColor="text1"/>
        </w:rPr>
        <w:t xml:space="preserve">abril </w:t>
      </w:r>
      <w:r w:rsidR="00387B5B" w:rsidRPr="00296F35">
        <w:rPr>
          <w:rFonts w:ascii="Palatino Linotype" w:hAnsi="Palatino Linotype" w:cs="Tahoma"/>
          <w:color w:val="000000" w:themeColor="text1"/>
        </w:rPr>
        <w:t>de 2020</w:t>
      </w:r>
      <w:r w:rsidRPr="00296F35">
        <w:rPr>
          <w:rFonts w:ascii="Palatino Linotype" w:hAnsi="Palatino Linotype" w:cs="Tahoma"/>
          <w:color w:val="000000" w:themeColor="text1"/>
        </w:rPr>
        <w:t xml:space="preserve">, </w:t>
      </w:r>
      <w:r w:rsidR="003304D7" w:rsidRPr="00296F35">
        <w:rPr>
          <w:rFonts w:ascii="Palatino Linotype" w:hAnsi="Palatino Linotype" w:cs="Tahoma"/>
          <w:color w:val="000000" w:themeColor="text1"/>
        </w:rPr>
        <w:t xml:space="preserve">luego de conocer sobre las acciones realizadas respecto a la recolección y registro de donaciones; así como la distribución y entrega </w:t>
      </w:r>
      <w:r w:rsidR="00D90AF2" w:rsidRPr="00296F35">
        <w:rPr>
          <w:rFonts w:ascii="Palatino Linotype" w:hAnsi="Palatino Linotype" w:cs="Tahoma"/>
          <w:color w:val="000000" w:themeColor="text1"/>
        </w:rPr>
        <w:t>d</w:t>
      </w:r>
      <w:r w:rsidR="003304D7" w:rsidRPr="00296F35">
        <w:rPr>
          <w:rFonts w:ascii="Palatino Linotype" w:hAnsi="Palatino Linotype" w:cs="Tahoma"/>
          <w:color w:val="000000" w:themeColor="text1"/>
        </w:rPr>
        <w:t xml:space="preserve">e kits durante la emergencia sanitaria en el </w:t>
      </w:r>
      <w:r w:rsidR="00A72C15" w:rsidRPr="00296F35">
        <w:rPr>
          <w:rFonts w:ascii="Palatino Linotype" w:hAnsi="Palatino Linotype" w:cs="Tahoma"/>
          <w:color w:val="000000" w:themeColor="text1"/>
        </w:rPr>
        <w:t>Distrito Metropolitano de Quito</w:t>
      </w:r>
      <w:r w:rsidR="00D90AF2" w:rsidRPr="00296F35">
        <w:rPr>
          <w:rFonts w:ascii="Palatino Linotype" w:hAnsi="Palatino Linotype" w:cs="Tahoma"/>
          <w:color w:val="000000" w:themeColor="text1"/>
        </w:rPr>
        <w:t xml:space="preserve"> a grupos vulnerables o de atención prioritaria</w:t>
      </w:r>
      <w:r w:rsidR="00A72C15" w:rsidRPr="00296F35">
        <w:rPr>
          <w:rFonts w:ascii="Palatino Linotype" w:hAnsi="Palatino Linotype" w:cs="Tahoma"/>
          <w:color w:val="000000" w:themeColor="text1"/>
        </w:rPr>
        <w:t xml:space="preserve">, </w:t>
      </w:r>
      <w:r w:rsidR="00CE6AFF" w:rsidRPr="00296F35">
        <w:rPr>
          <w:rFonts w:ascii="Palatino Linotype" w:hAnsi="Palatino Linotype"/>
          <w:b/>
        </w:rPr>
        <w:t>r</w:t>
      </w:r>
      <w:r w:rsidR="00834DF5" w:rsidRPr="00296F35">
        <w:rPr>
          <w:rFonts w:ascii="Palatino Linotype" w:hAnsi="Palatino Linotype"/>
          <w:b/>
        </w:rPr>
        <w:t>esol</w:t>
      </w:r>
      <w:r w:rsidR="00CE6AFF" w:rsidRPr="00296F35">
        <w:rPr>
          <w:rFonts w:ascii="Palatino Linotype" w:hAnsi="Palatino Linotype"/>
          <w:b/>
        </w:rPr>
        <w:t>vió</w:t>
      </w:r>
      <w:r w:rsidR="00834DF5" w:rsidRPr="00296F35">
        <w:rPr>
          <w:rFonts w:ascii="Palatino Linotype" w:hAnsi="Palatino Linotype"/>
          <w:b/>
        </w:rPr>
        <w:t>:</w:t>
      </w:r>
      <w:r w:rsidR="00FD7422" w:rsidRPr="00296F35">
        <w:rPr>
          <w:rFonts w:ascii="Palatino Linotype" w:hAnsi="Palatino Linotype" w:cs="Times New Roman"/>
        </w:rPr>
        <w:t xml:space="preserve"> </w:t>
      </w:r>
      <w:r w:rsidR="00CD704F" w:rsidRPr="00296F35">
        <w:rPr>
          <w:rFonts w:ascii="Palatino Linotype" w:hAnsi="Palatino Linotype" w:cs="Times New Roman"/>
        </w:rPr>
        <w:t>conformar una mesa de trabajo integrada por la Secretaría de Desarrollo Productivo y Competitividad, Secretar</w:t>
      </w:r>
      <w:r w:rsidR="00900E29">
        <w:rPr>
          <w:rFonts w:ascii="Palatino Linotype" w:hAnsi="Palatino Linotype" w:cs="Times New Roman"/>
        </w:rPr>
        <w:t>í</w:t>
      </w:r>
      <w:r w:rsidR="00CD704F" w:rsidRPr="00296F35">
        <w:rPr>
          <w:rFonts w:ascii="Palatino Linotype" w:hAnsi="Palatino Linotype" w:cs="Times New Roman"/>
        </w:rPr>
        <w:t>a de Inclusión Social, Secretaría de Coordinación Territorial y Participación Ciudadana, Corporación de Promoción Económica CONQUITO</w:t>
      </w:r>
      <w:r w:rsidR="00501E45" w:rsidRPr="00296F35">
        <w:rPr>
          <w:rFonts w:ascii="Palatino Linotype" w:hAnsi="Palatino Linotype" w:cs="Times New Roman"/>
        </w:rPr>
        <w:t xml:space="preserve">, Empresa </w:t>
      </w:r>
      <w:r w:rsidR="0020628E" w:rsidRPr="00296F35">
        <w:rPr>
          <w:rFonts w:ascii="Palatino Linotype" w:hAnsi="Palatino Linotype" w:cs="Times New Roman"/>
        </w:rPr>
        <w:t xml:space="preserve">Pública </w:t>
      </w:r>
      <w:r w:rsidR="00501E45" w:rsidRPr="00296F35">
        <w:rPr>
          <w:rFonts w:ascii="Palatino Linotype" w:hAnsi="Palatino Linotype" w:cs="Times New Roman"/>
        </w:rPr>
        <w:t>Metropolitana Mercado Mayorista</w:t>
      </w:r>
      <w:r w:rsidR="0020628E" w:rsidRPr="00296F35">
        <w:rPr>
          <w:rFonts w:ascii="Palatino Linotype" w:hAnsi="Palatino Linotype" w:cs="Times New Roman"/>
        </w:rPr>
        <w:t xml:space="preserve"> de Quito; así como representantes de la empresa privada</w:t>
      </w:r>
      <w:r w:rsidR="00850C8C" w:rsidRPr="00296F35">
        <w:rPr>
          <w:rFonts w:ascii="Palatino Linotype" w:hAnsi="Palatino Linotype" w:cs="Times New Roman"/>
        </w:rPr>
        <w:t>, academia</w:t>
      </w:r>
      <w:r w:rsidR="00B23160" w:rsidRPr="00296F35">
        <w:rPr>
          <w:rFonts w:ascii="Palatino Linotype" w:hAnsi="Palatino Linotype" w:cs="Times New Roman"/>
        </w:rPr>
        <w:t xml:space="preserve"> y ciudadanía</w:t>
      </w:r>
      <w:r w:rsidR="0020628E" w:rsidRPr="00296F35">
        <w:rPr>
          <w:rFonts w:ascii="Palatino Linotype" w:hAnsi="Palatino Linotype" w:cs="Times New Roman"/>
        </w:rPr>
        <w:t xml:space="preserve">, </w:t>
      </w:r>
      <w:r w:rsidR="00900E29">
        <w:rPr>
          <w:rFonts w:ascii="Palatino Linotype" w:hAnsi="Palatino Linotype" w:cs="Times New Roman"/>
        </w:rPr>
        <w:t xml:space="preserve">con el </w:t>
      </w:r>
      <w:r w:rsidR="00CD704F" w:rsidRPr="00296F35">
        <w:rPr>
          <w:rFonts w:ascii="Palatino Linotype" w:hAnsi="Palatino Linotype" w:cs="Times New Roman"/>
        </w:rPr>
        <w:t xml:space="preserve">fin de establecer </w:t>
      </w:r>
      <w:r w:rsidR="0020628E" w:rsidRPr="00296F35">
        <w:rPr>
          <w:rFonts w:ascii="Palatino Linotype" w:hAnsi="Palatino Linotype" w:cs="Times New Roman"/>
        </w:rPr>
        <w:t xml:space="preserve">estrategias  </w:t>
      </w:r>
      <w:r w:rsidR="00B23160" w:rsidRPr="00296F35">
        <w:rPr>
          <w:rFonts w:ascii="Palatino Linotype" w:hAnsi="Palatino Linotype" w:cs="Times New Roman"/>
        </w:rPr>
        <w:t>encaminada</w:t>
      </w:r>
      <w:r w:rsidR="00C04858">
        <w:rPr>
          <w:rFonts w:ascii="Palatino Linotype" w:hAnsi="Palatino Linotype" w:cs="Times New Roman"/>
        </w:rPr>
        <w:t>s</w:t>
      </w:r>
      <w:r w:rsidR="005573FB">
        <w:rPr>
          <w:rFonts w:ascii="Palatino Linotype" w:hAnsi="Palatino Linotype" w:cs="Times New Roman"/>
        </w:rPr>
        <w:t xml:space="preserve"> a afrontar</w:t>
      </w:r>
      <w:bookmarkStart w:id="0" w:name="_GoBack"/>
      <w:bookmarkEnd w:id="0"/>
      <w:r w:rsidR="00B23160" w:rsidRPr="00296F35">
        <w:rPr>
          <w:rFonts w:ascii="Palatino Linotype" w:hAnsi="Palatino Linotype" w:cs="Times New Roman"/>
        </w:rPr>
        <w:t xml:space="preserve"> la crisis alimentaria, así como</w:t>
      </w:r>
      <w:r w:rsidR="00850C8C" w:rsidRPr="00296F35">
        <w:rPr>
          <w:rFonts w:ascii="Palatino Linotype" w:hAnsi="Palatino Linotype" w:cs="Times New Roman"/>
        </w:rPr>
        <w:t xml:space="preserve"> </w:t>
      </w:r>
      <w:r w:rsidR="00B23160" w:rsidRPr="00296F35">
        <w:rPr>
          <w:rFonts w:ascii="Palatino Linotype" w:hAnsi="Palatino Linotype" w:cs="Times New Roman"/>
        </w:rPr>
        <w:t xml:space="preserve">dinamizar la economía de la ciudad, </w:t>
      </w:r>
      <w:r w:rsidR="00850C8C" w:rsidRPr="00296F35">
        <w:rPr>
          <w:rFonts w:ascii="Palatino Linotype" w:hAnsi="Palatino Linotype" w:cs="Times New Roman"/>
        </w:rPr>
        <w:t xml:space="preserve">estableciendo un </w:t>
      </w:r>
      <w:r w:rsidR="00CD704F" w:rsidRPr="00296F35">
        <w:rPr>
          <w:rFonts w:ascii="Palatino Linotype" w:hAnsi="Palatino Linotype" w:cs="Times New Roman"/>
        </w:rPr>
        <w:t xml:space="preserve"> procedimiento adecuado para la gestión del bancos de alimentos como una  posible solución para las comunidades en situación</w:t>
      </w:r>
      <w:r w:rsidR="00900E29">
        <w:rPr>
          <w:rFonts w:ascii="Palatino Linotype" w:hAnsi="Palatino Linotype" w:cs="Times New Roman"/>
        </w:rPr>
        <w:t xml:space="preserve"> de vulnerabilidad</w:t>
      </w:r>
      <w:r w:rsidR="00850C8C" w:rsidRPr="00296F35">
        <w:rPr>
          <w:rFonts w:ascii="Palatino Linotype" w:hAnsi="Palatino Linotype" w:cs="Times New Roman"/>
        </w:rPr>
        <w:t>.</w:t>
      </w:r>
    </w:p>
    <w:p w:rsidR="00FA29CE" w:rsidRPr="00296F35" w:rsidRDefault="00FA29CE" w:rsidP="00A72C1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65D10" w:rsidRPr="00296F35" w:rsidRDefault="00865D10" w:rsidP="00865D10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  <w:r w:rsidRPr="00296F35">
        <w:rPr>
          <w:rFonts w:ascii="Palatino Linotype" w:hAnsi="Palatino Linotype"/>
          <w:sz w:val="22"/>
          <w:szCs w:val="22"/>
        </w:rPr>
        <w:t>Atentamente,</w:t>
      </w:r>
    </w:p>
    <w:p w:rsidR="00025992" w:rsidRPr="00296F35" w:rsidRDefault="00025992" w:rsidP="00025992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845262" w:rsidRPr="00296F35" w:rsidRDefault="00845262" w:rsidP="00025992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524CDD" w:rsidRPr="00296F35" w:rsidRDefault="00524CDD" w:rsidP="00025992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B26EEE" w:rsidRPr="00296F35" w:rsidRDefault="00B26EEE" w:rsidP="00025992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A72C15" w:rsidRPr="00296F35" w:rsidRDefault="00A72C15" w:rsidP="00A72C15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  <w:r w:rsidRPr="00296F35">
        <w:rPr>
          <w:rFonts w:ascii="Palatino Linotype" w:eastAsia="Times New Roman" w:hAnsi="Palatino Linotype" w:cs="Times New Roman"/>
          <w:lang w:val="es-MX" w:eastAsia="es-ES"/>
        </w:rPr>
        <w:t>Abg. Fernando Morales Enríquez</w:t>
      </w:r>
    </w:p>
    <w:p w:rsidR="0092266C" w:rsidRPr="00296F35" w:rsidRDefault="0092266C" w:rsidP="00025992">
      <w:pPr>
        <w:spacing w:after="0" w:line="240" w:lineRule="auto"/>
        <w:jc w:val="both"/>
        <w:rPr>
          <w:rFonts w:ascii="Palatino Linotype" w:hAnsi="Palatino Linotype"/>
          <w:b/>
        </w:rPr>
      </w:pPr>
      <w:r w:rsidRPr="00296F35">
        <w:rPr>
          <w:rFonts w:ascii="Palatino Linotype" w:hAnsi="Palatino Linotype"/>
          <w:b/>
        </w:rPr>
        <w:t>Presidente de la Comisión de Participación Ciudadana</w:t>
      </w:r>
      <w:r w:rsidR="00454830" w:rsidRPr="00296F35">
        <w:rPr>
          <w:rFonts w:ascii="Palatino Linotype" w:hAnsi="Palatino Linotype"/>
          <w:b/>
        </w:rPr>
        <w:t xml:space="preserve"> </w:t>
      </w:r>
      <w:r w:rsidRPr="00296F35">
        <w:rPr>
          <w:rFonts w:ascii="Palatino Linotype" w:hAnsi="Palatino Linotype"/>
          <w:b/>
        </w:rPr>
        <w:t>y Gobierno Abierto</w:t>
      </w:r>
      <w:r w:rsidR="00A72C15" w:rsidRPr="00296F35">
        <w:rPr>
          <w:rFonts w:ascii="Palatino Linotype" w:hAnsi="Palatino Linotype"/>
          <w:b/>
        </w:rPr>
        <w:t>.</w:t>
      </w:r>
    </w:p>
    <w:p w:rsidR="0092266C" w:rsidRPr="00296F35" w:rsidRDefault="0092266C" w:rsidP="00025992">
      <w:pPr>
        <w:spacing w:after="0" w:line="240" w:lineRule="auto"/>
        <w:jc w:val="both"/>
        <w:rPr>
          <w:rFonts w:ascii="Palatino Linotype" w:hAnsi="Palatino Linotype"/>
        </w:rPr>
      </w:pPr>
    </w:p>
    <w:p w:rsidR="0092266C" w:rsidRPr="00296F35" w:rsidRDefault="00933DBD" w:rsidP="00025992">
      <w:pPr>
        <w:spacing w:after="0" w:line="240" w:lineRule="auto"/>
        <w:jc w:val="both"/>
        <w:rPr>
          <w:rFonts w:ascii="Palatino Linotype" w:hAnsi="Palatino Linotype"/>
        </w:rPr>
      </w:pPr>
      <w:r w:rsidRPr="00296F35">
        <w:rPr>
          <w:rFonts w:ascii="Palatino Linotype" w:hAnsi="Palatino Linotype"/>
        </w:rPr>
        <w:lastRenderedPageBreak/>
        <w:t>La</w:t>
      </w:r>
      <w:r w:rsidR="0092266C" w:rsidRPr="00296F35">
        <w:rPr>
          <w:rFonts w:ascii="Palatino Linotype" w:hAnsi="Palatino Linotype"/>
        </w:rPr>
        <w:t xml:space="preserve"> Secretari</w:t>
      </w:r>
      <w:r w:rsidRPr="00296F35">
        <w:rPr>
          <w:rFonts w:ascii="Palatino Linotype" w:hAnsi="Palatino Linotype"/>
        </w:rPr>
        <w:t>a</w:t>
      </w:r>
      <w:r w:rsidR="0092266C" w:rsidRPr="00296F35">
        <w:rPr>
          <w:rFonts w:ascii="Palatino Linotype" w:hAnsi="Palatino Linotype"/>
        </w:rPr>
        <w:t xml:space="preserve"> General del Concejo Metropolitano de Quito</w:t>
      </w:r>
      <w:r w:rsidR="00EF154A" w:rsidRPr="00296F35">
        <w:rPr>
          <w:rFonts w:ascii="Palatino Linotype" w:hAnsi="Palatino Linotype"/>
        </w:rPr>
        <w:t xml:space="preserve"> (E)</w:t>
      </w:r>
      <w:r w:rsidR="0092266C" w:rsidRPr="00296F35">
        <w:rPr>
          <w:rFonts w:ascii="Palatino Linotype" w:hAnsi="Palatino Linotype"/>
        </w:rPr>
        <w:t xml:space="preserve">, certifica que la </w:t>
      </w:r>
      <w:r w:rsidR="00025992" w:rsidRPr="00296F35">
        <w:rPr>
          <w:rFonts w:ascii="Palatino Linotype" w:hAnsi="Palatino Linotype"/>
        </w:rPr>
        <w:t>resolución fue tratada</w:t>
      </w:r>
      <w:r w:rsidR="0092266C" w:rsidRPr="00296F35">
        <w:rPr>
          <w:rFonts w:ascii="Palatino Linotype" w:hAnsi="Palatino Linotype"/>
        </w:rPr>
        <w:t xml:space="preserve"> por la Comisión </w:t>
      </w:r>
      <w:r w:rsidR="0092266C" w:rsidRPr="00296F35">
        <w:rPr>
          <w:rFonts w:ascii="Palatino Linotype" w:hAnsi="Palatino Linotype" w:cs="Times New Roman"/>
        </w:rPr>
        <w:t>de Participación Ciudadana y Gobierno Abierto</w:t>
      </w:r>
      <w:r w:rsidR="0092266C" w:rsidRPr="00296F35">
        <w:rPr>
          <w:rFonts w:ascii="Palatino Linotype" w:hAnsi="Palatino Linotype"/>
        </w:rPr>
        <w:t>,</w:t>
      </w:r>
      <w:r w:rsidR="0092266C" w:rsidRPr="00296F35">
        <w:rPr>
          <w:rFonts w:ascii="Palatino Linotype" w:hAnsi="Palatino Linotype"/>
          <w:b/>
        </w:rPr>
        <w:t xml:space="preserve"> </w:t>
      </w:r>
      <w:r w:rsidR="0092266C" w:rsidRPr="00296F35">
        <w:rPr>
          <w:rFonts w:ascii="Palatino Linotype" w:hAnsi="Palatino Linotype"/>
        </w:rPr>
        <w:t xml:space="preserve">en sesión realizada el </w:t>
      </w:r>
      <w:r w:rsidR="00A01591" w:rsidRPr="00296F35">
        <w:rPr>
          <w:rFonts w:ascii="Palatino Linotype" w:hAnsi="Palatino Linotype"/>
        </w:rPr>
        <w:t xml:space="preserve">día miércoles </w:t>
      </w:r>
      <w:r w:rsidR="00A72C15" w:rsidRPr="00296F35">
        <w:rPr>
          <w:rFonts w:ascii="Palatino Linotype" w:hAnsi="Palatino Linotype" w:cs="Times New Roman"/>
        </w:rPr>
        <w:t>08</w:t>
      </w:r>
      <w:r w:rsidR="00A01591" w:rsidRPr="00296F35">
        <w:rPr>
          <w:rFonts w:ascii="Palatino Linotype" w:hAnsi="Palatino Linotype" w:cs="Times New Roman"/>
        </w:rPr>
        <w:t xml:space="preserve"> de </w:t>
      </w:r>
      <w:r w:rsidR="00A72C15" w:rsidRPr="00296F35">
        <w:rPr>
          <w:rFonts w:ascii="Palatino Linotype" w:hAnsi="Palatino Linotype" w:cs="Times New Roman"/>
        </w:rPr>
        <w:t xml:space="preserve">abril </w:t>
      </w:r>
      <w:r w:rsidR="00387B5B" w:rsidRPr="00296F35">
        <w:rPr>
          <w:rFonts w:ascii="Palatino Linotype" w:hAnsi="Palatino Linotype"/>
        </w:rPr>
        <w:t>de 2020</w:t>
      </w:r>
      <w:r w:rsidR="0092266C" w:rsidRPr="00296F35">
        <w:rPr>
          <w:rFonts w:ascii="Palatino Linotype" w:hAnsi="Palatino Linotype"/>
        </w:rPr>
        <w:t>.</w:t>
      </w:r>
    </w:p>
    <w:p w:rsidR="0092266C" w:rsidRPr="00296F35" w:rsidRDefault="0092266C" w:rsidP="00025992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:rsidR="00BE7ACB" w:rsidRPr="00296F35" w:rsidRDefault="00BE7ACB" w:rsidP="0002599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:rsidR="00485246" w:rsidRPr="00296F35" w:rsidRDefault="00485246" w:rsidP="0002599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:rsidR="0092266C" w:rsidRPr="00296F35" w:rsidRDefault="0092266C" w:rsidP="0002599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296F35">
        <w:rPr>
          <w:rFonts w:ascii="Palatino Linotype" w:hAnsi="Palatino Linotype" w:cs="Times"/>
        </w:rPr>
        <w:t xml:space="preserve">Abg. </w:t>
      </w:r>
      <w:r w:rsidR="00933DBD" w:rsidRPr="00296F35">
        <w:rPr>
          <w:rFonts w:ascii="Palatino Linotype" w:hAnsi="Palatino Linotype" w:cs="Times"/>
        </w:rPr>
        <w:t xml:space="preserve">Damaris Ortiz </w:t>
      </w:r>
      <w:proofErr w:type="spellStart"/>
      <w:r w:rsidR="00933DBD" w:rsidRPr="00296F35">
        <w:rPr>
          <w:rFonts w:ascii="Palatino Linotype" w:hAnsi="Palatino Linotype" w:cs="Times"/>
        </w:rPr>
        <w:t>Pasuy</w:t>
      </w:r>
      <w:proofErr w:type="spellEnd"/>
    </w:p>
    <w:p w:rsidR="00025992" w:rsidRPr="00296F35" w:rsidRDefault="0092266C" w:rsidP="00845262">
      <w:pPr>
        <w:spacing w:after="0" w:line="240" w:lineRule="auto"/>
        <w:rPr>
          <w:rFonts w:ascii="Palatino Linotype" w:hAnsi="Palatino Linotype" w:cs="Times"/>
          <w:b/>
        </w:rPr>
      </w:pPr>
      <w:r w:rsidRPr="00296F35">
        <w:rPr>
          <w:rFonts w:ascii="Palatino Linotype" w:hAnsi="Palatino Linotype" w:cs="Times"/>
          <w:b/>
        </w:rPr>
        <w:t>Secretari</w:t>
      </w:r>
      <w:r w:rsidR="00933DBD" w:rsidRPr="00296F35">
        <w:rPr>
          <w:rFonts w:ascii="Palatino Linotype" w:hAnsi="Palatino Linotype" w:cs="Times"/>
          <w:b/>
        </w:rPr>
        <w:t>a</w:t>
      </w:r>
      <w:r w:rsidRPr="00296F35">
        <w:rPr>
          <w:rFonts w:ascii="Palatino Linotype" w:hAnsi="Palatino Linotype" w:cs="Times"/>
          <w:b/>
        </w:rPr>
        <w:t xml:space="preserve"> General del Concejo Metropolitano de Quito</w:t>
      </w:r>
      <w:r w:rsidR="00933DBD" w:rsidRPr="00296F35">
        <w:rPr>
          <w:rFonts w:ascii="Palatino Linotype" w:hAnsi="Palatino Linotype" w:cs="Times"/>
          <w:b/>
        </w:rPr>
        <w:t xml:space="preserve"> (E)</w:t>
      </w:r>
    </w:p>
    <w:p w:rsidR="00524CDD" w:rsidRPr="00296F35" w:rsidRDefault="00524CDD" w:rsidP="00845262">
      <w:pPr>
        <w:spacing w:after="0" w:line="240" w:lineRule="auto"/>
        <w:rPr>
          <w:rFonts w:ascii="Palatino Linotype" w:hAnsi="Palatino Linotype" w:cs="Times"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851"/>
      </w:tblGrid>
      <w:tr w:rsidR="00025992" w:rsidRPr="00296F35" w:rsidTr="00704DA6">
        <w:tc>
          <w:tcPr>
            <w:tcW w:w="1384" w:type="dxa"/>
          </w:tcPr>
          <w:p w:rsidR="00025992" w:rsidRPr="00296F35" w:rsidRDefault="00025992" w:rsidP="0002599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b/>
                <w:sz w:val="16"/>
                <w:szCs w:val="16"/>
              </w:rPr>
              <w:t>Acción:</w:t>
            </w:r>
          </w:p>
        </w:tc>
        <w:tc>
          <w:tcPr>
            <w:tcW w:w="1418" w:type="dxa"/>
          </w:tcPr>
          <w:p w:rsidR="00025992" w:rsidRPr="00296F35" w:rsidRDefault="00025992" w:rsidP="0002599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992" w:type="dxa"/>
          </w:tcPr>
          <w:p w:rsidR="00025992" w:rsidRPr="00296F35" w:rsidRDefault="00025992" w:rsidP="0002599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</w:tcPr>
          <w:p w:rsidR="00025992" w:rsidRPr="00296F35" w:rsidRDefault="00025992" w:rsidP="0002599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1" w:type="dxa"/>
          </w:tcPr>
          <w:p w:rsidR="00025992" w:rsidRPr="00296F35" w:rsidRDefault="00025992" w:rsidP="0002599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025992" w:rsidRPr="00296F35" w:rsidTr="00704DA6">
        <w:tc>
          <w:tcPr>
            <w:tcW w:w="1384" w:type="dxa"/>
          </w:tcPr>
          <w:p w:rsidR="00025992" w:rsidRPr="00296F35" w:rsidRDefault="00025992" w:rsidP="00025992">
            <w:pPr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>Elaborado por:</w:t>
            </w:r>
          </w:p>
        </w:tc>
        <w:tc>
          <w:tcPr>
            <w:tcW w:w="1418" w:type="dxa"/>
          </w:tcPr>
          <w:p w:rsidR="00025992" w:rsidRPr="00296F35" w:rsidRDefault="00025992" w:rsidP="00025992">
            <w:pPr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 xml:space="preserve">Glenda </w:t>
            </w:r>
            <w:proofErr w:type="spellStart"/>
            <w:r w:rsidRPr="00296F35">
              <w:rPr>
                <w:rFonts w:ascii="Palatino Linotype" w:hAnsi="Palatino Linotype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2" w:type="dxa"/>
          </w:tcPr>
          <w:p w:rsidR="00025992" w:rsidRPr="00296F35" w:rsidRDefault="00025992" w:rsidP="00025992">
            <w:pPr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>SCPC</w:t>
            </w:r>
          </w:p>
        </w:tc>
        <w:tc>
          <w:tcPr>
            <w:tcW w:w="992" w:type="dxa"/>
          </w:tcPr>
          <w:p w:rsidR="00025992" w:rsidRPr="00296F35" w:rsidRDefault="0039104F" w:rsidP="00025992">
            <w:pPr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>2020-04-13</w:t>
            </w:r>
          </w:p>
        </w:tc>
        <w:tc>
          <w:tcPr>
            <w:tcW w:w="851" w:type="dxa"/>
          </w:tcPr>
          <w:p w:rsidR="00025992" w:rsidRPr="00296F35" w:rsidRDefault="00025992" w:rsidP="0002599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25992" w:rsidRPr="00296F35" w:rsidTr="00704DA6">
        <w:tc>
          <w:tcPr>
            <w:tcW w:w="1384" w:type="dxa"/>
          </w:tcPr>
          <w:p w:rsidR="00025992" w:rsidRPr="00296F35" w:rsidRDefault="00025992" w:rsidP="00025992">
            <w:pPr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 xml:space="preserve">Revisado por: </w:t>
            </w:r>
          </w:p>
        </w:tc>
        <w:tc>
          <w:tcPr>
            <w:tcW w:w="1418" w:type="dxa"/>
          </w:tcPr>
          <w:p w:rsidR="00025992" w:rsidRPr="00296F35" w:rsidRDefault="000568A5" w:rsidP="00025992">
            <w:pPr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 w:rsidRPr="00296F35"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2" w:type="dxa"/>
          </w:tcPr>
          <w:p w:rsidR="00025992" w:rsidRPr="00296F35" w:rsidRDefault="00025992" w:rsidP="007D1BCA">
            <w:pPr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>PSCG</w:t>
            </w:r>
            <w:r w:rsidR="000568A5" w:rsidRPr="00296F35">
              <w:rPr>
                <w:rFonts w:ascii="Palatino Linotype" w:hAnsi="Palatino Linotype"/>
                <w:sz w:val="16"/>
                <w:szCs w:val="16"/>
              </w:rPr>
              <w:t xml:space="preserve"> (S)</w:t>
            </w:r>
          </w:p>
        </w:tc>
        <w:tc>
          <w:tcPr>
            <w:tcW w:w="992" w:type="dxa"/>
          </w:tcPr>
          <w:p w:rsidR="00025992" w:rsidRPr="00296F35" w:rsidRDefault="0039104F" w:rsidP="00025992">
            <w:pPr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>2020-04-13</w:t>
            </w:r>
          </w:p>
        </w:tc>
        <w:tc>
          <w:tcPr>
            <w:tcW w:w="851" w:type="dxa"/>
          </w:tcPr>
          <w:p w:rsidR="00025992" w:rsidRPr="00296F35" w:rsidRDefault="00025992" w:rsidP="0002599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025992" w:rsidRPr="00296F35" w:rsidRDefault="00025992" w:rsidP="00025992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</w:pPr>
    </w:p>
    <w:p w:rsidR="00025992" w:rsidRPr="00296F35" w:rsidRDefault="00025992" w:rsidP="00025992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</w:pPr>
    </w:p>
    <w:p w:rsidR="00524CDD" w:rsidRPr="00296F35" w:rsidRDefault="00524CDD" w:rsidP="00025992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</w:pPr>
    </w:p>
    <w:p w:rsidR="00296F35" w:rsidRDefault="00296F35" w:rsidP="00025992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</w:pPr>
    </w:p>
    <w:p w:rsidR="00025992" w:rsidRPr="00296F35" w:rsidRDefault="00025992" w:rsidP="00025992">
      <w:pPr>
        <w:spacing w:after="0" w:line="240" w:lineRule="auto"/>
        <w:jc w:val="both"/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</w:pPr>
      <w:r w:rsidRPr="00296F35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  <w:t xml:space="preserve">Ejemplar 1: </w:t>
      </w:r>
      <w:r w:rsidR="003310C4" w:rsidRPr="00296F35">
        <w:rPr>
          <w:rFonts w:ascii="Palatino Linotype" w:hAnsi="Palatino Linotype"/>
          <w:sz w:val="16"/>
          <w:szCs w:val="16"/>
        </w:rPr>
        <w:t>Destinatario</w:t>
      </w:r>
      <w:r w:rsidR="00296F35">
        <w:rPr>
          <w:rFonts w:ascii="Palatino Linotype" w:hAnsi="Palatino Linotype"/>
          <w:sz w:val="16"/>
          <w:szCs w:val="16"/>
        </w:rPr>
        <w:t>s</w:t>
      </w:r>
      <w:r w:rsidR="00704DA6" w:rsidRPr="00296F35">
        <w:rPr>
          <w:rFonts w:ascii="Palatino Linotype" w:hAnsi="Palatino Linotype"/>
          <w:sz w:val="16"/>
          <w:szCs w:val="16"/>
        </w:rPr>
        <w:t>.</w:t>
      </w:r>
    </w:p>
    <w:p w:rsidR="00025992" w:rsidRPr="00296F35" w:rsidRDefault="00025992" w:rsidP="00025992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296F35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  <w:t>Ejemplar 2</w:t>
      </w:r>
      <w:r w:rsidR="00F34CBB" w:rsidRPr="00296F35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  <w:t xml:space="preserve">: </w:t>
      </w:r>
      <w:r w:rsidR="00F34CBB" w:rsidRPr="00296F35"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  <w:t>Secretaría</w:t>
      </w:r>
      <w:r w:rsidRPr="00296F35"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  <w:t xml:space="preserve"> de Comisión de </w:t>
      </w:r>
      <w:r w:rsidRPr="00296F35">
        <w:rPr>
          <w:rFonts w:ascii="Palatino Linotype" w:hAnsi="Palatino Linotype"/>
          <w:sz w:val="16"/>
          <w:szCs w:val="16"/>
        </w:rPr>
        <w:t>Participación Ciudadana y Gobierno Abierto</w:t>
      </w:r>
      <w:r w:rsidR="007D1BCA" w:rsidRPr="00296F35">
        <w:rPr>
          <w:rFonts w:ascii="Palatino Linotype" w:hAnsi="Palatino Linotype"/>
          <w:sz w:val="16"/>
          <w:szCs w:val="16"/>
        </w:rPr>
        <w:t>.</w:t>
      </w:r>
    </w:p>
    <w:p w:rsidR="00025992" w:rsidRPr="00296F35" w:rsidRDefault="00025992" w:rsidP="00025992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296F35">
        <w:rPr>
          <w:rFonts w:ascii="Palatino Linotype" w:hAnsi="Palatino Linotype"/>
          <w:b/>
          <w:sz w:val="16"/>
          <w:szCs w:val="16"/>
        </w:rPr>
        <w:t xml:space="preserve">Ejemplar 3: </w:t>
      </w:r>
      <w:r w:rsidR="000568A5" w:rsidRPr="00296F35">
        <w:rPr>
          <w:rFonts w:ascii="Palatino Linotype" w:hAnsi="Palatino Linotype"/>
          <w:sz w:val="16"/>
          <w:szCs w:val="16"/>
        </w:rPr>
        <w:t>Archivo</w:t>
      </w:r>
      <w:r w:rsidR="007D1BCA" w:rsidRPr="00296F35">
        <w:rPr>
          <w:rFonts w:ascii="Palatino Linotype" w:hAnsi="Palatino Linotype"/>
          <w:sz w:val="16"/>
          <w:szCs w:val="16"/>
        </w:rPr>
        <w:t>.</w:t>
      </w:r>
    </w:p>
    <w:p w:rsidR="00643D48" w:rsidRPr="00296F35" w:rsidRDefault="00643D48" w:rsidP="00025992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296F35">
        <w:rPr>
          <w:rFonts w:ascii="Palatino Linotype" w:hAnsi="Palatino Linotype"/>
          <w:b/>
          <w:sz w:val="16"/>
          <w:szCs w:val="16"/>
        </w:rPr>
        <w:t xml:space="preserve">CC: </w:t>
      </w:r>
      <w:r w:rsidR="00454830" w:rsidRPr="00296F35">
        <w:rPr>
          <w:rFonts w:ascii="Palatino Linotype" w:hAnsi="Palatino Linotype"/>
          <w:sz w:val="16"/>
          <w:szCs w:val="16"/>
        </w:rPr>
        <w:t xml:space="preserve">Presidente </w:t>
      </w:r>
      <w:r w:rsidRPr="00296F35">
        <w:rPr>
          <w:rFonts w:ascii="Palatino Linotype" w:hAnsi="Palatino Linotype"/>
          <w:sz w:val="16"/>
          <w:szCs w:val="16"/>
        </w:rPr>
        <w:t xml:space="preserve">de la </w:t>
      </w:r>
      <w:r w:rsidRPr="00296F35"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  <w:t xml:space="preserve">Comisión de </w:t>
      </w:r>
      <w:r w:rsidRPr="00296F35">
        <w:rPr>
          <w:rFonts w:ascii="Palatino Linotype" w:hAnsi="Palatino Linotype"/>
          <w:sz w:val="16"/>
          <w:szCs w:val="16"/>
        </w:rPr>
        <w:t>Participación Ciudadana y Gobierno Abierto</w:t>
      </w:r>
      <w:r w:rsidR="00D93A68" w:rsidRPr="00296F35">
        <w:rPr>
          <w:rFonts w:ascii="Palatino Linotype" w:hAnsi="Palatino Linotype"/>
          <w:sz w:val="16"/>
          <w:szCs w:val="16"/>
        </w:rPr>
        <w:t>.</w:t>
      </w:r>
    </w:p>
    <w:p w:rsidR="003310C4" w:rsidRPr="00296F35" w:rsidRDefault="003310C4" w:rsidP="00025992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296F35" w:rsidRPr="00296F35" w:rsidRDefault="00296F35">
      <w:pPr>
        <w:spacing w:after="0" w:line="240" w:lineRule="auto"/>
        <w:jc w:val="both"/>
        <w:rPr>
          <w:rFonts w:ascii="Palatino Linotype" w:hAnsi="Palatino Linotype"/>
          <w:b/>
        </w:rPr>
      </w:pPr>
    </w:p>
    <w:sectPr w:rsidR="00296F35" w:rsidRPr="00296F35" w:rsidSect="002150FC">
      <w:footerReference w:type="default" r:id="rId8"/>
      <w:pgSz w:w="11906" w:h="16838" w:code="9"/>
      <w:pgMar w:top="1417" w:right="1701" w:bottom="1417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97" w:rsidRDefault="006B3797" w:rsidP="007941C2">
      <w:pPr>
        <w:spacing w:after="0" w:line="240" w:lineRule="auto"/>
      </w:pPr>
      <w:r>
        <w:separator/>
      </w:r>
    </w:p>
  </w:endnote>
  <w:endnote w:type="continuationSeparator" w:id="0">
    <w:p w:rsidR="006B3797" w:rsidRDefault="006B3797" w:rsidP="0079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67175"/>
      <w:docPartObj>
        <w:docPartGallery w:val="Page Numbers (Bottom of Page)"/>
        <w:docPartUnique/>
      </w:docPartObj>
    </w:sdtPr>
    <w:sdtEndPr/>
    <w:sdtContent>
      <w:sdt>
        <w:sdtPr>
          <w:id w:val="-203872585"/>
          <w:docPartObj>
            <w:docPartGallery w:val="Page Numbers (Top of Page)"/>
            <w:docPartUnique/>
          </w:docPartObj>
        </w:sdtPr>
        <w:sdtEndPr/>
        <w:sdtContent>
          <w:p w:rsidR="007941C2" w:rsidRDefault="007941C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3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3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41C2" w:rsidRDefault="007941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97" w:rsidRDefault="006B3797" w:rsidP="007941C2">
      <w:pPr>
        <w:spacing w:after="0" w:line="240" w:lineRule="auto"/>
      </w:pPr>
      <w:r>
        <w:separator/>
      </w:r>
    </w:p>
  </w:footnote>
  <w:footnote w:type="continuationSeparator" w:id="0">
    <w:p w:rsidR="006B3797" w:rsidRDefault="006B3797" w:rsidP="00794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56"/>
    <w:multiLevelType w:val="hybridMultilevel"/>
    <w:tmpl w:val="908E0D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46C9"/>
    <w:multiLevelType w:val="hybridMultilevel"/>
    <w:tmpl w:val="A0CE89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D4853"/>
    <w:multiLevelType w:val="hybridMultilevel"/>
    <w:tmpl w:val="A89290C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F4B92"/>
    <w:multiLevelType w:val="hybridMultilevel"/>
    <w:tmpl w:val="CE74C9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F17E5"/>
    <w:multiLevelType w:val="hybridMultilevel"/>
    <w:tmpl w:val="395031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A44FB"/>
    <w:multiLevelType w:val="hybridMultilevel"/>
    <w:tmpl w:val="243C5454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9"/>
    <w:rsid w:val="000035EF"/>
    <w:rsid w:val="00025992"/>
    <w:rsid w:val="000568A5"/>
    <w:rsid w:val="00070FF1"/>
    <w:rsid w:val="0009670F"/>
    <w:rsid w:val="000C691D"/>
    <w:rsid w:val="000F0BFB"/>
    <w:rsid w:val="000F5856"/>
    <w:rsid w:val="00114813"/>
    <w:rsid w:val="001327A8"/>
    <w:rsid w:val="00166C69"/>
    <w:rsid w:val="001735FB"/>
    <w:rsid w:val="00190BD4"/>
    <w:rsid w:val="001B149E"/>
    <w:rsid w:val="001C0185"/>
    <w:rsid w:val="001C05EA"/>
    <w:rsid w:val="001E34D5"/>
    <w:rsid w:val="001E6289"/>
    <w:rsid w:val="0020628E"/>
    <w:rsid w:val="002150FC"/>
    <w:rsid w:val="002421F1"/>
    <w:rsid w:val="00247554"/>
    <w:rsid w:val="002823EC"/>
    <w:rsid w:val="00296F35"/>
    <w:rsid w:val="002B365B"/>
    <w:rsid w:val="002D341F"/>
    <w:rsid w:val="002D7613"/>
    <w:rsid w:val="002E4232"/>
    <w:rsid w:val="002F4AD1"/>
    <w:rsid w:val="00305D7F"/>
    <w:rsid w:val="0031221A"/>
    <w:rsid w:val="003304D7"/>
    <w:rsid w:val="003310C4"/>
    <w:rsid w:val="003338A0"/>
    <w:rsid w:val="00366539"/>
    <w:rsid w:val="00387B5B"/>
    <w:rsid w:val="0039104F"/>
    <w:rsid w:val="00391BC9"/>
    <w:rsid w:val="003938AD"/>
    <w:rsid w:val="003A3757"/>
    <w:rsid w:val="003B0E0B"/>
    <w:rsid w:val="003B74E9"/>
    <w:rsid w:val="003D19B6"/>
    <w:rsid w:val="00411D72"/>
    <w:rsid w:val="00411FCC"/>
    <w:rsid w:val="00415361"/>
    <w:rsid w:val="00454830"/>
    <w:rsid w:val="00463F26"/>
    <w:rsid w:val="0046790F"/>
    <w:rsid w:val="0048257E"/>
    <w:rsid w:val="00485246"/>
    <w:rsid w:val="00495CD7"/>
    <w:rsid w:val="004B5B36"/>
    <w:rsid w:val="00501E45"/>
    <w:rsid w:val="0052319D"/>
    <w:rsid w:val="00524CDD"/>
    <w:rsid w:val="00536E35"/>
    <w:rsid w:val="00550086"/>
    <w:rsid w:val="005573FB"/>
    <w:rsid w:val="005632D6"/>
    <w:rsid w:val="00564C09"/>
    <w:rsid w:val="00565CC8"/>
    <w:rsid w:val="005814CB"/>
    <w:rsid w:val="005C534E"/>
    <w:rsid w:val="005D744A"/>
    <w:rsid w:val="005F7BE1"/>
    <w:rsid w:val="00627EFB"/>
    <w:rsid w:val="00643D48"/>
    <w:rsid w:val="006B1CF0"/>
    <w:rsid w:val="006B3797"/>
    <w:rsid w:val="006E3C91"/>
    <w:rsid w:val="007037B2"/>
    <w:rsid w:val="00704DA6"/>
    <w:rsid w:val="0072140B"/>
    <w:rsid w:val="007334FE"/>
    <w:rsid w:val="00754EDC"/>
    <w:rsid w:val="00764721"/>
    <w:rsid w:val="007710B5"/>
    <w:rsid w:val="007941C2"/>
    <w:rsid w:val="007D1BCA"/>
    <w:rsid w:val="007D2C76"/>
    <w:rsid w:val="007D3136"/>
    <w:rsid w:val="0080156E"/>
    <w:rsid w:val="0082035B"/>
    <w:rsid w:val="00834DF5"/>
    <w:rsid w:val="00840E78"/>
    <w:rsid w:val="00845262"/>
    <w:rsid w:val="00845C54"/>
    <w:rsid w:val="00850C8C"/>
    <w:rsid w:val="00856090"/>
    <w:rsid w:val="00865D10"/>
    <w:rsid w:val="008B0BBE"/>
    <w:rsid w:val="008C4C98"/>
    <w:rsid w:val="008D07C7"/>
    <w:rsid w:val="00900E29"/>
    <w:rsid w:val="009031C1"/>
    <w:rsid w:val="0092266C"/>
    <w:rsid w:val="00933DBD"/>
    <w:rsid w:val="009468AF"/>
    <w:rsid w:val="00973D1F"/>
    <w:rsid w:val="009833E4"/>
    <w:rsid w:val="00987E20"/>
    <w:rsid w:val="009B40F2"/>
    <w:rsid w:val="009E13FD"/>
    <w:rsid w:val="009E5313"/>
    <w:rsid w:val="009E7B8A"/>
    <w:rsid w:val="009F70C5"/>
    <w:rsid w:val="00A01591"/>
    <w:rsid w:val="00A03D6E"/>
    <w:rsid w:val="00A03E3E"/>
    <w:rsid w:val="00A23940"/>
    <w:rsid w:val="00A246BE"/>
    <w:rsid w:val="00A26281"/>
    <w:rsid w:val="00A47149"/>
    <w:rsid w:val="00A525A2"/>
    <w:rsid w:val="00A5322C"/>
    <w:rsid w:val="00A653AA"/>
    <w:rsid w:val="00A72C15"/>
    <w:rsid w:val="00A85355"/>
    <w:rsid w:val="00A86B7E"/>
    <w:rsid w:val="00A87B12"/>
    <w:rsid w:val="00A935D4"/>
    <w:rsid w:val="00AB3733"/>
    <w:rsid w:val="00AC12D0"/>
    <w:rsid w:val="00AD2393"/>
    <w:rsid w:val="00B23160"/>
    <w:rsid w:val="00B26EEE"/>
    <w:rsid w:val="00B57FB5"/>
    <w:rsid w:val="00B70E30"/>
    <w:rsid w:val="00B77CA7"/>
    <w:rsid w:val="00B8389C"/>
    <w:rsid w:val="00BA6CB0"/>
    <w:rsid w:val="00BB2CD9"/>
    <w:rsid w:val="00BE7ACB"/>
    <w:rsid w:val="00BF6A74"/>
    <w:rsid w:val="00C0416E"/>
    <w:rsid w:val="00C04858"/>
    <w:rsid w:val="00C1726A"/>
    <w:rsid w:val="00C205CF"/>
    <w:rsid w:val="00C234E3"/>
    <w:rsid w:val="00C2722D"/>
    <w:rsid w:val="00C35708"/>
    <w:rsid w:val="00C65231"/>
    <w:rsid w:val="00C75DE2"/>
    <w:rsid w:val="00CB726B"/>
    <w:rsid w:val="00CC48B1"/>
    <w:rsid w:val="00CD704F"/>
    <w:rsid w:val="00CE6AFF"/>
    <w:rsid w:val="00CE7D7F"/>
    <w:rsid w:val="00CF5ACD"/>
    <w:rsid w:val="00D34A33"/>
    <w:rsid w:val="00D452C6"/>
    <w:rsid w:val="00D57F14"/>
    <w:rsid w:val="00D62E88"/>
    <w:rsid w:val="00D65EC9"/>
    <w:rsid w:val="00D90AF2"/>
    <w:rsid w:val="00D93A68"/>
    <w:rsid w:val="00D95E0B"/>
    <w:rsid w:val="00DB3501"/>
    <w:rsid w:val="00DB4074"/>
    <w:rsid w:val="00DB763F"/>
    <w:rsid w:val="00DE50C4"/>
    <w:rsid w:val="00DE638E"/>
    <w:rsid w:val="00DF2EFF"/>
    <w:rsid w:val="00E10389"/>
    <w:rsid w:val="00E46B6B"/>
    <w:rsid w:val="00E56024"/>
    <w:rsid w:val="00E570FF"/>
    <w:rsid w:val="00E74985"/>
    <w:rsid w:val="00E87EA1"/>
    <w:rsid w:val="00E961C0"/>
    <w:rsid w:val="00EA4861"/>
    <w:rsid w:val="00EA57E1"/>
    <w:rsid w:val="00EB6413"/>
    <w:rsid w:val="00EF154A"/>
    <w:rsid w:val="00EF65CD"/>
    <w:rsid w:val="00F34CBB"/>
    <w:rsid w:val="00F424D5"/>
    <w:rsid w:val="00F95102"/>
    <w:rsid w:val="00FA29CE"/>
    <w:rsid w:val="00FA750D"/>
    <w:rsid w:val="00FD4E75"/>
    <w:rsid w:val="00FD7422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76487B-5035-429A-982F-D720FE8D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7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14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922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predeterminado">
    <w:name w:val="Texto predeterminado"/>
    <w:basedOn w:val="Normal"/>
    <w:rsid w:val="009226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166C69"/>
    <w:pPr>
      <w:ind w:left="720"/>
      <w:contextualSpacing/>
    </w:pPr>
  </w:style>
  <w:style w:type="character" w:customStyle="1" w:styleId="st">
    <w:name w:val="st"/>
    <w:basedOn w:val="Fuentedeprrafopredeter"/>
    <w:rsid w:val="00166C69"/>
  </w:style>
  <w:style w:type="paragraph" w:styleId="Encabezado">
    <w:name w:val="header"/>
    <w:basedOn w:val="Normal"/>
    <w:link w:val="EncabezadoCar"/>
    <w:uiPriority w:val="99"/>
    <w:unhideWhenUsed/>
    <w:rsid w:val="00794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1C2"/>
  </w:style>
  <w:style w:type="paragraph" w:styleId="Piedepgina">
    <w:name w:val="footer"/>
    <w:basedOn w:val="Normal"/>
    <w:link w:val="PiedepginaCar"/>
    <w:uiPriority w:val="99"/>
    <w:unhideWhenUsed/>
    <w:rsid w:val="00794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1C2"/>
  </w:style>
  <w:style w:type="character" w:styleId="Textoennegrita">
    <w:name w:val="Strong"/>
    <w:basedOn w:val="Fuentedeprrafopredeter"/>
    <w:uiPriority w:val="22"/>
    <w:qFormat/>
    <w:rsid w:val="00C2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B703-D787-4E46-8664-1B8DA1E3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Karina Villavicencio Rivadeneira</dc:creator>
  <cp:lastModifiedBy>Glenda Alexandra Allan Alegria</cp:lastModifiedBy>
  <cp:revision>13</cp:revision>
  <cp:lastPrinted>2020-02-21T19:53:00Z</cp:lastPrinted>
  <dcterms:created xsi:type="dcterms:W3CDTF">2020-04-13T16:36:00Z</dcterms:created>
  <dcterms:modified xsi:type="dcterms:W3CDTF">2020-04-17T22:55:00Z</dcterms:modified>
</cp:coreProperties>
</file>