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80F2" w14:textId="77777777" w:rsidR="00C02AAE" w:rsidRPr="00831A56" w:rsidRDefault="00C02AAE" w:rsidP="00C02AAE">
      <w:pPr>
        <w:pStyle w:val="1"/>
        <w:tabs>
          <w:tab w:val="left" w:pos="7513"/>
        </w:tabs>
        <w:spacing w:after="240" w:line="276" w:lineRule="auto"/>
        <w:rPr>
          <w:rFonts w:ascii="Times New Roman" w:hAnsi="Times New Roman"/>
        </w:rPr>
      </w:pPr>
      <w:r w:rsidRPr="00831A56">
        <w:rPr>
          <w:rFonts w:ascii="Times New Roman" w:hAnsi="Times New Roman"/>
        </w:rPr>
        <w:t>EXPOSICIÓN DE MOTIVOS</w:t>
      </w:r>
    </w:p>
    <w:p w14:paraId="5033B67B" w14:textId="77777777" w:rsidR="00C02AAE" w:rsidRPr="00831A56" w:rsidRDefault="00C02AAE" w:rsidP="00C02AAE">
      <w:pPr>
        <w:pStyle w:val="1"/>
        <w:spacing w:after="240" w:line="276" w:lineRule="auto"/>
        <w:jc w:val="both"/>
        <w:rPr>
          <w:rFonts w:ascii="Times New Roman" w:hAnsi="Times New Roman"/>
          <w:b w:val="0"/>
        </w:rPr>
      </w:pPr>
    </w:p>
    <w:p w14:paraId="6AEC5C1B"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La Constitución de la República del Ecuador, en su artículo 30, garantiza a las personas el “</w:t>
      </w:r>
      <w:r w:rsidRPr="00831A56">
        <w:rPr>
          <w:rFonts w:ascii="Times New Roman" w:hAnsi="Times New Roman"/>
          <w:b w:val="0"/>
          <w:i/>
        </w:rPr>
        <w:t>derecho a un hábitat seguro y saludable, y a una vivienda adecuada y digna, con independencia de su situación social y económica</w:t>
      </w:r>
      <w:r w:rsidRPr="00831A56">
        <w:rPr>
          <w:rFonts w:ascii="Times New Roman" w:hAnsi="Times New Roman"/>
          <w:b w:val="0"/>
        </w:rPr>
        <w:t>”.</w:t>
      </w:r>
    </w:p>
    <w:p w14:paraId="08966655"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CE07B5C" w14:textId="77777777" w:rsidR="00C02AAE" w:rsidRPr="00831A56" w:rsidRDefault="00C02AAE" w:rsidP="00C02AAE">
      <w:pPr>
        <w:pStyle w:val="1"/>
        <w:spacing w:after="240" w:line="276" w:lineRule="auto"/>
        <w:jc w:val="both"/>
        <w:rPr>
          <w:rFonts w:ascii="Times New Roman" w:hAnsi="Times New Roman"/>
          <w:b w:val="0"/>
        </w:rPr>
      </w:pPr>
      <w:r w:rsidRPr="00831A56">
        <w:rPr>
          <w:rFonts w:ascii="Times New Roman" w:hAnsi="Times New Roman"/>
          <w:b w:val="0"/>
        </w:rPr>
        <w:t>El asentamiento humano de hecho y consolidado de interés social denominado Barrio “José Gabriel Alarcón”,</w:t>
      </w:r>
      <w:r w:rsidRPr="00831A56" w:rsidDel="00403EE1">
        <w:rPr>
          <w:rFonts w:ascii="Times New Roman" w:hAnsi="Times New Roman"/>
          <w:b w:val="0"/>
        </w:rPr>
        <w:t xml:space="preserve"> </w:t>
      </w:r>
      <w:r w:rsidRPr="00831A56">
        <w:rPr>
          <w:rFonts w:ascii="Times New Roman" w:hAnsi="Times New Roman"/>
          <w:b w:val="0"/>
        </w:rPr>
        <w:t xml:space="preserve">ubicado en la parroquia Kennedy, tiene una consolidación </w:t>
      </w:r>
      <w:r w:rsidRPr="00831A56">
        <w:rPr>
          <w:rFonts w:ascii="Times New Roman" w:hAnsi="Times New Roman"/>
          <w:b w:val="0"/>
          <w:color w:val="000000"/>
        </w:rPr>
        <w:t>del 100</w:t>
      </w:r>
      <w:r w:rsidRPr="00831A56">
        <w:rPr>
          <w:rFonts w:ascii="Times New Roman" w:hAnsi="Times New Roman"/>
          <w:b w:val="0"/>
        </w:rPr>
        <w:t xml:space="preserve">%, </w:t>
      </w:r>
      <w:r w:rsidRPr="00831A56">
        <w:rPr>
          <w:rFonts w:ascii="Times New Roman" w:hAnsi="Times New Roman"/>
          <w:b w:val="0"/>
          <w:color w:val="000000"/>
        </w:rPr>
        <w:t>al inicio del proceso de regularización contaba con 51 años de existencia, sin embargo, al momento de la sanción de la presente Ordenanza cuenta con 52 años de asentamiento, 11 número de lotes a fraccionar y 44 beneficiarios.</w:t>
      </w:r>
      <w:r w:rsidRPr="00831A56">
        <w:rPr>
          <w:rFonts w:ascii="Times New Roman" w:hAnsi="Times New Roman"/>
          <w:b w:val="0"/>
        </w:rPr>
        <w:t xml:space="preserve"> </w:t>
      </w:r>
    </w:p>
    <w:p w14:paraId="1AE93FE8" w14:textId="77777777" w:rsidR="00C02AAE" w:rsidRPr="00831A56" w:rsidRDefault="00C02AAE" w:rsidP="00C02AAE">
      <w:pPr>
        <w:spacing w:after="240" w:line="276" w:lineRule="auto"/>
        <w:jc w:val="both"/>
        <w:rPr>
          <w:sz w:val="24"/>
          <w:szCs w:val="24"/>
        </w:rPr>
      </w:pPr>
      <w:r w:rsidRPr="00831A56">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14565B3" w14:textId="77777777" w:rsidR="00C02AAE" w:rsidRPr="00831A56" w:rsidRDefault="00C02AAE" w:rsidP="00C02AAE">
      <w:pPr>
        <w:spacing w:after="240" w:line="276" w:lineRule="auto"/>
        <w:jc w:val="both"/>
        <w:rPr>
          <w:rFonts w:eastAsia="Calibri"/>
          <w:bCs/>
          <w:sz w:val="24"/>
          <w:szCs w:val="24"/>
        </w:rPr>
      </w:pPr>
      <w:r w:rsidRPr="00831A56">
        <w:rPr>
          <w:rFonts w:eastAsia="Calibri"/>
          <w:bCs/>
          <w:sz w:val="24"/>
          <w:szCs w:val="24"/>
        </w:rPr>
        <w:t>En este sentido, la presente ordenanza contiene la normativa tendiente al fraccionamiento del predio sobre el que se encuentra el asentamiento humano de hecho y consolidado de interés social denominado Barrio “José Gabriel Alarcón”,</w:t>
      </w:r>
      <w:r w:rsidRPr="00831A56" w:rsidDel="00403EE1">
        <w:rPr>
          <w:rFonts w:eastAsia="Calibri"/>
          <w:bCs/>
          <w:sz w:val="24"/>
          <w:szCs w:val="24"/>
        </w:rPr>
        <w:t xml:space="preserve"> </w:t>
      </w:r>
      <w:r w:rsidRPr="00831A56">
        <w:rPr>
          <w:rFonts w:eastAsia="Calibri"/>
          <w:bCs/>
          <w:sz w:val="24"/>
          <w:szCs w:val="24"/>
        </w:rPr>
        <w:t>a fin de garantizar a los beneficiarios el ejercicio de su derecho a la vivienda y el acceso a servicios básicos de calidad.</w:t>
      </w:r>
    </w:p>
    <w:p w14:paraId="5E5B4344" w14:textId="77777777" w:rsidR="00C02AAE" w:rsidRPr="00831A56" w:rsidRDefault="00C02AAE" w:rsidP="00C02AAE">
      <w:pPr>
        <w:pStyle w:val="1"/>
        <w:spacing w:after="240" w:line="276" w:lineRule="auto"/>
        <w:ind w:firstLine="708"/>
        <w:jc w:val="both"/>
        <w:rPr>
          <w:rFonts w:ascii="Times New Roman" w:hAnsi="Times New Roman"/>
          <w:b w:val="0"/>
        </w:rPr>
      </w:pPr>
    </w:p>
    <w:p w14:paraId="6E306D3B" w14:textId="77777777" w:rsidR="00C02AAE" w:rsidRPr="00831A56" w:rsidRDefault="00C02AAE" w:rsidP="00C02AAE">
      <w:pPr>
        <w:pStyle w:val="1"/>
        <w:spacing w:after="240" w:line="276" w:lineRule="auto"/>
        <w:rPr>
          <w:rFonts w:ascii="Times New Roman" w:hAnsi="Times New Roman"/>
          <w:b w:val="0"/>
        </w:rPr>
      </w:pPr>
    </w:p>
    <w:p w14:paraId="52DB5A75" w14:textId="77777777" w:rsidR="00C02AAE" w:rsidRPr="00831A56" w:rsidRDefault="00C02AAE" w:rsidP="00C02AAE">
      <w:pPr>
        <w:pStyle w:val="1"/>
        <w:spacing w:after="240" w:line="276" w:lineRule="auto"/>
        <w:rPr>
          <w:rFonts w:ascii="Times New Roman" w:hAnsi="Times New Roman"/>
        </w:rPr>
        <w:sectPr w:rsidR="00C02AAE" w:rsidRPr="00831A56" w:rsidSect="00A76FEB">
          <w:headerReference w:type="even" r:id="rId7"/>
          <w:headerReference w:type="default" r:id="rId8"/>
          <w:footerReference w:type="even" r:id="rId9"/>
          <w:footerReference w:type="default" r:id="rId10"/>
          <w:headerReference w:type="first" r:id="rId11"/>
          <w:footerReference w:type="first" r:id="rId12"/>
          <w:pgSz w:w="11906" w:h="16838"/>
          <w:pgMar w:top="3402" w:right="1418" w:bottom="567" w:left="1701" w:header="709" w:footer="68" w:gutter="0"/>
          <w:cols w:space="708"/>
          <w:docGrid w:linePitch="360"/>
        </w:sectPr>
      </w:pPr>
    </w:p>
    <w:p w14:paraId="442A153E" w14:textId="77777777" w:rsidR="00C02AAE" w:rsidRPr="00831A56" w:rsidRDefault="00C02AAE" w:rsidP="00C02AAE">
      <w:pPr>
        <w:pStyle w:val="1"/>
        <w:spacing w:after="240" w:line="276" w:lineRule="auto"/>
        <w:rPr>
          <w:rFonts w:ascii="Times New Roman" w:hAnsi="Times New Roman"/>
        </w:rPr>
      </w:pPr>
      <w:r w:rsidRPr="00831A56">
        <w:rPr>
          <w:rFonts w:ascii="Times New Roman" w:hAnsi="Times New Roman"/>
        </w:rPr>
        <w:lastRenderedPageBreak/>
        <w:t>EL CONCEJO METROPOLITANO DE QUITO</w:t>
      </w:r>
    </w:p>
    <w:p w14:paraId="1D7DC417" w14:textId="77777777" w:rsidR="00C02AAE" w:rsidRPr="00831A56" w:rsidRDefault="00C02AAE" w:rsidP="00C02AAE">
      <w:pPr>
        <w:spacing w:line="276" w:lineRule="auto"/>
        <w:jc w:val="both"/>
        <w:rPr>
          <w:sz w:val="24"/>
          <w:szCs w:val="24"/>
        </w:rPr>
      </w:pPr>
      <w:r w:rsidRPr="00831A56">
        <w:rPr>
          <w:sz w:val="24"/>
          <w:szCs w:val="24"/>
        </w:rPr>
        <w:t xml:space="preserve">Visto el Informe No. </w:t>
      </w:r>
      <w:proofErr w:type="gramStart"/>
      <w:r w:rsidRPr="00831A56">
        <w:rPr>
          <w:sz w:val="24"/>
          <w:szCs w:val="24"/>
        </w:rPr>
        <w:t>XXXXXXXXXXX  de</w:t>
      </w:r>
      <w:proofErr w:type="gramEnd"/>
      <w:r w:rsidRPr="00831A56">
        <w:rPr>
          <w:sz w:val="24"/>
          <w:szCs w:val="24"/>
        </w:rPr>
        <w:t xml:space="preserve"> fecha XX de XXXXXXXX de XXXX de la Comisión de Ordenamiento Territorial;</w:t>
      </w:r>
    </w:p>
    <w:p w14:paraId="7CD874A7" w14:textId="77777777" w:rsidR="00C02AAE" w:rsidRPr="00831A56" w:rsidRDefault="00C02AAE" w:rsidP="00C02AAE">
      <w:pPr>
        <w:spacing w:line="276" w:lineRule="auto"/>
        <w:jc w:val="both"/>
        <w:rPr>
          <w:sz w:val="24"/>
          <w:szCs w:val="24"/>
        </w:rPr>
      </w:pPr>
    </w:p>
    <w:p w14:paraId="170023C1" w14:textId="77777777" w:rsidR="00C02AAE" w:rsidRPr="00831A56" w:rsidRDefault="00C02AAE" w:rsidP="00C02AAE">
      <w:pPr>
        <w:jc w:val="both"/>
        <w:rPr>
          <w:sz w:val="24"/>
          <w:szCs w:val="24"/>
        </w:rPr>
      </w:pPr>
    </w:p>
    <w:p w14:paraId="7B686AF7" w14:textId="77777777" w:rsidR="00C02AAE" w:rsidRPr="00831A56" w:rsidRDefault="00C02AAE" w:rsidP="00C02AAE">
      <w:pPr>
        <w:spacing w:after="240" w:line="276" w:lineRule="auto"/>
        <w:jc w:val="center"/>
        <w:rPr>
          <w:b/>
          <w:sz w:val="24"/>
          <w:szCs w:val="24"/>
        </w:rPr>
      </w:pPr>
      <w:r w:rsidRPr="00831A56">
        <w:rPr>
          <w:b/>
          <w:sz w:val="24"/>
          <w:szCs w:val="24"/>
        </w:rPr>
        <w:t>CONSIDERANDO:</w:t>
      </w:r>
    </w:p>
    <w:p w14:paraId="6FDC8D59"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sz w:val="24"/>
          <w:szCs w:val="24"/>
        </w:rPr>
        <w:t xml:space="preserve">Que, </w:t>
      </w:r>
      <w:r w:rsidRPr="00831A56">
        <w:rPr>
          <w:rFonts w:ascii="Times New Roman" w:hAnsi="Times New Roman"/>
          <w:b/>
          <w:sz w:val="24"/>
          <w:szCs w:val="24"/>
        </w:rPr>
        <w:tab/>
      </w:r>
      <w:r w:rsidRPr="00831A56">
        <w:rPr>
          <w:rFonts w:ascii="Times New Roman" w:hAnsi="Times New Roman"/>
          <w:sz w:val="24"/>
          <w:szCs w:val="24"/>
        </w:rPr>
        <w:t>el artículo 30 de la Constitución de la República del Ecuador (en adelante “Constitución”) establece que: “</w:t>
      </w:r>
      <w:r w:rsidRPr="00831A56">
        <w:rPr>
          <w:rFonts w:ascii="Times New Roman" w:hAnsi="Times New Roman"/>
          <w:i/>
          <w:sz w:val="24"/>
          <w:szCs w:val="24"/>
        </w:rPr>
        <w:t>Las personas tienen derecho a un hábitat seguro y saludable, y a una vivienda adecuada y digna, con independencia de su situación social y económica.</w:t>
      </w:r>
      <w:r w:rsidRPr="00831A56">
        <w:rPr>
          <w:rFonts w:ascii="Times New Roman" w:hAnsi="Times New Roman"/>
          <w:sz w:val="24"/>
          <w:szCs w:val="24"/>
        </w:rPr>
        <w:t>”;</w:t>
      </w:r>
    </w:p>
    <w:p w14:paraId="7B2786D7"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artículo 31 de la Constitución expresa que: “</w:t>
      </w:r>
      <w:r w:rsidRPr="00831A56">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31A56">
        <w:rPr>
          <w:rFonts w:ascii="Times New Roman" w:hAnsi="Times New Roman"/>
          <w:bCs/>
          <w:sz w:val="24"/>
          <w:szCs w:val="24"/>
        </w:rPr>
        <w:t xml:space="preserve">”; </w:t>
      </w:r>
    </w:p>
    <w:p w14:paraId="366CDB85"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artículo 36</w:t>
      </w:r>
      <w:r w:rsidRPr="00831A56">
        <w:rPr>
          <w:rFonts w:ascii="Times New Roman" w:hAnsi="Times New Roman"/>
          <w:b/>
          <w:bCs/>
          <w:sz w:val="24"/>
          <w:szCs w:val="24"/>
        </w:rPr>
        <w:t xml:space="preserve"> </w:t>
      </w:r>
      <w:r w:rsidRPr="00831A56">
        <w:rPr>
          <w:rFonts w:ascii="Times New Roman" w:hAnsi="Times New Roman"/>
          <w:bCs/>
          <w:sz w:val="24"/>
          <w:szCs w:val="24"/>
        </w:rPr>
        <w:t xml:space="preserve">de la Constitución señala que </w:t>
      </w:r>
      <w:r w:rsidRPr="00831A56">
        <w:rPr>
          <w:rFonts w:ascii="Times New Roman" w:hAnsi="Times New Roman"/>
          <w:i/>
          <w:sz w:val="24"/>
          <w:szCs w:val="24"/>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Pr="00831A56">
        <w:rPr>
          <w:rFonts w:ascii="Times New Roman" w:hAnsi="Times New Roman"/>
          <w:sz w:val="24"/>
          <w:szCs w:val="24"/>
        </w:rPr>
        <w:t xml:space="preserve">reconociéndose de esta manera, entre otros, el derecho al acceso a una vivienda, que les asiste a este grupo de atención prioritaria y especial, que, entre otros, repercute en su derecho constitucional a una vida digna. </w:t>
      </w:r>
    </w:p>
    <w:p w14:paraId="092E4913"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el artículo 240 de la Constitución establece que: “</w:t>
      </w:r>
      <w:r w:rsidRPr="00831A56">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831A56">
        <w:rPr>
          <w:rFonts w:ascii="Times New Roman" w:hAnsi="Times New Roman"/>
          <w:sz w:val="24"/>
          <w:szCs w:val="24"/>
        </w:rPr>
        <w:t>”;</w:t>
      </w:r>
    </w:p>
    <w:p w14:paraId="4FB60384" w14:textId="77777777" w:rsidR="00C02AAE" w:rsidRPr="00831A56" w:rsidRDefault="00C02AAE" w:rsidP="00C02AAE">
      <w:pPr>
        <w:pStyle w:val="Sinespaciado"/>
        <w:spacing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el artículo 266 de la Constitución establece que: “</w:t>
      </w:r>
      <w:r w:rsidRPr="00831A56">
        <w:rPr>
          <w:rFonts w:ascii="Times New Roman" w:hAnsi="Times New Roman"/>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4B1BFD7"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i/>
          <w:sz w:val="24"/>
          <w:szCs w:val="24"/>
        </w:rPr>
        <w:t xml:space="preserve">            En el ámbito de sus competencias y territorio, y en uso de sus facultades, expedirán ordenanzas distritales.”</w:t>
      </w:r>
      <w:r w:rsidRPr="00831A56">
        <w:rPr>
          <w:rFonts w:ascii="Times New Roman" w:hAnsi="Times New Roman"/>
          <w:sz w:val="24"/>
          <w:szCs w:val="24"/>
        </w:rPr>
        <w:t>;</w:t>
      </w:r>
    </w:p>
    <w:p w14:paraId="02194944" w14:textId="77777777" w:rsidR="00C02AAE" w:rsidRPr="00831A56" w:rsidRDefault="00C02AAE" w:rsidP="00C02AAE">
      <w:pPr>
        <w:pStyle w:val="Sinespaciado"/>
        <w:spacing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sz w:val="24"/>
          <w:szCs w:val="24"/>
        </w:rPr>
        <w:tab/>
      </w:r>
      <w:r w:rsidRPr="00831A56">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831A56">
        <w:rPr>
          <w:rFonts w:ascii="Times New Roman" w:hAnsi="Times New Roman"/>
          <w:bCs/>
          <w:i/>
          <w:sz w:val="24"/>
          <w:szCs w:val="24"/>
        </w:rPr>
        <w:t>“</w:t>
      </w:r>
      <w:r w:rsidRPr="00831A56">
        <w:rPr>
          <w:rFonts w:ascii="Times New Roman" w:hAnsi="Times New Roman"/>
          <w:b/>
          <w:i/>
          <w:sz w:val="24"/>
          <w:szCs w:val="24"/>
        </w:rPr>
        <w:t>c)</w:t>
      </w:r>
      <w:r w:rsidRPr="00831A56">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w:t>
      </w:r>
      <w:r w:rsidRPr="00831A56">
        <w:rPr>
          <w:rFonts w:ascii="Times New Roman" w:hAnsi="Times New Roman"/>
          <w:i/>
          <w:sz w:val="24"/>
          <w:szCs w:val="24"/>
        </w:rPr>
        <w:lastRenderedPageBreak/>
        <w:t>conformidad con la planificación metropolitana, asegurando porcentajes para zonas verdes y áreas comunales”;</w:t>
      </w:r>
    </w:p>
    <w:p w14:paraId="1F1C64FC"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literal a), d</w:t>
      </w:r>
      <w:r w:rsidRPr="00831A56">
        <w:rPr>
          <w:rFonts w:ascii="Times New Roman" w:hAnsi="Times New Roman"/>
          <w:sz w:val="24"/>
          <w:szCs w:val="24"/>
        </w:rPr>
        <w:t xml:space="preserve">el artículo 87 del COOTAD, establece que las funciones del Concejo Metropolitano, entre otras, son: </w:t>
      </w:r>
      <w:r w:rsidRPr="00831A56">
        <w:rPr>
          <w:rFonts w:ascii="Times New Roman" w:hAnsi="Times New Roman"/>
          <w:i/>
          <w:iCs/>
          <w:sz w:val="24"/>
          <w:szCs w:val="24"/>
        </w:rPr>
        <w:t>“</w:t>
      </w:r>
      <w:r w:rsidRPr="00831A56">
        <w:rPr>
          <w:rFonts w:ascii="Times New Roman" w:hAnsi="Times New Roman"/>
          <w:b/>
          <w:i/>
          <w:sz w:val="24"/>
          <w:szCs w:val="24"/>
        </w:rPr>
        <w:t>a)</w:t>
      </w:r>
      <w:r w:rsidRPr="00831A56">
        <w:rPr>
          <w:rFonts w:ascii="Times New Roman" w:hAnsi="Times New Roman"/>
          <w:i/>
          <w:sz w:val="24"/>
          <w:szCs w:val="24"/>
        </w:rPr>
        <w:t xml:space="preserve"> Ejercer la facultad normativa en las materias de competencia del gobierno autónomo descentralizado metropolitano, mediante la expedición de ordenanzas metropolitanas, acuerdos y resoluciones”;</w:t>
      </w:r>
      <w:r w:rsidRPr="00831A56">
        <w:rPr>
          <w:rFonts w:ascii="Times New Roman" w:hAnsi="Times New Roman"/>
          <w:i/>
          <w:iCs/>
          <w:sz w:val="24"/>
          <w:szCs w:val="24"/>
        </w:rPr>
        <w:t xml:space="preserve"> </w:t>
      </w:r>
    </w:p>
    <w:p w14:paraId="1F5AE2A1"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el artículo 322 del COOTAD establece el procedimiento para la aprobación de las ordenanzas municipales;</w:t>
      </w:r>
    </w:p>
    <w:p w14:paraId="7CB5051D" w14:textId="77777777" w:rsidR="00C02AAE" w:rsidRPr="00831A56" w:rsidRDefault="00C02AAE" w:rsidP="00C02AAE">
      <w:pPr>
        <w:pStyle w:val="Sinespaciado"/>
        <w:spacing w:after="240" w:line="276" w:lineRule="auto"/>
        <w:ind w:left="709" w:hanging="709"/>
        <w:jc w:val="both"/>
        <w:rPr>
          <w:rFonts w:ascii="Times New Roman" w:hAnsi="Times New Roman"/>
          <w:b/>
          <w:bCs/>
          <w:sz w:val="24"/>
          <w:szCs w:val="24"/>
        </w:rPr>
      </w:pPr>
      <w:r w:rsidRPr="00831A56">
        <w:rPr>
          <w:rFonts w:ascii="Times New Roman" w:hAnsi="Times New Roman"/>
          <w:b/>
          <w:bCs/>
          <w:sz w:val="24"/>
          <w:szCs w:val="24"/>
        </w:rPr>
        <w:t xml:space="preserve">Que,    </w:t>
      </w:r>
      <w:r w:rsidRPr="00831A56">
        <w:rPr>
          <w:rFonts w:ascii="Times New Roman" w:hAnsi="Times New Roman"/>
          <w:bCs/>
          <w:sz w:val="24"/>
          <w:szCs w:val="24"/>
        </w:rPr>
        <w:t>el artículo 486 del COOTAD reformado establece que: “</w:t>
      </w:r>
      <w:r w:rsidRPr="00831A56">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31A56">
        <w:rPr>
          <w:rFonts w:ascii="Times New Roman" w:hAnsi="Times New Roman"/>
          <w:bCs/>
          <w:sz w:val="24"/>
          <w:szCs w:val="24"/>
          <w:lang w:val="es-ES_tradnl"/>
        </w:rPr>
        <w:t>”</w:t>
      </w:r>
      <w:r w:rsidRPr="00831A56">
        <w:rPr>
          <w:rFonts w:ascii="Times New Roman" w:hAnsi="Times New Roman"/>
          <w:bCs/>
          <w:sz w:val="24"/>
          <w:szCs w:val="24"/>
        </w:rPr>
        <w:t>;</w:t>
      </w:r>
    </w:p>
    <w:p w14:paraId="47922671" w14:textId="77777777" w:rsidR="00C02AAE" w:rsidRPr="00831A56" w:rsidRDefault="00C02AAE" w:rsidP="00C02AAE">
      <w:pPr>
        <w:pStyle w:val="Sinespaciado"/>
        <w:spacing w:before="240" w:after="240" w:line="276" w:lineRule="auto"/>
        <w:ind w:left="709" w:hanging="709"/>
        <w:jc w:val="both"/>
        <w:rPr>
          <w:rFonts w:ascii="Times New Roman" w:hAnsi="Times New Roman"/>
          <w:i/>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la Disposición Transitoria Décima Cuarta del COOTAD, señala: “</w:t>
      </w:r>
      <w:r w:rsidRPr="00831A56">
        <w:rPr>
          <w:rFonts w:ascii="Times New Roman" w:hAnsi="Times New Roman"/>
          <w:bCs/>
          <w:i/>
          <w:sz w:val="24"/>
          <w:szCs w:val="24"/>
        </w:rPr>
        <w:t xml:space="preserve">(…) </w:t>
      </w:r>
      <w:r w:rsidRPr="00831A56">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p>
    <w:p w14:paraId="4CD98F19"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15387F3"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935544" w14:textId="77777777" w:rsidR="00C02AAE" w:rsidRPr="00831A56" w:rsidRDefault="00C02AAE" w:rsidP="00C02AAE">
      <w:pPr>
        <w:pStyle w:val="Sinespaciado"/>
        <w:spacing w:after="240" w:line="276" w:lineRule="auto"/>
        <w:ind w:left="709" w:hanging="709"/>
        <w:jc w:val="both"/>
        <w:rPr>
          <w:rFonts w:ascii="Times New Roman" w:hAnsi="Times New Roman"/>
          <w:sz w:val="24"/>
          <w:szCs w:val="24"/>
        </w:rPr>
      </w:pPr>
      <w:r w:rsidRPr="00831A56">
        <w:rPr>
          <w:rFonts w:ascii="Times New Roman" w:hAnsi="Times New Roman"/>
          <w:b/>
          <w:bCs/>
          <w:sz w:val="24"/>
          <w:szCs w:val="24"/>
        </w:rPr>
        <w:t>Que,</w:t>
      </w:r>
      <w:r w:rsidRPr="00831A56">
        <w:rPr>
          <w:rFonts w:ascii="Times New Roman" w:hAnsi="Times New Roman"/>
          <w:b/>
          <w:bCs/>
          <w:sz w:val="24"/>
          <w:szCs w:val="24"/>
        </w:rPr>
        <w:tab/>
      </w:r>
      <w:r w:rsidRPr="00831A56">
        <w:rPr>
          <w:rFonts w:ascii="Times New Roman" w:hAnsi="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B3AB8F8" w14:textId="77777777" w:rsidR="00C02AAE" w:rsidRPr="006B1979" w:rsidRDefault="00C02AAE" w:rsidP="00C02AAE">
      <w:pPr>
        <w:spacing w:after="240" w:line="276" w:lineRule="auto"/>
        <w:ind w:left="705" w:hanging="705"/>
        <w:jc w:val="both"/>
        <w:rPr>
          <w:sz w:val="24"/>
          <w:szCs w:val="24"/>
        </w:rPr>
      </w:pPr>
      <w:commentRangeStart w:id="0"/>
      <w:r w:rsidRPr="006B1979">
        <w:rPr>
          <w:b/>
          <w:sz w:val="24"/>
          <w:szCs w:val="24"/>
        </w:rPr>
        <w:t>Que,</w:t>
      </w:r>
      <w:r w:rsidRPr="006B1979">
        <w:rPr>
          <w:sz w:val="24"/>
          <w:szCs w:val="24"/>
        </w:rPr>
        <w:t xml:space="preserve"> </w:t>
      </w:r>
      <w:r w:rsidRPr="006B1979">
        <w:rPr>
          <w:sz w:val="24"/>
          <w:szCs w:val="24"/>
        </w:rPr>
        <w:tab/>
        <w:t xml:space="preserve">la Ordenanza Metropolitana PMDOT-PUGS No. 001 – 2021, sancionada el 13 de septiembre de 2021, en su Disposición Final dispone: </w:t>
      </w:r>
      <w:r w:rsidRPr="006B1979">
        <w:rPr>
          <w:i/>
          <w:sz w:val="24"/>
          <w:szCs w:val="24"/>
        </w:rPr>
        <w:t xml:space="preserve">“(…) La presente Ordenanza entrará en vigencia al momento de ser aprobada e implementada la Ordenanza Metropolitana que sustituya el Título I “Del Régimen Administrativo”, Libro IV.1 “Del Uso del Suelo”, libro IV “Eje Territorial”, de la Ordenanza Metropolitana No. </w:t>
      </w:r>
      <w:r w:rsidRPr="006B1979">
        <w:rPr>
          <w:i/>
          <w:sz w:val="24"/>
          <w:szCs w:val="24"/>
        </w:rPr>
        <w:lastRenderedPageBreak/>
        <w:t>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6B1979">
        <w:rPr>
          <w:sz w:val="24"/>
          <w:szCs w:val="24"/>
        </w:rPr>
        <w:t>;</w:t>
      </w:r>
      <w:commentRangeEnd w:id="0"/>
      <w:r>
        <w:rPr>
          <w:rStyle w:val="Refdecomentario"/>
        </w:rPr>
        <w:commentReference w:id="0"/>
      </w:r>
    </w:p>
    <w:p w14:paraId="66D6BC76" w14:textId="77777777" w:rsidR="00C02AAE" w:rsidRDefault="00C02AAE" w:rsidP="00C02AAE">
      <w:pPr>
        <w:spacing w:after="240" w:line="276" w:lineRule="auto"/>
        <w:ind w:left="705" w:hanging="705"/>
        <w:jc w:val="both"/>
        <w:rPr>
          <w:sz w:val="24"/>
          <w:szCs w:val="24"/>
        </w:rPr>
      </w:pPr>
      <w:r w:rsidRPr="00831A56">
        <w:rPr>
          <w:b/>
          <w:sz w:val="24"/>
          <w:szCs w:val="24"/>
        </w:rPr>
        <w:t>Que,</w:t>
      </w:r>
      <w:r w:rsidRPr="00831A56">
        <w:rPr>
          <w:sz w:val="24"/>
          <w:szCs w:val="24"/>
        </w:rPr>
        <w:t xml:space="preserve"> </w:t>
      </w:r>
      <w:r w:rsidRPr="00831A56">
        <w:rPr>
          <w:sz w:val="24"/>
          <w:szCs w:val="24"/>
        </w:rPr>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708E7D0" w14:textId="77777777" w:rsidR="00C02AAE" w:rsidRPr="00831A56" w:rsidRDefault="00C02AAE" w:rsidP="00C02AAE">
      <w:pPr>
        <w:spacing w:after="240" w:line="276" w:lineRule="auto"/>
        <w:ind w:left="705" w:hanging="705"/>
        <w:jc w:val="both"/>
        <w:rPr>
          <w:sz w:val="24"/>
          <w:szCs w:val="24"/>
        </w:rPr>
      </w:pPr>
      <w:commentRangeStart w:id="1"/>
      <w:r w:rsidRPr="00831A56">
        <w:rPr>
          <w:b/>
          <w:sz w:val="24"/>
          <w:szCs w:val="24"/>
        </w:rPr>
        <w:t>Que,</w:t>
      </w:r>
      <w:r w:rsidRPr="00831A56">
        <w:rPr>
          <w:b/>
          <w:sz w:val="24"/>
          <w:szCs w:val="24"/>
        </w:rPr>
        <w:tab/>
      </w:r>
      <w:r w:rsidRPr="00831A56">
        <w:rPr>
          <w:sz w:val="24"/>
          <w:szCs w:val="24"/>
        </w:rPr>
        <w:t xml:space="preserve">la Ordenanza Metropolitana No. 044 – 2022, sancionada el 02 de noviembre de 2022, en su Disposición Cuarta ordena: </w:t>
      </w:r>
      <w:r w:rsidRPr="00831A56">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31A56">
        <w:rPr>
          <w:sz w:val="24"/>
          <w:szCs w:val="24"/>
        </w:rPr>
        <w:t>;</w:t>
      </w:r>
      <w:commentRangeEnd w:id="1"/>
      <w:r>
        <w:rPr>
          <w:rStyle w:val="Refdecomentario"/>
        </w:rPr>
        <w:commentReference w:id="1"/>
      </w:r>
    </w:p>
    <w:p w14:paraId="0BB1F473" w14:textId="77777777" w:rsidR="00C02AAE" w:rsidRPr="0093536B" w:rsidRDefault="00C02AAE" w:rsidP="00C02AAE">
      <w:pPr>
        <w:pStyle w:val="Textoindependienteprimerasangra2"/>
        <w:ind w:left="709" w:hanging="709"/>
        <w:jc w:val="both"/>
        <w:rPr>
          <w:bCs/>
          <w:sz w:val="24"/>
          <w:szCs w:val="24"/>
        </w:rPr>
      </w:pPr>
      <w:r w:rsidRPr="0093536B">
        <w:rPr>
          <w:b/>
          <w:bCs/>
          <w:sz w:val="24"/>
          <w:szCs w:val="24"/>
        </w:rPr>
        <w:t>Que,</w:t>
      </w:r>
      <w:r w:rsidRPr="0093536B">
        <w:rPr>
          <w:b/>
          <w:bCs/>
          <w:sz w:val="24"/>
          <w:szCs w:val="24"/>
        </w:rPr>
        <w:tab/>
      </w:r>
      <w:r w:rsidRPr="0093536B">
        <w:rPr>
          <w:bCs/>
          <w:sz w:val="24"/>
          <w:szCs w:val="24"/>
        </w:rPr>
        <w:t>el artículo 3716, del Código Municipal para el Distrito Metropolitano de Quito, en su último párrafo, establece que, con la declaratoria de interés social del asentamiento humano de hecho y consolidado dará lugar a la exoneración referentes a la contribución de áreas verdes;</w:t>
      </w:r>
    </w:p>
    <w:p w14:paraId="44FBAA1B" w14:textId="77777777" w:rsidR="00C02AAE" w:rsidRPr="0093536B" w:rsidRDefault="00C02AAE" w:rsidP="00C02AAE">
      <w:pPr>
        <w:pStyle w:val="Textoindependienteprimerasangra2"/>
        <w:ind w:left="709" w:hanging="709"/>
        <w:jc w:val="both"/>
        <w:rPr>
          <w:bCs/>
          <w:sz w:val="24"/>
          <w:szCs w:val="24"/>
        </w:rPr>
      </w:pPr>
    </w:p>
    <w:p w14:paraId="05B9AED8" w14:textId="77777777" w:rsidR="00C02AAE" w:rsidRPr="0093536B" w:rsidRDefault="00C02AAE" w:rsidP="00C02AAE">
      <w:pPr>
        <w:spacing w:line="276" w:lineRule="auto"/>
        <w:ind w:left="705" w:hanging="705"/>
        <w:jc w:val="both"/>
        <w:rPr>
          <w:bCs/>
          <w:i/>
          <w:sz w:val="24"/>
          <w:szCs w:val="24"/>
        </w:rPr>
      </w:pPr>
      <w:r w:rsidRPr="0093536B">
        <w:rPr>
          <w:b/>
          <w:bCs/>
          <w:sz w:val="24"/>
          <w:szCs w:val="24"/>
        </w:rPr>
        <w:t>Que,</w:t>
      </w:r>
      <w:r w:rsidRPr="0093536B">
        <w:rPr>
          <w:b/>
          <w:bCs/>
          <w:sz w:val="24"/>
          <w:szCs w:val="24"/>
        </w:rPr>
        <w:tab/>
      </w:r>
      <w:r w:rsidRPr="0093536B">
        <w:rPr>
          <w:bCs/>
          <w:sz w:val="24"/>
          <w:szCs w:val="24"/>
        </w:rPr>
        <w:t>el artículo 3728 del Código Municipal para el Distrito Metropolitano de Quito, señala: “</w:t>
      </w:r>
      <w:r w:rsidRPr="0093536B">
        <w:rPr>
          <w:bCs/>
          <w:i/>
          <w:sz w:val="24"/>
          <w:szCs w:val="24"/>
        </w:rPr>
        <w:t xml:space="preserve">Ordenamiento </w:t>
      </w:r>
      <w:proofErr w:type="gramStart"/>
      <w:r w:rsidRPr="0093536B">
        <w:rPr>
          <w:bCs/>
          <w:i/>
          <w:sz w:val="24"/>
          <w:szCs w:val="24"/>
        </w:rPr>
        <w:t>territorial.-</w:t>
      </w:r>
      <w:proofErr w:type="gramEnd"/>
      <w:r w:rsidRPr="0093536B">
        <w:rPr>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F755090" w14:textId="77777777" w:rsidR="00C02AAE" w:rsidRPr="00831A56" w:rsidRDefault="00C02AAE" w:rsidP="00C02AAE">
      <w:pPr>
        <w:spacing w:line="276" w:lineRule="auto"/>
        <w:ind w:left="705" w:hanging="705"/>
        <w:jc w:val="both"/>
        <w:rPr>
          <w:bCs/>
          <w:i/>
          <w:color w:val="FF0000"/>
          <w:sz w:val="24"/>
          <w:szCs w:val="24"/>
        </w:rPr>
      </w:pPr>
    </w:p>
    <w:p w14:paraId="12A071B7" w14:textId="77777777" w:rsidR="00C02AAE" w:rsidRPr="0093536B" w:rsidRDefault="00C02AAE" w:rsidP="00C02AAE">
      <w:pPr>
        <w:spacing w:after="240" w:line="276" w:lineRule="auto"/>
        <w:ind w:left="705" w:hanging="705"/>
        <w:jc w:val="both"/>
        <w:rPr>
          <w:bCs/>
          <w:sz w:val="24"/>
          <w:szCs w:val="24"/>
        </w:rPr>
      </w:pPr>
      <w:r w:rsidRPr="0093536B">
        <w:rPr>
          <w:b/>
          <w:bCs/>
          <w:sz w:val="24"/>
          <w:szCs w:val="24"/>
        </w:rPr>
        <w:t>Que,</w:t>
      </w:r>
      <w:r w:rsidRPr="0093536B">
        <w:rPr>
          <w:b/>
          <w:bCs/>
          <w:sz w:val="24"/>
          <w:szCs w:val="24"/>
        </w:rPr>
        <w:tab/>
      </w:r>
      <w:r w:rsidRPr="0093536B">
        <w:rPr>
          <w:bCs/>
          <w:sz w:val="24"/>
          <w:szCs w:val="24"/>
        </w:rPr>
        <w:t xml:space="preserve">el artículo 3730 del Código Municipal para el Distrito Metropolitano de Quito, en su parte pertinente de la excepción de las áreas verdes dispone: </w:t>
      </w:r>
      <w:r w:rsidRPr="0093536B">
        <w:rPr>
          <w:bCs/>
          <w:i/>
          <w:sz w:val="24"/>
          <w:szCs w:val="24"/>
        </w:rPr>
        <w:t>“(…) El faltante de áreas verdes será compensado pecuniariamente con excepción de los asentamientos declarados de interés social (...)”</w:t>
      </w:r>
      <w:r w:rsidRPr="0093536B">
        <w:rPr>
          <w:bCs/>
          <w:sz w:val="24"/>
          <w:szCs w:val="24"/>
        </w:rPr>
        <w:t>;</w:t>
      </w:r>
    </w:p>
    <w:p w14:paraId="3037454F"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r w:rsidRPr="00831A56">
        <w:rPr>
          <w:rFonts w:ascii="Times New Roman" w:hAnsi="Times New Roman"/>
          <w:b/>
          <w:bCs/>
          <w:sz w:val="24"/>
          <w:szCs w:val="24"/>
        </w:rPr>
        <w:t xml:space="preserve">Que, </w:t>
      </w:r>
      <w:r w:rsidRPr="00831A56">
        <w:rPr>
          <w:rFonts w:ascii="Times New Roman" w:hAnsi="Times New Roman"/>
          <w:b/>
          <w:bCs/>
          <w:sz w:val="24"/>
          <w:szCs w:val="24"/>
        </w:rPr>
        <w:tab/>
      </w:r>
      <w:r w:rsidRPr="00831A56">
        <w:rPr>
          <w:rFonts w:ascii="Times New Roman" w:eastAsia="Times New Roman" w:hAnsi="Times New Roman"/>
          <w:bCs/>
          <w:sz w:val="24"/>
          <w:szCs w:val="24"/>
          <w:lang w:val="es-ES" w:eastAsia="es-ES"/>
        </w:rPr>
        <w:t xml:space="preserve">el Código Municipal para el Distrito Metropolitano de Quito, </w:t>
      </w:r>
      <w:r w:rsidRPr="00831A56">
        <w:rPr>
          <w:rFonts w:ascii="Times New Roman" w:hAnsi="Times New Roman"/>
          <w:bCs/>
          <w:sz w:val="24"/>
          <w:szCs w:val="24"/>
        </w:rPr>
        <w:t xml:space="preserve">determina en su disposición derogatoria lo siguiente: </w:t>
      </w:r>
      <w:r w:rsidRPr="00831A56">
        <w:rPr>
          <w:rFonts w:ascii="Times New Roman" w:hAnsi="Times New Roman"/>
          <w:bCs/>
          <w:i/>
          <w:sz w:val="24"/>
          <w:szCs w:val="24"/>
        </w:rPr>
        <w:t xml:space="preserve">“(…) Deróguense todas las Ordenanzas que se detallan en el cuadro adjunto (Anexo Derogatorias), con excepción de sus </w:t>
      </w:r>
      <w:r w:rsidRPr="00831A56">
        <w:rPr>
          <w:rFonts w:ascii="Times New Roman" w:hAnsi="Times New Roman"/>
          <w:bCs/>
          <w:i/>
          <w:sz w:val="24"/>
          <w:szCs w:val="24"/>
        </w:rPr>
        <w:lastRenderedPageBreak/>
        <w:t>disposiciones de carácter transitorio hasta la verificación del efectivo cumplimiento de las mismas;(…)</w:t>
      </w:r>
      <w:r w:rsidRPr="00831A56">
        <w:rPr>
          <w:rFonts w:ascii="Times New Roman" w:hAnsi="Times New Roman"/>
          <w:bCs/>
          <w:sz w:val="24"/>
          <w:szCs w:val="24"/>
        </w:rPr>
        <w:t xml:space="preserve">”; </w:t>
      </w:r>
    </w:p>
    <w:p w14:paraId="536ABAA5" w14:textId="77777777" w:rsidR="00C02AAE" w:rsidRPr="00831A56" w:rsidRDefault="00C02AAE" w:rsidP="00C02AAE">
      <w:pPr>
        <w:pStyle w:val="Sinespaciado"/>
        <w:spacing w:after="240" w:line="276" w:lineRule="auto"/>
        <w:ind w:left="709" w:hanging="709"/>
        <w:jc w:val="both"/>
        <w:rPr>
          <w:rFonts w:ascii="Times New Roman" w:hAnsi="Times New Roman"/>
          <w:bCs/>
          <w:sz w:val="24"/>
          <w:szCs w:val="24"/>
        </w:rPr>
      </w:pPr>
      <w:bookmarkStart w:id="2" w:name="_Hlk80219000"/>
      <w:r w:rsidRPr="00831A56">
        <w:rPr>
          <w:rFonts w:ascii="Times New Roman" w:hAnsi="Times New Roman"/>
          <w:b/>
          <w:bCs/>
          <w:sz w:val="24"/>
          <w:szCs w:val="24"/>
        </w:rPr>
        <w:t>Que,</w:t>
      </w:r>
      <w:r w:rsidRPr="00831A56">
        <w:rPr>
          <w:rFonts w:ascii="Times New Roman" w:hAnsi="Times New Roman"/>
          <w:bCs/>
          <w:sz w:val="24"/>
          <w:szCs w:val="24"/>
        </w:rPr>
        <w:tab/>
      </w:r>
      <w:r w:rsidRPr="00831A56">
        <w:rPr>
          <w:rFonts w:ascii="Times New Roman" w:eastAsia="Times New Roman" w:hAnsi="Times New Roman"/>
          <w:bCs/>
          <w:sz w:val="24"/>
          <w:szCs w:val="24"/>
          <w:lang w:val="es-ES" w:eastAsia="es-E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831A56">
        <w:rPr>
          <w:rFonts w:ascii="Times New Roman" w:hAnsi="Times New Roman"/>
          <w:bCs/>
          <w:sz w:val="24"/>
          <w:szCs w:val="24"/>
        </w:rPr>
        <w:t xml:space="preserve">  </w:t>
      </w:r>
    </w:p>
    <w:p w14:paraId="408728B4" w14:textId="77777777" w:rsidR="00C02AAE" w:rsidRPr="006B1979" w:rsidRDefault="00C02AAE" w:rsidP="00C02AAE">
      <w:pPr>
        <w:pStyle w:val="Sinespaciado"/>
        <w:spacing w:after="240" w:line="276" w:lineRule="auto"/>
        <w:ind w:left="709" w:hanging="709"/>
        <w:jc w:val="both"/>
        <w:rPr>
          <w:rFonts w:ascii="Times New Roman" w:hAnsi="Times New Roman"/>
          <w:sz w:val="24"/>
          <w:szCs w:val="24"/>
        </w:rPr>
      </w:pPr>
      <w:commentRangeStart w:id="3"/>
      <w:r w:rsidRPr="006B1979">
        <w:rPr>
          <w:rFonts w:ascii="Times New Roman" w:hAnsi="Times New Roman"/>
          <w:b/>
          <w:sz w:val="24"/>
          <w:szCs w:val="24"/>
        </w:rPr>
        <w:t>Que,</w:t>
      </w:r>
      <w:r w:rsidRPr="006B1979">
        <w:rPr>
          <w:rFonts w:ascii="Times New Roman" w:hAnsi="Times New Roman"/>
          <w:sz w:val="24"/>
          <w:szCs w:val="24"/>
        </w:rPr>
        <w:tab/>
        <w:t>en la Mesa Institucional de 31 de mayo del 2022, se aprobó el Informe Socio Organizativo Legal y Técnico No.  001-UERB-AZLD-SOLT-2022, de 31 de mayo de 2021, habilitante de la Ordenanza de Reconocimiento del asentamiento humano de hecho y consolidado de interés social, denominado: Barrio “José Gabriel Alarcón”, a favor de sus copropietarios.</w:t>
      </w:r>
      <w:commentRangeEnd w:id="3"/>
      <w:r>
        <w:rPr>
          <w:rStyle w:val="Refdecomentario"/>
          <w:rFonts w:ascii="Times New Roman" w:eastAsia="Times New Roman" w:hAnsi="Times New Roman"/>
          <w:lang w:val="es-ES" w:eastAsia="es-ES"/>
        </w:rPr>
        <w:commentReference w:id="3"/>
      </w:r>
    </w:p>
    <w:p w14:paraId="1C315649" w14:textId="77777777" w:rsidR="00C02AAE" w:rsidRPr="00831A56" w:rsidRDefault="00C02AAE" w:rsidP="00C02AAE">
      <w:pPr>
        <w:spacing w:after="240" w:line="276" w:lineRule="auto"/>
        <w:ind w:left="705" w:hanging="705"/>
        <w:jc w:val="both"/>
        <w:rPr>
          <w:bCs/>
          <w:color w:val="000000"/>
          <w:sz w:val="24"/>
          <w:szCs w:val="24"/>
        </w:rPr>
      </w:pPr>
      <w:r w:rsidRPr="00831A56">
        <w:rPr>
          <w:b/>
          <w:bCs/>
          <w:color w:val="000000"/>
          <w:sz w:val="24"/>
          <w:szCs w:val="24"/>
        </w:rPr>
        <w:t xml:space="preserve">Que, </w:t>
      </w:r>
      <w:r w:rsidRPr="00831A56">
        <w:rPr>
          <w:b/>
          <w:bCs/>
          <w:color w:val="000000"/>
          <w:sz w:val="24"/>
          <w:szCs w:val="24"/>
        </w:rPr>
        <w:tab/>
      </w:r>
      <w:r w:rsidRPr="00831A56">
        <w:rPr>
          <w:bCs/>
          <w:color w:val="000000"/>
          <w:sz w:val="24"/>
          <w:szCs w:val="24"/>
        </w:rPr>
        <w:t>mediante</w:t>
      </w:r>
      <w:r w:rsidRPr="00831A56">
        <w:rPr>
          <w:b/>
          <w:bCs/>
          <w:color w:val="000000"/>
          <w:sz w:val="24"/>
          <w:szCs w:val="24"/>
        </w:rPr>
        <w:t xml:space="preserve"> </w:t>
      </w:r>
      <w:r w:rsidRPr="00831A56">
        <w:rPr>
          <w:bCs/>
          <w:color w:val="000000"/>
          <w:sz w:val="24"/>
          <w:szCs w:val="24"/>
        </w:rPr>
        <w:t xml:space="preserve">Oficio Nro. GADDMQ-AZEE-2022-0209-O de 19 de enero de 2022, suscrito por la Ing. Gina Gabriela </w:t>
      </w:r>
      <w:proofErr w:type="spellStart"/>
      <w:r w:rsidRPr="00831A56">
        <w:rPr>
          <w:bCs/>
          <w:color w:val="000000"/>
          <w:sz w:val="24"/>
          <w:szCs w:val="24"/>
        </w:rPr>
        <w:t>Yanguez</w:t>
      </w:r>
      <w:proofErr w:type="spellEnd"/>
      <w:r w:rsidRPr="00831A56">
        <w:rPr>
          <w:bCs/>
          <w:color w:val="000000"/>
          <w:sz w:val="24"/>
          <w:szCs w:val="24"/>
        </w:rPr>
        <w:t xml:space="preserve"> Paredes, Administradora Zonal Eugenio Espejo, remite el Informe técnico No. AZEE-DGT-UTYV-RV-2022-001, de 17 de enero de 2022, correspondiente al trazado vial, para el Barrio “José Gabriel Alarcón”;</w:t>
      </w:r>
    </w:p>
    <w:bookmarkEnd w:id="2"/>
    <w:p w14:paraId="2BC800A4" w14:textId="77777777" w:rsidR="00C02AAE" w:rsidRPr="00831A56" w:rsidRDefault="00C02AAE" w:rsidP="00C02AAE">
      <w:pPr>
        <w:pStyle w:val="NormalWeb"/>
        <w:shd w:val="clear" w:color="auto" w:fill="FFFFFF"/>
        <w:spacing w:after="240" w:afterAutospacing="0" w:line="276" w:lineRule="auto"/>
        <w:ind w:left="700" w:hanging="700"/>
        <w:jc w:val="both"/>
      </w:pPr>
      <w:r w:rsidRPr="00831A56">
        <w:rPr>
          <w:b/>
        </w:rPr>
        <w:t>Que,</w:t>
      </w:r>
      <w:r w:rsidRPr="00831A56">
        <w:rPr>
          <w:b/>
        </w:rPr>
        <w:tab/>
      </w:r>
      <w:r w:rsidRPr="00831A56">
        <w:t>mediante Oficio Nro. 0080-EPMMOP-GP-2022-OF de 24 de enero de 2022, suscrito por el Arq. Hidalgo Aurelio Núñez Lucio, Gerente de Planificación la Empresa Pública Metropolitana de Movilidad y Obras Públicas, remite el plano en archivo digital que corresponde a la designación de nomenclatura vial del asentamiento humano de hecho y consolidado de interés social denominado: Barrio “José Gabriel Alarcón”.</w:t>
      </w:r>
    </w:p>
    <w:p w14:paraId="32CD706A" w14:textId="77777777" w:rsidR="00C02AAE" w:rsidRPr="00831A56" w:rsidRDefault="00C02AAE" w:rsidP="00C02AAE">
      <w:pPr>
        <w:spacing w:after="240" w:line="276" w:lineRule="auto"/>
        <w:ind w:left="705" w:hanging="705"/>
        <w:jc w:val="both"/>
        <w:rPr>
          <w:bCs/>
          <w:color w:val="000000"/>
          <w:sz w:val="24"/>
          <w:szCs w:val="24"/>
        </w:rPr>
      </w:pPr>
      <w:r w:rsidRPr="00831A56">
        <w:rPr>
          <w:b/>
          <w:bCs/>
          <w:color w:val="000000"/>
          <w:sz w:val="24"/>
          <w:szCs w:val="24"/>
        </w:rPr>
        <w:t>Que,</w:t>
      </w:r>
      <w:r w:rsidRPr="00831A56">
        <w:rPr>
          <w:bCs/>
          <w:color w:val="000000"/>
          <w:sz w:val="24"/>
          <w:szCs w:val="24"/>
        </w:rPr>
        <w:tab/>
        <w:t>mediante memorando Nro. GADDMQ-STHYV-DMC-UGC-2022-0786-M de 15 de mayo de 2022, suscrito por la Ing. Gabriela Patricia Melo Castillo, Jefa de la Unidad de Gestión Catastral de la Secretaría de Territorio, Hábitat y Vivienda, remite el Informe Técnico Favorable No. STHV-DMC-UGC-2022-1436, de 05 de mayo de 2022,</w:t>
      </w:r>
      <w:r w:rsidRPr="00831A56">
        <w:rPr>
          <w:sz w:val="24"/>
          <w:szCs w:val="24"/>
        </w:rPr>
        <w:t xml:space="preserve"> “(…) </w:t>
      </w:r>
      <w:r w:rsidRPr="00831A56">
        <w:rPr>
          <w:i/>
          <w:sz w:val="24"/>
          <w:szCs w:val="24"/>
        </w:rPr>
        <w:t>el cual contiene el trámite de Regularización de Excedentes y Diferencias de Áreas de terreno del predio No. 1480 y cédula catastral por estar dentro de la ETAM.”.</w:t>
      </w:r>
      <w:r w:rsidRPr="00831A56">
        <w:rPr>
          <w:bCs/>
          <w:sz w:val="24"/>
          <w:szCs w:val="24"/>
          <w:lang w:val="es-MX"/>
        </w:rPr>
        <w:t>;</w:t>
      </w:r>
    </w:p>
    <w:p w14:paraId="0E5E6E60" w14:textId="77777777" w:rsidR="00C02AAE" w:rsidRPr="00831A56" w:rsidRDefault="00C02AAE" w:rsidP="00C02AAE">
      <w:pPr>
        <w:spacing w:after="240" w:line="276" w:lineRule="auto"/>
        <w:ind w:left="705" w:hanging="705"/>
        <w:jc w:val="both"/>
        <w:rPr>
          <w:bCs/>
          <w:sz w:val="24"/>
          <w:szCs w:val="24"/>
        </w:rPr>
      </w:pPr>
      <w:r w:rsidRPr="00831A56">
        <w:rPr>
          <w:b/>
          <w:bCs/>
          <w:color w:val="000000"/>
          <w:sz w:val="24"/>
          <w:szCs w:val="24"/>
        </w:rPr>
        <w:t>Que,</w:t>
      </w:r>
      <w:r w:rsidRPr="00831A56">
        <w:rPr>
          <w:bCs/>
          <w:color w:val="000000"/>
          <w:sz w:val="24"/>
          <w:szCs w:val="24"/>
        </w:rPr>
        <w:tab/>
        <w:t xml:space="preserve">mediante Oficio Nro. GADDMQ-SGSG-DMGR-2022-0664-OF de 29 de mayo de 2022, suscrito por el </w:t>
      </w:r>
      <w:proofErr w:type="spellStart"/>
      <w:r w:rsidRPr="00831A56">
        <w:rPr>
          <w:bCs/>
          <w:color w:val="000000"/>
          <w:sz w:val="24"/>
          <w:szCs w:val="24"/>
        </w:rPr>
        <w:t>Mgs</w:t>
      </w:r>
      <w:proofErr w:type="spellEnd"/>
      <w:r w:rsidRPr="00831A56">
        <w:rPr>
          <w:bCs/>
          <w:color w:val="000000"/>
          <w:sz w:val="24"/>
          <w:szCs w:val="24"/>
        </w:rPr>
        <w:t xml:space="preserve">. Sixto Xavier Heras </w:t>
      </w:r>
      <w:proofErr w:type="spellStart"/>
      <w:r w:rsidRPr="00831A56">
        <w:rPr>
          <w:bCs/>
          <w:color w:val="000000"/>
          <w:sz w:val="24"/>
          <w:szCs w:val="24"/>
        </w:rPr>
        <w:t>Gárate</w:t>
      </w:r>
      <w:proofErr w:type="spellEnd"/>
      <w:r w:rsidRPr="00831A56">
        <w:rPr>
          <w:bCs/>
          <w:color w:val="000000"/>
          <w:sz w:val="24"/>
          <w:szCs w:val="24"/>
        </w:rPr>
        <w:t>, Director Metropolitano de la Secretaría General de Seguridad y Gobernabilidad, remite el informe técnico No. I-0008-EAH-AT-DMGR-2022, de 25 de mayo de 2022,</w:t>
      </w:r>
      <w:r w:rsidRPr="00831A56">
        <w:rPr>
          <w:sz w:val="24"/>
          <w:szCs w:val="24"/>
        </w:rPr>
        <w:t xml:space="preserve"> en el cual califica en el numeral 6.1 referente al nivel de riesgo </w:t>
      </w:r>
      <w:r w:rsidRPr="00831A56">
        <w:rPr>
          <w:bCs/>
          <w:sz w:val="24"/>
          <w:szCs w:val="24"/>
        </w:rPr>
        <w:t>para la regularización de tierras indicando que:</w:t>
      </w:r>
    </w:p>
    <w:p w14:paraId="57BD0083" w14:textId="77777777" w:rsidR="00C02AAE" w:rsidRPr="00831A56" w:rsidRDefault="00C02AAE" w:rsidP="00C02AAE">
      <w:pPr>
        <w:spacing w:after="240" w:line="276" w:lineRule="auto"/>
        <w:ind w:left="705" w:hanging="705"/>
        <w:jc w:val="both"/>
        <w:rPr>
          <w:i/>
          <w:sz w:val="24"/>
          <w:szCs w:val="24"/>
        </w:rPr>
      </w:pPr>
      <w:r w:rsidRPr="00831A56">
        <w:rPr>
          <w:bCs/>
          <w:color w:val="000000"/>
          <w:sz w:val="24"/>
          <w:szCs w:val="24"/>
        </w:rPr>
        <w:tab/>
      </w:r>
      <w:r w:rsidRPr="00831A56">
        <w:rPr>
          <w:bCs/>
          <w:sz w:val="24"/>
          <w:szCs w:val="24"/>
        </w:rPr>
        <w:t>“</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8C97ECE" w14:textId="77777777" w:rsidR="00C02AAE" w:rsidRPr="00831A56" w:rsidRDefault="00C02AAE" w:rsidP="00C02AAE">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lastRenderedPageBreak/>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 xml:space="preserve">el AHHYC “José Gabriel Alarcón”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351256D0" w14:textId="77777777" w:rsidR="00C02AAE" w:rsidRDefault="00C02AAE" w:rsidP="00C02AAE">
      <w:pPr>
        <w:ind w:left="705" w:hanging="705"/>
        <w:jc w:val="both"/>
        <w:rPr>
          <w:i/>
          <w:sz w:val="24"/>
          <w:szCs w:val="24"/>
        </w:rPr>
      </w:pPr>
      <w:commentRangeStart w:id="4"/>
      <w:r w:rsidRPr="00927180">
        <w:rPr>
          <w:b/>
          <w:sz w:val="24"/>
          <w:szCs w:val="24"/>
        </w:rPr>
        <w:t>Que,</w:t>
      </w:r>
      <w:r w:rsidRPr="00A7136F">
        <w:rPr>
          <w:sz w:val="24"/>
          <w:szCs w:val="24"/>
        </w:rPr>
        <w:tab/>
        <w:t>mediante Informe No. 001-UERB-AZEE-SOLT-2022, de 31 de mayo de 2022, suscrito por la abogada Lucía Jurado Orna, Coordinadora de la Unidad Especial “Regula tu Barrio”, La Delicia y Eugenio Espejo de ese entonces, se justifica la</w:t>
      </w:r>
      <w:r>
        <w:rPr>
          <w:sz w:val="24"/>
          <w:szCs w:val="24"/>
        </w:rPr>
        <w:t xml:space="preserve"> tenencia legal de la propiedad, además en s</w:t>
      </w:r>
      <w:r w:rsidRPr="00A7136F">
        <w:rPr>
          <w:sz w:val="24"/>
          <w:szCs w:val="24"/>
        </w:rPr>
        <w:t xml:space="preserve">u parte pertinente, el informe SOLT concluye que: </w:t>
      </w:r>
      <w:r w:rsidRPr="00A7136F">
        <w:rPr>
          <w:i/>
          <w:sz w:val="24"/>
          <w:szCs w:val="24"/>
        </w:rPr>
        <w:t xml:space="preserve">“De conformidad a lo establecido en el artículo 3681, manifiesta: “Declaratoria de Interés Social de los Asentamientos Humanos de Hecho y Consolidados”, el asentamiento humano de hecho y consolidado denominado “José Gabriel Alarcón”, del análisis socio organizativo se sugiere se lo considere de INTERÉS SOCIAL. </w:t>
      </w:r>
      <w:commentRangeEnd w:id="4"/>
      <w:r>
        <w:rPr>
          <w:rStyle w:val="Refdecomentario"/>
        </w:rPr>
        <w:commentReference w:id="4"/>
      </w:r>
    </w:p>
    <w:p w14:paraId="1B994953" w14:textId="77777777" w:rsidR="00C02AAE" w:rsidRDefault="00C02AAE" w:rsidP="00C02AAE">
      <w:pPr>
        <w:ind w:left="705" w:hanging="705"/>
        <w:jc w:val="both"/>
        <w:rPr>
          <w:i/>
          <w:sz w:val="24"/>
          <w:szCs w:val="24"/>
        </w:rPr>
      </w:pPr>
    </w:p>
    <w:p w14:paraId="629EADDF" w14:textId="77777777" w:rsidR="00C02AAE" w:rsidRPr="00416913" w:rsidRDefault="00C02AAE" w:rsidP="00C02AAE">
      <w:pPr>
        <w:ind w:left="705" w:hanging="705"/>
        <w:jc w:val="both"/>
        <w:rPr>
          <w:i/>
          <w:sz w:val="24"/>
          <w:szCs w:val="24"/>
        </w:rPr>
      </w:pPr>
      <w:commentRangeStart w:id="5"/>
      <w:r w:rsidRPr="00416913">
        <w:rPr>
          <w:b/>
          <w:sz w:val="24"/>
          <w:szCs w:val="24"/>
        </w:rPr>
        <w:t xml:space="preserve">Que, </w:t>
      </w:r>
      <w:r>
        <w:rPr>
          <w:b/>
          <w:sz w:val="24"/>
          <w:szCs w:val="24"/>
        </w:rPr>
        <w:tab/>
      </w:r>
      <w:r>
        <w:rPr>
          <w:sz w:val="24"/>
          <w:szCs w:val="24"/>
        </w:rPr>
        <w:t xml:space="preserve">mediante Informe Socio Organizativo Ampliatorio No. UERB-CLD-AZEE-ISO-2022-001-A, de 14 de septiembre de 2022, suscrito por la abogada Fernanda Durán García, Responsable Socio Organizativa de la Coordinación Desconcentrada de la </w:t>
      </w:r>
      <w:r w:rsidRPr="00A7136F">
        <w:rPr>
          <w:sz w:val="24"/>
          <w:szCs w:val="24"/>
        </w:rPr>
        <w:t>Unidad Especial “Regula tu Barrio”, La Delicia y Eugenio Espejo de ese entonces</w:t>
      </w:r>
      <w:r>
        <w:rPr>
          <w:sz w:val="24"/>
          <w:szCs w:val="24"/>
        </w:rPr>
        <w:t xml:space="preserve">, emitió un informe socio organizativo ampliatorio para el proceso de regularización del asentamiento humano de hecho y consolidado denominado “José Gabriel Alarcón”, y concluye: </w:t>
      </w:r>
      <w:r w:rsidRPr="00416913">
        <w:rPr>
          <w:i/>
          <w:sz w:val="24"/>
          <w:szCs w:val="24"/>
        </w:rPr>
        <w:t xml:space="preserve">“De conformidad a lo establecido en el artículo 3716 del Código Municipal para el Distrito Metropolitano de Quito, que dispone: “Declaratoria de Interés Social de los Asentamientos Humanos de Hecho y Consolidados”, al análisis de la información proporcionada por los moradores mediante la aplicación del instrumento encuesta socio económica, y de la información verificada en campo, se determinó que las personas moradoras del asentamiento, no </w:t>
      </w:r>
      <w:r w:rsidRPr="00937862">
        <w:rPr>
          <w:i/>
          <w:sz w:val="24"/>
          <w:szCs w:val="24"/>
        </w:rPr>
        <w:t>cubren las necesidades básicas, esto sumado a que en su mayoría el asentamiento está conformado por personas de la tercera edad, constituyéndose en un grupo vulnerable, y la falta de recursos económicos en los que vive la población, afectando a su calidad de vida. Bajo estas consideraciones, se sugiere que se considere al asentamiento</w:t>
      </w:r>
      <w:r w:rsidRPr="00A7136F">
        <w:rPr>
          <w:i/>
          <w:sz w:val="24"/>
          <w:szCs w:val="24"/>
        </w:rPr>
        <w:t xml:space="preserve"> humano de hecho y consolidado denominado “José Gabriel Alarcón”</w:t>
      </w:r>
      <w:r>
        <w:rPr>
          <w:i/>
          <w:sz w:val="24"/>
          <w:szCs w:val="24"/>
        </w:rPr>
        <w:t xml:space="preserve">, como un asentamiento de INTERÉS SOCIAL.”.  </w:t>
      </w:r>
    </w:p>
    <w:p w14:paraId="7C81311B" w14:textId="77777777" w:rsidR="00C02AAE" w:rsidRDefault="00C02AAE" w:rsidP="00C02AAE">
      <w:pPr>
        <w:ind w:left="700" w:hanging="700"/>
        <w:jc w:val="both"/>
        <w:rPr>
          <w:b/>
          <w:color w:val="FF0000"/>
          <w:sz w:val="24"/>
          <w:szCs w:val="24"/>
          <w:lang w:val="es-EC" w:eastAsia="es-ES_tradnl"/>
        </w:rPr>
      </w:pPr>
    </w:p>
    <w:p w14:paraId="0345C4A2" w14:textId="77777777" w:rsidR="00C02AAE" w:rsidRDefault="00C02AAE" w:rsidP="00C02AAE">
      <w:pPr>
        <w:ind w:left="700" w:hanging="700"/>
        <w:jc w:val="both"/>
        <w:rPr>
          <w:sz w:val="24"/>
          <w:szCs w:val="24"/>
        </w:rPr>
      </w:pPr>
      <w:r w:rsidRPr="00937862">
        <w:rPr>
          <w:b/>
          <w:sz w:val="24"/>
          <w:szCs w:val="24"/>
          <w:lang w:val="es-EC" w:eastAsia="es-ES_tradnl"/>
        </w:rPr>
        <w:t xml:space="preserve">Que, </w:t>
      </w:r>
      <w:r>
        <w:rPr>
          <w:b/>
          <w:color w:val="FF0000"/>
          <w:sz w:val="24"/>
          <w:szCs w:val="24"/>
          <w:lang w:val="es-EC" w:eastAsia="es-ES_tradnl"/>
        </w:rPr>
        <w:tab/>
      </w:r>
      <w:r>
        <w:rPr>
          <w:sz w:val="24"/>
          <w:szCs w:val="24"/>
        </w:rPr>
        <w:t>mediante Informe Legal Ampliatorio No. UERB-CLD-EE-2023-</w:t>
      </w:r>
      <w:r w:rsidRPr="00C64051">
        <w:rPr>
          <w:sz w:val="24"/>
          <w:szCs w:val="24"/>
        </w:rPr>
        <w:t>010-IL</w:t>
      </w:r>
      <w:r>
        <w:rPr>
          <w:sz w:val="24"/>
          <w:szCs w:val="24"/>
        </w:rPr>
        <w:t xml:space="preserve">, de 06 de marzo de 2023, suscrito por la abogada Fernanda Durán García, Responsable Legal de la Coordinación Desconcentrada de la </w:t>
      </w:r>
      <w:r w:rsidRPr="00A7136F">
        <w:rPr>
          <w:sz w:val="24"/>
          <w:szCs w:val="24"/>
        </w:rPr>
        <w:t xml:space="preserve">Unidad Especial “Regula tu Barrio”, La Delicia </w:t>
      </w:r>
      <w:r>
        <w:rPr>
          <w:sz w:val="24"/>
          <w:szCs w:val="24"/>
        </w:rPr>
        <w:t xml:space="preserve">y Eugenio Espejo, emitió un informe legal ampliatorio para el proceso de regularización del asentamiento humano de hecho y consolidado denominado “José Gabriel Alarcón”, en el que recomienda: </w:t>
      </w:r>
      <w:r w:rsidRPr="00C64051">
        <w:rPr>
          <w:i/>
          <w:sz w:val="24"/>
          <w:szCs w:val="24"/>
        </w:rPr>
        <w:t>“En base a los antecedentes descritos, la Coordinación de la Unidad Especial “Regula tu Barrio” La Delicia y Eugenio Espejo considera “factible” continuar con el proceso de regularización del asentamiento humano de hecho y consolidado denominado “José Gabriel Alarcón”, por encontrarse enmarcado en lo dispuesto en la normativa vigente en concordancia con las competencias del Municipio del Distrito Metropolitano de Quito.”</w:t>
      </w:r>
      <w:commentRangeEnd w:id="5"/>
      <w:r w:rsidRPr="00C64051">
        <w:rPr>
          <w:rStyle w:val="Refdecomentario"/>
          <w:i/>
        </w:rPr>
        <w:commentReference w:id="5"/>
      </w:r>
      <w:r>
        <w:rPr>
          <w:i/>
          <w:sz w:val="24"/>
          <w:szCs w:val="24"/>
        </w:rPr>
        <w:t>.</w:t>
      </w:r>
    </w:p>
    <w:p w14:paraId="26953D04" w14:textId="77777777" w:rsidR="00C02AAE" w:rsidRPr="00831A56" w:rsidRDefault="00C02AAE" w:rsidP="00C02AAE">
      <w:pPr>
        <w:ind w:left="700" w:hanging="700"/>
        <w:jc w:val="both"/>
        <w:rPr>
          <w:b/>
          <w:color w:val="FF0000"/>
          <w:sz w:val="24"/>
          <w:szCs w:val="24"/>
          <w:lang w:val="es-EC" w:eastAsia="es-ES_tradnl"/>
        </w:rPr>
      </w:pPr>
    </w:p>
    <w:p w14:paraId="465284D8" w14:textId="77777777" w:rsidR="00C02AAE" w:rsidRPr="00831A56" w:rsidRDefault="00C02AAE" w:rsidP="00C02AAE">
      <w:pPr>
        <w:ind w:left="700" w:hanging="700"/>
        <w:jc w:val="both"/>
        <w:rPr>
          <w:rStyle w:val="markedcontent"/>
          <w:i/>
          <w:sz w:val="24"/>
          <w:szCs w:val="24"/>
        </w:rPr>
      </w:pPr>
      <w:r w:rsidRPr="00831A56">
        <w:rPr>
          <w:b/>
          <w:sz w:val="24"/>
          <w:szCs w:val="24"/>
          <w:lang w:val="es-EC" w:eastAsia="es-ES_tradnl"/>
        </w:rPr>
        <w:t>Que,</w:t>
      </w:r>
      <w:r w:rsidRPr="00831A56">
        <w:rPr>
          <w:rStyle w:val="markedcontent"/>
          <w:sz w:val="24"/>
          <w:szCs w:val="24"/>
        </w:rPr>
        <w:t xml:space="preserve"> </w:t>
      </w:r>
      <w:r w:rsidRPr="00831A56">
        <w:rPr>
          <w:rStyle w:val="markedcontent"/>
          <w:sz w:val="24"/>
          <w:szCs w:val="24"/>
        </w:rPr>
        <w:tab/>
      </w:r>
      <w:r w:rsidRPr="00831A56">
        <w:rPr>
          <w:sz w:val="24"/>
          <w:szCs w:val="24"/>
          <w:lang w:val="es-EC" w:eastAsia="es-ES_tradnl"/>
        </w:rPr>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31A56">
        <w:rPr>
          <w:i/>
          <w:sz w:val="24"/>
          <w:szCs w:val="24"/>
          <w:lang w:val="es-EC" w:eastAsia="es-ES_tradnl"/>
        </w:rPr>
        <w:t xml:space="preserve">“De acuerdo a las “Normas de Diseño de Sistemas de Agua Potable para la EMAAP-Q, 01-AP-AMAAPQ-2008”, la instalación de hidrantes es un requisito técnico obligatorio que se deben considerar en los diseños de redes de agua potable, con la finalidad de garantizar obras seguras, </w:t>
      </w:r>
      <w:r w:rsidRPr="00831A56">
        <w:rPr>
          <w:i/>
          <w:sz w:val="24"/>
          <w:szCs w:val="24"/>
          <w:lang w:val="es-EC" w:eastAsia="es-ES_tradnl"/>
        </w:rPr>
        <w:lastRenderedPageBreak/>
        <w:t>durables, de funcionamiento adecuado, sostenibles en el tiempo y costos que garanticen los mayores beneficios de inversión prevista”.</w:t>
      </w:r>
    </w:p>
    <w:p w14:paraId="66BF1A66" w14:textId="77777777" w:rsidR="00C02AAE" w:rsidRDefault="00C02AAE" w:rsidP="00C02AAE">
      <w:pPr>
        <w:pStyle w:val="NormalWeb"/>
        <w:shd w:val="clear" w:color="auto" w:fill="FFFFFF"/>
        <w:spacing w:line="276" w:lineRule="auto"/>
        <w:ind w:left="700"/>
        <w:jc w:val="both"/>
        <w:rPr>
          <w:rStyle w:val="markedcontent"/>
          <w:i/>
        </w:rPr>
      </w:pPr>
      <w:r w:rsidRPr="00831A56">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p>
    <w:p w14:paraId="4C64A348" w14:textId="77777777" w:rsidR="00C02AAE" w:rsidRPr="00A7136F" w:rsidRDefault="00C02AAE" w:rsidP="00C02AAE">
      <w:pPr>
        <w:shd w:val="clear" w:color="auto" w:fill="FFFFFF"/>
        <w:autoSpaceDE w:val="0"/>
        <w:autoSpaceDN w:val="0"/>
        <w:adjustRightInd w:val="0"/>
        <w:spacing w:before="240" w:after="240"/>
        <w:ind w:left="705" w:hanging="705"/>
        <w:jc w:val="both"/>
        <w:rPr>
          <w:sz w:val="22"/>
          <w:szCs w:val="22"/>
        </w:rPr>
      </w:pPr>
      <w:commentRangeStart w:id="6"/>
      <w:r w:rsidRPr="00A7136F">
        <w:rPr>
          <w:rFonts w:eastAsiaTheme="minorHAnsi"/>
          <w:b/>
          <w:sz w:val="22"/>
          <w:szCs w:val="22"/>
          <w:lang w:val="es-EC" w:eastAsia="en-US"/>
        </w:rPr>
        <w:t>Que,</w:t>
      </w:r>
      <w:r w:rsidRPr="00A7136F">
        <w:rPr>
          <w:rFonts w:eastAsiaTheme="minorHAnsi"/>
          <w:b/>
          <w:sz w:val="22"/>
          <w:szCs w:val="22"/>
          <w:lang w:val="es-EC" w:eastAsia="en-US"/>
        </w:rPr>
        <w:tab/>
      </w:r>
      <w:r w:rsidRPr="00A7136F">
        <w:rPr>
          <w:bCs/>
          <w:sz w:val="24"/>
          <w:szCs w:val="24"/>
        </w:rPr>
        <w:t>mediante informe No. DMDU-URR-2023-03, de 05 de enero de 2023, la Dirección Metropolitana de Desarrollo Urbano, de la Secretaría de Territorio</w:t>
      </w:r>
      <w:r w:rsidRPr="00A7136F">
        <w:rPr>
          <w:sz w:val="22"/>
          <w:szCs w:val="22"/>
        </w:rPr>
        <w:t xml:space="preserve"> Hábitat y Vivienda, emite el informe técnico para la aplicación de la Ordenanza Metropolitana No. 042-2022, en los asentamientos humanos de hecho y consolidados del Distrito Metropolitano de Quito, señalando en su parte pertinente: </w:t>
      </w:r>
    </w:p>
    <w:p w14:paraId="4BD8CE08" w14:textId="77777777" w:rsidR="00C02AAE" w:rsidRPr="00A7136F" w:rsidRDefault="00C02AAE" w:rsidP="00C02AAE">
      <w:pPr>
        <w:shd w:val="clear" w:color="auto" w:fill="FFFFFF"/>
        <w:autoSpaceDE w:val="0"/>
        <w:autoSpaceDN w:val="0"/>
        <w:adjustRightInd w:val="0"/>
        <w:spacing w:before="240" w:after="240"/>
        <w:ind w:left="705"/>
        <w:jc w:val="both"/>
        <w:rPr>
          <w:i/>
          <w:sz w:val="22"/>
          <w:szCs w:val="22"/>
        </w:rPr>
      </w:pPr>
      <w:r w:rsidRPr="00A7136F">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5764F0AE" w14:textId="77777777" w:rsidR="00C02AAE" w:rsidRPr="00A7136F" w:rsidRDefault="00C02AAE" w:rsidP="00C02AAE">
      <w:pPr>
        <w:spacing w:after="240" w:line="276" w:lineRule="auto"/>
        <w:ind w:left="705"/>
        <w:jc w:val="both"/>
        <w:rPr>
          <w:sz w:val="24"/>
          <w:szCs w:val="24"/>
        </w:rPr>
      </w:pPr>
      <w:r w:rsidRPr="00A7136F">
        <w:rPr>
          <w:i/>
          <w:sz w:val="22"/>
          <w:szCs w:val="22"/>
        </w:rPr>
        <w:t>“Con base en las consideraciones expuestas, los asentamientos humanos de hecho y consolidados de interés social, no tienen la obligatoriedad de acogerse al soterramiento planteado por la Ordenanza Metropolitana No. 042-2022.”</w:t>
      </w:r>
      <w:commentRangeEnd w:id="6"/>
      <w:r>
        <w:rPr>
          <w:rStyle w:val="Refdecomentario"/>
        </w:rPr>
        <w:commentReference w:id="6"/>
      </w:r>
    </w:p>
    <w:p w14:paraId="56723301" w14:textId="77777777" w:rsidR="00C02AAE" w:rsidRPr="00831A56" w:rsidRDefault="00C02AAE" w:rsidP="00C02AAE">
      <w:pPr>
        <w:pStyle w:val="NormalWeb"/>
        <w:shd w:val="clear" w:color="auto" w:fill="FFFFFF"/>
        <w:spacing w:line="276" w:lineRule="auto"/>
        <w:jc w:val="both"/>
        <w:rPr>
          <w:b/>
        </w:rPr>
      </w:pPr>
      <w:r w:rsidRPr="00831A56">
        <w:rPr>
          <w:b/>
        </w:rPr>
        <w:t>En ejercicio de sus atribuciones legales constantes en los artículos 30, 31, 240 y 264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14:paraId="761B8780" w14:textId="77777777" w:rsidR="00C02AAE" w:rsidRPr="00831A56" w:rsidRDefault="00C02AAE" w:rsidP="00C02AAE">
      <w:pPr>
        <w:spacing w:after="240" w:line="276" w:lineRule="auto"/>
        <w:jc w:val="center"/>
        <w:rPr>
          <w:b/>
          <w:bCs/>
          <w:sz w:val="24"/>
          <w:szCs w:val="24"/>
        </w:rPr>
      </w:pPr>
      <w:r w:rsidRPr="00831A56">
        <w:rPr>
          <w:b/>
          <w:sz w:val="24"/>
          <w:szCs w:val="24"/>
        </w:rPr>
        <w:t>EXPIDE LA SIGUIENTE:</w:t>
      </w:r>
    </w:p>
    <w:p w14:paraId="192A270C" w14:textId="77777777" w:rsidR="00C02AAE" w:rsidRPr="00831A56" w:rsidRDefault="00C02AAE" w:rsidP="00C02AAE">
      <w:pPr>
        <w:spacing w:after="240" w:line="276" w:lineRule="auto"/>
        <w:jc w:val="center"/>
        <w:rPr>
          <w:b/>
          <w:sz w:val="24"/>
          <w:szCs w:val="24"/>
        </w:rPr>
      </w:pPr>
      <w:r w:rsidRPr="00831A56">
        <w:rPr>
          <w:b/>
          <w:sz w:val="24"/>
          <w:szCs w:val="24"/>
        </w:rPr>
        <w:t>ORDENANZA QUE APRUEBA EL PROCESO INTEGRAL DE REGULARIZACIÓN DEL ASENTAMIENTO HUMANO DE HECHO Y CONSOLIDADO DE INTERÉS SOCIAL DENOMINADO BARRIO “JOSÉ GABRIEL ALARCÓN”, UBICADO EN LA PARROQUIA KENEDDY, A FAVOR DE SUS COPROPIETARIOS.</w:t>
      </w:r>
    </w:p>
    <w:p w14:paraId="0128C06B" w14:textId="77777777" w:rsidR="00C02AAE" w:rsidRPr="00831A56" w:rsidRDefault="00C02AAE" w:rsidP="00C02AAE">
      <w:pPr>
        <w:pStyle w:val="Ttulo7"/>
        <w:spacing w:before="0" w:after="240" w:line="276" w:lineRule="auto"/>
        <w:jc w:val="both"/>
        <w:rPr>
          <w:rFonts w:ascii="Times New Roman" w:hAnsi="Times New Roman"/>
        </w:rPr>
      </w:pPr>
      <w:r w:rsidRPr="00831A56">
        <w:rPr>
          <w:rFonts w:ascii="Times New Roman" w:hAnsi="Times New Roman"/>
          <w:b/>
        </w:rPr>
        <w:t>Articulo 1.- Objeto. -</w:t>
      </w:r>
      <w:r w:rsidRPr="00831A56">
        <w:rPr>
          <w:rFonts w:ascii="Times New Roman" w:hAnsi="Times New Roman"/>
        </w:rPr>
        <w:t xml:space="preserve"> La presente ordenanza tiene por objeto reconocer y aprobar el fraccionamiento del predio No. 1480 y</w:t>
      </w:r>
      <w:r w:rsidRPr="00831A56">
        <w:rPr>
          <w:rFonts w:ascii="Times New Roman" w:hAnsi="Times New Roman"/>
          <w:bCs/>
          <w:lang w:val="es-EC" w:eastAsia="en-US"/>
        </w:rPr>
        <w:t xml:space="preserve"> mantener su zonificación; </w:t>
      </w:r>
      <w:r w:rsidRPr="00831A56">
        <w:rPr>
          <w:rFonts w:ascii="Times New Roman" w:hAnsi="Times New Roman"/>
        </w:rPr>
        <w:t>sobre el que se encuentra el asentamiento humano de hecho y consolidado de interés social denominado Barrio “José Gabriel Alarcón”</w:t>
      </w:r>
      <w:r w:rsidRPr="00831A56">
        <w:rPr>
          <w:rFonts w:ascii="Times New Roman" w:hAnsi="Times New Roman"/>
          <w:bCs/>
        </w:rPr>
        <w:t xml:space="preserve">, ubicado en la parroquia Kennedy </w:t>
      </w:r>
      <w:r w:rsidRPr="00831A56">
        <w:rPr>
          <w:rFonts w:ascii="Times New Roman" w:hAnsi="Times New Roman"/>
        </w:rPr>
        <w:t>a favor de sus copropietarios.</w:t>
      </w:r>
    </w:p>
    <w:p w14:paraId="136A802C" w14:textId="77777777" w:rsidR="00C02AAE" w:rsidRPr="00A7136F" w:rsidRDefault="00C02AAE" w:rsidP="00C02AAE">
      <w:pPr>
        <w:spacing w:after="240" w:line="276" w:lineRule="auto"/>
        <w:jc w:val="both"/>
        <w:rPr>
          <w:sz w:val="24"/>
          <w:szCs w:val="24"/>
        </w:rPr>
      </w:pPr>
      <w:commentRangeStart w:id="7"/>
      <w:r w:rsidRPr="00A7136F">
        <w:rPr>
          <w:b/>
          <w:sz w:val="24"/>
          <w:szCs w:val="24"/>
        </w:rPr>
        <w:t>Artículo 2.- De los planos y documentos presentados.-</w:t>
      </w:r>
      <w:r w:rsidRPr="00A7136F">
        <w:rPr>
          <w:sz w:val="24"/>
          <w:szCs w:val="24"/>
        </w:rPr>
        <w:t xml:space="preserve"> Los planos y documentos presentados para la aprobación del presente acto normativo son de exclusiva responsabilidad del proyectista y de los copropietarios del asentamiento humano de hecho y consolidado de interés social denominado Barrio “José Gabriel Alarcón”</w:t>
      </w:r>
      <w:r w:rsidRPr="00A7136F">
        <w:rPr>
          <w:bCs/>
          <w:sz w:val="24"/>
          <w:szCs w:val="24"/>
        </w:rPr>
        <w:t>,</w:t>
      </w:r>
      <w:r w:rsidRPr="00A7136F">
        <w:rPr>
          <w:b/>
          <w:sz w:val="24"/>
          <w:szCs w:val="24"/>
        </w:rPr>
        <w:t xml:space="preserve"> </w:t>
      </w:r>
      <w:r w:rsidRPr="00A7136F">
        <w:rPr>
          <w:sz w:val="24"/>
          <w:szCs w:val="24"/>
        </w:rPr>
        <w:t>ubicado en la parroquia Kennedy, y de los funcionarios públicos que emitieron los informes habilitantes de este procedimiento de regularización, salvo que hayan sido inducidos al engaño o al error.</w:t>
      </w:r>
      <w:commentRangeEnd w:id="7"/>
      <w:r>
        <w:rPr>
          <w:rStyle w:val="Refdecomentario"/>
        </w:rPr>
        <w:commentReference w:id="7"/>
      </w:r>
    </w:p>
    <w:p w14:paraId="77C3CD68" w14:textId="77777777" w:rsidR="00C02AAE" w:rsidRPr="00831A56" w:rsidRDefault="00C02AAE" w:rsidP="00C02AAE">
      <w:pPr>
        <w:spacing w:after="240" w:line="276" w:lineRule="auto"/>
        <w:jc w:val="both"/>
        <w:rPr>
          <w:sz w:val="24"/>
          <w:szCs w:val="24"/>
        </w:rPr>
      </w:pPr>
      <w:r w:rsidRPr="00831A56">
        <w:rPr>
          <w:sz w:val="24"/>
          <w:szCs w:val="24"/>
        </w:rPr>
        <w:lastRenderedPageBreak/>
        <w:t>En caso de comprobarse ocultación o falsedad en planos, datos, documentos, o de existir reclamos de terceros afectados, será de exclusiva responsabilidad del técnico y de los copropietarios del predio.</w:t>
      </w:r>
    </w:p>
    <w:p w14:paraId="2DAC07AE" w14:textId="77777777" w:rsidR="00C02AAE" w:rsidRPr="00831A56" w:rsidRDefault="00C02AAE" w:rsidP="00C02AAE">
      <w:pPr>
        <w:spacing w:after="240" w:line="276" w:lineRule="auto"/>
        <w:jc w:val="both"/>
        <w:rPr>
          <w:sz w:val="24"/>
          <w:szCs w:val="24"/>
        </w:rPr>
      </w:pPr>
      <w:r w:rsidRPr="00831A56">
        <w:rPr>
          <w:sz w:val="24"/>
          <w:szCs w:val="24"/>
        </w:rPr>
        <w:t>Las dimensiones y superficies de los lotes son las determinadas en el plano aprobatorio que forma parte integrante de esta Ordenanza.</w:t>
      </w:r>
    </w:p>
    <w:p w14:paraId="3BAF67DE" w14:textId="77777777" w:rsidR="00C02AAE" w:rsidRPr="00831A56" w:rsidRDefault="00C02AAE" w:rsidP="00C02AAE">
      <w:pPr>
        <w:spacing w:after="240" w:line="276" w:lineRule="auto"/>
        <w:jc w:val="both"/>
        <w:rPr>
          <w:sz w:val="24"/>
          <w:szCs w:val="24"/>
        </w:rPr>
      </w:pPr>
      <w:r w:rsidRPr="00831A56">
        <w:rPr>
          <w:sz w:val="24"/>
          <w:szCs w:val="24"/>
        </w:rPr>
        <w:t>Los copropietarios del asentamiento humano de hecho y consolidado de interés social denominado Barrio “José Gabriel Alarcón”</w:t>
      </w:r>
      <w:r w:rsidRPr="00831A56">
        <w:rPr>
          <w:bCs/>
          <w:sz w:val="24"/>
          <w:szCs w:val="24"/>
        </w:rPr>
        <w:t>,</w:t>
      </w:r>
      <w:r w:rsidRPr="00831A56">
        <w:rPr>
          <w:b/>
          <w:sz w:val="24"/>
          <w:szCs w:val="24"/>
        </w:rPr>
        <w:t xml:space="preserve"> </w:t>
      </w:r>
      <w:r w:rsidRPr="00831A56">
        <w:rPr>
          <w:sz w:val="24"/>
          <w:szCs w:val="24"/>
        </w:rPr>
        <w:t>ubicado en la parroquia Kennedy, se comprometen a respetar las características de los lotes establecidas en el Plano y en este instrumento; por tanto, no podrán fraccionarlos o dividirlos.</w:t>
      </w:r>
    </w:p>
    <w:p w14:paraId="53307854" w14:textId="77777777" w:rsidR="00C02AAE" w:rsidRPr="00831A56" w:rsidRDefault="00C02AAE" w:rsidP="00C02AAE">
      <w:pPr>
        <w:spacing w:after="240" w:line="276" w:lineRule="auto"/>
        <w:jc w:val="both"/>
        <w:rPr>
          <w:sz w:val="24"/>
          <w:szCs w:val="24"/>
        </w:rPr>
      </w:pPr>
      <w:r w:rsidRPr="00831A56">
        <w:rPr>
          <w:sz w:val="24"/>
          <w:szCs w:val="24"/>
        </w:rPr>
        <w:t xml:space="preserve">El incumplimiento de lo dispuesto en la presente Ordenanza y en la normativa metropolitana y nacional vigente al respecto, dará lugar a la imposición de las sanciones correspondientes. </w:t>
      </w:r>
    </w:p>
    <w:p w14:paraId="05850FB4" w14:textId="77777777" w:rsidR="00C02AAE" w:rsidRPr="00831A56" w:rsidRDefault="00C02AAE" w:rsidP="00C02AAE">
      <w:pPr>
        <w:spacing w:after="240" w:line="276" w:lineRule="auto"/>
        <w:jc w:val="both"/>
        <w:rPr>
          <w:sz w:val="24"/>
          <w:szCs w:val="24"/>
        </w:rPr>
      </w:pPr>
      <w:r w:rsidRPr="00831A56">
        <w:rPr>
          <w:b/>
          <w:bCs/>
          <w:sz w:val="24"/>
          <w:szCs w:val="24"/>
        </w:rPr>
        <w:t xml:space="preserve">Artículo 3.- Declaratoria de Interés Social. - </w:t>
      </w:r>
      <w:r w:rsidRPr="00831A56">
        <w:rPr>
          <w:sz w:val="24"/>
          <w:szCs w:val="24"/>
        </w:rPr>
        <w:t>Por las condiciones del asentamiento humano de hecho y consolidado, se lo aprueba considerándolo de interés social de conformidad con la normativa vigente.</w:t>
      </w:r>
    </w:p>
    <w:p w14:paraId="5CB8100E" w14:textId="77777777" w:rsidR="00C02AAE" w:rsidRPr="00831A56" w:rsidRDefault="00C02AAE" w:rsidP="00C02AAE">
      <w:pPr>
        <w:pStyle w:val="Sinespaciado"/>
        <w:rPr>
          <w:rFonts w:ascii="Times New Roman" w:hAnsi="Times New Roman"/>
          <w:b/>
          <w:sz w:val="24"/>
          <w:szCs w:val="24"/>
        </w:rPr>
      </w:pPr>
      <w:r w:rsidRPr="00831A56">
        <w:rPr>
          <w:rFonts w:ascii="Times New Roman" w:hAnsi="Times New Roman"/>
          <w:b/>
          <w:sz w:val="24"/>
          <w:szCs w:val="24"/>
        </w:rPr>
        <w:t>Artículo 4.- Especificaciones técnicas. -</w:t>
      </w:r>
    </w:p>
    <w:p w14:paraId="1C4CD49C" w14:textId="77777777" w:rsidR="00C02AAE" w:rsidRPr="00831A56" w:rsidRDefault="00C02AAE" w:rsidP="00C02AAE">
      <w:pPr>
        <w:pStyle w:val="Sinespaciad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61"/>
        <w:gridCol w:w="2195"/>
      </w:tblGrid>
      <w:tr w:rsidR="00C02AAE" w:rsidRPr="00831A56" w14:paraId="2BA72215" w14:textId="77777777" w:rsidTr="00A4676E">
        <w:trPr>
          <w:trHeight w:val="128"/>
        </w:trPr>
        <w:tc>
          <w:tcPr>
            <w:tcW w:w="3823" w:type="dxa"/>
            <w:shd w:val="clear" w:color="auto" w:fill="auto"/>
          </w:tcPr>
          <w:p w14:paraId="4A853140" w14:textId="77777777" w:rsidR="00C02AAE" w:rsidRPr="00831A56" w:rsidRDefault="00C02AAE" w:rsidP="00A4676E">
            <w:pPr>
              <w:pStyle w:val="Sinespaciado"/>
              <w:rPr>
                <w:rFonts w:ascii="Times New Roman" w:hAnsi="Times New Roman"/>
                <w:b/>
                <w:sz w:val="24"/>
                <w:szCs w:val="24"/>
              </w:rPr>
            </w:pPr>
            <w:bookmarkStart w:id="8" w:name="_Hlk80200367"/>
            <w:r w:rsidRPr="00831A56">
              <w:rPr>
                <w:rFonts w:ascii="Times New Roman" w:hAnsi="Times New Roman"/>
                <w:b/>
                <w:bCs/>
                <w:sz w:val="24"/>
                <w:szCs w:val="24"/>
              </w:rPr>
              <w:t>Predios:</w:t>
            </w:r>
          </w:p>
        </w:tc>
        <w:tc>
          <w:tcPr>
            <w:tcW w:w="4956" w:type="dxa"/>
            <w:gridSpan w:val="2"/>
            <w:shd w:val="clear" w:color="auto" w:fill="auto"/>
          </w:tcPr>
          <w:p w14:paraId="72BF3026"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1480</w:t>
            </w:r>
          </w:p>
        </w:tc>
      </w:tr>
      <w:tr w:rsidR="00C02AAE" w:rsidRPr="00831A56" w14:paraId="7A56B7B2" w14:textId="77777777" w:rsidTr="00A4676E">
        <w:tc>
          <w:tcPr>
            <w:tcW w:w="3823" w:type="dxa"/>
            <w:shd w:val="clear" w:color="auto" w:fill="auto"/>
          </w:tcPr>
          <w:p w14:paraId="45D35845" w14:textId="77777777" w:rsidR="00C02AAE" w:rsidRPr="00831A56" w:rsidRDefault="00C02AAE" w:rsidP="00A4676E">
            <w:pPr>
              <w:pStyle w:val="Sinespaciado"/>
              <w:rPr>
                <w:rFonts w:ascii="Times New Roman" w:hAnsi="Times New Roman"/>
                <w:b/>
                <w:bCs/>
                <w:sz w:val="24"/>
                <w:szCs w:val="24"/>
              </w:rPr>
            </w:pPr>
            <w:r w:rsidRPr="00831A56">
              <w:rPr>
                <w:rFonts w:ascii="Times New Roman" w:hAnsi="Times New Roman"/>
                <w:b/>
                <w:color w:val="000000"/>
                <w:sz w:val="24"/>
                <w:szCs w:val="24"/>
              </w:rPr>
              <w:t>Zonificación:</w:t>
            </w:r>
          </w:p>
        </w:tc>
        <w:tc>
          <w:tcPr>
            <w:tcW w:w="2761" w:type="dxa"/>
            <w:shd w:val="clear" w:color="auto" w:fill="auto"/>
          </w:tcPr>
          <w:p w14:paraId="57EE2455"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C4 (C304-70) </w:t>
            </w:r>
          </w:p>
        </w:tc>
        <w:tc>
          <w:tcPr>
            <w:tcW w:w="2195" w:type="dxa"/>
            <w:shd w:val="clear" w:color="auto" w:fill="auto"/>
          </w:tcPr>
          <w:p w14:paraId="65F4C5D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A22 (A608-60(PB))</w:t>
            </w:r>
          </w:p>
        </w:tc>
      </w:tr>
      <w:tr w:rsidR="00C02AAE" w:rsidRPr="00831A56" w14:paraId="7E310750" w14:textId="77777777" w:rsidTr="00A4676E">
        <w:tc>
          <w:tcPr>
            <w:tcW w:w="3823" w:type="dxa"/>
            <w:shd w:val="clear" w:color="auto" w:fill="auto"/>
          </w:tcPr>
          <w:p w14:paraId="6BD22BC3"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Lote mínimo:</w:t>
            </w:r>
          </w:p>
        </w:tc>
        <w:tc>
          <w:tcPr>
            <w:tcW w:w="2761" w:type="dxa"/>
            <w:shd w:val="clear" w:color="auto" w:fill="auto"/>
          </w:tcPr>
          <w:p w14:paraId="78E5BAAB"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300 m2</w:t>
            </w:r>
          </w:p>
        </w:tc>
        <w:tc>
          <w:tcPr>
            <w:tcW w:w="2195" w:type="dxa"/>
            <w:shd w:val="clear" w:color="auto" w:fill="auto"/>
          </w:tcPr>
          <w:p w14:paraId="20372271"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600 m2</w:t>
            </w:r>
          </w:p>
        </w:tc>
      </w:tr>
      <w:tr w:rsidR="00C02AAE" w:rsidRPr="00831A56" w14:paraId="6F52C2D4" w14:textId="77777777" w:rsidTr="00A4676E">
        <w:tc>
          <w:tcPr>
            <w:tcW w:w="3823" w:type="dxa"/>
            <w:shd w:val="clear" w:color="auto" w:fill="auto"/>
          </w:tcPr>
          <w:p w14:paraId="39F28618"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Forma de ocupación del suelo:</w:t>
            </w:r>
          </w:p>
        </w:tc>
        <w:tc>
          <w:tcPr>
            <w:tcW w:w="2761" w:type="dxa"/>
            <w:shd w:val="clear" w:color="auto" w:fill="auto"/>
          </w:tcPr>
          <w:p w14:paraId="280F0E4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(C) Continua con retiro frontal </w:t>
            </w:r>
          </w:p>
        </w:tc>
        <w:tc>
          <w:tcPr>
            <w:tcW w:w="2195" w:type="dxa"/>
            <w:shd w:val="clear" w:color="auto" w:fill="auto"/>
          </w:tcPr>
          <w:p w14:paraId="64A37F2D"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 (A) Aislada</w:t>
            </w:r>
          </w:p>
        </w:tc>
      </w:tr>
      <w:tr w:rsidR="00C02AAE" w:rsidRPr="00831A56" w14:paraId="6E454085" w14:textId="77777777" w:rsidTr="00A4676E">
        <w:tc>
          <w:tcPr>
            <w:tcW w:w="3823" w:type="dxa"/>
            <w:shd w:val="clear" w:color="auto" w:fill="auto"/>
          </w:tcPr>
          <w:p w14:paraId="550924EB"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Uso principal del suelo:</w:t>
            </w:r>
          </w:p>
        </w:tc>
        <w:tc>
          <w:tcPr>
            <w:tcW w:w="2761" w:type="dxa"/>
            <w:shd w:val="clear" w:color="auto" w:fill="auto"/>
            <w:vAlign w:val="center"/>
          </w:tcPr>
          <w:p w14:paraId="5ADA2668"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 xml:space="preserve">RU2) Residencial Urbano </w:t>
            </w:r>
          </w:p>
        </w:tc>
        <w:tc>
          <w:tcPr>
            <w:tcW w:w="2195" w:type="dxa"/>
            <w:shd w:val="clear" w:color="auto" w:fill="auto"/>
            <w:vAlign w:val="center"/>
          </w:tcPr>
          <w:p w14:paraId="7E005837"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(M) Múltiple</w:t>
            </w:r>
          </w:p>
        </w:tc>
      </w:tr>
      <w:tr w:rsidR="00C02AAE" w:rsidRPr="00831A56" w14:paraId="22058857" w14:textId="77777777" w:rsidTr="00A4676E">
        <w:tc>
          <w:tcPr>
            <w:tcW w:w="3823" w:type="dxa"/>
            <w:shd w:val="clear" w:color="auto" w:fill="auto"/>
          </w:tcPr>
          <w:p w14:paraId="71C928F9"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Clasificación del Suelo:</w:t>
            </w:r>
          </w:p>
        </w:tc>
        <w:tc>
          <w:tcPr>
            <w:tcW w:w="4956" w:type="dxa"/>
            <w:gridSpan w:val="2"/>
            <w:shd w:val="clear" w:color="auto" w:fill="auto"/>
          </w:tcPr>
          <w:p w14:paraId="4D35BFA2"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(SU) Suelo Urbano</w:t>
            </w:r>
          </w:p>
        </w:tc>
      </w:tr>
      <w:tr w:rsidR="00C02AAE" w:rsidRPr="00831A56" w14:paraId="728982A0" w14:textId="77777777" w:rsidTr="00A4676E">
        <w:tc>
          <w:tcPr>
            <w:tcW w:w="3823" w:type="dxa"/>
            <w:shd w:val="clear" w:color="auto" w:fill="auto"/>
          </w:tcPr>
          <w:p w14:paraId="494C26F4"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Número de lotes:</w:t>
            </w:r>
          </w:p>
        </w:tc>
        <w:tc>
          <w:tcPr>
            <w:tcW w:w="4956" w:type="dxa"/>
            <w:gridSpan w:val="2"/>
            <w:shd w:val="clear" w:color="auto" w:fill="auto"/>
          </w:tcPr>
          <w:p w14:paraId="097F4512"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11</w:t>
            </w:r>
          </w:p>
        </w:tc>
      </w:tr>
      <w:tr w:rsidR="00C02AAE" w:rsidRPr="00831A56" w14:paraId="3F5B1DFA" w14:textId="77777777" w:rsidTr="00A4676E">
        <w:tc>
          <w:tcPr>
            <w:tcW w:w="3823" w:type="dxa"/>
            <w:tcBorders>
              <w:bottom w:val="single" w:sz="4" w:space="0" w:color="auto"/>
            </w:tcBorders>
            <w:shd w:val="clear" w:color="auto" w:fill="auto"/>
          </w:tcPr>
          <w:p w14:paraId="20653215"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Área útil de lotes:</w:t>
            </w:r>
          </w:p>
        </w:tc>
        <w:tc>
          <w:tcPr>
            <w:tcW w:w="4956" w:type="dxa"/>
            <w:gridSpan w:val="2"/>
            <w:tcBorders>
              <w:bottom w:val="single" w:sz="4" w:space="0" w:color="auto"/>
            </w:tcBorders>
            <w:shd w:val="clear" w:color="auto" w:fill="auto"/>
            <w:vAlign w:val="center"/>
          </w:tcPr>
          <w:p w14:paraId="653F1024"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10241.00 m2</w:t>
            </w:r>
          </w:p>
        </w:tc>
      </w:tr>
      <w:tr w:rsidR="00C02AAE" w:rsidRPr="00831A56" w14:paraId="1D3816F3" w14:textId="77777777" w:rsidTr="00A4676E">
        <w:tc>
          <w:tcPr>
            <w:tcW w:w="3823" w:type="dxa"/>
            <w:shd w:val="clear" w:color="auto" w:fill="auto"/>
          </w:tcPr>
          <w:p w14:paraId="2599E50D" w14:textId="77777777" w:rsidR="00C02AAE" w:rsidRPr="00831A56" w:rsidRDefault="00C02AAE" w:rsidP="00A4676E">
            <w:pPr>
              <w:pStyle w:val="Sinespaciado"/>
              <w:rPr>
                <w:rFonts w:ascii="Times New Roman" w:hAnsi="Times New Roman"/>
                <w:b/>
                <w:color w:val="000000"/>
                <w:sz w:val="24"/>
                <w:szCs w:val="24"/>
              </w:rPr>
            </w:pPr>
            <w:r w:rsidRPr="00831A56">
              <w:rPr>
                <w:rFonts w:ascii="Times New Roman" w:hAnsi="Times New Roman"/>
                <w:b/>
                <w:color w:val="000000"/>
                <w:sz w:val="24"/>
                <w:szCs w:val="24"/>
              </w:rPr>
              <w:t>Área bruta del terreno (Área Total):</w:t>
            </w:r>
          </w:p>
        </w:tc>
        <w:tc>
          <w:tcPr>
            <w:tcW w:w="4956" w:type="dxa"/>
            <w:gridSpan w:val="2"/>
            <w:shd w:val="clear" w:color="auto" w:fill="auto"/>
            <w:vAlign w:val="center"/>
          </w:tcPr>
          <w:p w14:paraId="1BF4E669" w14:textId="77777777" w:rsidR="00C02AAE" w:rsidRPr="00831A56" w:rsidRDefault="00C02AAE" w:rsidP="00A4676E">
            <w:pPr>
              <w:pStyle w:val="Sinespaciado"/>
              <w:rPr>
                <w:rFonts w:ascii="Times New Roman" w:hAnsi="Times New Roman"/>
                <w:sz w:val="24"/>
                <w:szCs w:val="24"/>
              </w:rPr>
            </w:pPr>
            <w:r w:rsidRPr="00831A56">
              <w:rPr>
                <w:rFonts w:ascii="Times New Roman" w:hAnsi="Times New Roman"/>
                <w:sz w:val="24"/>
                <w:szCs w:val="24"/>
              </w:rPr>
              <w:t>10241.00 m2</w:t>
            </w:r>
          </w:p>
        </w:tc>
      </w:tr>
      <w:bookmarkEnd w:id="8"/>
    </w:tbl>
    <w:p w14:paraId="0BD522BA" w14:textId="77777777" w:rsidR="00C02AAE" w:rsidRPr="00831A56" w:rsidRDefault="00C02AAE" w:rsidP="00C02AAE">
      <w:pPr>
        <w:pStyle w:val="Sinespaciado"/>
        <w:rPr>
          <w:rFonts w:ascii="Times New Roman" w:hAnsi="Times New Roman"/>
          <w:b/>
          <w:sz w:val="24"/>
          <w:szCs w:val="24"/>
        </w:rPr>
      </w:pPr>
    </w:p>
    <w:p w14:paraId="0AA1E0C3" w14:textId="77777777" w:rsidR="00C02AAE" w:rsidRPr="00831A56" w:rsidRDefault="00C02AAE" w:rsidP="00C02AAE">
      <w:pPr>
        <w:spacing w:after="200" w:line="276" w:lineRule="auto"/>
        <w:jc w:val="both"/>
        <w:rPr>
          <w:sz w:val="24"/>
          <w:szCs w:val="24"/>
        </w:rPr>
      </w:pPr>
      <w:r w:rsidRPr="00831A56">
        <w:rPr>
          <w:sz w:val="24"/>
          <w:szCs w:val="24"/>
        </w:rPr>
        <w:t>El número total de lotes,</w:t>
      </w:r>
      <w:r w:rsidRPr="00831A56">
        <w:rPr>
          <w:color w:val="FF0000"/>
          <w:sz w:val="24"/>
          <w:szCs w:val="24"/>
        </w:rPr>
        <w:t xml:space="preserve"> </w:t>
      </w:r>
      <w:r w:rsidRPr="00831A56">
        <w:rPr>
          <w:color w:val="000000"/>
          <w:sz w:val="24"/>
          <w:szCs w:val="24"/>
        </w:rPr>
        <w:t>producto del fraccionamiento,</w:t>
      </w:r>
      <w:r w:rsidRPr="00831A56">
        <w:rPr>
          <w:sz w:val="24"/>
          <w:szCs w:val="24"/>
        </w:rPr>
        <w:t xml:space="preserve"> es de 11, signados del uno (1) al once (11) cuyo detalle es el que consta en los planos aprobatorios que forman parte de la presente Ordenanza. </w:t>
      </w:r>
    </w:p>
    <w:p w14:paraId="7F384C3D" w14:textId="77777777" w:rsidR="00C02AAE" w:rsidRPr="00831A56" w:rsidRDefault="00C02AAE" w:rsidP="00C02AAE">
      <w:pPr>
        <w:spacing w:after="200" w:line="276" w:lineRule="auto"/>
        <w:jc w:val="both"/>
        <w:rPr>
          <w:color w:val="FF0000"/>
          <w:sz w:val="24"/>
          <w:szCs w:val="24"/>
        </w:rPr>
      </w:pPr>
      <w:r w:rsidRPr="00831A56">
        <w:rPr>
          <w:sz w:val="24"/>
          <w:szCs w:val="24"/>
        </w:rPr>
        <w:t>El área total del predio No. 1480, es la que consta en la Cédula Catastral No. 160552, emitida por la Direcció</w:t>
      </w:r>
      <w:r>
        <w:rPr>
          <w:sz w:val="24"/>
          <w:szCs w:val="24"/>
        </w:rPr>
        <w:t>n Metropolitana de Catastro, el</w:t>
      </w:r>
      <w:r w:rsidRPr="00831A56">
        <w:rPr>
          <w:sz w:val="24"/>
          <w:szCs w:val="24"/>
        </w:rPr>
        <w:t xml:space="preserve"> 10 de mayo de 2022, inscrita en el Registro de la Propiedad el </w:t>
      </w:r>
      <w:r>
        <w:rPr>
          <w:sz w:val="24"/>
          <w:szCs w:val="24"/>
        </w:rPr>
        <w:t>15</w:t>
      </w:r>
      <w:r w:rsidRPr="00831A56">
        <w:rPr>
          <w:sz w:val="24"/>
          <w:szCs w:val="24"/>
        </w:rPr>
        <w:t xml:space="preserve"> de febrero de 2023 y se encuentra rectificada y regularizada de conformidad al Art. 2268 </w:t>
      </w:r>
      <w:r w:rsidRPr="00831A56">
        <w:rPr>
          <w:bCs/>
          <w:sz w:val="24"/>
          <w:szCs w:val="24"/>
        </w:rPr>
        <w:t>del Código Municipal para el Distrito Metropolitano de Quito</w:t>
      </w:r>
      <w:r w:rsidRPr="00831A56">
        <w:rPr>
          <w:sz w:val="24"/>
          <w:szCs w:val="24"/>
        </w:rPr>
        <w:t>.</w:t>
      </w:r>
    </w:p>
    <w:p w14:paraId="2DD1B13A" w14:textId="77777777" w:rsidR="00C02AAE" w:rsidRPr="00831A56" w:rsidRDefault="00C02AAE" w:rsidP="00C02AAE">
      <w:pPr>
        <w:tabs>
          <w:tab w:val="left" w:pos="4253"/>
          <w:tab w:val="center" w:pos="4394"/>
        </w:tabs>
        <w:jc w:val="both"/>
        <w:rPr>
          <w:sz w:val="24"/>
          <w:szCs w:val="24"/>
        </w:rPr>
      </w:pPr>
      <w:r w:rsidRPr="00831A56">
        <w:rPr>
          <w:b/>
          <w:sz w:val="24"/>
          <w:szCs w:val="24"/>
        </w:rPr>
        <w:t xml:space="preserve">Artículo 5.- Zonificación de los lotes. </w:t>
      </w:r>
      <w:r w:rsidRPr="00831A56">
        <w:rPr>
          <w:sz w:val="24"/>
          <w:szCs w:val="24"/>
        </w:rPr>
        <w:t>- Los lotes fraccionados mantendrán la zonificación actual: C4 (C304-70) / A22 (A608-60(PB)), forma de ocupación: (C) Continua con retiro frontal / (A) Aislada, Lote mínimo: 300 m2 / 600 m2, Número de pisos: 4 / 8, COS planta baja: 70% / 60%, COS total: 280% / 480%, Uso principal: (RU2) Residencial Urbano / (M) Múltiple.</w:t>
      </w:r>
    </w:p>
    <w:p w14:paraId="6088DBA7" w14:textId="77777777" w:rsidR="00C02AAE" w:rsidRPr="00831A56" w:rsidRDefault="00C02AAE" w:rsidP="00C02AAE">
      <w:pPr>
        <w:spacing w:before="240" w:after="240" w:line="276" w:lineRule="auto"/>
        <w:jc w:val="both"/>
        <w:rPr>
          <w:sz w:val="24"/>
          <w:szCs w:val="24"/>
        </w:rPr>
      </w:pPr>
      <w:r w:rsidRPr="00831A56">
        <w:rPr>
          <w:b/>
          <w:sz w:val="24"/>
          <w:szCs w:val="24"/>
        </w:rPr>
        <w:lastRenderedPageBreak/>
        <w:t xml:space="preserve">Artículo 6.- Clasificación del Suelo. - </w:t>
      </w:r>
      <w:r w:rsidRPr="00831A56">
        <w:rPr>
          <w:sz w:val="24"/>
          <w:szCs w:val="24"/>
        </w:rPr>
        <w:t>Los lotes fraccionados mantendrán la clasificación vigente esto es (SU) Suelo Urbano.</w:t>
      </w:r>
    </w:p>
    <w:p w14:paraId="7D5F90D9" w14:textId="77777777" w:rsidR="00C02AAE" w:rsidRPr="00831A56" w:rsidRDefault="00C02AAE" w:rsidP="00C02AAE">
      <w:pPr>
        <w:tabs>
          <w:tab w:val="left" w:pos="4253"/>
          <w:tab w:val="center" w:pos="4394"/>
        </w:tabs>
        <w:spacing w:after="240"/>
        <w:jc w:val="both"/>
        <w:rPr>
          <w:b/>
          <w:sz w:val="24"/>
          <w:szCs w:val="24"/>
        </w:rPr>
      </w:pPr>
      <w:r w:rsidRPr="00831A56">
        <w:rPr>
          <w:b/>
          <w:sz w:val="24"/>
          <w:szCs w:val="24"/>
        </w:rPr>
        <w:t xml:space="preserve">Artículo 7.- Exoneración del porcentaje de área </w:t>
      </w:r>
      <w:proofErr w:type="gramStart"/>
      <w:r w:rsidRPr="00831A56">
        <w:rPr>
          <w:b/>
          <w:sz w:val="24"/>
          <w:szCs w:val="24"/>
        </w:rPr>
        <w:t>verde.-</w:t>
      </w:r>
      <w:proofErr w:type="gramEnd"/>
      <w:r w:rsidRPr="00831A56">
        <w:rPr>
          <w:b/>
          <w:sz w:val="24"/>
          <w:szCs w:val="24"/>
        </w:rPr>
        <w:t xml:space="preserve"> </w:t>
      </w:r>
      <w:r w:rsidRPr="00831A56">
        <w:rPr>
          <w:sz w:val="24"/>
          <w:szCs w:val="24"/>
        </w:rPr>
        <w:t>A los copropietarios del predio donde se encuentra el asentamiento humano de hecho y consolidado de interés social denominado Barrio “José Gabriel Alarcón”, conforme a la normativa vigente se les exonera el 15% como contribución del área verde, por ser considerado como un asentamiento declarado de interés social.</w:t>
      </w:r>
    </w:p>
    <w:p w14:paraId="5644C659" w14:textId="77777777" w:rsidR="00C02AAE" w:rsidRPr="00831A56" w:rsidRDefault="00C02AAE" w:rsidP="00C02AAE">
      <w:pPr>
        <w:spacing w:after="240" w:line="276" w:lineRule="auto"/>
        <w:jc w:val="both"/>
        <w:rPr>
          <w:sz w:val="24"/>
          <w:szCs w:val="24"/>
        </w:rPr>
      </w:pPr>
      <w:r w:rsidRPr="00831A56">
        <w:rPr>
          <w:b/>
          <w:sz w:val="24"/>
          <w:szCs w:val="24"/>
        </w:rPr>
        <w:t>Artículo 8</w:t>
      </w:r>
      <w:r w:rsidRPr="00831A56">
        <w:rPr>
          <w:b/>
          <w:bCs/>
          <w:sz w:val="24"/>
          <w:szCs w:val="24"/>
        </w:rPr>
        <w:t xml:space="preserve">.- Calificación de Riesgos. - </w:t>
      </w:r>
      <w:r w:rsidRPr="00831A56">
        <w:rPr>
          <w:sz w:val="24"/>
          <w:szCs w:val="24"/>
        </w:rPr>
        <w:t>El asentamiento humano de hecho y consolidado de interés social</w:t>
      </w:r>
      <w:r w:rsidRPr="00831A56">
        <w:rPr>
          <w:bCs/>
          <w:color w:val="000000"/>
          <w:sz w:val="24"/>
          <w:szCs w:val="24"/>
        </w:rPr>
        <w:t xml:space="preserve"> denominado Barrio “José Gabriel Alarcón”</w:t>
      </w:r>
      <w:r w:rsidRPr="00831A56">
        <w:rPr>
          <w:bCs/>
          <w:sz w:val="24"/>
          <w:szCs w:val="24"/>
        </w:rPr>
        <w:t>,</w:t>
      </w:r>
      <w:r w:rsidRPr="00831A56" w:rsidDel="00403EE1">
        <w:rPr>
          <w:bCs/>
          <w:sz w:val="24"/>
          <w:szCs w:val="24"/>
        </w:rPr>
        <w:t xml:space="preserve"> </w:t>
      </w:r>
      <w:r w:rsidRPr="00831A56">
        <w:rPr>
          <w:sz w:val="24"/>
          <w:szCs w:val="24"/>
        </w:rPr>
        <w:t xml:space="preserve">deberá cumplir y acatar las recomendaciones </w:t>
      </w:r>
      <w:r w:rsidRPr="00831A56">
        <w:rPr>
          <w:bCs/>
          <w:color w:val="000000"/>
          <w:sz w:val="24"/>
          <w:szCs w:val="24"/>
        </w:rPr>
        <w:t>que se encuentran determinadas en el informe de la Dirección Metropolitana de Gestión de Riesgos No. I-008-EAH-AT-DMGR-2022, de 25 de mayo de 2022,</w:t>
      </w:r>
      <w:r w:rsidRPr="00831A56">
        <w:rPr>
          <w:sz w:val="24"/>
          <w:szCs w:val="24"/>
        </w:rPr>
        <w:t xml:space="preserve"> el cual califica en el numeral 6.1 referente al nivel de riesgo para la regularización de tierras indicando que:</w:t>
      </w:r>
    </w:p>
    <w:p w14:paraId="277A255E" w14:textId="77777777" w:rsidR="00C02AAE" w:rsidRPr="00831A56" w:rsidRDefault="00C02AAE" w:rsidP="00C02AAE">
      <w:pPr>
        <w:spacing w:after="240" w:line="276" w:lineRule="auto"/>
        <w:ind w:left="705"/>
        <w:jc w:val="both"/>
        <w:rPr>
          <w:i/>
          <w:sz w:val="24"/>
          <w:szCs w:val="24"/>
        </w:rPr>
      </w:pPr>
      <w:r w:rsidRPr="00831A56">
        <w:rPr>
          <w:bCs/>
          <w:sz w:val="24"/>
          <w:szCs w:val="24"/>
        </w:rPr>
        <w:t>“</w:t>
      </w:r>
      <w:r w:rsidRPr="00831A56">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3F8433E" w14:textId="77777777" w:rsidR="00C02AAE" w:rsidRPr="00831A56" w:rsidRDefault="00C02AAE" w:rsidP="00C02AAE">
      <w:pPr>
        <w:spacing w:after="240" w:line="276" w:lineRule="auto"/>
        <w:ind w:left="705" w:hanging="705"/>
        <w:jc w:val="both"/>
        <w:rPr>
          <w:rFonts w:eastAsiaTheme="minorHAnsi"/>
          <w:color w:val="000000"/>
          <w:sz w:val="24"/>
          <w:szCs w:val="24"/>
          <w:lang w:val="es-EC" w:eastAsia="en-US"/>
        </w:rPr>
      </w:pPr>
      <w:r w:rsidRPr="00831A56">
        <w:rPr>
          <w:rFonts w:eastAsiaTheme="minorHAnsi"/>
          <w:b/>
          <w:bCs/>
          <w:color w:val="000000"/>
          <w:sz w:val="24"/>
          <w:szCs w:val="24"/>
          <w:lang w:val="es-EC" w:eastAsia="en-US"/>
        </w:rPr>
        <w:t xml:space="preserve">           </w:t>
      </w:r>
      <w:r w:rsidRPr="00831A56">
        <w:rPr>
          <w:rFonts w:eastAsiaTheme="minorHAnsi"/>
          <w:b/>
          <w:bCs/>
          <w:i/>
          <w:color w:val="000000"/>
          <w:sz w:val="24"/>
          <w:szCs w:val="24"/>
          <w:lang w:val="es-EC" w:eastAsia="en-US"/>
        </w:rPr>
        <w:t xml:space="preserve">Movimientos en masa: </w:t>
      </w:r>
      <w:r w:rsidRPr="00831A56">
        <w:rPr>
          <w:rFonts w:eastAsiaTheme="minorHAnsi"/>
          <w:i/>
          <w:color w:val="000000"/>
          <w:sz w:val="24"/>
          <w:szCs w:val="24"/>
          <w:lang w:val="es-EC" w:eastAsia="en-US"/>
        </w:rPr>
        <w:t xml:space="preserve">el AHHYC “José Gabriel Alarcón” presenta </w:t>
      </w:r>
      <w:r w:rsidRPr="00831A56">
        <w:rPr>
          <w:rFonts w:eastAsiaTheme="minorHAnsi"/>
          <w:b/>
          <w:i/>
          <w:color w:val="000000"/>
          <w:sz w:val="24"/>
          <w:szCs w:val="24"/>
          <w:lang w:val="es-EC" w:eastAsia="en-US"/>
        </w:rPr>
        <w:t xml:space="preserve">un </w:t>
      </w:r>
      <w:r w:rsidRPr="00831A56">
        <w:rPr>
          <w:rFonts w:eastAsiaTheme="minorHAnsi"/>
          <w:b/>
          <w:i/>
          <w:iCs/>
          <w:color w:val="000000"/>
          <w:sz w:val="24"/>
          <w:szCs w:val="24"/>
          <w:u w:val="single"/>
          <w:lang w:val="es-EC" w:eastAsia="en-US"/>
        </w:rPr>
        <w:t>Riesgo Bajo Mitigable</w:t>
      </w:r>
      <w:r w:rsidRPr="00831A56">
        <w:rPr>
          <w:rFonts w:eastAsiaTheme="minorHAnsi"/>
          <w:i/>
          <w:iCs/>
          <w:color w:val="000000"/>
          <w:sz w:val="24"/>
          <w:szCs w:val="24"/>
          <w:lang w:val="es-EC" w:eastAsia="en-US"/>
        </w:rPr>
        <w:t xml:space="preserve"> para todos los lotes </w:t>
      </w:r>
      <w:r w:rsidRPr="00831A56">
        <w:rPr>
          <w:rFonts w:eastAsiaTheme="minorHAnsi"/>
          <w:i/>
          <w:color w:val="000000"/>
          <w:sz w:val="24"/>
          <w:szCs w:val="24"/>
          <w:lang w:val="es-EC" w:eastAsia="en-US"/>
        </w:rPr>
        <w:t>(Mapa 10.5)</w:t>
      </w:r>
      <w:r w:rsidRPr="00831A56">
        <w:rPr>
          <w:rFonts w:eastAsiaTheme="minorHAnsi"/>
          <w:color w:val="000000"/>
          <w:sz w:val="24"/>
          <w:szCs w:val="24"/>
          <w:lang w:val="es-EC" w:eastAsia="en-US"/>
        </w:rPr>
        <w:t>”.</w:t>
      </w:r>
    </w:p>
    <w:p w14:paraId="36386EED" w14:textId="77777777" w:rsidR="00C02AAE" w:rsidRPr="00831A56" w:rsidRDefault="00C02AAE" w:rsidP="00C02AAE">
      <w:pPr>
        <w:spacing w:after="240"/>
        <w:jc w:val="both"/>
        <w:rPr>
          <w:sz w:val="24"/>
          <w:szCs w:val="24"/>
        </w:rPr>
      </w:pPr>
      <w:r w:rsidRPr="00831A56">
        <w:rPr>
          <w:sz w:val="24"/>
          <w:szCs w:val="24"/>
        </w:rPr>
        <w:t xml:space="preserve">La aprobación de este </w:t>
      </w:r>
      <w:r w:rsidRPr="00831A56">
        <w:rPr>
          <w:rFonts w:eastAsia="Calibri"/>
          <w:bCs/>
          <w:sz w:val="24"/>
          <w:szCs w:val="24"/>
        </w:rPr>
        <w:t>AHHYC</w:t>
      </w:r>
      <w:r w:rsidRPr="00831A56">
        <w:rPr>
          <w:sz w:val="24"/>
          <w:szCs w:val="24"/>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E0445ED" w14:textId="77777777" w:rsidR="00C02AAE" w:rsidRPr="00831A56" w:rsidRDefault="00C02AAE" w:rsidP="00C02AAE">
      <w:pPr>
        <w:spacing w:after="240" w:line="276" w:lineRule="auto"/>
        <w:jc w:val="both"/>
        <w:rPr>
          <w:b/>
          <w:color w:val="000000"/>
          <w:sz w:val="24"/>
          <w:szCs w:val="24"/>
        </w:rPr>
      </w:pPr>
      <w:r w:rsidRPr="00831A56">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4FB680A" w14:textId="77777777" w:rsidR="00C02AAE" w:rsidRPr="00831A56" w:rsidRDefault="00C02AAE" w:rsidP="00C02AAE">
      <w:pPr>
        <w:spacing w:line="276" w:lineRule="auto"/>
        <w:jc w:val="both"/>
        <w:rPr>
          <w:sz w:val="24"/>
          <w:szCs w:val="24"/>
        </w:rPr>
      </w:pPr>
      <w:r w:rsidRPr="00831A56">
        <w:rPr>
          <w:b/>
          <w:bCs/>
          <w:sz w:val="24"/>
          <w:szCs w:val="24"/>
        </w:rPr>
        <w:t xml:space="preserve">Artículo 9.- De las obras a ejecutarse. - </w:t>
      </w:r>
      <w:r w:rsidRPr="00831A56">
        <w:rPr>
          <w:sz w:val="24"/>
          <w:szCs w:val="24"/>
        </w:rPr>
        <w:t xml:space="preserve">Las obras de infraestructura a ejecutarse en el asentamiento humano de hecho y consolidado de interés social, son las siguientes: </w:t>
      </w:r>
    </w:p>
    <w:p w14:paraId="6BD34AC1" w14:textId="77777777" w:rsidR="00C02AAE" w:rsidRPr="00831A56" w:rsidRDefault="00C02AAE" w:rsidP="00C02AAE">
      <w:pPr>
        <w:spacing w:line="276"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51"/>
      </w:tblGrid>
      <w:tr w:rsidR="00C02AAE" w:rsidRPr="00831A56" w14:paraId="1BFEBE58" w14:textId="77777777" w:rsidTr="00A4676E">
        <w:tc>
          <w:tcPr>
            <w:tcW w:w="2155" w:type="dxa"/>
            <w:shd w:val="clear" w:color="auto" w:fill="auto"/>
            <w:vAlign w:val="center"/>
          </w:tcPr>
          <w:p w14:paraId="23E7C986" w14:textId="77777777" w:rsidR="00C02AAE" w:rsidRPr="00831A56" w:rsidRDefault="00C02AAE" w:rsidP="00A4676E">
            <w:pPr>
              <w:spacing w:line="276" w:lineRule="auto"/>
              <w:jc w:val="center"/>
              <w:rPr>
                <w:sz w:val="24"/>
                <w:szCs w:val="24"/>
              </w:rPr>
            </w:pPr>
            <w:r w:rsidRPr="00831A56">
              <w:rPr>
                <w:sz w:val="24"/>
                <w:szCs w:val="24"/>
              </w:rPr>
              <w:t>Energía Eléctrica</w:t>
            </w:r>
          </w:p>
        </w:tc>
        <w:tc>
          <w:tcPr>
            <w:tcW w:w="851" w:type="dxa"/>
            <w:shd w:val="clear" w:color="auto" w:fill="auto"/>
            <w:vAlign w:val="center"/>
          </w:tcPr>
          <w:p w14:paraId="0E2AD374" w14:textId="77777777" w:rsidR="00C02AAE" w:rsidRPr="00831A56" w:rsidRDefault="00C02AAE" w:rsidP="00A4676E">
            <w:pPr>
              <w:spacing w:line="276" w:lineRule="auto"/>
              <w:jc w:val="center"/>
              <w:rPr>
                <w:sz w:val="24"/>
                <w:szCs w:val="24"/>
              </w:rPr>
            </w:pPr>
            <w:r w:rsidRPr="00831A56">
              <w:rPr>
                <w:sz w:val="24"/>
                <w:szCs w:val="24"/>
              </w:rPr>
              <w:t>9%</w:t>
            </w:r>
          </w:p>
        </w:tc>
      </w:tr>
    </w:tbl>
    <w:p w14:paraId="16D8E819" w14:textId="77777777" w:rsidR="00C02AAE" w:rsidRPr="00831A56" w:rsidRDefault="00C02AAE" w:rsidP="00C02AAE">
      <w:pPr>
        <w:pStyle w:val="Textoindependiente"/>
        <w:spacing w:after="0"/>
        <w:jc w:val="both"/>
        <w:rPr>
          <w:b/>
          <w:bCs/>
          <w:sz w:val="24"/>
          <w:szCs w:val="24"/>
        </w:rPr>
      </w:pPr>
    </w:p>
    <w:p w14:paraId="1A4CCE6B" w14:textId="77777777" w:rsidR="00C02AAE" w:rsidRPr="00831A56" w:rsidRDefault="00C02AAE" w:rsidP="00C02AAE">
      <w:pPr>
        <w:pStyle w:val="Textoindependiente"/>
        <w:jc w:val="both"/>
        <w:rPr>
          <w:color w:val="FF0000"/>
          <w:sz w:val="24"/>
          <w:szCs w:val="24"/>
        </w:rPr>
      </w:pPr>
      <w:commentRangeStart w:id="9"/>
      <w:r w:rsidRPr="00831A56">
        <w:rPr>
          <w:b/>
          <w:bCs/>
          <w:sz w:val="24"/>
          <w:szCs w:val="24"/>
        </w:rPr>
        <w:t xml:space="preserve">Artículo 10.- Del plazo de ejecución de las </w:t>
      </w:r>
      <w:proofErr w:type="gramStart"/>
      <w:r w:rsidRPr="00831A56">
        <w:rPr>
          <w:b/>
          <w:bCs/>
          <w:sz w:val="24"/>
          <w:szCs w:val="24"/>
        </w:rPr>
        <w:t>obras.-</w:t>
      </w:r>
      <w:proofErr w:type="gramEnd"/>
      <w:r w:rsidRPr="00831A56">
        <w:rPr>
          <w:sz w:val="24"/>
          <w:szCs w:val="24"/>
        </w:rPr>
        <w:t xml:space="preserve"> Para la ejecución de las obras civiles y de infraestructura podrán ser realizadas, </w:t>
      </w:r>
      <w:r w:rsidRPr="00831A56">
        <w:rPr>
          <w:iCs/>
          <w:sz w:val="24"/>
          <w:szCs w:val="24"/>
        </w:rPr>
        <w:t>bajo las siguientes modalidades: gestión municipal o pública, gestión directa o cogestión</w:t>
      </w:r>
      <w:r w:rsidRPr="00831A56">
        <w:rPr>
          <w:sz w:val="24"/>
          <w:szCs w:val="24"/>
        </w:rPr>
        <w:t>.</w:t>
      </w:r>
    </w:p>
    <w:p w14:paraId="0F978F5A" w14:textId="77777777" w:rsidR="00C02AAE" w:rsidRPr="00831A56" w:rsidRDefault="00C02AAE" w:rsidP="00C02AAE">
      <w:pPr>
        <w:pStyle w:val="Textoindependiente"/>
        <w:jc w:val="both"/>
        <w:rPr>
          <w:iCs/>
          <w:sz w:val="24"/>
          <w:szCs w:val="24"/>
        </w:rPr>
      </w:pPr>
      <w:r w:rsidRPr="00831A56">
        <w:rPr>
          <w:iCs/>
          <w:sz w:val="24"/>
          <w:szCs w:val="24"/>
        </w:rPr>
        <w:t xml:space="preserve">Para el cumplimiento de las obras de infraestructura (Energía Eléctrica) en el asentamiento humano de hecho y consolidado de interés social denominado interés social denominado </w:t>
      </w:r>
      <w:r w:rsidRPr="00831A56">
        <w:rPr>
          <w:iCs/>
          <w:sz w:val="24"/>
          <w:szCs w:val="24"/>
        </w:rPr>
        <w:lastRenderedPageBreak/>
        <w:t>Barrio “José Gabriel Alarcón”,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w:t>
      </w:r>
    </w:p>
    <w:p w14:paraId="4463372D" w14:textId="77777777" w:rsidR="00C02AAE" w:rsidRPr="00831A56" w:rsidRDefault="00C02AAE" w:rsidP="00C02AAE">
      <w:pPr>
        <w:pStyle w:val="Textoindependiente"/>
        <w:jc w:val="both"/>
        <w:rPr>
          <w:iCs/>
          <w:sz w:val="24"/>
          <w:szCs w:val="24"/>
        </w:rPr>
      </w:pPr>
      <w:r w:rsidRPr="00831A56">
        <w:rPr>
          <w:iCs/>
          <w:sz w:val="24"/>
          <w:szCs w:val="24"/>
        </w:rPr>
        <w:t>El valor por contribución especial por mejoras se aplicará conforme la modalidad ejecutada</w:t>
      </w:r>
      <w:commentRangeEnd w:id="9"/>
      <w:r>
        <w:rPr>
          <w:rStyle w:val="Refdecomentario"/>
        </w:rPr>
        <w:commentReference w:id="9"/>
      </w:r>
      <w:r w:rsidRPr="00831A56">
        <w:rPr>
          <w:iCs/>
          <w:sz w:val="24"/>
          <w:szCs w:val="24"/>
        </w:rPr>
        <w:t xml:space="preserve">. </w:t>
      </w:r>
    </w:p>
    <w:p w14:paraId="2D489E21" w14:textId="77777777" w:rsidR="00C02AAE" w:rsidRPr="00831A56" w:rsidRDefault="00C02AAE" w:rsidP="00C02AAE">
      <w:pPr>
        <w:pStyle w:val="Textoindependiente"/>
        <w:jc w:val="both"/>
        <w:rPr>
          <w:bCs/>
          <w:sz w:val="24"/>
          <w:szCs w:val="24"/>
          <w:lang w:val="es-ES_tradnl"/>
        </w:rPr>
      </w:pPr>
      <w:r w:rsidRPr="00831A56">
        <w:rPr>
          <w:b/>
          <w:bCs/>
          <w:sz w:val="24"/>
          <w:szCs w:val="24"/>
        </w:rPr>
        <w:t xml:space="preserve">Artículo 11.- </w:t>
      </w:r>
      <w:r w:rsidRPr="00831A56">
        <w:rPr>
          <w:b/>
          <w:bCs/>
          <w:sz w:val="24"/>
          <w:szCs w:val="24"/>
          <w:lang w:val="es-ES_tradnl"/>
        </w:rPr>
        <w:t>Del control de ejecución de las obras. -</w:t>
      </w:r>
      <w:r w:rsidRPr="00831A56">
        <w:rPr>
          <w:bCs/>
          <w:sz w:val="24"/>
          <w:szCs w:val="24"/>
          <w:lang w:val="es-ES_tradnl"/>
        </w:rPr>
        <w:t xml:space="preserve"> La Administración Zonal Eugenio Espejo realizará de oficio, el seguimiento en la ejecución y avance de las obras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Eugenio Espejo, será indispensable para cancelar la hipoteca.</w:t>
      </w:r>
    </w:p>
    <w:p w14:paraId="55E7173A" w14:textId="77777777" w:rsidR="00C02AAE" w:rsidRPr="00831A56" w:rsidRDefault="00C02AAE" w:rsidP="00C02AAE">
      <w:pPr>
        <w:pStyle w:val="Textoindependiente"/>
        <w:jc w:val="both"/>
        <w:rPr>
          <w:bCs/>
          <w:sz w:val="24"/>
          <w:szCs w:val="24"/>
        </w:rPr>
      </w:pPr>
      <w:r w:rsidRPr="00831A56">
        <w:rPr>
          <w:b/>
          <w:bCs/>
          <w:sz w:val="24"/>
          <w:szCs w:val="24"/>
          <w:lang w:val="es-ES_tradnl"/>
        </w:rPr>
        <w:t xml:space="preserve">Artículo 12.- De la multa por retraso en ejecución de obras. - </w:t>
      </w:r>
      <w:r w:rsidRPr="00831A56">
        <w:rPr>
          <w:sz w:val="24"/>
          <w:szCs w:val="24"/>
          <w:lang w:val="es-ES_tradnl"/>
        </w:rPr>
        <w:t>En</w:t>
      </w:r>
      <w:r w:rsidRPr="00831A56">
        <w:rPr>
          <w:bCs/>
          <w:sz w:val="24"/>
          <w:szCs w:val="24"/>
        </w:rPr>
        <w:t xml:space="preserve"> caso de retraso en la ejecución de las obras de infraestructura, los copropietarios del inmueble sobre el cual se ubica el asentamiento humano de hecho y consolidado de interés social denominado Barrio “José Gabriel Alarcón” se sujetarán a las sanciones contempladas en el Ordenamiento Jurídico Nacional y Metropolitano.</w:t>
      </w:r>
    </w:p>
    <w:p w14:paraId="1D72F19A" w14:textId="77777777" w:rsidR="00C02AAE" w:rsidRPr="00831A56" w:rsidRDefault="00C02AAE" w:rsidP="00C02AAE">
      <w:pPr>
        <w:spacing w:after="240"/>
        <w:jc w:val="both"/>
        <w:rPr>
          <w:sz w:val="24"/>
          <w:szCs w:val="24"/>
        </w:rPr>
      </w:pPr>
      <w:r w:rsidRPr="00831A56">
        <w:rPr>
          <w:b/>
          <w:sz w:val="24"/>
          <w:szCs w:val="24"/>
        </w:rPr>
        <w:t xml:space="preserve">Artículo 13.- </w:t>
      </w:r>
      <w:r w:rsidRPr="00831A56">
        <w:rPr>
          <w:b/>
          <w:bCs/>
          <w:iCs/>
          <w:sz w:val="24"/>
          <w:szCs w:val="24"/>
        </w:rPr>
        <w:t xml:space="preserve">De la garantía de ejecución de las obras.- </w:t>
      </w:r>
      <w:r w:rsidRPr="00831A56">
        <w:rPr>
          <w:sz w:val="24"/>
          <w:szCs w:val="24"/>
        </w:rPr>
        <w:t xml:space="preserve">Los lotes producto del fraccionamiento donde se encuentra ubicado el asentamiento humano de hecho y consolidado de interés social denominado </w:t>
      </w:r>
      <w:r w:rsidRPr="00831A56">
        <w:rPr>
          <w:bCs/>
          <w:sz w:val="24"/>
          <w:szCs w:val="24"/>
        </w:rPr>
        <w:t>Barrio “José Gabriel Alarcón”</w:t>
      </w:r>
      <w:r w:rsidRPr="00831A56">
        <w:rPr>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de infraestructura conforme a la normativa vigente, sin perjuicio de que se continúe con el trámite de ejecución de multas. El gravamen constituido a favor de la Municipalidad deberá constar en cada escritura individualizada.</w:t>
      </w:r>
    </w:p>
    <w:p w14:paraId="5DAB5924" w14:textId="77777777" w:rsidR="00C02AAE" w:rsidRPr="00831A56" w:rsidRDefault="00C02AAE" w:rsidP="00C02AAE">
      <w:pPr>
        <w:pStyle w:val="Textoindependiente"/>
        <w:jc w:val="both"/>
        <w:rPr>
          <w:bCs/>
          <w:color w:val="000000"/>
          <w:sz w:val="24"/>
          <w:szCs w:val="24"/>
          <w:lang w:val="es-ES_tradnl"/>
        </w:rPr>
      </w:pPr>
      <w:r w:rsidRPr="00831A56">
        <w:rPr>
          <w:b/>
          <w:bCs/>
          <w:sz w:val="24"/>
          <w:szCs w:val="24"/>
          <w:lang w:val="es-ES_tradnl"/>
        </w:rPr>
        <w:t xml:space="preserve">Artículo 14.-  De la Protocolización e inscripción de la Ordenanza. -  </w:t>
      </w:r>
      <w:r w:rsidRPr="00831A56">
        <w:rPr>
          <w:sz w:val="24"/>
          <w:szCs w:val="24"/>
          <w:lang w:val="es-EC"/>
        </w:rPr>
        <w:t xml:space="preserve">Los copropietarios del predio del </w:t>
      </w:r>
      <w:r w:rsidRPr="00831A56">
        <w:rPr>
          <w:sz w:val="24"/>
          <w:szCs w:val="24"/>
        </w:rPr>
        <w:t>asentamiento humano de hecho y consolidado de interés social</w:t>
      </w:r>
      <w:r w:rsidRPr="00831A56">
        <w:rPr>
          <w:bCs/>
          <w:color w:val="000000"/>
          <w:sz w:val="24"/>
          <w:szCs w:val="24"/>
        </w:rPr>
        <w:t xml:space="preserve"> denominado Barrio</w:t>
      </w:r>
      <w:r w:rsidRPr="00831A56">
        <w:rPr>
          <w:rFonts w:eastAsia="Calibri"/>
          <w:bCs/>
          <w:sz w:val="24"/>
          <w:szCs w:val="24"/>
        </w:rPr>
        <w:t xml:space="preserve"> “José Gabriel Alarcón”</w:t>
      </w:r>
      <w:r w:rsidRPr="00831A56">
        <w:rPr>
          <w:bCs/>
          <w:sz w:val="24"/>
          <w:szCs w:val="24"/>
        </w:rPr>
        <w:t>,</w:t>
      </w:r>
      <w:r w:rsidRPr="00831A56" w:rsidDel="003223A7">
        <w:rPr>
          <w:sz w:val="24"/>
          <w:szCs w:val="24"/>
        </w:rPr>
        <w:t xml:space="preserve"> </w:t>
      </w:r>
      <w:r w:rsidRPr="00831A56">
        <w:rPr>
          <w:sz w:val="24"/>
          <w:szCs w:val="24"/>
          <w:lang w:val="es-ES_tradnl"/>
        </w:rPr>
        <w:t xml:space="preserve">deberán </w:t>
      </w:r>
      <w:r w:rsidRPr="00831A56">
        <w:rPr>
          <w:sz w:val="24"/>
          <w:szCs w:val="24"/>
          <w:lang w:val="es-EC"/>
        </w:rPr>
        <w:t xml:space="preserve">protocolizar la presente Ordenanza ante Notario Público e inscribirla en el Registro de la Propiedad del Distrito Metropolitano de Quito, </w:t>
      </w:r>
      <w:r w:rsidRPr="00831A56">
        <w:rPr>
          <w:sz w:val="24"/>
          <w:szCs w:val="24"/>
          <w:lang w:val="es-ES_tradnl"/>
        </w:rPr>
        <w:t>con todos sus documentos habilitantes</w:t>
      </w:r>
      <w:r w:rsidRPr="00831A56">
        <w:rPr>
          <w:sz w:val="24"/>
          <w:szCs w:val="24"/>
          <w:lang w:val="es-EC"/>
        </w:rPr>
        <w:t>.</w:t>
      </w:r>
      <w:r w:rsidRPr="00831A56">
        <w:rPr>
          <w:sz w:val="24"/>
          <w:szCs w:val="24"/>
          <w:lang w:val="es-ES_tradnl"/>
        </w:rPr>
        <w:t xml:space="preserve"> </w:t>
      </w:r>
    </w:p>
    <w:p w14:paraId="11879CC3" w14:textId="77777777" w:rsidR="00C02AAE" w:rsidRPr="00831A56" w:rsidRDefault="00C02AAE" w:rsidP="00C02AAE">
      <w:pPr>
        <w:spacing w:after="240"/>
        <w:ind w:left="1"/>
        <w:jc w:val="both"/>
        <w:rPr>
          <w:bCs/>
          <w:sz w:val="24"/>
          <w:szCs w:val="24"/>
        </w:rPr>
      </w:pPr>
      <w:bookmarkStart w:id="10" w:name="_Hlk80222422"/>
      <w:r w:rsidRPr="00831A56">
        <w:rPr>
          <w:bCs/>
          <w:sz w:val="24"/>
          <w:szCs w:val="24"/>
          <w:lang w:val="es-ES_tradnl"/>
        </w:rPr>
        <w:t>En caso de no legalizar la presente ordenanza, ésta caducará en el plazo de tres (03) años de conformidad con lo dispuesto en el artículo No. 3749</w:t>
      </w:r>
      <w:r w:rsidRPr="00831A56">
        <w:rPr>
          <w:sz w:val="24"/>
          <w:szCs w:val="24"/>
        </w:rPr>
        <w:t xml:space="preserve"> </w:t>
      </w:r>
      <w:r w:rsidRPr="00831A56">
        <w:rPr>
          <w:bCs/>
          <w:sz w:val="24"/>
          <w:szCs w:val="24"/>
        </w:rPr>
        <w:t>del Código Municipal para el Distrito Metropolitano de Quito.</w:t>
      </w:r>
    </w:p>
    <w:bookmarkEnd w:id="10"/>
    <w:p w14:paraId="1A95A0C9" w14:textId="77777777" w:rsidR="00C02AAE" w:rsidRPr="00831A56" w:rsidRDefault="00C02AAE" w:rsidP="00C02AAE">
      <w:pPr>
        <w:pStyle w:val="Textoindependiente"/>
        <w:spacing w:line="276" w:lineRule="auto"/>
        <w:jc w:val="both"/>
        <w:rPr>
          <w:sz w:val="24"/>
          <w:szCs w:val="24"/>
          <w:lang w:val="es-ES_tradnl"/>
        </w:rPr>
      </w:pPr>
      <w:r w:rsidRPr="00831A56">
        <w:rPr>
          <w:b/>
          <w:sz w:val="24"/>
          <w:szCs w:val="24"/>
          <w:lang w:val="es-ES_tradnl"/>
        </w:rPr>
        <w:t>Artículo 15.- De la partición y adjudicación. -</w:t>
      </w:r>
      <w:r w:rsidRPr="00831A56">
        <w:rPr>
          <w:sz w:val="24"/>
          <w:szCs w:val="24"/>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7945FE7B" w14:textId="77777777" w:rsidR="00C02AAE" w:rsidRPr="00831A56" w:rsidRDefault="00C02AAE" w:rsidP="00C02AAE">
      <w:pPr>
        <w:pStyle w:val="Textoindependiente"/>
        <w:spacing w:line="276" w:lineRule="auto"/>
        <w:jc w:val="both"/>
        <w:rPr>
          <w:sz w:val="24"/>
          <w:szCs w:val="24"/>
          <w:lang w:val="es-ES_tradnl"/>
        </w:rPr>
      </w:pPr>
      <w:r w:rsidRPr="00831A56">
        <w:rPr>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D40AF1F" w14:textId="77777777" w:rsidR="00C02AAE" w:rsidRPr="00831A56" w:rsidRDefault="00C02AAE" w:rsidP="00C02AAE">
      <w:pPr>
        <w:spacing w:after="240" w:line="276" w:lineRule="auto"/>
        <w:jc w:val="both"/>
        <w:rPr>
          <w:sz w:val="24"/>
          <w:szCs w:val="24"/>
          <w:lang w:val="es-ES_tradnl"/>
        </w:rPr>
      </w:pPr>
      <w:r w:rsidRPr="00831A56">
        <w:rPr>
          <w:b/>
          <w:bCs/>
          <w:sz w:val="24"/>
          <w:szCs w:val="24"/>
        </w:rPr>
        <w:lastRenderedPageBreak/>
        <w:t xml:space="preserve">Artículo 16.- Solicitudes de ampliación de </w:t>
      </w:r>
      <w:proofErr w:type="gramStart"/>
      <w:r w:rsidRPr="00831A56">
        <w:rPr>
          <w:b/>
          <w:bCs/>
          <w:sz w:val="24"/>
          <w:szCs w:val="24"/>
        </w:rPr>
        <w:t>plazo.-</w:t>
      </w:r>
      <w:proofErr w:type="gramEnd"/>
      <w:r w:rsidRPr="00831A56">
        <w:rPr>
          <w:bCs/>
          <w:sz w:val="24"/>
          <w:szCs w:val="24"/>
        </w:rPr>
        <w:t xml:space="preserve"> </w:t>
      </w:r>
      <w:r w:rsidRPr="00831A56">
        <w:rPr>
          <w:sz w:val="24"/>
          <w:szCs w:val="24"/>
          <w:lang w:val="es-ES_tradnl"/>
        </w:rPr>
        <w:t>Las solicitudes de ampliación de plazo para ejecución de obras de infraestructura, serán resueltas por la Administración Zonal correspondiente, a petición de parte o de oficio debidamente motivado.</w:t>
      </w:r>
    </w:p>
    <w:p w14:paraId="058AE440" w14:textId="77777777" w:rsidR="00C02AAE" w:rsidRPr="00831A56" w:rsidRDefault="00C02AAE" w:rsidP="00C02AAE">
      <w:pPr>
        <w:spacing w:after="240" w:line="276" w:lineRule="auto"/>
        <w:jc w:val="both"/>
        <w:rPr>
          <w:sz w:val="24"/>
          <w:szCs w:val="24"/>
          <w:lang w:val="es-ES_tradnl"/>
        </w:rPr>
      </w:pPr>
      <w:r w:rsidRPr="00831A56">
        <w:rPr>
          <w:sz w:val="24"/>
          <w:szCs w:val="24"/>
          <w:lang w:val="es-ES_tradnl"/>
        </w:rPr>
        <w:t>La Administración Zonal Eugenio Espejo, deberá notificar a los copropietarios del asentamiento 6 meses antes a la conclusión del plazo establecido.</w:t>
      </w:r>
    </w:p>
    <w:p w14:paraId="3C631044" w14:textId="77777777" w:rsidR="00C02AAE" w:rsidRPr="00831A56" w:rsidRDefault="00C02AAE" w:rsidP="00C02AAE">
      <w:pPr>
        <w:spacing w:after="240" w:line="276" w:lineRule="auto"/>
        <w:jc w:val="both"/>
        <w:rPr>
          <w:sz w:val="24"/>
          <w:szCs w:val="24"/>
          <w:lang w:val="es-ES_tradnl"/>
        </w:rPr>
      </w:pPr>
      <w:r w:rsidRPr="00831A56">
        <w:rPr>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3F73D034" w14:textId="77777777" w:rsidR="00C02AAE" w:rsidRPr="00A7136F" w:rsidRDefault="00C02AAE" w:rsidP="00C02AAE">
      <w:pPr>
        <w:spacing w:after="240" w:line="276" w:lineRule="auto"/>
        <w:jc w:val="both"/>
        <w:rPr>
          <w:bCs/>
          <w:sz w:val="24"/>
          <w:szCs w:val="24"/>
        </w:rPr>
      </w:pPr>
      <w:commentRangeStart w:id="11"/>
      <w:r w:rsidRPr="00A7136F">
        <w:rPr>
          <w:b/>
          <w:bCs/>
          <w:sz w:val="24"/>
          <w:szCs w:val="24"/>
          <w:lang w:val="es-ES_tradnl"/>
        </w:rPr>
        <w:t>Artículo 17.- Potestad de ejecución. -</w:t>
      </w:r>
      <w:r w:rsidRPr="00A7136F">
        <w:rPr>
          <w:bCs/>
          <w:sz w:val="24"/>
          <w:szCs w:val="24"/>
          <w:lang w:val="es-ES_tradnl"/>
        </w:rPr>
        <w:t xml:space="preserve"> Para el fiel cumplimiento de las disposiciones de esta Ordenanza, y en caso de que no se hayan cumplido los plazos establecidos, se podrá </w:t>
      </w:r>
      <w:r w:rsidRPr="00A7136F">
        <w:rPr>
          <w:bCs/>
          <w:sz w:val="24"/>
          <w:szCs w:val="24"/>
        </w:rPr>
        <w:t>ejecutar en forma subsidiaria, los actos que el obligado no hubiere cumplido, a costa de estos. En este evento, se podrá recuperar los valores invertidos por la vía coactiva, con un recargo del veinte por ciento (20%) más los intereses correspondientes.</w:t>
      </w:r>
      <w:commentRangeEnd w:id="11"/>
      <w:r>
        <w:rPr>
          <w:rStyle w:val="Refdecomentario"/>
        </w:rPr>
        <w:commentReference w:id="11"/>
      </w:r>
    </w:p>
    <w:p w14:paraId="59072A04" w14:textId="77777777" w:rsidR="00C02AAE" w:rsidRPr="00831A56" w:rsidRDefault="00C02AAE" w:rsidP="00C02AAE">
      <w:pPr>
        <w:spacing w:after="360" w:line="276" w:lineRule="auto"/>
        <w:jc w:val="center"/>
        <w:rPr>
          <w:b/>
          <w:sz w:val="24"/>
          <w:szCs w:val="24"/>
          <w:lang w:val="es-ES_tradnl"/>
        </w:rPr>
      </w:pPr>
      <w:r w:rsidRPr="00831A56">
        <w:rPr>
          <w:b/>
          <w:sz w:val="24"/>
          <w:szCs w:val="24"/>
          <w:lang w:val="es-ES_tradnl"/>
        </w:rPr>
        <w:t>Disposiciones Generales</w:t>
      </w:r>
    </w:p>
    <w:p w14:paraId="02E3AE1A" w14:textId="77777777" w:rsidR="00C02AAE" w:rsidRPr="00831A56" w:rsidRDefault="00C02AAE" w:rsidP="00C02AAE">
      <w:pPr>
        <w:spacing w:after="240" w:line="276" w:lineRule="auto"/>
        <w:jc w:val="both"/>
        <w:rPr>
          <w:b/>
          <w:sz w:val="24"/>
          <w:szCs w:val="24"/>
          <w:lang w:val="es-ES_tradnl"/>
        </w:rPr>
      </w:pPr>
      <w:r w:rsidRPr="00831A56">
        <w:rPr>
          <w:b/>
          <w:sz w:val="24"/>
          <w:szCs w:val="24"/>
          <w:lang w:val="es-ES_tradnl"/>
        </w:rPr>
        <w:t xml:space="preserve">Primera. - </w:t>
      </w:r>
      <w:r w:rsidRPr="00831A56">
        <w:rPr>
          <w:sz w:val="24"/>
          <w:szCs w:val="24"/>
          <w:lang w:val="es-ES_tradnl"/>
        </w:rPr>
        <w:t>Todos los anexos adjuntos al proyecto de regularización son documentos habilitantes de esta Ordenanza</w:t>
      </w:r>
      <w:r w:rsidRPr="00831A56">
        <w:rPr>
          <w:b/>
          <w:sz w:val="24"/>
          <w:szCs w:val="24"/>
          <w:lang w:val="es-ES_tradnl"/>
        </w:rPr>
        <w:t>.</w:t>
      </w:r>
    </w:p>
    <w:p w14:paraId="739ADC55" w14:textId="77777777" w:rsidR="00C02AAE" w:rsidRPr="00831A56" w:rsidRDefault="00C02AAE" w:rsidP="00C02AAE">
      <w:pPr>
        <w:spacing w:after="240" w:line="276" w:lineRule="auto"/>
        <w:jc w:val="both"/>
        <w:rPr>
          <w:sz w:val="24"/>
          <w:szCs w:val="24"/>
        </w:rPr>
      </w:pPr>
      <w:r w:rsidRPr="00831A56">
        <w:rPr>
          <w:b/>
          <w:sz w:val="24"/>
          <w:szCs w:val="24"/>
          <w:lang w:val="es-ES_tradnl"/>
        </w:rPr>
        <w:t xml:space="preserve">Segunda. - </w:t>
      </w:r>
      <w:r w:rsidRPr="00831A56">
        <w:rPr>
          <w:sz w:val="24"/>
          <w:szCs w:val="24"/>
          <w:lang w:val="es-ES_tradnl"/>
        </w:rPr>
        <w:t>De acuerdo al informe de la Dirección Metropolitana de Gestión de Riesgos No I-008-EAH-AT-DMGR-2022,</w:t>
      </w:r>
      <w:r w:rsidRPr="00831A56">
        <w:rPr>
          <w:bCs/>
          <w:color w:val="000000"/>
          <w:sz w:val="24"/>
          <w:szCs w:val="24"/>
        </w:rPr>
        <w:t xml:space="preserve"> de 25 de mayo de 2022</w:t>
      </w:r>
      <w:r w:rsidRPr="00831A56">
        <w:rPr>
          <w:sz w:val="24"/>
          <w:szCs w:val="24"/>
        </w:rPr>
        <w:t xml:space="preserve">, </w:t>
      </w:r>
      <w:r w:rsidRPr="00831A56">
        <w:rPr>
          <w:sz w:val="24"/>
          <w:szCs w:val="24"/>
          <w:lang w:val="es-ES_tradnl"/>
        </w:rPr>
        <w:t>el asentamiento deberá cumplir las siguientes disposiciones:</w:t>
      </w:r>
    </w:p>
    <w:p w14:paraId="17038E43" w14:textId="77777777" w:rsidR="00C02AAE" w:rsidRPr="00831A56" w:rsidRDefault="00C02AAE" w:rsidP="00C02AAE">
      <w:pPr>
        <w:pStyle w:val="Prrafodelista"/>
        <w:numPr>
          <w:ilvl w:val="0"/>
          <w:numId w:val="1"/>
        </w:numPr>
        <w:shd w:val="clear" w:color="auto" w:fill="FFFFFF"/>
        <w:autoSpaceDE w:val="0"/>
        <w:autoSpaceDN w:val="0"/>
        <w:adjustRightInd w:val="0"/>
        <w:spacing w:after="240"/>
        <w:jc w:val="both"/>
        <w:rPr>
          <w:sz w:val="24"/>
          <w:szCs w:val="24"/>
          <w:lang w:val="es-EC" w:eastAsia="es-ES_tradnl"/>
        </w:rPr>
      </w:pPr>
      <w:r w:rsidRPr="00831A56">
        <w:rPr>
          <w:sz w:val="24"/>
          <w:szCs w:val="24"/>
        </w:rPr>
        <w:t xml:space="preserve">Se dispone </w:t>
      </w:r>
      <w:r w:rsidRPr="00831A56">
        <w:rPr>
          <w:sz w:val="24"/>
          <w:szCs w:val="24"/>
          <w:lang w:val="es-EC" w:eastAsia="es-ES_tradnl"/>
        </w:rPr>
        <w:t xml:space="preserve">que, los propietarios y/o posesionarios del AHHYC, no construyan más viviendas en el </w:t>
      </w:r>
      <w:proofErr w:type="spellStart"/>
      <w:r w:rsidRPr="00831A56">
        <w:rPr>
          <w:sz w:val="24"/>
          <w:szCs w:val="24"/>
          <w:lang w:val="es-EC" w:eastAsia="es-ES_tradnl"/>
        </w:rPr>
        <w:t>macrolote</w:t>
      </w:r>
      <w:proofErr w:type="spellEnd"/>
      <w:r w:rsidRPr="00831A56">
        <w:rPr>
          <w:sz w:val="24"/>
          <w:szCs w:val="24"/>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7E756199" w14:textId="77777777" w:rsidR="00C02AAE" w:rsidRPr="00831A56" w:rsidRDefault="00C02AAE" w:rsidP="00C02AAE">
      <w:pPr>
        <w:shd w:val="clear" w:color="auto" w:fill="FFFFFF"/>
        <w:autoSpaceDE w:val="0"/>
        <w:autoSpaceDN w:val="0"/>
        <w:adjustRightInd w:val="0"/>
        <w:spacing w:after="240"/>
        <w:jc w:val="both"/>
        <w:rPr>
          <w:sz w:val="24"/>
          <w:szCs w:val="24"/>
          <w:lang w:val="es-EC" w:eastAsia="es-ES_tradnl"/>
        </w:rPr>
      </w:pPr>
      <w:r w:rsidRPr="00831A56">
        <w:rPr>
          <w:sz w:val="24"/>
          <w:szCs w:val="24"/>
          <w:lang w:val="es-EC" w:eastAsia="es-ES_tradnl"/>
        </w:rPr>
        <w:t xml:space="preserve">La Unidad Especial “Regula tu Barrio” deberá comunicar a la comunidad del AHHYC de interés social denominado </w:t>
      </w:r>
      <w:r w:rsidRPr="00831A56">
        <w:rPr>
          <w:rFonts w:eastAsia="Calibri"/>
          <w:bCs/>
          <w:sz w:val="24"/>
          <w:szCs w:val="24"/>
        </w:rPr>
        <w:t>“José Gabriel Alarcón”</w:t>
      </w:r>
      <w:r w:rsidRPr="00831A56">
        <w:rPr>
          <w:sz w:val="24"/>
          <w:szCs w:val="24"/>
          <w:lang w:val="es-EC" w:eastAsia="es-ES_tradnl"/>
        </w:rPr>
        <w:t>, lo descrito en el informe de Dirección Metropolitana de Gestión de Riesgos, especialmente referente a la calificación del riesgo ante las diferentes amenazas analizadas y las respectivas recomendaciones técnicas, socializando la importancia de su cumplimiento en reducción del riesgo y seguridad ciudadana.</w:t>
      </w:r>
    </w:p>
    <w:p w14:paraId="782E32CC" w14:textId="77777777" w:rsidR="00C02AAE" w:rsidRPr="00A7136F" w:rsidRDefault="00C02AAE" w:rsidP="00C02AAE">
      <w:pPr>
        <w:spacing w:after="360"/>
        <w:jc w:val="both"/>
        <w:rPr>
          <w:b/>
          <w:sz w:val="24"/>
          <w:szCs w:val="24"/>
          <w:lang w:val="es-ES_tradnl"/>
        </w:rPr>
      </w:pPr>
      <w:r>
        <w:rPr>
          <w:b/>
          <w:sz w:val="24"/>
          <w:szCs w:val="24"/>
          <w:lang w:val="es-ES_tradnl"/>
        </w:rPr>
        <w:t>Tercera</w:t>
      </w:r>
      <w:commentRangeStart w:id="12"/>
      <w:r w:rsidRPr="00A7136F">
        <w:rPr>
          <w:b/>
          <w:sz w:val="24"/>
          <w:szCs w:val="24"/>
          <w:lang w:val="es-ES_tradnl"/>
        </w:rPr>
        <w:t xml:space="preserve">. - </w:t>
      </w:r>
      <w:r w:rsidRPr="00A7136F">
        <w:rPr>
          <w:sz w:val="24"/>
          <w:szCs w:val="24"/>
          <w:lang w:val="es-ES_tradnl"/>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1F5FC501" w14:textId="77777777" w:rsidR="00C02AAE" w:rsidRPr="00A7136F" w:rsidRDefault="00C02AAE" w:rsidP="00C02AAE">
      <w:pPr>
        <w:spacing w:after="360"/>
        <w:jc w:val="both"/>
        <w:rPr>
          <w:b/>
          <w:sz w:val="24"/>
          <w:szCs w:val="24"/>
          <w:lang w:val="es-ES_tradnl"/>
        </w:rPr>
      </w:pPr>
      <w:r>
        <w:rPr>
          <w:b/>
          <w:sz w:val="24"/>
          <w:szCs w:val="24"/>
          <w:lang w:val="es-ES_tradnl"/>
        </w:rPr>
        <w:t>Cuarta</w:t>
      </w:r>
      <w:r w:rsidRPr="00A7136F">
        <w:rPr>
          <w:b/>
          <w:sz w:val="24"/>
          <w:szCs w:val="24"/>
          <w:lang w:val="es-ES_tradnl"/>
        </w:rPr>
        <w:t xml:space="preserve">. - </w:t>
      </w:r>
      <w:r w:rsidRPr="00A7136F">
        <w:rPr>
          <w:sz w:val="24"/>
          <w:szCs w:val="24"/>
          <w:lang w:val="es-ES_tradnl"/>
        </w:rPr>
        <w:t>La presente Ordenanza se aprueba en base a los informes que son de exclusiva responsabilidad de los funcionarios que lo suscriben y realizan.</w:t>
      </w:r>
    </w:p>
    <w:p w14:paraId="38158BCF" w14:textId="77777777" w:rsidR="00C02AAE" w:rsidRPr="00A7136F" w:rsidRDefault="00C02AAE" w:rsidP="00C02AAE">
      <w:pPr>
        <w:spacing w:after="360"/>
        <w:jc w:val="both"/>
        <w:rPr>
          <w:sz w:val="24"/>
          <w:szCs w:val="24"/>
          <w:lang w:val="es-ES_tradnl"/>
        </w:rPr>
      </w:pPr>
      <w:proofErr w:type="gramStart"/>
      <w:r>
        <w:rPr>
          <w:b/>
          <w:sz w:val="24"/>
          <w:szCs w:val="24"/>
          <w:lang w:val="es-ES_tradnl"/>
        </w:rPr>
        <w:lastRenderedPageBreak/>
        <w:t>Quinta</w:t>
      </w:r>
      <w:r w:rsidRPr="00A7136F">
        <w:rPr>
          <w:b/>
          <w:sz w:val="24"/>
          <w:szCs w:val="24"/>
          <w:lang w:val="es-ES_tradnl"/>
        </w:rPr>
        <w:t>.-</w:t>
      </w:r>
      <w:proofErr w:type="gramEnd"/>
      <w:r w:rsidRPr="00A7136F">
        <w:rPr>
          <w:b/>
          <w:sz w:val="24"/>
          <w:szCs w:val="24"/>
          <w:lang w:val="es-ES_tradnl"/>
        </w:rPr>
        <w:t xml:space="preserve"> </w:t>
      </w:r>
      <w:r w:rsidRPr="00A7136F">
        <w:rPr>
          <w:sz w:val="24"/>
          <w:szCs w:val="24"/>
          <w:lang w:val="es-ES_tradnl"/>
        </w:rPr>
        <w:t>Disponer a los copropietarios del asentamiento humano de hecho y consolidado de interés social</w:t>
      </w:r>
      <w:r>
        <w:rPr>
          <w:sz w:val="24"/>
          <w:szCs w:val="24"/>
          <w:lang w:val="es-ES_tradnl"/>
        </w:rPr>
        <w:t xml:space="preserve"> denominado</w:t>
      </w:r>
      <w:r w:rsidRPr="00A7136F">
        <w:rPr>
          <w:sz w:val="24"/>
          <w:szCs w:val="24"/>
          <w:lang w:val="es-ES_tradnl"/>
        </w:rPr>
        <w:t xml:space="preserve"> </w:t>
      </w:r>
      <w:r w:rsidRPr="00A7136F">
        <w:rPr>
          <w:sz w:val="24"/>
          <w:szCs w:val="24"/>
          <w:shd w:val="clear" w:color="auto" w:fill="FFFFFF"/>
        </w:rPr>
        <w:t>Barrio “José Gabriel Alarcón”</w:t>
      </w:r>
      <w:r w:rsidRPr="00A7136F">
        <w:rPr>
          <w:sz w:val="24"/>
          <w:szCs w:val="24"/>
          <w:lang w:val="es-ES_tradnl"/>
        </w:rPr>
        <w:t xml:space="preserve">, una vez inscrita la presente Ordenanza Metropolitana en el Registro de la Propiedad, soliciten en debida forma a la Empresa </w:t>
      </w:r>
      <w:r>
        <w:rPr>
          <w:sz w:val="24"/>
          <w:szCs w:val="24"/>
          <w:lang w:val="es-ES_tradnl"/>
        </w:rPr>
        <w:t>Eléctrica Quito (EEQ</w:t>
      </w:r>
      <w:r w:rsidRPr="00A7136F">
        <w:rPr>
          <w:sz w:val="24"/>
          <w:szCs w:val="24"/>
          <w:lang w:val="es-ES_tradnl"/>
        </w:rPr>
        <w:t xml:space="preserve">), para que en el ejercicio de sus atribuciones y planificación proceda a realizar los estudios, diseños y ejecución de las obras de infraestructura para la dotación de </w:t>
      </w:r>
      <w:r>
        <w:rPr>
          <w:sz w:val="24"/>
          <w:szCs w:val="24"/>
          <w:lang w:val="es-ES_tradnl"/>
        </w:rPr>
        <w:t>luz eléctrica</w:t>
      </w:r>
      <w:r w:rsidRPr="00A7136F">
        <w:rPr>
          <w:sz w:val="24"/>
          <w:szCs w:val="24"/>
          <w:lang w:val="es-ES_tradnl"/>
        </w:rPr>
        <w:t>.</w:t>
      </w:r>
    </w:p>
    <w:p w14:paraId="2DA152E0" w14:textId="77777777" w:rsidR="00C02AAE" w:rsidRPr="00A7136F" w:rsidRDefault="00C02AAE" w:rsidP="00C02AAE">
      <w:pPr>
        <w:spacing w:after="360"/>
        <w:jc w:val="both"/>
        <w:rPr>
          <w:sz w:val="24"/>
          <w:szCs w:val="24"/>
          <w:lang w:val="es-ES_tradnl"/>
        </w:rPr>
      </w:pPr>
      <w:r w:rsidRPr="00A7136F">
        <w:rPr>
          <w:sz w:val="24"/>
          <w:szCs w:val="24"/>
          <w:lang w:val="es-ES_tradnl"/>
        </w:rPr>
        <w:t xml:space="preserve">Requerir a la Empresa </w:t>
      </w:r>
      <w:r>
        <w:rPr>
          <w:sz w:val="24"/>
          <w:szCs w:val="24"/>
          <w:lang w:val="es-ES_tradnl"/>
        </w:rPr>
        <w:t>Eléctrica Quito (EEQ</w:t>
      </w:r>
      <w:r w:rsidRPr="00A7136F">
        <w:rPr>
          <w:sz w:val="24"/>
          <w:szCs w:val="24"/>
          <w:lang w:val="es-ES_tradnl"/>
        </w:rPr>
        <w:t xml:space="preserve">), que una vez culminen con la ejecución de las obras de infraestructura en el asentamiento humano de hecho y consolidado de interés social denominado </w:t>
      </w:r>
      <w:r w:rsidRPr="00A7136F">
        <w:rPr>
          <w:sz w:val="24"/>
          <w:szCs w:val="24"/>
          <w:shd w:val="clear" w:color="auto" w:fill="FFFFFF"/>
        </w:rPr>
        <w:t>Barrio “José Gabriel Alarcón”</w:t>
      </w:r>
      <w:r w:rsidRPr="00A7136F">
        <w:rPr>
          <w:sz w:val="24"/>
          <w:szCs w:val="24"/>
          <w:lang w:val="es-ES_tradnl"/>
        </w:rPr>
        <w:t>, deberán notificar a los copropietarios asentamiento humano y a la Administración Zonal Eugenio Espejo, con el acta de entrega recepción definitiva de las obras de infraestructura que son de sus atribuciones.</w:t>
      </w:r>
      <w:commentRangeEnd w:id="12"/>
      <w:r>
        <w:rPr>
          <w:rStyle w:val="Refdecomentario"/>
        </w:rPr>
        <w:commentReference w:id="12"/>
      </w:r>
    </w:p>
    <w:p w14:paraId="20F52A94" w14:textId="77777777" w:rsidR="00C02AAE" w:rsidRPr="00831A56" w:rsidRDefault="00C02AAE" w:rsidP="00C02AAE">
      <w:pPr>
        <w:spacing w:after="360"/>
        <w:jc w:val="both"/>
        <w:rPr>
          <w:i/>
          <w:sz w:val="24"/>
          <w:szCs w:val="24"/>
          <w:lang w:val="es-ES_tradnl"/>
        </w:rPr>
      </w:pPr>
      <w:r w:rsidRPr="00831A56">
        <w:rPr>
          <w:b/>
          <w:sz w:val="24"/>
          <w:szCs w:val="24"/>
          <w:lang w:val="es-ES_tradnl"/>
        </w:rPr>
        <w:t xml:space="preserve">Disposición Final. - </w:t>
      </w:r>
      <w:r w:rsidRPr="00831A56">
        <w:rPr>
          <w:bCs/>
          <w:sz w:val="24"/>
          <w:szCs w:val="24"/>
          <w:lang w:val="es-ES_tradnl"/>
        </w:rPr>
        <w:t>Esta ordenanza entrará en vigencia a partir de la fecha de su sanción, sin perjuicio de su publicación en la página web institucional de la Municipalidad.</w:t>
      </w:r>
    </w:p>
    <w:p w14:paraId="786F2303" w14:textId="77777777" w:rsidR="00C02AAE" w:rsidRPr="00831A56" w:rsidRDefault="00C02AAE" w:rsidP="00C02AAE">
      <w:pPr>
        <w:jc w:val="both"/>
        <w:rPr>
          <w:sz w:val="24"/>
          <w:szCs w:val="24"/>
        </w:rPr>
      </w:pPr>
      <w:r w:rsidRPr="00831A56">
        <w:rPr>
          <w:sz w:val="24"/>
          <w:szCs w:val="24"/>
        </w:rPr>
        <w:t xml:space="preserve">Dada, en la Sala de Sesiones del Concejo Metropolitano de Quito, </w:t>
      </w:r>
      <w:proofErr w:type="gramStart"/>
      <w:r w:rsidRPr="00831A56">
        <w:rPr>
          <w:sz w:val="24"/>
          <w:szCs w:val="24"/>
        </w:rPr>
        <w:t>el.…</w:t>
      </w:r>
      <w:proofErr w:type="gramEnd"/>
      <w:r w:rsidRPr="00831A56">
        <w:rPr>
          <w:sz w:val="24"/>
          <w:szCs w:val="24"/>
        </w:rPr>
        <w:t>… de …………. del 2023.</w:t>
      </w:r>
    </w:p>
    <w:p w14:paraId="5A9F3395" w14:textId="77777777" w:rsidR="00C02AAE" w:rsidRPr="00831A56" w:rsidRDefault="00C02AAE" w:rsidP="00C02AAE">
      <w:pPr>
        <w:pStyle w:val="Textopredeterminado"/>
        <w:shd w:val="clear" w:color="auto" w:fill="FFFFFF"/>
        <w:jc w:val="both"/>
        <w:rPr>
          <w:szCs w:val="24"/>
          <w:lang w:val="es-ES"/>
        </w:rPr>
      </w:pPr>
    </w:p>
    <w:p w14:paraId="288AC0F5" w14:textId="77777777" w:rsidR="00C02AAE" w:rsidRPr="00831A56" w:rsidRDefault="00C02AAE" w:rsidP="00C02AAE">
      <w:pPr>
        <w:jc w:val="both"/>
        <w:rPr>
          <w:sz w:val="24"/>
          <w:szCs w:val="24"/>
        </w:rPr>
      </w:pPr>
    </w:p>
    <w:p w14:paraId="6E194B12" w14:textId="77777777" w:rsidR="00C02AAE" w:rsidRPr="00831A56" w:rsidRDefault="00C02AAE" w:rsidP="00C02AAE">
      <w:pPr>
        <w:jc w:val="both"/>
        <w:rPr>
          <w:sz w:val="24"/>
          <w:szCs w:val="24"/>
        </w:rPr>
      </w:pPr>
    </w:p>
    <w:p w14:paraId="5B61EA19" w14:textId="77777777" w:rsidR="00C02AAE" w:rsidRPr="00831A56" w:rsidRDefault="00C02AAE" w:rsidP="00C02AAE">
      <w:pPr>
        <w:jc w:val="both"/>
        <w:rPr>
          <w:sz w:val="24"/>
          <w:szCs w:val="24"/>
        </w:rPr>
      </w:pPr>
    </w:p>
    <w:p w14:paraId="565EA4F6" w14:textId="77777777" w:rsidR="00C02AAE" w:rsidRPr="00831A56" w:rsidRDefault="00C02AAE" w:rsidP="00C02AAE">
      <w:pPr>
        <w:pStyle w:val="Textopredeterminado"/>
        <w:shd w:val="clear" w:color="auto" w:fill="FFFFFF"/>
        <w:jc w:val="both"/>
        <w:rPr>
          <w:szCs w:val="24"/>
          <w:lang w:val="es-ES"/>
        </w:rPr>
      </w:pPr>
    </w:p>
    <w:p w14:paraId="07EB501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Abg. Pablo Antonio Santillán Paredes</w:t>
      </w:r>
    </w:p>
    <w:p w14:paraId="696BD984" w14:textId="77777777" w:rsidR="00C02AAE" w:rsidRPr="00831A56" w:rsidRDefault="00C02AAE" w:rsidP="00C02AAE">
      <w:pPr>
        <w:pStyle w:val="Textosinformato"/>
        <w:spacing w:after="240"/>
        <w:jc w:val="center"/>
        <w:rPr>
          <w:rFonts w:ascii="Times New Roman" w:eastAsia="MS Mincho" w:hAnsi="Times New Roman"/>
          <w:b/>
          <w:bCs/>
          <w:sz w:val="24"/>
          <w:szCs w:val="24"/>
        </w:rPr>
      </w:pPr>
      <w:r w:rsidRPr="00831A56">
        <w:rPr>
          <w:rFonts w:ascii="Times New Roman" w:eastAsia="MS Mincho" w:hAnsi="Times New Roman"/>
          <w:b/>
          <w:bCs/>
          <w:sz w:val="24"/>
          <w:szCs w:val="24"/>
        </w:rPr>
        <w:t xml:space="preserve">SECRETARIO GENERAL DEL CONCEJO METROPOLITANO DE QUITO </w:t>
      </w:r>
    </w:p>
    <w:p w14:paraId="69849D61" w14:textId="77777777" w:rsidR="00C02AAE" w:rsidRPr="00831A56" w:rsidRDefault="00C02AAE" w:rsidP="00C02A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831A56">
        <w:rPr>
          <w:rFonts w:ascii="Times New Roman" w:eastAsia="MS Mincho" w:hAnsi="Times New Roman"/>
          <w:b/>
          <w:bCs/>
          <w:sz w:val="24"/>
          <w:szCs w:val="24"/>
        </w:rPr>
        <w:t>CERTIFICADO DE DISCUSIÓN</w:t>
      </w:r>
    </w:p>
    <w:p w14:paraId="1F9678D1" w14:textId="77777777" w:rsidR="00C02AAE" w:rsidRPr="00831A56" w:rsidRDefault="00C02AAE" w:rsidP="00C02AAE">
      <w:pPr>
        <w:pStyle w:val="Textosinformato"/>
        <w:jc w:val="center"/>
        <w:rPr>
          <w:rFonts w:ascii="Times New Roman" w:eastAsia="MS Mincho" w:hAnsi="Times New Roman"/>
          <w:sz w:val="24"/>
          <w:szCs w:val="24"/>
        </w:rPr>
      </w:pPr>
    </w:p>
    <w:p w14:paraId="6AA5B6F3" w14:textId="77777777" w:rsidR="00C02AAE" w:rsidRPr="00831A56" w:rsidRDefault="00C02AAE" w:rsidP="00C02AAE">
      <w:pPr>
        <w:pStyle w:val="Textosinformato"/>
        <w:spacing w:line="276" w:lineRule="auto"/>
        <w:jc w:val="center"/>
        <w:rPr>
          <w:rFonts w:ascii="Times New Roman" w:eastAsia="MS Mincho" w:hAnsi="Times New Roman"/>
          <w:sz w:val="24"/>
          <w:szCs w:val="24"/>
        </w:rPr>
      </w:pPr>
    </w:p>
    <w:p w14:paraId="72687DFD" w14:textId="77777777" w:rsidR="00C02AAE" w:rsidRPr="00831A56" w:rsidRDefault="00C02AAE" w:rsidP="00C02AAE">
      <w:pPr>
        <w:pStyle w:val="Textosinformato"/>
        <w:spacing w:line="276" w:lineRule="auto"/>
        <w:jc w:val="center"/>
        <w:rPr>
          <w:rFonts w:ascii="Times New Roman" w:eastAsia="MS Mincho" w:hAnsi="Times New Roman"/>
          <w:sz w:val="24"/>
          <w:szCs w:val="24"/>
        </w:rPr>
      </w:pPr>
      <w:r w:rsidRPr="00831A56">
        <w:rPr>
          <w:rFonts w:ascii="Times New Roman" w:eastAsia="MS Mincho" w:hAnsi="Times New Roman"/>
          <w:sz w:val="24"/>
          <w:szCs w:val="24"/>
        </w:rPr>
        <w:t>La infrascrita Secretaria General del Concejo Metropolitano de Quito, certifica que la presente ordenanza fue discutida y aprobada en dos debates, en sesiones de</w:t>
      </w:r>
      <w:proofErr w:type="gramStart"/>
      <w:r w:rsidRPr="00831A56">
        <w:rPr>
          <w:rFonts w:ascii="Times New Roman" w:eastAsia="MS Mincho" w:hAnsi="Times New Roman"/>
          <w:sz w:val="24"/>
          <w:szCs w:val="24"/>
        </w:rPr>
        <w:t xml:space="preserve"> ….</w:t>
      </w:r>
      <w:proofErr w:type="gramEnd"/>
      <w:r w:rsidRPr="00831A56">
        <w:rPr>
          <w:rFonts w:ascii="Times New Roman" w:eastAsia="MS Mincho" w:hAnsi="Times New Roman"/>
          <w:sz w:val="24"/>
          <w:szCs w:val="24"/>
        </w:rPr>
        <w:t>.de ……..  y</w:t>
      </w:r>
      <w:proofErr w:type="gramStart"/>
      <w:r w:rsidRPr="00831A56">
        <w:rPr>
          <w:rFonts w:ascii="Times New Roman" w:eastAsia="MS Mincho" w:hAnsi="Times New Roman"/>
          <w:sz w:val="24"/>
          <w:szCs w:val="24"/>
        </w:rPr>
        <w:t xml:space="preserve"> ….</w:t>
      </w:r>
      <w:proofErr w:type="gramEnd"/>
      <w:r w:rsidRPr="00831A56">
        <w:rPr>
          <w:rFonts w:ascii="Times New Roman" w:eastAsia="MS Mincho" w:hAnsi="Times New Roman"/>
          <w:sz w:val="24"/>
          <w:szCs w:val="24"/>
        </w:rPr>
        <w:t>. de …………. de 2023 - Quito,</w:t>
      </w:r>
    </w:p>
    <w:p w14:paraId="2DB63A76" w14:textId="77777777" w:rsidR="00C02AAE" w:rsidRPr="00831A56" w:rsidRDefault="00C02AAE" w:rsidP="00C02AAE">
      <w:pPr>
        <w:pStyle w:val="Textosinformato"/>
        <w:jc w:val="center"/>
        <w:rPr>
          <w:rFonts w:ascii="Times New Roman" w:eastAsia="MS Mincho" w:hAnsi="Times New Roman"/>
          <w:sz w:val="24"/>
          <w:szCs w:val="24"/>
        </w:rPr>
      </w:pPr>
    </w:p>
    <w:p w14:paraId="42ED9BE8" w14:textId="77777777" w:rsidR="00C02AAE" w:rsidRPr="00831A56" w:rsidRDefault="00C02AAE" w:rsidP="00C02AAE">
      <w:pPr>
        <w:pStyle w:val="Textosinformato"/>
        <w:rPr>
          <w:rFonts w:ascii="Times New Roman" w:eastAsia="MS Mincho" w:hAnsi="Times New Roman"/>
          <w:sz w:val="24"/>
          <w:szCs w:val="24"/>
        </w:rPr>
      </w:pPr>
    </w:p>
    <w:p w14:paraId="3082E15C" w14:textId="77777777" w:rsidR="00C02AAE" w:rsidRPr="00831A56" w:rsidRDefault="00C02AAE" w:rsidP="00C02AAE">
      <w:pPr>
        <w:pStyle w:val="Textosinformato"/>
        <w:jc w:val="center"/>
        <w:rPr>
          <w:rFonts w:ascii="Times New Roman" w:eastAsia="MS Mincho" w:hAnsi="Times New Roman"/>
          <w:sz w:val="24"/>
          <w:szCs w:val="24"/>
        </w:rPr>
      </w:pPr>
    </w:p>
    <w:p w14:paraId="280C443D" w14:textId="77777777" w:rsidR="00C02AAE" w:rsidRPr="00831A56" w:rsidRDefault="00C02AAE" w:rsidP="00C02AAE">
      <w:pPr>
        <w:pStyle w:val="Textosinformato"/>
        <w:jc w:val="center"/>
        <w:rPr>
          <w:rFonts w:ascii="Times New Roman" w:eastAsia="MS Mincho" w:hAnsi="Times New Roman"/>
          <w:sz w:val="24"/>
          <w:szCs w:val="24"/>
        </w:rPr>
      </w:pPr>
    </w:p>
    <w:p w14:paraId="79A2AC60"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Abg. Pablo Antonio Santillán Paredes</w:t>
      </w:r>
    </w:p>
    <w:p w14:paraId="70BBE55E" w14:textId="77777777" w:rsidR="00C02AAE" w:rsidRPr="00831A56" w:rsidRDefault="00C02AAE" w:rsidP="00C02AAE">
      <w:pPr>
        <w:pStyle w:val="Textosinformato"/>
        <w:spacing w:after="240"/>
        <w:jc w:val="center"/>
        <w:rPr>
          <w:rFonts w:ascii="Times New Roman" w:eastAsia="MS Mincho" w:hAnsi="Times New Roman"/>
          <w:b/>
          <w:bCs/>
          <w:sz w:val="24"/>
          <w:szCs w:val="24"/>
        </w:rPr>
      </w:pPr>
      <w:r w:rsidRPr="00831A56">
        <w:rPr>
          <w:rFonts w:ascii="Times New Roman" w:eastAsia="MS Mincho" w:hAnsi="Times New Roman"/>
          <w:b/>
          <w:bCs/>
          <w:sz w:val="24"/>
          <w:szCs w:val="24"/>
        </w:rPr>
        <w:t xml:space="preserve">SECRETARIO GENERAL DEL CONCEJO METROPOLITANO DE QUITO </w:t>
      </w:r>
    </w:p>
    <w:p w14:paraId="735B4925" w14:textId="77777777" w:rsidR="00C02AAE" w:rsidRPr="00831A56" w:rsidRDefault="00C02AAE" w:rsidP="00C02AAE">
      <w:pPr>
        <w:pStyle w:val="Textosinformato"/>
        <w:jc w:val="center"/>
        <w:rPr>
          <w:rFonts w:ascii="Times New Roman" w:eastAsia="MS Mincho" w:hAnsi="Times New Roman"/>
          <w:sz w:val="24"/>
          <w:szCs w:val="24"/>
        </w:rPr>
      </w:pPr>
    </w:p>
    <w:p w14:paraId="10121657" w14:textId="77777777" w:rsidR="00C02AAE" w:rsidRPr="00831A56" w:rsidRDefault="00C02AAE" w:rsidP="00C02AAE">
      <w:pPr>
        <w:pStyle w:val="Textosinformato"/>
        <w:jc w:val="center"/>
        <w:rPr>
          <w:rFonts w:ascii="Times New Roman" w:eastAsia="MS Mincho" w:hAnsi="Times New Roman"/>
          <w:sz w:val="24"/>
          <w:szCs w:val="24"/>
        </w:rPr>
      </w:pPr>
    </w:p>
    <w:p w14:paraId="20EFD1DD" w14:textId="77777777" w:rsidR="00C02AAE" w:rsidRPr="00831A56" w:rsidRDefault="00C02AAE" w:rsidP="00C02AAE">
      <w:pPr>
        <w:pStyle w:val="Textosinformato"/>
        <w:jc w:val="center"/>
        <w:rPr>
          <w:rFonts w:ascii="Times New Roman" w:eastAsia="MS Mincho" w:hAnsi="Times New Roman"/>
          <w:sz w:val="24"/>
          <w:szCs w:val="24"/>
        </w:rPr>
      </w:pPr>
    </w:p>
    <w:p w14:paraId="2B52BEFD" w14:textId="77777777" w:rsidR="00C02AAE" w:rsidRPr="00831A56" w:rsidRDefault="00C02AAE" w:rsidP="00C02AAE">
      <w:pPr>
        <w:pStyle w:val="Textosinformato"/>
        <w:jc w:val="center"/>
        <w:rPr>
          <w:rFonts w:ascii="Times New Roman" w:eastAsia="MS Mincho" w:hAnsi="Times New Roman"/>
          <w:sz w:val="24"/>
          <w:szCs w:val="24"/>
        </w:rPr>
      </w:pPr>
    </w:p>
    <w:p w14:paraId="2075B020" w14:textId="77777777" w:rsidR="00C02AAE" w:rsidRPr="00831A56" w:rsidRDefault="00C02AAE" w:rsidP="00C02AAE">
      <w:pPr>
        <w:pStyle w:val="Textosinformato"/>
        <w:jc w:val="center"/>
        <w:rPr>
          <w:rFonts w:ascii="Times New Roman" w:eastAsia="MS Mincho" w:hAnsi="Times New Roman"/>
          <w:sz w:val="24"/>
          <w:szCs w:val="24"/>
        </w:rPr>
      </w:pPr>
    </w:p>
    <w:p w14:paraId="5DF288A6"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b/>
          <w:bCs/>
          <w:sz w:val="24"/>
          <w:szCs w:val="24"/>
        </w:rPr>
        <w:t>ALCALDÍA DEL DISTRITO METROPOLITANO. -</w:t>
      </w:r>
      <w:r w:rsidRPr="00831A56">
        <w:rPr>
          <w:rFonts w:ascii="Times New Roman" w:eastAsia="MS Mincho" w:hAnsi="Times New Roman"/>
          <w:sz w:val="24"/>
          <w:szCs w:val="24"/>
        </w:rPr>
        <w:t xml:space="preserve">  Distrito Metropolitano de Quito,</w:t>
      </w:r>
    </w:p>
    <w:p w14:paraId="3C713E04" w14:textId="77777777" w:rsidR="00C02AAE" w:rsidRPr="00831A56" w:rsidRDefault="00C02AAE" w:rsidP="00C02AAE">
      <w:pPr>
        <w:pStyle w:val="Textosinformato"/>
        <w:jc w:val="center"/>
        <w:rPr>
          <w:rFonts w:ascii="Times New Roman" w:eastAsia="MS Mincho" w:hAnsi="Times New Roman"/>
          <w:b/>
          <w:sz w:val="24"/>
          <w:szCs w:val="24"/>
        </w:rPr>
      </w:pPr>
    </w:p>
    <w:p w14:paraId="5F650701" w14:textId="77777777" w:rsidR="00C02AAE" w:rsidRDefault="00C02AAE" w:rsidP="00C02AAE">
      <w:pPr>
        <w:pStyle w:val="Textosinformato"/>
        <w:spacing w:after="480"/>
        <w:jc w:val="center"/>
        <w:rPr>
          <w:rFonts w:ascii="Times New Roman" w:eastAsia="MS Mincho" w:hAnsi="Times New Roman"/>
          <w:b/>
          <w:sz w:val="24"/>
          <w:szCs w:val="24"/>
        </w:rPr>
      </w:pPr>
    </w:p>
    <w:p w14:paraId="41CA8C40" w14:textId="77777777" w:rsidR="00C02AAE" w:rsidRPr="00831A56" w:rsidRDefault="00C02AAE" w:rsidP="00C02AAE">
      <w:pPr>
        <w:pStyle w:val="Textosinformato"/>
        <w:spacing w:after="480"/>
        <w:jc w:val="center"/>
        <w:rPr>
          <w:rFonts w:ascii="Times New Roman" w:eastAsia="MS Mincho" w:hAnsi="Times New Roman"/>
          <w:b/>
          <w:sz w:val="24"/>
          <w:szCs w:val="24"/>
        </w:rPr>
      </w:pPr>
    </w:p>
    <w:p w14:paraId="127359C1" w14:textId="77777777" w:rsidR="00C02AAE" w:rsidRPr="00831A56" w:rsidRDefault="00C02AAE" w:rsidP="00C02AAE">
      <w:pPr>
        <w:pStyle w:val="Textosinformato"/>
        <w:spacing w:after="480"/>
        <w:jc w:val="center"/>
        <w:rPr>
          <w:rFonts w:ascii="Times New Roman" w:eastAsia="MS Mincho" w:hAnsi="Times New Roman"/>
          <w:b/>
          <w:sz w:val="24"/>
          <w:szCs w:val="24"/>
        </w:rPr>
      </w:pPr>
      <w:r w:rsidRPr="00831A56">
        <w:rPr>
          <w:rFonts w:ascii="Times New Roman" w:eastAsia="MS Mincho" w:hAnsi="Times New Roman"/>
          <w:b/>
          <w:sz w:val="24"/>
          <w:szCs w:val="24"/>
        </w:rPr>
        <w:lastRenderedPageBreak/>
        <w:t>EJECÚTESE:</w:t>
      </w:r>
    </w:p>
    <w:p w14:paraId="6E47072B" w14:textId="77777777" w:rsidR="00C02AAE" w:rsidRPr="00831A56" w:rsidRDefault="00C02AAE" w:rsidP="00C02AAE">
      <w:pPr>
        <w:pStyle w:val="Textosinformato"/>
        <w:jc w:val="center"/>
        <w:rPr>
          <w:rFonts w:ascii="Times New Roman" w:eastAsia="MS Mincho" w:hAnsi="Times New Roman"/>
          <w:sz w:val="24"/>
          <w:szCs w:val="24"/>
        </w:rPr>
      </w:pPr>
    </w:p>
    <w:p w14:paraId="35EAF67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sz w:val="24"/>
          <w:szCs w:val="24"/>
        </w:rPr>
        <w:t xml:space="preserve">Dr. Santiago Mauricio </w:t>
      </w:r>
      <w:proofErr w:type="spellStart"/>
      <w:r w:rsidRPr="00831A56">
        <w:rPr>
          <w:rFonts w:ascii="Times New Roman" w:eastAsia="MS Mincho" w:hAnsi="Times New Roman"/>
          <w:sz w:val="24"/>
          <w:szCs w:val="24"/>
        </w:rPr>
        <w:t>Guarderas</w:t>
      </w:r>
      <w:proofErr w:type="spellEnd"/>
      <w:r w:rsidRPr="00831A56">
        <w:rPr>
          <w:rFonts w:ascii="Times New Roman" w:eastAsia="MS Mincho" w:hAnsi="Times New Roman"/>
          <w:sz w:val="24"/>
          <w:szCs w:val="24"/>
        </w:rPr>
        <w:t xml:space="preserve"> Izquierdo</w:t>
      </w:r>
    </w:p>
    <w:p w14:paraId="11FDA778" w14:textId="77777777" w:rsidR="00C02AAE" w:rsidRPr="00831A56" w:rsidRDefault="00C02AAE" w:rsidP="00C02AAE">
      <w:pPr>
        <w:pStyle w:val="Textosinformato"/>
        <w:jc w:val="center"/>
        <w:rPr>
          <w:rFonts w:ascii="Times New Roman" w:eastAsia="MS Mincho" w:hAnsi="Times New Roman"/>
          <w:b/>
          <w:bCs/>
          <w:sz w:val="24"/>
          <w:szCs w:val="24"/>
        </w:rPr>
      </w:pPr>
      <w:r w:rsidRPr="00831A56">
        <w:rPr>
          <w:rFonts w:ascii="Times New Roman" w:eastAsia="MS Mincho" w:hAnsi="Times New Roman"/>
          <w:b/>
          <w:bCs/>
          <w:sz w:val="24"/>
          <w:szCs w:val="24"/>
        </w:rPr>
        <w:t>ALCALDE DEL DISTRITO METROPOLITANO DE QUITO</w:t>
      </w:r>
    </w:p>
    <w:p w14:paraId="4B0E6C94" w14:textId="77777777" w:rsidR="00C02AAE" w:rsidRPr="00831A56" w:rsidRDefault="00C02AAE" w:rsidP="00C02AAE">
      <w:pPr>
        <w:pStyle w:val="Textosinformato"/>
        <w:jc w:val="center"/>
        <w:rPr>
          <w:rFonts w:ascii="Times New Roman" w:eastAsia="MS Mincho" w:hAnsi="Times New Roman"/>
          <w:sz w:val="24"/>
          <w:szCs w:val="24"/>
        </w:rPr>
      </w:pPr>
    </w:p>
    <w:p w14:paraId="03683645" w14:textId="77777777" w:rsidR="00C02AAE" w:rsidRPr="00831A56" w:rsidRDefault="00C02AAE" w:rsidP="00C02AAE">
      <w:pPr>
        <w:pStyle w:val="Textosinformato"/>
        <w:jc w:val="center"/>
        <w:rPr>
          <w:rFonts w:ascii="Times New Roman" w:eastAsia="MS Mincho" w:hAnsi="Times New Roman"/>
          <w:sz w:val="24"/>
          <w:szCs w:val="24"/>
        </w:rPr>
      </w:pPr>
      <w:r w:rsidRPr="00831A56">
        <w:rPr>
          <w:rFonts w:ascii="Times New Roman" w:eastAsia="MS Mincho" w:hAnsi="Times New Roman"/>
          <w:b/>
          <w:bCs/>
          <w:sz w:val="24"/>
          <w:szCs w:val="24"/>
        </w:rPr>
        <w:t>CERTIFICO,</w:t>
      </w:r>
      <w:r w:rsidRPr="00831A56">
        <w:rPr>
          <w:rFonts w:ascii="Times New Roman" w:eastAsia="MS Mincho" w:hAnsi="Times New Roman"/>
          <w:sz w:val="24"/>
          <w:szCs w:val="24"/>
        </w:rPr>
        <w:t xml:space="preserve"> que la presente ordenanza fue sancionada por el Dr. Santiago Mauricio </w:t>
      </w:r>
      <w:proofErr w:type="spellStart"/>
      <w:r w:rsidRPr="00831A56">
        <w:rPr>
          <w:rFonts w:ascii="Times New Roman" w:eastAsia="MS Mincho" w:hAnsi="Times New Roman"/>
          <w:sz w:val="24"/>
          <w:szCs w:val="24"/>
        </w:rPr>
        <w:t>Guarderas</w:t>
      </w:r>
      <w:proofErr w:type="spellEnd"/>
      <w:r w:rsidRPr="00831A56">
        <w:rPr>
          <w:rFonts w:ascii="Times New Roman" w:eastAsia="MS Mincho" w:hAnsi="Times New Roman"/>
          <w:sz w:val="24"/>
          <w:szCs w:val="24"/>
        </w:rPr>
        <w:t xml:space="preserve"> Izquierdo, Alcalde del Distrito Metropolitano de Quito, el</w:t>
      </w:r>
    </w:p>
    <w:p w14:paraId="4FF6BA00" w14:textId="77777777" w:rsidR="00C02AAE" w:rsidRPr="00831A56" w:rsidRDefault="00C02AAE" w:rsidP="00C02AAE">
      <w:pPr>
        <w:pStyle w:val="Textosinformato"/>
        <w:tabs>
          <w:tab w:val="right" w:pos="8504"/>
        </w:tabs>
        <w:spacing w:line="276" w:lineRule="auto"/>
        <w:jc w:val="center"/>
        <w:rPr>
          <w:rFonts w:ascii="Times New Roman" w:hAnsi="Times New Roman"/>
          <w:sz w:val="24"/>
          <w:szCs w:val="24"/>
        </w:rPr>
      </w:pPr>
      <w:proofErr w:type="gramStart"/>
      <w:r w:rsidRPr="00831A56">
        <w:rPr>
          <w:rFonts w:ascii="Times New Roman" w:eastAsia="MS Mincho" w:hAnsi="Times New Roman"/>
          <w:sz w:val="24"/>
          <w:szCs w:val="24"/>
        </w:rPr>
        <w:t>.-</w:t>
      </w:r>
      <w:proofErr w:type="gramEnd"/>
      <w:r w:rsidRPr="00831A56">
        <w:rPr>
          <w:rFonts w:ascii="Times New Roman" w:eastAsia="MS Mincho" w:hAnsi="Times New Roman"/>
          <w:sz w:val="24"/>
          <w:szCs w:val="24"/>
        </w:rPr>
        <w:t xml:space="preserve"> Distrito Metropolitano de Quito</w:t>
      </w:r>
    </w:p>
    <w:p w14:paraId="474A7009" w14:textId="77777777" w:rsidR="00E93DC5" w:rsidRDefault="00E93DC5">
      <w:bookmarkStart w:id="13" w:name="_GoBack"/>
      <w:bookmarkEnd w:id="13"/>
    </w:p>
    <w:sectPr w:rsidR="00E93DC5" w:rsidSect="00F95DF2">
      <w:headerReference w:type="even" r:id="rId15"/>
      <w:headerReference w:type="default" r:id="rId16"/>
      <w:footerReference w:type="default" r:id="rId17"/>
      <w:headerReference w:type="first" r:id="rId18"/>
      <w:pgSz w:w="11906" w:h="16838"/>
      <w:pgMar w:top="1843" w:right="1416" w:bottom="567" w:left="1701" w:header="567"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nia Fernanda Duran Garcia" w:date="2023-02-15T09:41:00Z" w:initials="SFDG">
    <w:p w14:paraId="1050FB62" w14:textId="77777777" w:rsidR="00C02AAE" w:rsidRDefault="00C02AAE" w:rsidP="00C02AAE">
      <w:pPr>
        <w:pStyle w:val="Textocomentario"/>
      </w:pPr>
      <w:r>
        <w:rPr>
          <w:rStyle w:val="Refdecomentario"/>
        </w:rPr>
        <w:annotationRef/>
      </w:r>
      <w:r>
        <w:t xml:space="preserve">Incluir las nuevas disposiciones legales con la aprobación del PUGS </w:t>
      </w:r>
    </w:p>
    <w:p w14:paraId="0DC8A94F" w14:textId="77777777" w:rsidR="00C02AAE" w:rsidRDefault="00C02AAE" w:rsidP="00C02AAE">
      <w:pPr>
        <w:pStyle w:val="Textocomentario"/>
      </w:pPr>
      <w:r>
        <w:t xml:space="preserve">Despacho Concejal René Bedón; y, </w:t>
      </w:r>
    </w:p>
    <w:p w14:paraId="6613F2D8" w14:textId="77777777" w:rsidR="00C02AAE" w:rsidRDefault="00C02AAE" w:rsidP="00C02AAE">
      <w:pPr>
        <w:pStyle w:val="Textocomentario"/>
      </w:pPr>
      <w:r>
        <w:t>Despacho Concejal Luis Robles</w:t>
      </w:r>
    </w:p>
  </w:comment>
  <w:comment w:id="1" w:author="Sonia Fernanda Duran Garcia" w:date="2023-02-15T09:42:00Z" w:initials="SFDG">
    <w:p w14:paraId="26583CAF" w14:textId="77777777" w:rsidR="00C02AAE" w:rsidRDefault="00C02AAE" w:rsidP="00C02AAE">
      <w:pPr>
        <w:pStyle w:val="Textocomentario"/>
      </w:pPr>
      <w:r>
        <w:rPr>
          <w:rStyle w:val="Refdecomentario"/>
        </w:rPr>
        <w:annotationRef/>
      </w:r>
      <w:r>
        <w:t>Incluir las nuevas disposiciones legales con la aprobación del PUGS sobre los AHHYC que se acogen a los procesos de regularización anterior.</w:t>
      </w:r>
    </w:p>
    <w:p w14:paraId="221CD4DA" w14:textId="77777777" w:rsidR="00C02AAE" w:rsidRDefault="00C02AAE" w:rsidP="00C02AAE">
      <w:pPr>
        <w:pStyle w:val="Textocomentario"/>
      </w:pPr>
      <w:r>
        <w:t>Despacho Concejal René Bedón</w:t>
      </w:r>
    </w:p>
  </w:comment>
  <w:comment w:id="3" w:author="Sonia Fernanda Duran Garcia" w:date="2023-02-15T09:45:00Z" w:initials="SFDG">
    <w:p w14:paraId="471E696A" w14:textId="77777777" w:rsidR="00C02AAE" w:rsidRDefault="00C02AAE" w:rsidP="00C02AAE">
      <w:pPr>
        <w:pStyle w:val="Textocomentario"/>
      </w:pPr>
      <w:r>
        <w:rPr>
          <w:rStyle w:val="Refdecomentario"/>
        </w:rPr>
        <w:annotationRef/>
      </w:r>
      <w:r>
        <w:t xml:space="preserve">Incluir observación al texto. </w:t>
      </w:r>
    </w:p>
    <w:p w14:paraId="74BEE684" w14:textId="77777777" w:rsidR="00C02AAE" w:rsidRDefault="00C02AAE" w:rsidP="00C02AAE">
      <w:pPr>
        <w:pStyle w:val="Textocomentario"/>
      </w:pPr>
      <w:r>
        <w:t xml:space="preserve">Despacho señor Alcalde Dr. Santiago </w:t>
      </w:r>
      <w:proofErr w:type="spellStart"/>
      <w:r>
        <w:t>Guarderas</w:t>
      </w:r>
      <w:proofErr w:type="spellEnd"/>
    </w:p>
    <w:p w14:paraId="5A9E3C14" w14:textId="77777777" w:rsidR="00C02AAE" w:rsidRDefault="00C02AAE" w:rsidP="00C02AAE">
      <w:pPr>
        <w:pStyle w:val="Textocomentario"/>
      </w:pPr>
    </w:p>
  </w:comment>
  <w:comment w:id="4" w:author="Sonia Fernanda Duran Garcia" w:date="2023-02-15T09:47:00Z" w:initials="SFDG">
    <w:p w14:paraId="0373BB4A" w14:textId="77777777" w:rsidR="00C02AAE" w:rsidRDefault="00C02AAE" w:rsidP="00C02AAE">
      <w:pPr>
        <w:pStyle w:val="Textocomentario"/>
      </w:pPr>
      <w:r>
        <w:rPr>
          <w:rStyle w:val="Refdecomentario"/>
        </w:rPr>
        <w:annotationRef/>
      </w:r>
      <w:r>
        <w:t xml:space="preserve">Incluir en considerandos los criterios de la UERB para la consideración de la declaratoria de interés social del AHHYC </w:t>
      </w:r>
    </w:p>
    <w:p w14:paraId="09E4A834" w14:textId="77777777" w:rsidR="00C02AAE" w:rsidRDefault="00C02AAE" w:rsidP="00C02AAE">
      <w:pPr>
        <w:pStyle w:val="Textocomentario"/>
      </w:pPr>
      <w:r>
        <w:t>Despacho Concejal René Bedón</w:t>
      </w:r>
    </w:p>
  </w:comment>
  <w:comment w:id="5" w:author="Sonia Fernanda Duran Garcia" w:date="2023-03-02T15:22:00Z" w:initials="SFDG">
    <w:p w14:paraId="24158DB6" w14:textId="77777777" w:rsidR="00C02AAE" w:rsidRDefault="00C02AAE" w:rsidP="00C02AAE">
      <w:pPr>
        <w:pStyle w:val="Textocomentario"/>
      </w:pPr>
      <w:r>
        <w:rPr>
          <w:rStyle w:val="Refdecomentario"/>
        </w:rPr>
        <w:annotationRef/>
      </w:r>
      <w:r>
        <w:t>Incluir en considerandos los criterios de la UERB para la consideración de la declaratoria de interés social del AHHYC, los informes ampliatorios.</w:t>
      </w:r>
    </w:p>
    <w:p w14:paraId="69EA4925" w14:textId="77777777" w:rsidR="00C02AAE" w:rsidRDefault="00C02AAE" w:rsidP="00C02AAE">
      <w:pPr>
        <w:pStyle w:val="Textocomentario"/>
      </w:pPr>
      <w:r>
        <w:t>Despacho Concejal Amparito Narváez</w:t>
      </w:r>
    </w:p>
  </w:comment>
  <w:comment w:id="6" w:author="Sonia Fernanda Duran Garcia" w:date="2023-02-15T09:47:00Z" w:initials="SFDG">
    <w:p w14:paraId="5C04FBF6" w14:textId="77777777" w:rsidR="00C02AAE" w:rsidRDefault="00C02AAE" w:rsidP="00C02AAE">
      <w:pPr>
        <w:pStyle w:val="Textocomentario"/>
      </w:pPr>
      <w:r>
        <w:rPr>
          <w:rStyle w:val="Refdecomentario"/>
        </w:rPr>
        <w:annotationRef/>
      </w:r>
      <w:r>
        <w:t>Texto propuesto por la UERB en respuesta a las inquietudes presentadas por</w:t>
      </w:r>
    </w:p>
    <w:p w14:paraId="4642FF4F" w14:textId="77777777" w:rsidR="00C02AAE" w:rsidRDefault="00C02AAE" w:rsidP="00C02AAE">
      <w:pPr>
        <w:pStyle w:val="Textocomentario"/>
      </w:pPr>
      <w:r>
        <w:t>-Despacho Concejal René Bedón y;</w:t>
      </w:r>
    </w:p>
    <w:p w14:paraId="1349459B" w14:textId="77777777" w:rsidR="00C02AAE" w:rsidRDefault="00C02AAE" w:rsidP="00C02AAE">
      <w:pPr>
        <w:pStyle w:val="Textocomentario"/>
      </w:pPr>
      <w:r>
        <w:t>-Despacho Concejala Amparito Narváez.</w:t>
      </w:r>
    </w:p>
    <w:p w14:paraId="7CFFFEDB" w14:textId="77777777" w:rsidR="00C02AAE" w:rsidRDefault="00C02AAE" w:rsidP="00C02AAE">
      <w:pPr>
        <w:pStyle w:val="Textocomentario"/>
      </w:pPr>
      <w:r>
        <w:t>Se retira el texto de las disposiciones generales y se lo incluye en los considerandos con el criterio emitido por la STHYV.</w:t>
      </w:r>
    </w:p>
  </w:comment>
  <w:comment w:id="7" w:author="Sonia Fernanda Duran Garcia" w:date="2023-02-15T09:49:00Z" w:initials="SFDG">
    <w:p w14:paraId="03E11691" w14:textId="77777777" w:rsidR="00C02AAE" w:rsidRDefault="00C02AAE" w:rsidP="00C02AAE">
      <w:pPr>
        <w:pStyle w:val="Textocomentario"/>
      </w:pPr>
      <w:r>
        <w:rPr>
          <w:rStyle w:val="Refdecomentario"/>
        </w:rPr>
        <w:annotationRef/>
      </w:r>
      <w:r>
        <w:t>Modificación de texto</w:t>
      </w:r>
    </w:p>
    <w:p w14:paraId="6D2B67A7" w14:textId="77777777" w:rsidR="00C02AAE" w:rsidRDefault="00C02AAE" w:rsidP="00C02AAE">
      <w:pPr>
        <w:pStyle w:val="Textocomentario"/>
      </w:pPr>
      <w:r>
        <w:t>-Despacho Concejal René Bedón</w:t>
      </w:r>
    </w:p>
  </w:comment>
  <w:comment w:id="9" w:author="Sonia Fernanda Duran Garcia" w:date="2023-02-15T09:50:00Z" w:initials="SFDG">
    <w:p w14:paraId="35346D9A" w14:textId="77777777" w:rsidR="00C02AAE" w:rsidRDefault="00C02AAE" w:rsidP="00C02AAE">
      <w:pPr>
        <w:pStyle w:val="Textocomentario"/>
      </w:pPr>
      <w:r>
        <w:rPr>
          <w:rStyle w:val="Refdecomentario"/>
        </w:rPr>
        <w:annotationRef/>
      </w:r>
      <w:r>
        <w:rPr>
          <w:rStyle w:val="Refdecomentario"/>
        </w:rPr>
        <w:annotationRef/>
      </w:r>
      <w:r>
        <w:t>Texto modificado por la UERB de acuerdo a la propuesta de los despachos</w:t>
      </w:r>
    </w:p>
    <w:p w14:paraId="375D7135" w14:textId="77777777" w:rsidR="00C02AAE" w:rsidRDefault="00C02AAE" w:rsidP="00C02AAE">
      <w:pPr>
        <w:pStyle w:val="Textocomentario"/>
        <w:numPr>
          <w:ilvl w:val="0"/>
          <w:numId w:val="2"/>
        </w:numPr>
      </w:pPr>
      <w:r>
        <w:t>Despacho Concejal Luis Robles</w:t>
      </w:r>
    </w:p>
    <w:p w14:paraId="16CCC3F1" w14:textId="77777777" w:rsidR="00C02AAE" w:rsidRDefault="00C02AAE" w:rsidP="00C02AAE">
      <w:pPr>
        <w:pStyle w:val="Textocomentario"/>
        <w:numPr>
          <w:ilvl w:val="0"/>
          <w:numId w:val="2"/>
        </w:numPr>
      </w:pPr>
      <w:r>
        <w:t>Despacho Concejal René Bedón</w:t>
      </w:r>
    </w:p>
    <w:p w14:paraId="4885A52E" w14:textId="77777777" w:rsidR="00C02AAE" w:rsidRDefault="00C02AAE" w:rsidP="00C02AAE">
      <w:pPr>
        <w:pStyle w:val="Textocomentario"/>
      </w:pPr>
    </w:p>
  </w:comment>
  <w:comment w:id="11" w:author="Sonia Fernanda Duran Garcia" w:date="2023-02-15T09:51:00Z" w:initials="SFDG">
    <w:p w14:paraId="4A1EAB21" w14:textId="77777777" w:rsidR="00C02AAE" w:rsidRDefault="00C02AAE" w:rsidP="00C02AAE">
      <w:pPr>
        <w:pStyle w:val="Textocomentario"/>
        <w:rPr>
          <w:bCs/>
          <w:sz w:val="24"/>
          <w:szCs w:val="24"/>
          <w:u w:val="single"/>
        </w:rPr>
      </w:pPr>
      <w:r>
        <w:rPr>
          <w:rStyle w:val="Refdecomentario"/>
        </w:rPr>
        <w:annotationRef/>
      </w: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1597ED87" w14:textId="77777777" w:rsidR="00C02AAE" w:rsidRPr="00921EDC" w:rsidRDefault="00C02AAE" w:rsidP="00C02AAE">
      <w:pPr>
        <w:pStyle w:val="Textocomentario"/>
      </w:pPr>
      <w:r>
        <w:rPr>
          <w:bCs/>
          <w:sz w:val="24"/>
          <w:szCs w:val="24"/>
        </w:rPr>
        <w:t>Despacho Concejal René Bedón</w:t>
      </w:r>
    </w:p>
    <w:p w14:paraId="00801409" w14:textId="77777777" w:rsidR="00C02AAE" w:rsidRDefault="00C02AAE" w:rsidP="00C02AAE">
      <w:pPr>
        <w:pStyle w:val="Textocomentario"/>
      </w:pPr>
    </w:p>
  </w:comment>
  <w:comment w:id="12" w:author="Sonia Fernanda Duran Garcia" w:date="2023-02-15T09:53:00Z" w:initials="SFDG">
    <w:p w14:paraId="4C8D5564" w14:textId="77777777" w:rsidR="00C02AAE" w:rsidRDefault="00C02AAE" w:rsidP="00C02AAE">
      <w:pPr>
        <w:pStyle w:val="Textocomentario"/>
      </w:pPr>
      <w:r>
        <w:rPr>
          <w:rStyle w:val="Refdecomentario"/>
        </w:rPr>
        <w:annotationRef/>
      </w:r>
      <w:r>
        <w:rPr>
          <w:noProof/>
        </w:rPr>
        <w:t xml:space="preserve">Modificación de disposiciones propuesto, se eliminaría como disposición el </w:t>
      </w:r>
      <w:r w:rsidRPr="00CF7A59">
        <w:rPr>
          <w:noProof/>
        </w:rPr>
        <w:t xml:space="preserve">soterramiento de cables Ordenanza </w:t>
      </w:r>
      <w:r w:rsidRPr="00CF7A59">
        <w:rPr>
          <w:color w:val="000000" w:themeColor="text1"/>
        </w:rPr>
        <w:t>No. 044 – 2022, sancionada el 02 de noviembre de 2022</w:t>
      </w:r>
      <w:r>
        <w:rPr>
          <w:noProof/>
          <w:color w:val="000000" w:themeColor="text1"/>
        </w:rPr>
        <w:t>; y, se eliminaría el texto de la inicialmente disposicón tercera)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3F2D8" w15:done="0"/>
  <w15:commentEx w15:paraId="221CD4DA" w15:done="0"/>
  <w15:commentEx w15:paraId="5A9E3C14" w15:done="0"/>
  <w15:commentEx w15:paraId="09E4A834" w15:done="0"/>
  <w15:commentEx w15:paraId="69EA4925" w15:done="0"/>
  <w15:commentEx w15:paraId="7CFFFEDB" w15:done="0"/>
  <w15:commentEx w15:paraId="6D2B67A7" w15:done="0"/>
  <w15:commentEx w15:paraId="4885A52E" w15:done="0"/>
  <w15:commentEx w15:paraId="00801409" w15:done="0"/>
  <w15:commentEx w15:paraId="4C8D556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9673" w14:textId="77777777" w:rsidR="00E737F8" w:rsidRDefault="00E737F8" w:rsidP="00C02AAE">
      <w:r>
        <w:separator/>
      </w:r>
    </w:p>
  </w:endnote>
  <w:endnote w:type="continuationSeparator" w:id="0">
    <w:p w14:paraId="43F52B72" w14:textId="77777777" w:rsidR="00E737F8" w:rsidRDefault="00E737F8" w:rsidP="00C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10A0" w14:textId="77777777" w:rsidR="004F36AB" w:rsidRDefault="00E737F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8189" w14:textId="18C8D06E" w:rsidR="00E463E5"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2718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7180">
      <w:rPr>
        <w:b/>
        <w:noProof/>
      </w:rPr>
      <w:t>13</w:t>
    </w:r>
    <w:r>
      <w:rPr>
        <w:b/>
        <w:sz w:val="24"/>
        <w:szCs w:val="24"/>
      </w:rPr>
      <w:fldChar w:fldCharType="end"/>
    </w:r>
  </w:p>
  <w:p w14:paraId="4AED639F" w14:textId="77777777" w:rsidR="00E463E5" w:rsidRDefault="00E737F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188B" w14:textId="4A8D0C80" w:rsidR="00E463E5"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2718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7180">
      <w:rPr>
        <w:b/>
        <w:noProof/>
      </w:rPr>
      <w:t>13</w:t>
    </w:r>
    <w:r>
      <w:rPr>
        <w:b/>
        <w:sz w:val="24"/>
        <w:szCs w:val="24"/>
      </w:rPr>
      <w:fldChar w:fldCharType="end"/>
    </w:r>
  </w:p>
  <w:p w14:paraId="5AF76E93" w14:textId="77777777" w:rsidR="00E463E5" w:rsidRDefault="00E737F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6E45" w14:textId="5E8769F4" w:rsidR="00B416C1" w:rsidRDefault="00E737F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27180">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7180">
      <w:rPr>
        <w:b/>
        <w:noProof/>
      </w:rPr>
      <w:t>13</w:t>
    </w:r>
    <w:r>
      <w:rPr>
        <w:b/>
        <w:sz w:val="24"/>
        <w:szCs w:val="24"/>
      </w:rPr>
      <w:fldChar w:fldCharType="end"/>
    </w:r>
  </w:p>
  <w:p w14:paraId="325238F7" w14:textId="77777777" w:rsidR="00B416C1" w:rsidRDefault="00E737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CF41" w14:textId="77777777" w:rsidR="00E737F8" w:rsidRDefault="00E737F8" w:rsidP="00C02AAE">
      <w:r>
        <w:separator/>
      </w:r>
    </w:p>
  </w:footnote>
  <w:footnote w:type="continuationSeparator" w:id="0">
    <w:p w14:paraId="2A45FE98" w14:textId="77777777" w:rsidR="00E737F8" w:rsidRDefault="00E737F8" w:rsidP="00C02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5BED" w14:textId="77777777" w:rsidR="00E463E5" w:rsidRDefault="00C02AAE">
    <w:pPr>
      <w:pStyle w:val="Encabezado"/>
    </w:pPr>
    <w:r>
      <w:rPr>
        <w:noProof/>
      </w:rPr>
      <w:pict w14:anchorId="49F15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4" o:spid="_x0000_s2055" type="#_x0000_t136" style="position:absolute;margin-left:0;margin-top:0;width:592.95pt;height:26.35pt;rotation:315;z-index:-251650048;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r>
      <w:rPr>
        <w:noProof/>
      </w:rPr>
      <mc:AlternateContent>
        <mc:Choice Requires="wps">
          <w:drawing>
            <wp:anchor distT="0" distB="0" distL="114300" distR="114300" simplePos="0" relativeHeight="251660288" behindDoc="1" locked="0" layoutInCell="0" allowOverlap="1" wp14:anchorId="4A863A20" wp14:editId="1A70C0E8">
              <wp:simplePos x="0" y="0"/>
              <wp:positionH relativeFrom="margin">
                <wp:align>center</wp:align>
              </wp:positionH>
              <wp:positionV relativeFrom="margin">
                <wp:align>center</wp:align>
              </wp:positionV>
              <wp:extent cx="7547610" cy="320675"/>
              <wp:effectExtent l="0" t="2533650" r="0" b="25654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2ECF8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63A20" id="_x0000_t202" coordsize="21600,21600" o:spt="202" path="m,l,21600r21600,l21600,xe">
              <v:stroke joinstyle="miter"/>
              <v:path gradientshapeok="t" o:connecttype="rect"/>
            </v:shapetype>
            <v:shape id="Cuadro de texto 7" o:spid="_x0000_s1026" type="#_x0000_t202" style="position:absolute;margin-left:0;margin-top:0;width:594.3pt;height:2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" o:allowincell="f" filled="f" stroked="f">
              <v:stroke joinstyle="round"/>
              <o:lock v:ext="edit" shapetype="t"/>
              <v:textbox style="mso-fit-shape-to-text:t">
                <w:txbxContent>
                  <w:p w14:paraId="592ECF8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r w:rsidR="00E737F8">
      <w:rPr>
        <w:noProof/>
      </w:rPr>
      <mc:AlternateContent>
        <mc:Choice Requires="wps">
          <w:drawing>
            <wp:anchor distT="0" distB="0" distL="114300" distR="114300" simplePos="0" relativeHeight="251659264" behindDoc="1" locked="0" layoutInCell="0" allowOverlap="1" wp14:anchorId="4F7B746E" wp14:editId="4E2E8783">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3B0C03"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7B746E" id="Cuadro de texto 5" o:spid="_x0000_s1027"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sjwIAAAo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" o:allowincell="f" filled="f" stroked="f">
              <v:stroke joinstyle="round"/>
              <o:lock v:ext="edit" shapetype="t"/>
              <v:textbox style="mso-fit-shape-to-text:t">
                <w:txbxContent>
                  <w:p w14:paraId="013B0C03"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EA04" w14:textId="77777777" w:rsidR="00E463E5" w:rsidRDefault="00C02AAE">
    <w:pPr>
      <w:pStyle w:val="Encabezado"/>
      <w:rPr>
        <w:lang w:val="es-EC"/>
      </w:rPr>
    </w:pPr>
    <w:r>
      <w:rPr>
        <w:noProof/>
      </w:rPr>
      <w:pict w14:anchorId="545A4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5" o:spid="_x0000_s2056" type="#_x0000_t136" style="position:absolute;margin-left:0;margin-top:0;width:592.95pt;height:26.35pt;rotation:315;z-index:-251648000;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r>
      <w:rPr>
        <w:noProof/>
      </w:rPr>
      <mc:AlternateContent>
        <mc:Choice Requires="wps">
          <w:drawing>
            <wp:anchor distT="0" distB="0" distL="114300" distR="114300" simplePos="0" relativeHeight="251661312" behindDoc="1" locked="0" layoutInCell="0" allowOverlap="1" wp14:anchorId="25B7D837" wp14:editId="18EE8A47">
              <wp:simplePos x="0" y="0"/>
              <wp:positionH relativeFrom="margin">
                <wp:align>center</wp:align>
              </wp:positionH>
              <wp:positionV relativeFrom="margin">
                <wp:align>center</wp:align>
              </wp:positionV>
              <wp:extent cx="7547610" cy="320675"/>
              <wp:effectExtent l="0" t="2533650" r="0" b="256540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C3E80"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B7D837" id="_x0000_t202" coordsize="21600,21600" o:spt="202" path="m,l,21600r21600,l21600,xe">
              <v:stroke joinstyle="miter"/>
              <v:path gradientshapeok="t" o:connecttype="rect"/>
            </v:shapetype>
            <v:shape id="Cuadro de texto 6" o:spid="_x0000_s1028" type="#_x0000_t202" style="position:absolute;margin-left:0;margin-top:0;width:594.3pt;height:25.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BQ4Kcm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138C3E80"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p w14:paraId="01E87991" w14:textId="77777777" w:rsidR="00E463E5" w:rsidRDefault="00E737F8">
    <w:pPr>
      <w:pStyle w:val="Encabezado"/>
      <w:rPr>
        <w:lang w:val="es-EC"/>
      </w:rPr>
    </w:pPr>
  </w:p>
  <w:p w14:paraId="4E8C688C" w14:textId="77777777" w:rsidR="00E463E5" w:rsidRPr="00150606" w:rsidRDefault="00E737F8" w:rsidP="007479B8">
    <w:pPr>
      <w:pStyle w:val="1"/>
      <w:rPr>
        <w:lang w:val="es-EC"/>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1737" w14:textId="77777777" w:rsidR="005B011E" w:rsidRDefault="00C02AAE">
    <w:pPr>
      <w:pStyle w:val="Encabezado"/>
    </w:pPr>
    <w:r>
      <w:rPr>
        <w:noProof/>
      </w:rPr>
      <w:pict w14:anchorId="123B8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3" o:spid="_x0000_s2054" type="#_x0000_t136" style="position:absolute;margin-left:0;margin-top:0;width:592.95pt;height:26.35pt;rotation:315;z-index:-251652096;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E45F" w14:textId="77777777" w:rsidR="00B416C1" w:rsidRDefault="00C02AAE">
    <w:pPr>
      <w:pStyle w:val="Encabezado"/>
    </w:pPr>
    <w:r>
      <w:rPr>
        <w:noProof/>
      </w:rPr>
      <w:pict w14:anchorId="10A4E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7" o:spid="_x0000_s2058" type="#_x0000_t136" style="position:absolute;margin-left:0;margin-top:0;width:592.95pt;height:26.35pt;rotation:315;z-index:-251643904;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r>
      <w:rPr>
        <w:noProof/>
      </w:rPr>
      <mc:AlternateContent>
        <mc:Choice Requires="wps">
          <w:drawing>
            <wp:anchor distT="0" distB="0" distL="114300" distR="114300" simplePos="0" relativeHeight="251661312" behindDoc="1" locked="0" layoutInCell="0" allowOverlap="1" wp14:anchorId="2138EBB3" wp14:editId="1FB6F5D7">
              <wp:simplePos x="0" y="0"/>
              <wp:positionH relativeFrom="margin">
                <wp:align>center</wp:align>
              </wp:positionH>
              <wp:positionV relativeFrom="margin">
                <wp:align>center</wp:align>
              </wp:positionV>
              <wp:extent cx="7547610" cy="320675"/>
              <wp:effectExtent l="0" t="2533650" r="0" b="25654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19CD23"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8EBB3" id="_x0000_t202" coordsize="21600,21600" o:spt="202" path="m,l,21600r21600,l21600,xe">
              <v:stroke joinstyle="miter"/>
              <v:path gradientshapeok="t" o:connecttype="rect"/>
            </v:shapetype>
            <v:shape id="Cuadro de texto 4" o:spid="_x0000_s1029" type="#_x0000_t202" style="position:absolute;margin-left:0;margin-top:0;width:594.3pt;height:25.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C0HVyv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6719CD23"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r w:rsidR="00E737F8">
      <w:rPr>
        <w:noProof/>
      </w:rPr>
      <mc:AlternateContent>
        <mc:Choice Requires="wps">
          <w:drawing>
            <wp:anchor distT="0" distB="0" distL="114300" distR="114300" simplePos="0" relativeHeight="251659264" behindDoc="1" locked="0" layoutInCell="0" allowOverlap="1" wp14:anchorId="4901FB58" wp14:editId="6C142852">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A7260"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01FB58" id="Cuadro de texto 3" o:spid="_x0000_s1030"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F2kQ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" o:allowincell="f" filled="f" stroked="f">
              <v:stroke joinstyle="round"/>
              <o:lock v:ext="edit" shapetype="t"/>
              <v:textbox style="mso-fit-shape-to-text:t">
                <w:txbxContent>
                  <w:p w14:paraId="64BA7260" w14:textId="77777777" w:rsidR="00E463E5" w:rsidRDefault="00E737F8"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FF7F" w14:textId="77777777" w:rsidR="00B416C1" w:rsidRDefault="00C02AAE" w:rsidP="00F95DF2">
    <w:pPr>
      <w:pStyle w:val="1"/>
      <w:jc w:val="left"/>
    </w:pPr>
    <w:r>
      <w:rPr>
        <w:noProof/>
      </w:rPr>
      <w:pict w14:anchorId="5C5BC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8" o:spid="_x0000_s2059" type="#_x0000_t136" style="position:absolute;margin-left:0;margin-top:0;width:592.95pt;height:26.35pt;rotation:315;z-index:-251641856;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r>
      <w:rPr>
        <w:noProof/>
      </w:rPr>
      <mc:AlternateContent>
        <mc:Choice Requires="wps">
          <w:drawing>
            <wp:anchor distT="0" distB="0" distL="114300" distR="114300" simplePos="0" relativeHeight="251662336" behindDoc="1" locked="0" layoutInCell="0" allowOverlap="1" wp14:anchorId="4893FA9B" wp14:editId="7001E2C6">
              <wp:simplePos x="0" y="0"/>
              <wp:positionH relativeFrom="margin">
                <wp:align>center</wp:align>
              </wp:positionH>
              <wp:positionV relativeFrom="margin">
                <wp:align>center</wp:align>
              </wp:positionV>
              <wp:extent cx="7547610" cy="320675"/>
              <wp:effectExtent l="0" t="2533650" r="0" b="256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2F1F8"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3FA9B" id="_x0000_t202" coordsize="21600,21600" o:spt="202" path="m,l,21600r21600,l21600,xe">
              <v:stroke joinstyle="miter"/>
              <v:path gradientshapeok="t" o:connecttype="rect"/>
            </v:shapetype>
            <v:shape id="Cuadro de texto 2" o:spid="_x0000_s1031" type="#_x0000_t202" style="position:absolute;margin-left:0;margin-top:0;width:594.3pt;height:25.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" o:allowincell="f" filled="f" stroked="f">
              <v:stroke joinstyle="round"/>
              <o:lock v:ext="edit" shapetype="t"/>
              <v:textbox style="mso-fit-shape-to-text:t">
                <w:txbxContent>
                  <w:p w14:paraId="1862F1F8"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p w14:paraId="43F19A55" w14:textId="77777777" w:rsidR="00B416C1" w:rsidRPr="009243E2" w:rsidRDefault="00E737F8" w:rsidP="00B416C1"/>
  <w:p w14:paraId="26BA77A3" w14:textId="77777777" w:rsidR="00B416C1" w:rsidRPr="009243E2" w:rsidRDefault="00E737F8"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10AE" w14:textId="77777777" w:rsidR="00B416C1" w:rsidRPr="007479B8" w:rsidRDefault="00C02AAE" w:rsidP="007479B8">
    <w:pPr>
      <w:pStyle w:val="1"/>
      <w:rPr>
        <w:lang w:val="es-EC"/>
      </w:rPr>
    </w:pPr>
    <w:r>
      <w:rPr>
        <w:noProof/>
      </w:rPr>
      <w:pict w14:anchorId="1365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63096" o:spid="_x0000_s2057" type="#_x0000_t136" style="position:absolute;left:0;text-align:left;margin-left:0;margin-top:0;width:592.95pt;height:26.35pt;rotation:315;z-index:-251645952;mso-position-horizontal:center;mso-position-horizontal-relative:margin;mso-position-vertical:center;mso-position-vertical-relative:margin" o:allowincell="f" fillcolor="silver" stroked="f">
          <v:fill opacity=".5"/>
          <v:textpath style="font-family:&quot;Times New Roman&quot;;font-size:1pt" string="Observaciones I Debate - José Gabriel Alarcón"/>
        </v:shape>
      </w:pict>
    </w:r>
    <w:r w:rsidR="00E737F8" w:rsidRPr="00716956">
      <w:rPr>
        <w:rFonts w:ascii="Palatino Linotype" w:hAnsi="Palatino Linotype" w:cs="Arial"/>
        <w:sz w:val="22"/>
        <w:szCs w:val="22"/>
      </w:rPr>
      <w:t>ORDENANZA No.</w:t>
    </w:r>
    <w:r>
      <w:rPr>
        <w:noProof/>
      </w:rPr>
      <mc:AlternateContent>
        <mc:Choice Requires="wps">
          <w:drawing>
            <wp:anchor distT="0" distB="0" distL="114300" distR="114300" simplePos="0" relativeHeight="251660288" behindDoc="1" locked="0" layoutInCell="0" allowOverlap="1" wp14:anchorId="4035B1B5" wp14:editId="66EF3116">
              <wp:simplePos x="0" y="0"/>
              <wp:positionH relativeFrom="margin">
                <wp:align>center</wp:align>
              </wp:positionH>
              <wp:positionV relativeFrom="margin">
                <wp:align>center</wp:align>
              </wp:positionV>
              <wp:extent cx="7547610" cy="320675"/>
              <wp:effectExtent l="0" t="2533650" r="0" b="25654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7610"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1AB9C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35B1B5" id="_x0000_t202" coordsize="21600,21600" o:spt="202" path="m,l,21600r21600,l21600,xe">
              <v:stroke joinstyle="miter"/>
              <v:path gradientshapeok="t" o:connecttype="rect"/>
            </v:shapetype>
            <v:shape id="Cuadro de texto 1" o:spid="_x0000_s1032" type="#_x0000_t202" style="position:absolute;left:0;text-align:left;margin-left:0;margin-top:0;width:594.3pt;height:25.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" o:allowincell="f" filled="f" stroked="f">
              <v:stroke joinstyle="round"/>
              <o:lock v:ext="edit" shapetype="t"/>
              <v:textbox style="mso-fit-shape-to-text:t">
                <w:txbxContent>
                  <w:p w14:paraId="4B1AB9CA" w14:textId="77777777" w:rsidR="00C02AAE" w:rsidRDefault="00C02AAE" w:rsidP="00C02AAE">
                    <w:pPr>
                      <w:pStyle w:val="NormalWeb"/>
                      <w:spacing w:before="0" w:beforeAutospacing="0" w:after="0" w:afterAutospacing="0"/>
                      <w:jc w:val="center"/>
                    </w:pPr>
                    <w:r>
                      <w:rPr>
                        <w:rFonts w:ascii="Arial" w:hAnsi="Arial" w:cs="Arial"/>
                        <w:color w:val="7F7F7F"/>
                        <w:sz w:val="2"/>
                        <w:szCs w:val="2"/>
                        <w14:textFill>
                          <w14:solidFill>
                            <w14:srgbClr w14:val="7F7F7F">
                              <w14:alpha w14:val="50000"/>
                            </w14:srgbClr>
                          </w14:solidFill>
                        </w14:textFill>
                      </w:rPr>
                      <w:t>Proyecto Primer Debate AHHYC José Gabriel Alarcón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E"/>
    <w:rsid w:val="00927180"/>
    <w:rsid w:val="00C02AAE"/>
    <w:rsid w:val="00E737F8"/>
    <w:rsid w:val="00E93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B59AA5"/>
  <w15:chartTrackingRefBased/>
  <w15:docId w15:val="{1A4F07A0-BE5B-42A2-A614-BC779DC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AE"/>
    <w:pPr>
      <w:spacing w:after="0" w:line="240" w:lineRule="auto"/>
    </w:pPr>
    <w:rPr>
      <w:rFonts w:ascii="Times New Roman" w:eastAsia="Times New Roman" w:hAnsi="Times New Roman" w:cs="Times New Roman"/>
      <w:sz w:val="20"/>
      <w:szCs w:val="20"/>
      <w:lang w:eastAsia="es-ES"/>
    </w:rPr>
  </w:style>
  <w:style w:type="paragraph" w:styleId="Ttulo7">
    <w:name w:val="heading 7"/>
    <w:basedOn w:val="Normal"/>
    <w:next w:val="Normal"/>
    <w:link w:val="Ttulo7Car"/>
    <w:unhideWhenUsed/>
    <w:qFormat/>
    <w:rsid w:val="00C02AAE"/>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C02AAE"/>
    <w:rPr>
      <w:rFonts w:ascii="Calibri" w:eastAsia="Times New Roman" w:hAnsi="Calibri" w:cs="Times New Roman"/>
      <w:sz w:val="24"/>
      <w:szCs w:val="24"/>
      <w:lang w:eastAsia="es-ES"/>
    </w:rPr>
  </w:style>
  <w:style w:type="paragraph" w:styleId="Encabezado">
    <w:name w:val="header"/>
    <w:basedOn w:val="Normal"/>
    <w:link w:val="EncabezadoCar"/>
    <w:rsid w:val="00C02AAE"/>
    <w:pPr>
      <w:tabs>
        <w:tab w:val="center" w:pos="4252"/>
        <w:tab w:val="right" w:pos="8504"/>
      </w:tabs>
    </w:pPr>
  </w:style>
  <w:style w:type="character" w:customStyle="1" w:styleId="EncabezadoCar">
    <w:name w:val="Encabezado Car"/>
    <w:basedOn w:val="Fuentedeprrafopredeter"/>
    <w:link w:val="Encabezado"/>
    <w:rsid w:val="00C02AAE"/>
    <w:rPr>
      <w:rFonts w:ascii="Times New Roman" w:eastAsia="Times New Roman" w:hAnsi="Times New Roman" w:cs="Times New Roman"/>
      <w:sz w:val="20"/>
      <w:szCs w:val="20"/>
      <w:lang w:eastAsia="es-ES"/>
    </w:rPr>
  </w:style>
  <w:style w:type="paragraph" w:customStyle="1" w:styleId="1">
    <w:name w:val="1"/>
    <w:basedOn w:val="Normal"/>
    <w:next w:val="Ttulo"/>
    <w:link w:val="TtuloCar"/>
    <w:qFormat/>
    <w:rsid w:val="00C02AAE"/>
    <w:pPr>
      <w:jc w:val="center"/>
    </w:pPr>
    <w:rPr>
      <w:rFonts w:ascii="Calibri" w:eastAsia="Calibri" w:hAnsi="Calibri"/>
      <w:b/>
      <w:bCs/>
      <w:sz w:val="24"/>
      <w:szCs w:val="24"/>
    </w:rPr>
  </w:style>
  <w:style w:type="paragraph" w:styleId="Textoindependiente">
    <w:name w:val="Body Text"/>
    <w:basedOn w:val="Normal"/>
    <w:link w:val="TextoindependienteCar"/>
    <w:rsid w:val="00C02AAE"/>
    <w:pPr>
      <w:spacing w:after="120"/>
    </w:pPr>
  </w:style>
  <w:style w:type="character" w:customStyle="1" w:styleId="TextoindependienteCar">
    <w:name w:val="Texto independiente Car"/>
    <w:basedOn w:val="Fuentedeprrafopredeter"/>
    <w:link w:val="Textoindependiente"/>
    <w:rsid w:val="00C02AAE"/>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C02AAE"/>
    <w:rPr>
      <w:rFonts w:ascii="Courier New" w:hAnsi="Courier New"/>
    </w:rPr>
  </w:style>
  <w:style w:type="character" w:customStyle="1" w:styleId="TextosinformatoCar">
    <w:name w:val="Texto sin formato Car"/>
    <w:basedOn w:val="Fuentedeprrafopredeter"/>
    <w:link w:val="Textosinformato"/>
    <w:rsid w:val="00C02AAE"/>
    <w:rPr>
      <w:rFonts w:ascii="Courier New" w:eastAsia="Times New Roman" w:hAnsi="Courier New" w:cs="Times New Roman"/>
      <w:sz w:val="20"/>
      <w:szCs w:val="20"/>
      <w:lang w:eastAsia="es-ES"/>
    </w:rPr>
  </w:style>
  <w:style w:type="paragraph" w:customStyle="1" w:styleId="Textopredeterminado">
    <w:name w:val="Texto predeterminado"/>
    <w:basedOn w:val="Normal"/>
    <w:rsid w:val="00C02AAE"/>
    <w:rPr>
      <w:sz w:val="24"/>
      <w:lang w:val="es-ES_tradnl"/>
    </w:rPr>
  </w:style>
  <w:style w:type="paragraph" w:styleId="Piedepgina">
    <w:name w:val="footer"/>
    <w:basedOn w:val="Normal"/>
    <w:link w:val="PiedepginaCar"/>
    <w:uiPriority w:val="99"/>
    <w:rsid w:val="00C02AAE"/>
    <w:pPr>
      <w:tabs>
        <w:tab w:val="center" w:pos="4419"/>
        <w:tab w:val="right" w:pos="8838"/>
      </w:tabs>
    </w:pPr>
  </w:style>
  <w:style w:type="character" w:customStyle="1" w:styleId="PiedepginaCar">
    <w:name w:val="Pie de página Car"/>
    <w:basedOn w:val="Fuentedeprrafopredeter"/>
    <w:link w:val="Piedepgina"/>
    <w:uiPriority w:val="99"/>
    <w:rsid w:val="00C02AAE"/>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02AAE"/>
    <w:pPr>
      <w:spacing w:after="0" w:line="240" w:lineRule="auto"/>
    </w:pPr>
    <w:rPr>
      <w:rFonts w:ascii="Calibri" w:eastAsia="Calibri" w:hAnsi="Calibri" w:cs="Times New Roman"/>
      <w:lang w:val="es-EC"/>
    </w:rPr>
  </w:style>
  <w:style w:type="character" w:customStyle="1" w:styleId="TtuloCar">
    <w:name w:val="Título Car"/>
    <w:link w:val="1"/>
    <w:rsid w:val="00C02AAE"/>
    <w:rPr>
      <w:rFonts w:ascii="Calibri" w:eastAsia="Calibri" w:hAnsi="Calibri" w:cs="Times New Roman"/>
      <w:b/>
      <w:bCs/>
      <w:sz w:val="24"/>
      <w:szCs w:val="24"/>
      <w:lang w:eastAsia="es-ES"/>
    </w:rPr>
  </w:style>
  <w:style w:type="paragraph" w:styleId="Prrafodelista">
    <w:name w:val="List Paragraph"/>
    <w:basedOn w:val="Normal"/>
    <w:link w:val="PrrafodelistaCar"/>
    <w:uiPriority w:val="99"/>
    <w:qFormat/>
    <w:rsid w:val="00C02AAE"/>
    <w:pPr>
      <w:ind w:left="708"/>
    </w:pPr>
  </w:style>
  <w:style w:type="character" w:customStyle="1" w:styleId="SinespaciadoCar">
    <w:name w:val="Sin espaciado Car"/>
    <w:link w:val="Sinespaciado"/>
    <w:uiPriority w:val="1"/>
    <w:rsid w:val="00C02AAE"/>
    <w:rPr>
      <w:rFonts w:ascii="Calibri" w:eastAsia="Calibri" w:hAnsi="Calibri" w:cs="Times New Roman"/>
      <w:lang w:val="es-EC"/>
    </w:rPr>
  </w:style>
  <w:style w:type="character" w:customStyle="1" w:styleId="PrrafodelistaCar">
    <w:name w:val="Párrafo de lista Car"/>
    <w:link w:val="Prrafodelista"/>
    <w:uiPriority w:val="99"/>
    <w:locked/>
    <w:rsid w:val="00C02AA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C02AAE"/>
    <w:pPr>
      <w:spacing w:after="120"/>
      <w:ind w:left="283"/>
    </w:pPr>
  </w:style>
  <w:style w:type="character" w:customStyle="1" w:styleId="SangradetextonormalCar">
    <w:name w:val="Sangría de texto normal Car"/>
    <w:basedOn w:val="Fuentedeprrafopredeter"/>
    <w:link w:val="Sangradetextonormal"/>
    <w:uiPriority w:val="99"/>
    <w:semiHidden/>
    <w:rsid w:val="00C02AAE"/>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C02AA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02AAE"/>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C02AAE"/>
    <w:pPr>
      <w:spacing w:before="100" w:beforeAutospacing="1" w:after="100" w:afterAutospacing="1"/>
    </w:pPr>
    <w:rPr>
      <w:sz w:val="24"/>
      <w:szCs w:val="24"/>
      <w:lang w:val="es-EC" w:eastAsia="es-ES_tradnl"/>
    </w:rPr>
  </w:style>
  <w:style w:type="character" w:customStyle="1" w:styleId="markedcontent">
    <w:name w:val="markedcontent"/>
    <w:basedOn w:val="Fuentedeprrafopredeter"/>
    <w:rsid w:val="00C02AAE"/>
  </w:style>
  <w:style w:type="character" w:styleId="Refdecomentario">
    <w:name w:val="annotation reference"/>
    <w:uiPriority w:val="99"/>
    <w:rsid w:val="00C02AAE"/>
    <w:rPr>
      <w:sz w:val="16"/>
      <w:szCs w:val="16"/>
    </w:rPr>
  </w:style>
  <w:style w:type="paragraph" w:styleId="Textocomentario">
    <w:name w:val="annotation text"/>
    <w:basedOn w:val="Normal"/>
    <w:link w:val="TextocomentarioCar"/>
    <w:uiPriority w:val="99"/>
    <w:rsid w:val="00C02AAE"/>
  </w:style>
  <w:style w:type="character" w:customStyle="1" w:styleId="TextocomentarioCar">
    <w:name w:val="Texto comentario Car"/>
    <w:basedOn w:val="Fuentedeprrafopredeter"/>
    <w:link w:val="Textocomentario"/>
    <w:uiPriority w:val="99"/>
    <w:rsid w:val="00C02AAE"/>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C02AA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02AAE"/>
    <w:rPr>
      <w:rFonts w:asciiTheme="majorHAnsi" w:eastAsiaTheme="majorEastAsia" w:hAnsiTheme="majorHAnsi" w:cstheme="majorBidi"/>
      <w:spacing w:val="-10"/>
      <w:kern w:val="28"/>
      <w:sz w:val="56"/>
      <w:szCs w:val="56"/>
      <w:lang w:eastAsia="es-ES"/>
    </w:rPr>
  </w:style>
  <w:style w:type="paragraph" w:styleId="Textodeglobo">
    <w:name w:val="Balloon Text"/>
    <w:basedOn w:val="Normal"/>
    <w:link w:val="TextodegloboCar"/>
    <w:uiPriority w:val="99"/>
    <w:semiHidden/>
    <w:unhideWhenUsed/>
    <w:rsid w:val="00C02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AA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5140</Words>
  <Characters>28274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Fernanda Duran Garcia</dc:creator>
  <cp:keywords/>
  <dc:description/>
  <cp:lastModifiedBy>Sonia Fernanda Duran Garcia</cp:lastModifiedBy>
  <cp:revision>2</cp:revision>
  <dcterms:created xsi:type="dcterms:W3CDTF">2023-03-06T18:24:00Z</dcterms:created>
  <dcterms:modified xsi:type="dcterms:W3CDTF">2023-03-06T18:36:00Z</dcterms:modified>
</cp:coreProperties>
</file>