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41BF0CCC"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Comité Promejoras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BC74D4" w:rsidRPr="00E71A87">
        <w:rPr>
          <w:rFonts w:ascii="Times New Roman" w:hAnsi="Times New Roman" w:cs="Times New Roman"/>
          <w:b w:val="0"/>
          <w:bCs w:val="0"/>
        </w:rPr>
        <w:t>….</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Comité Promejoras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Visto el Informe No.         ,de          de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3BD50971"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777777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E71A87"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Arq. Katherine Pamela Dueñas Cuamacaz,</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aprobaron  el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Comité Promejoras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623CE0EA"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Pr="00E71A87" w:rsidRDefault="00961EE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7B4C3608" w14:textId="77777777" w:rsidR="008724C0" w:rsidRPr="00E71A87" w:rsidRDefault="008724C0"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6647B758" w:rsidR="00E71A87" w:rsidRPr="00E85EA7" w:rsidRDefault="000F0DC2" w:rsidP="00E036E3">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Comité Promejoras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Comité Promejoras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Comité Promejoras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2032D82B" w:rsidR="00B56965" w:rsidRPr="009229A7" w:rsidRDefault="00210609" w:rsidP="00C93911">
            <w:pPr>
              <w:rPr>
                <w:sz w:val="24"/>
                <w:szCs w:val="24"/>
                <w:lang w:val="es-EC" w:eastAsia="es-EC"/>
              </w:rPr>
            </w:pPr>
            <w:r w:rsidRPr="009229A7">
              <w:rPr>
                <w:rStyle w:val="fontstyle01"/>
                <w:rFonts w:ascii="Times New Roman" w:hAnsi="Times New Roman"/>
                <w:sz w:val="24"/>
                <w:szCs w:val="24"/>
              </w:rPr>
              <w:t>22.236,18</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6592E889" w:rsidR="00210609" w:rsidRPr="009229A7" w:rsidRDefault="00210609" w:rsidP="00210609">
            <w:pPr>
              <w:spacing w:line="276" w:lineRule="auto"/>
              <w:contextualSpacing/>
              <w:rPr>
                <w:b/>
                <w:sz w:val="24"/>
                <w:szCs w:val="24"/>
              </w:rPr>
            </w:pPr>
            <w:r w:rsidRPr="009229A7">
              <w:rPr>
                <w:b/>
                <w:sz w:val="24"/>
                <w:szCs w:val="24"/>
              </w:rPr>
              <w:t>Área de 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02691866"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121,49</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t xml:space="preserve">El área total del predio No. </w:t>
      </w:r>
      <w:r w:rsidRPr="009229A7">
        <w:rPr>
          <w:rStyle w:val="fontstyle01"/>
          <w:rFonts w:ascii="Times New Roman" w:hAnsi="Times New Roman"/>
          <w:sz w:val="24"/>
          <w:szCs w:val="24"/>
        </w:rPr>
        <w:t>5554987</w:t>
      </w:r>
      <w:r w:rsidRPr="009B78D0">
        <w:rPr>
          <w:sz w:val="24"/>
          <w:szCs w:val="24"/>
        </w:rPr>
        <w:t>, es la que consta en el Informe de Regulación Metropolitano en Unipropiedad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11C5148"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Comité Promejoras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r w:rsidRPr="008D0AC7">
              <w:rPr>
                <w:color w:val="000000"/>
                <w:sz w:val="24"/>
                <w:szCs w:val="24"/>
                <w:lang w:val="en-US" w:eastAsia="es-EC"/>
              </w:rPr>
              <w:t>Lote 44</w:t>
            </w:r>
            <w:r w:rsidRPr="008D0AC7">
              <w:rPr>
                <w:color w:val="000000"/>
                <w:sz w:val="24"/>
                <w:szCs w:val="24"/>
                <w:lang w:val="en-US" w:eastAsia="es-EC"/>
              </w:rPr>
              <w:br/>
              <w:t>Lote 45</w:t>
            </w:r>
            <w:r w:rsidRPr="008D0AC7">
              <w:rPr>
                <w:color w:val="000000"/>
                <w:sz w:val="24"/>
                <w:szCs w:val="24"/>
                <w:lang w:val="en-US" w:eastAsia="es-EC"/>
              </w:rPr>
              <w:br/>
              <w:t>Lote 46</w:t>
            </w:r>
            <w:r w:rsidRPr="008D0AC7">
              <w:rPr>
                <w:color w:val="000000"/>
                <w:sz w:val="24"/>
                <w:szCs w:val="24"/>
                <w:lang w:val="en-US" w:eastAsia="es-EC"/>
              </w:rPr>
              <w:br/>
              <w:t>Lote 47</w:t>
            </w:r>
            <w:r w:rsidRPr="008D0AC7">
              <w:rPr>
                <w:color w:val="000000"/>
                <w:sz w:val="24"/>
                <w:szCs w:val="24"/>
                <w:lang w:val="en-US" w:eastAsia="es-EC"/>
              </w:rPr>
              <w:br/>
              <w:t>Lote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t>11.53m</w:t>
            </w:r>
            <w:r w:rsidRPr="003D5107">
              <w:rPr>
                <w:color w:val="000000"/>
                <w:sz w:val="24"/>
                <w:szCs w:val="24"/>
                <w:lang w:val="es-EC" w:eastAsia="es-EC"/>
              </w:rPr>
              <w:br/>
              <w:t>10.00m</w:t>
            </w:r>
            <w:r w:rsidRPr="003D5107">
              <w:rPr>
                <w:color w:val="000000"/>
                <w:sz w:val="24"/>
                <w:szCs w:val="24"/>
                <w:lang w:val="es-EC" w:eastAsia="es-EC"/>
              </w:rPr>
              <w:br/>
              <w:t>10.00m</w:t>
            </w:r>
            <w:r w:rsidRPr="003D5107">
              <w:rPr>
                <w:color w:val="000000"/>
                <w:sz w:val="24"/>
                <w:szCs w:val="24"/>
                <w:lang w:val="es-EC" w:eastAsia="es-EC"/>
              </w:rPr>
              <w:br/>
              <w:t>10.00m</w:t>
            </w:r>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D53FD8">
        <w:trPr>
          <w:trHeight w:val="268"/>
        </w:trPr>
        <w:tc>
          <w:tcPr>
            <w:tcW w:w="806"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533"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D53FD8">
        <w:trPr>
          <w:trHeight w:val="222"/>
        </w:trPr>
        <w:tc>
          <w:tcPr>
            <w:tcW w:w="806" w:type="pct"/>
            <w:vMerge/>
            <w:shd w:val="clear" w:color="auto" w:fill="auto"/>
          </w:tcPr>
          <w:p w14:paraId="03BD13F2" w14:textId="77777777" w:rsidR="00734FA3" w:rsidRPr="00FB0932" w:rsidRDefault="00734FA3" w:rsidP="00734FA3">
            <w:pPr>
              <w:spacing w:line="276" w:lineRule="auto"/>
              <w:rPr>
                <w:sz w:val="24"/>
                <w:szCs w:val="24"/>
              </w:rPr>
            </w:pPr>
          </w:p>
        </w:tc>
        <w:tc>
          <w:tcPr>
            <w:tcW w:w="565"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D53FD8">
        <w:trPr>
          <w:trHeight w:val="73"/>
        </w:trPr>
        <w:tc>
          <w:tcPr>
            <w:tcW w:w="806" w:type="pct"/>
            <w:vMerge/>
            <w:shd w:val="clear" w:color="auto" w:fill="auto"/>
          </w:tcPr>
          <w:p w14:paraId="436C5A19" w14:textId="77777777" w:rsidR="00734FA3" w:rsidRPr="00FB0932" w:rsidRDefault="00734FA3" w:rsidP="00734FA3">
            <w:pPr>
              <w:spacing w:line="276" w:lineRule="auto"/>
              <w:rPr>
                <w:sz w:val="24"/>
                <w:szCs w:val="24"/>
              </w:rPr>
            </w:pPr>
          </w:p>
        </w:tc>
        <w:tc>
          <w:tcPr>
            <w:tcW w:w="565"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D53FD8">
        <w:trPr>
          <w:trHeight w:val="178"/>
        </w:trPr>
        <w:tc>
          <w:tcPr>
            <w:tcW w:w="806" w:type="pct"/>
            <w:vMerge/>
            <w:shd w:val="clear" w:color="auto" w:fill="auto"/>
          </w:tcPr>
          <w:p w14:paraId="5ECC8901" w14:textId="77777777" w:rsidR="00892EAB" w:rsidRPr="00FB0932" w:rsidRDefault="00892EAB" w:rsidP="00892EAB">
            <w:pPr>
              <w:spacing w:line="276" w:lineRule="auto"/>
              <w:rPr>
                <w:sz w:val="24"/>
                <w:szCs w:val="24"/>
              </w:rPr>
            </w:pPr>
          </w:p>
        </w:tc>
        <w:tc>
          <w:tcPr>
            <w:tcW w:w="565"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96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D53FD8">
        <w:trPr>
          <w:trHeight w:val="73"/>
        </w:trPr>
        <w:tc>
          <w:tcPr>
            <w:tcW w:w="806"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65" w:type="pct"/>
            <w:shd w:val="clear" w:color="auto" w:fill="auto"/>
          </w:tcPr>
          <w:p w14:paraId="72B40922" w14:textId="77777777" w:rsidR="00892EAB" w:rsidRPr="001D13B4" w:rsidRDefault="00892EAB" w:rsidP="00892EAB">
            <w:pPr>
              <w:spacing w:line="276" w:lineRule="auto"/>
              <w:rPr>
                <w:b/>
                <w:sz w:val="24"/>
                <w:szCs w:val="24"/>
              </w:rPr>
            </w:pPr>
            <w:r w:rsidRPr="001D13B4">
              <w:rPr>
                <w:b/>
                <w:sz w:val="24"/>
                <w:szCs w:val="24"/>
              </w:rPr>
              <w:t>Oeste:</w:t>
            </w:r>
          </w:p>
        </w:tc>
        <w:tc>
          <w:tcPr>
            <w:tcW w:w="96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8"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Comité Promejoras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E036E3" w:rsidRPr="001B0154">
        <w:rPr>
          <w:bCs/>
          <w:sz w:val="24"/>
          <w:szCs w:val="24"/>
        </w:rPr>
        <w:t>Comité Promejoras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3FF3282" w:rsidR="0022634A" w:rsidRDefault="0022634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7C63DE14" w14:textId="77777777" w:rsidR="004B1059" w:rsidRDefault="004B1059" w:rsidP="00E71A87">
      <w:pPr>
        <w:spacing w:after="240" w:line="276" w:lineRule="auto"/>
        <w:ind w:left="705" w:hanging="705"/>
        <w:jc w:val="both"/>
        <w:rPr>
          <w:rFonts w:eastAsiaTheme="minorHAnsi"/>
          <w:color w:val="000000"/>
          <w:sz w:val="24"/>
          <w:szCs w:val="24"/>
          <w:lang w:val="es-EC" w:eastAsia="en-US"/>
        </w:rPr>
      </w:pPr>
    </w:p>
    <w:p w14:paraId="54DFBF1D" w14:textId="77777777" w:rsidR="004B1059" w:rsidRPr="00E71A87" w:rsidRDefault="004B1059" w:rsidP="004B1059">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B3AC27" w14:textId="77777777" w:rsidR="004B1059" w:rsidRPr="00E71A87" w:rsidRDefault="004B1059" w:rsidP="004B1059">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591F865"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Comité Promejoras del Barrio San Pablo</w:t>
      </w:r>
      <w:r w:rsidRPr="00E71A87">
        <w:rPr>
          <w:sz w:val="24"/>
          <w:szCs w:val="24"/>
        </w:rPr>
        <w:t xml:space="preserve">, contempla un sistema vial de uso público, debido a que éste es un asentamiento humano de hecho y consolidado de interés social de </w:t>
      </w:r>
      <w:r w:rsidR="004B1059">
        <w:rPr>
          <w:sz w:val="24"/>
          <w:szCs w:val="24"/>
        </w:rPr>
        <w:t>10</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A79DDD2"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denominado </w:t>
      </w:r>
      <w:r w:rsidR="00496150" w:rsidRPr="00E71A87">
        <w:rPr>
          <w:bCs/>
          <w:sz w:val="24"/>
          <w:szCs w:val="24"/>
        </w:rPr>
        <w:t>Isabelita</w:t>
      </w:r>
      <w:r w:rsidRPr="00E71A87">
        <w:rPr>
          <w:bCs/>
          <w:sz w:val="24"/>
          <w:szCs w:val="24"/>
        </w:rPr>
        <w:t>, se sujetarán a las sanciones contempladas en el Ordenamiento Jurídico Nacional y Metropolitano.</w:t>
      </w:r>
    </w:p>
    <w:p w14:paraId="2F2C0933" w14:textId="165D0A6D"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Comité Promejoras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Comité Promejoras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00D5FD91" w:rsidR="00272710" w:rsidRPr="00E71A87"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00272710" w:rsidRPr="00E71A87">
        <w:rPr>
          <w:bCs/>
          <w:sz w:val="24"/>
          <w:szCs w:val="24"/>
        </w:rPr>
        <w:t xml:space="preserve"> </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463EFD9C"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r w:rsidR="00EC2EE0" w:rsidRPr="00E71A87">
        <w:rPr>
          <w:sz w:val="24"/>
          <w:szCs w:val="24"/>
        </w:rPr>
        <w:t>nforme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Comité Promejoras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Comité Promejoras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Comité Promejoras del Barrio San Pablo</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484332A5"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Comité Promejoras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Dada, en la Sala de Sesiones del Concejo Metropolitano de Quito, el.……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6DE403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w:t>
      </w:r>
      <w:r>
        <w:rPr>
          <w:rFonts w:ascii="Times New Roman" w:eastAsia="MS Mincho" w:hAnsi="Times New Roman"/>
          <w:sz w:val="24"/>
          <w:szCs w:val="24"/>
        </w:rPr>
        <w:t>Pablo Antonio Santillán Paredes</w:t>
      </w:r>
    </w:p>
    <w:p w14:paraId="07535DFF" w14:textId="77777777"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3C68DA30"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570BB19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…..de ……..  y ….. de …………. de 2021.-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33BA81E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w:t>
      </w:r>
      <w:r>
        <w:rPr>
          <w:rFonts w:ascii="Times New Roman" w:eastAsia="MS Mincho" w:hAnsi="Times New Roman"/>
          <w:sz w:val="24"/>
          <w:szCs w:val="24"/>
        </w:rPr>
        <w:t>Pablo Antonio Santillán Paredes</w:t>
      </w:r>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C8AC5EC"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Dr. </w:t>
      </w:r>
      <w:r>
        <w:rPr>
          <w:rFonts w:ascii="Times New Roman" w:eastAsia="MS Mincho" w:hAnsi="Times New Roman"/>
          <w:sz w:val="24"/>
          <w:szCs w:val="24"/>
        </w:rPr>
        <w:t>Santiago Mauricio Guarderas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676DCCA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Dr. </w:t>
      </w:r>
      <w:r>
        <w:rPr>
          <w:rFonts w:ascii="Times New Roman" w:eastAsia="MS Mincho" w:hAnsi="Times New Roman"/>
          <w:sz w:val="24"/>
          <w:szCs w:val="24"/>
        </w:rPr>
        <w:t>Santiago Mauricio Guarderas Izquierdo</w:t>
      </w:r>
      <w:r w:rsidRPr="00E71A87">
        <w:rPr>
          <w:rFonts w:ascii="Times New Roman" w:eastAsia="MS Mincho" w:hAnsi="Times New Roman"/>
          <w:sz w:val="24"/>
          <w:szCs w:val="24"/>
        </w:rPr>
        <w:t>, Alcalde  del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915F" w14:textId="77777777" w:rsidR="0013304E" w:rsidRDefault="0013304E">
      <w:r>
        <w:separator/>
      </w:r>
    </w:p>
  </w:endnote>
  <w:endnote w:type="continuationSeparator" w:id="0">
    <w:p w14:paraId="41B29106" w14:textId="77777777" w:rsidR="0013304E" w:rsidRDefault="001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E3074">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3074">
              <w:rPr>
                <w:b/>
                <w:bCs/>
                <w:noProof/>
              </w:rPr>
              <w:t>15</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E307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3074">
              <w:rPr>
                <w:b/>
                <w:bCs/>
                <w:noProof/>
              </w:rPr>
              <w:t>15</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A977D" w14:textId="77777777" w:rsidR="0013304E" w:rsidRDefault="0013304E">
      <w:r>
        <w:separator/>
      </w:r>
    </w:p>
  </w:footnote>
  <w:footnote w:type="continuationSeparator" w:id="0">
    <w:p w14:paraId="5931976D" w14:textId="77777777" w:rsidR="0013304E" w:rsidRDefault="00133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BF6EED5" w:rsidR="0033794B" w:rsidRDefault="002E3074">
    <w:pPr>
      <w:pStyle w:val="Encabezado"/>
    </w:pPr>
    <w:r>
      <w:rPr>
        <w:noProof/>
      </w:rPr>
      <w:pict w14:anchorId="2106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10" o:spid="_x0000_s2050" type="#_x0000_t136" style="position:absolute;margin-left:0;margin-top:0;width:536.9pt;height:82.6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D7DC16" w:rsidR="008D13D0" w:rsidRDefault="002E3074" w:rsidP="00D35EBE">
    <w:pPr>
      <w:pStyle w:val="a"/>
      <w:rPr>
        <w:rFonts w:ascii="Palatino Linotype" w:hAnsi="Palatino Linotype" w:cs="Arial"/>
        <w:sz w:val="22"/>
        <w:szCs w:val="22"/>
      </w:rPr>
    </w:pPr>
    <w:r>
      <w:rPr>
        <w:noProof/>
      </w:rPr>
      <w:pict w14:anchorId="27689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11" o:spid="_x0000_s2051" type="#_x0000_t136" style="position:absolute;left:0;text-align:left;margin-left:0;margin-top:0;width:536.9pt;height:82.6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5F6B05B3" w:rsidR="0033794B" w:rsidRDefault="002E3074">
    <w:pPr>
      <w:pStyle w:val="Encabezado"/>
    </w:pPr>
    <w:r>
      <w:rPr>
        <w:noProof/>
      </w:rPr>
      <w:pict w14:anchorId="37B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609" o:spid="_x0000_s2049" type="#_x0000_t136" style="position:absolute;margin-left:0;margin-top:0;width:536.9pt;height:82.6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29B6"/>
    <w:rsid w:val="002E3074"/>
    <w:rsid w:val="002F2A2C"/>
    <w:rsid w:val="00301FB8"/>
    <w:rsid w:val="00311915"/>
    <w:rsid w:val="00313A2E"/>
    <w:rsid w:val="003234A6"/>
    <w:rsid w:val="00335588"/>
    <w:rsid w:val="0033794B"/>
    <w:rsid w:val="00342AED"/>
    <w:rsid w:val="003503BB"/>
    <w:rsid w:val="0035187D"/>
    <w:rsid w:val="003522B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6A63"/>
    <w:rsid w:val="004620F8"/>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36E04"/>
    <w:rsid w:val="005418E4"/>
    <w:rsid w:val="00545F8B"/>
    <w:rsid w:val="00546F26"/>
    <w:rsid w:val="00547E5B"/>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466B"/>
    <w:rsid w:val="007528C3"/>
    <w:rsid w:val="007555EE"/>
    <w:rsid w:val="0076432C"/>
    <w:rsid w:val="00770855"/>
    <w:rsid w:val="0077086F"/>
    <w:rsid w:val="007730B0"/>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F2761"/>
    <w:rsid w:val="007F2ED2"/>
    <w:rsid w:val="0081550E"/>
    <w:rsid w:val="00815646"/>
    <w:rsid w:val="00816E10"/>
    <w:rsid w:val="0082243A"/>
    <w:rsid w:val="0082357C"/>
    <w:rsid w:val="0082368A"/>
    <w:rsid w:val="00826C1B"/>
    <w:rsid w:val="008342A9"/>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D0AC7"/>
    <w:rsid w:val="008D13D0"/>
    <w:rsid w:val="008D4A2E"/>
    <w:rsid w:val="008E2F68"/>
    <w:rsid w:val="008F2D62"/>
    <w:rsid w:val="008F3B1B"/>
    <w:rsid w:val="008F51CC"/>
    <w:rsid w:val="00914229"/>
    <w:rsid w:val="009148B7"/>
    <w:rsid w:val="00917AF0"/>
    <w:rsid w:val="00917DE5"/>
    <w:rsid w:val="00920038"/>
    <w:rsid w:val="009229A7"/>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1A87"/>
    <w:rsid w:val="00E72641"/>
    <w:rsid w:val="00E85EA7"/>
    <w:rsid w:val="00E91DDC"/>
    <w:rsid w:val="00E949C4"/>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3C3AA2F2-E0B6-4D58-9966-168F7CB0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1C977-0FD5-4B9D-80DB-D330C31B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4677</Words>
  <Characters>25727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2</cp:revision>
  <cp:lastPrinted>2017-12-07T19:57:00Z</cp:lastPrinted>
  <dcterms:created xsi:type="dcterms:W3CDTF">2021-07-28T20:07:00Z</dcterms:created>
  <dcterms:modified xsi:type="dcterms:W3CDTF">2021-07-28T20:07:00Z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