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638D4D2F" w:rsidR="00B52C4F" w:rsidRDefault="00B52C4F" w:rsidP="0099767B">
      <w:pPr>
        <w:pStyle w:val="Puesto"/>
        <w:spacing w:after="240"/>
        <w:rPr>
          <w:rFonts w:ascii="Times New Roman" w:hAnsi="Times New Roman" w:cs="Times New Roman"/>
          <w:sz w:val="22"/>
          <w:szCs w:val="22"/>
        </w:rPr>
      </w:pPr>
      <w:bookmarkStart w:id="0" w:name="_GoBack"/>
      <w:bookmarkEnd w:id="0"/>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Puest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62F74EC1" w:rsidR="004640E3" w:rsidRPr="002524F5" w:rsidRDefault="004640E3" w:rsidP="00B5489C">
      <w:pPr>
        <w:pStyle w:val="Puest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C45BA">
        <w:rPr>
          <w:rFonts w:ascii="Times New Roman" w:hAnsi="Times New Roman" w:cs="Times New Roman"/>
          <w:b w:val="0"/>
          <w:sz w:val="22"/>
          <w:szCs w:val="22"/>
        </w:rPr>
        <w:t>Comité Pro-mejoras del Barrio “Altar de Pululahua”</w:t>
      </w:r>
      <w:r w:rsidR="00EF3EC3" w:rsidRPr="00EF3EC3">
        <w:rPr>
          <w:rFonts w:ascii="Times New Roman" w:hAnsi="Times New Roman" w:cs="Times New Roman"/>
          <w:b w:val="0"/>
          <w:sz w:val="22"/>
          <w:szCs w:val="22"/>
        </w:rPr>
        <w:t xml:space="preserve">, </w:t>
      </w:r>
      <w:r w:rsidR="002C45BA">
        <w:rPr>
          <w:rFonts w:ascii="Times New Roman" w:hAnsi="Times New Roman" w:cs="Times New Roman"/>
          <w:b w:val="0"/>
          <w:sz w:val="22"/>
          <w:szCs w:val="22"/>
        </w:rPr>
        <w:t>ubicado en la parroquia San Antonio de Pichincha</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45F10">
        <w:rPr>
          <w:rFonts w:ascii="Times New Roman" w:hAnsi="Times New Roman" w:cs="Times New Roman"/>
          <w:b w:val="0"/>
          <w:sz w:val="22"/>
          <w:szCs w:val="22"/>
        </w:rPr>
        <w:t>5</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2C45BA">
        <w:rPr>
          <w:rFonts w:ascii="Times New Roman" w:hAnsi="Times New Roman" w:cs="Times New Roman"/>
          <w:b w:val="0"/>
          <w:sz w:val="22"/>
          <w:szCs w:val="22"/>
        </w:rPr>
        <w:t>50,35</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w:t>
      </w:r>
      <w:r w:rsidR="002C45BA">
        <w:rPr>
          <w:rFonts w:ascii="Times New Roman" w:hAnsi="Times New Roman" w:cs="Times New Roman"/>
          <w:b w:val="0"/>
          <w:sz w:val="22"/>
          <w:szCs w:val="22"/>
        </w:rPr>
        <w:t>2</w:t>
      </w:r>
      <w:r w:rsidR="0020579C" w:rsidRPr="0020579C">
        <w:rPr>
          <w:rFonts w:ascii="Times New Roman" w:hAnsi="Times New Roman" w:cs="Times New Roman"/>
          <w:b w:val="0"/>
          <w:sz w:val="22"/>
          <w:szCs w:val="22"/>
        </w:rPr>
        <w:t>-UERB-AZLD-2020</w:t>
      </w:r>
      <w:r w:rsidR="00245F10">
        <w:rPr>
          <w:rFonts w:ascii="Times New Roman" w:hAnsi="Times New Roman" w:cs="Times New Roman"/>
          <w:b w:val="0"/>
          <w:sz w:val="22"/>
          <w:szCs w:val="22"/>
        </w:rPr>
        <w:t>, de 15 de julio de 2020</w:t>
      </w:r>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w:t>
      </w:r>
      <w:r w:rsidR="00005E84">
        <w:rPr>
          <w:rFonts w:ascii="Times New Roman" w:hAnsi="Times New Roman" w:cs="Times New Roman"/>
          <w:b w:val="0"/>
          <w:sz w:val="22"/>
          <w:szCs w:val="22"/>
        </w:rPr>
        <w:t>1</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r w:rsidR="00245F10">
        <w:rPr>
          <w:rFonts w:ascii="Times New Roman" w:hAnsi="Times New Roman" w:cs="Times New Roman"/>
          <w:b w:val="0"/>
          <w:sz w:val="22"/>
          <w:szCs w:val="22"/>
        </w:rPr>
        <w:t>50,35</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45F10">
        <w:rPr>
          <w:rFonts w:ascii="Times New Roman" w:hAnsi="Times New Roman" w:cs="Times New Roman"/>
          <w:b w:val="0"/>
          <w:sz w:val="22"/>
          <w:szCs w:val="22"/>
        </w:rPr>
        <w:t>39</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45F10">
        <w:rPr>
          <w:rFonts w:ascii="Times New Roman" w:hAnsi="Times New Roman" w:cs="Times New Roman"/>
          <w:b w:val="0"/>
          <w:sz w:val="22"/>
          <w:szCs w:val="22"/>
        </w:rPr>
        <w:t>556</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CB51E1A" w14:textId="45FC0B70" w:rsidR="00772DDE"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C45BA">
        <w:rPr>
          <w:rFonts w:ascii="Times New Roman" w:hAnsi="Times New Roman" w:cs="Times New Roman"/>
          <w:b w:val="0"/>
          <w:sz w:val="22"/>
          <w:szCs w:val="22"/>
        </w:rPr>
        <w:t>Comité Pro-mejoras del Barrio “Altar de Pululahua”</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7D06E50D"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 xml:space="preserve">Visto el Informe No. </w:t>
      </w:r>
      <w:r>
        <w:rPr>
          <w:rFonts w:ascii="Times New Roman" w:hAnsi="Times New Roman" w:cs="Times New Roman"/>
        </w:rPr>
        <w:t>IC-</w:t>
      </w:r>
      <w:r w:rsidR="00557665">
        <w:rPr>
          <w:rFonts w:ascii="Times New Roman" w:hAnsi="Times New Roman" w:cs="Times New Roman"/>
        </w:rPr>
        <w:t>O-</w:t>
      </w:r>
      <w:r>
        <w:rPr>
          <w:rFonts w:ascii="Times New Roman" w:hAnsi="Times New Roman" w:cs="Times New Roman"/>
        </w:rPr>
        <w:t>201</w:t>
      </w:r>
      <w:r w:rsidR="00557665">
        <w:rPr>
          <w:rFonts w:ascii="Times New Roman" w:hAnsi="Times New Roman" w:cs="Times New Roman"/>
        </w:rPr>
        <w:t>7</w:t>
      </w:r>
      <w:r>
        <w:rPr>
          <w:rFonts w:ascii="Times New Roman" w:hAnsi="Times New Roman" w:cs="Times New Roman"/>
        </w:rPr>
        <w:t>-</w:t>
      </w:r>
      <w:r w:rsidR="00557665">
        <w:rPr>
          <w:rFonts w:ascii="Times New Roman" w:hAnsi="Times New Roman" w:cs="Times New Roman"/>
        </w:rPr>
        <w:t>054</w:t>
      </w:r>
      <w:r w:rsidR="00E65B1B">
        <w:rPr>
          <w:rFonts w:ascii="Times New Roman" w:hAnsi="Times New Roman" w:cs="Times New Roman"/>
        </w:rPr>
        <w:t xml:space="preserve">, </w:t>
      </w:r>
      <w:r w:rsidRPr="002524F5">
        <w:rPr>
          <w:rFonts w:ascii="Times New Roman" w:hAnsi="Times New Roman" w:cs="Times New Roman"/>
        </w:rPr>
        <w:t xml:space="preserve">de </w:t>
      </w:r>
      <w:r w:rsidR="00557665">
        <w:rPr>
          <w:rFonts w:ascii="Times New Roman" w:hAnsi="Times New Roman" w:cs="Times New Roman"/>
        </w:rPr>
        <w:t>08</w:t>
      </w:r>
      <w:r w:rsidRPr="002524F5">
        <w:rPr>
          <w:rFonts w:ascii="Times New Roman" w:hAnsi="Times New Roman" w:cs="Times New Roman"/>
        </w:rPr>
        <w:t xml:space="preserve"> de </w:t>
      </w:r>
      <w:r w:rsidR="00557665">
        <w:rPr>
          <w:rFonts w:ascii="Times New Roman" w:hAnsi="Times New Roman" w:cs="Times New Roman"/>
        </w:rPr>
        <w:t>febrero</w:t>
      </w:r>
      <w:r>
        <w:rPr>
          <w:rFonts w:ascii="Times New Roman" w:hAnsi="Times New Roman" w:cs="Times New Roman"/>
        </w:rPr>
        <w:t xml:space="preserve"> </w:t>
      </w:r>
      <w:r w:rsidRPr="002524F5">
        <w:rPr>
          <w:rFonts w:ascii="Times New Roman" w:hAnsi="Times New Roman" w:cs="Times New Roman"/>
        </w:rPr>
        <w:t>de 20</w:t>
      </w:r>
      <w:r>
        <w:rPr>
          <w:rFonts w:ascii="Times New Roman" w:hAnsi="Times New Roman" w:cs="Times New Roman"/>
        </w:rPr>
        <w:t>1</w:t>
      </w:r>
      <w:r w:rsidR="00557665">
        <w:rPr>
          <w:rFonts w:ascii="Times New Roman" w:hAnsi="Times New Roman" w:cs="Times New Roman"/>
        </w:rPr>
        <w:t>7</w:t>
      </w:r>
      <w:r w:rsidRPr="002524F5">
        <w:rPr>
          <w:rFonts w:ascii="Times New Roman" w:hAnsi="Times New Roman" w:cs="Times New Roman"/>
        </w:rPr>
        <w:t xml:space="preserve">, expedido por la Comisión de </w:t>
      </w:r>
      <w:r>
        <w:rPr>
          <w:rFonts w:ascii="Times New Roman" w:hAnsi="Times New Roman" w:cs="Times New Roman"/>
        </w:rPr>
        <w:t>Uso de Suelo</w:t>
      </w:r>
      <w:r w:rsidR="00557665">
        <w:rPr>
          <w:rFonts w:ascii="Times New Roman" w:hAnsi="Times New Roman" w:cs="Times New Roman"/>
        </w:rPr>
        <w:t xml:space="preserve"> y la </w:t>
      </w:r>
      <w:r w:rsidRPr="002524F5">
        <w:rPr>
          <w:rFonts w:ascii="Times New Roman" w:hAnsi="Times New Roman" w:cs="Times New Roman"/>
        </w:rPr>
        <w:t>Comisión de Ordenamiento Territorial</w:t>
      </w:r>
      <w:r>
        <w:rPr>
          <w:rFonts w:ascii="Times New Roman" w:hAnsi="Times New Roman" w:cs="Times New Roman"/>
        </w:rPr>
        <w:t xml:space="preserve">; y el </w:t>
      </w:r>
      <w:r w:rsidR="00AE6CBB" w:rsidRPr="002524F5">
        <w:rPr>
          <w:rFonts w:ascii="Times New Roman" w:hAnsi="Times New Roman" w:cs="Times New Roman"/>
        </w:rPr>
        <w:t xml:space="preserve">Informe </w:t>
      </w:r>
      <w:r w:rsidR="00456A7E" w:rsidRPr="002524F5">
        <w:rPr>
          <w:rFonts w:ascii="Times New Roman" w:hAnsi="Times New Roman" w:cs="Times New Roman"/>
        </w:rPr>
        <w:t xml:space="preserve">No. </w:t>
      </w:r>
      <w:r w:rsidR="00466AF3" w:rsidRPr="00466AF3">
        <w:rPr>
          <w:rFonts w:ascii="Times New Roman" w:hAnsi="Times New Roman" w:cs="Times New Roman"/>
        </w:rPr>
        <w:t xml:space="preserve">IC-COT-2021-049 de 14 de mayo </w:t>
      </w:r>
      <w:r w:rsidR="00456A7E" w:rsidRPr="002524F5">
        <w:rPr>
          <w:rFonts w:ascii="Times New Roman" w:hAnsi="Times New Roman" w:cs="Times New Roman"/>
        </w:rPr>
        <w:t>de 202</w:t>
      </w:r>
      <w:r w:rsidR="0099777A">
        <w:rPr>
          <w:rFonts w:ascii="Times New Roman" w:hAnsi="Times New Roman" w:cs="Times New Roman"/>
        </w:rPr>
        <w:t>1</w:t>
      </w:r>
      <w:r w:rsidR="00456A7E" w:rsidRPr="002524F5">
        <w:rPr>
          <w:rFonts w:ascii="Times New Roman" w:hAnsi="Times New Roman" w:cs="Times New Roman"/>
        </w:rPr>
        <w:t>, expedido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los literales a), y x)</w:t>
      </w:r>
      <w:r w:rsidR="004654E8" w:rsidRPr="002524F5">
        <w:rPr>
          <w:rFonts w:ascii="Times New Roman" w:hAnsi="Times New Roman"/>
          <w:bCs/>
        </w:rPr>
        <w:t xml:space="preserve"> </w:t>
      </w:r>
      <w:r w:rsidRPr="002524F5">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 x) </w:t>
      </w:r>
      <w:r w:rsidRPr="002524F5">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2524F5">
        <w:rPr>
          <w:rFonts w:ascii="Times New Roman" w:hAnsi="Times New Roman"/>
          <w:i/>
          <w:iCs/>
        </w:rPr>
        <w:t xml:space="preserve">;  </w:t>
      </w:r>
    </w:p>
    <w:p w14:paraId="34987A05" w14:textId="2FA83085" w:rsidR="00EC6510"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625A2F89" w14:textId="494AEDCF" w:rsidR="00005E84" w:rsidRPr="002524F5" w:rsidRDefault="00005E84" w:rsidP="00EC6510">
      <w:pPr>
        <w:pStyle w:val="Sinespaciado"/>
        <w:spacing w:after="240" w:line="276" w:lineRule="auto"/>
        <w:ind w:left="709" w:hanging="709"/>
        <w:jc w:val="both"/>
        <w:rPr>
          <w:rFonts w:ascii="Times New Roman" w:hAnsi="Times New Roman"/>
        </w:rPr>
      </w:pPr>
      <w:r w:rsidRPr="00AB1DFE">
        <w:rPr>
          <w:rFonts w:ascii="Times New Roman" w:hAnsi="Times New Roman"/>
          <w:b/>
          <w:bCs/>
        </w:rPr>
        <w:lastRenderedPageBreak/>
        <w:t xml:space="preserve">Que,    </w:t>
      </w:r>
      <w:r w:rsidRPr="00AB1DFE">
        <w:rPr>
          <w:rFonts w:ascii="Times New Roman" w:hAnsi="Times New Roman"/>
          <w:bCs/>
        </w:rPr>
        <w:t>el artículo 486 del COOTAD reformado establece que: “</w:t>
      </w:r>
      <w:r w:rsidRPr="00AB1DF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B1DFE">
        <w:rPr>
          <w:rFonts w:ascii="Times New Roman" w:hAnsi="Times New Roman"/>
          <w:bCs/>
          <w:lang w:val="es-ES_tradnl"/>
        </w:rPr>
        <w:t>”</w:t>
      </w:r>
      <w:r w:rsidRPr="00AB1DFE">
        <w:rPr>
          <w:rFonts w:ascii="Times New Roman" w:hAnsi="Times New Roman"/>
          <w:bCs/>
        </w:rPr>
        <w:t>;</w:t>
      </w:r>
    </w:p>
    <w:p w14:paraId="7F143C7D" w14:textId="5F70593A" w:rsidR="00ED38ED"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43791BB7"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lastRenderedPageBreak/>
        <w:t>Que,</w:t>
      </w:r>
      <w:r w:rsidR="00CE6054" w:rsidRPr="002524F5">
        <w:rPr>
          <w:rFonts w:ascii="Times New Roman" w:hAnsi="Times New Roman" w:cs="Times New Roman"/>
          <w:b/>
          <w:bCs/>
        </w:rPr>
        <w:tab/>
      </w:r>
      <w:r w:rsidRPr="002524F5">
        <w:rPr>
          <w:rFonts w:ascii="Times New Roman" w:hAnsi="Times New Roman" w:cs="Times New Roman"/>
          <w:bCs/>
        </w:rPr>
        <w:t xml:space="preserve">el Art. IV.7.31, último párrafo de la Ordenanza No. 001 de 29 de marzo de 2019, establece que con la declaratoria de interés social del asentamiento </w:t>
      </w:r>
      <w:r w:rsidR="00944659">
        <w:rPr>
          <w:rFonts w:ascii="Times New Roman" w:hAnsi="Times New Roman" w:cs="Times New Roman"/>
          <w:bCs/>
        </w:rPr>
        <w:t>h</w:t>
      </w:r>
      <w:r w:rsidRPr="002524F5">
        <w:rPr>
          <w:rFonts w:ascii="Times New Roman" w:hAnsi="Times New Roman" w:cs="Times New Roman"/>
          <w:bCs/>
        </w:rPr>
        <w:t xml:space="preserve">umano de </w:t>
      </w:r>
      <w:r w:rsidR="00944659">
        <w:rPr>
          <w:rFonts w:ascii="Times New Roman" w:hAnsi="Times New Roman" w:cs="Times New Roman"/>
          <w:bCs/>
        </w:rPr>
        <w:t>h</w:t>
      </w:r>
      <w:r w:rsidRPr="002524F5">
        <w:rPr>
          <w:rFonts w:ascii="Times New Roman" w:hAnsi="Times New Roman" w:cs="Times New Roman"/>
          <w:bCs/>
        </w:rPr>
        <w:t xml:space="preserve">echo y </w:t>
      </w:r>
      <w:r w:rsidR="00944659">
        <w:rPr>
          <w:rFonts w:ascii="Times New Roman" w:hAnsi="Times New Roman" w:cs="Times New Roman"/>
          <w:bCs/>
        </w:rPr>
        <w:t>c</w:t>
      </w:r>
      <w:r w:rsidRPr="002524F5">
        <w:rPr>
          <w:rFonts w:ascii="Times New Roman" w:hAnsi="Times New Roman" w:cs="Times New Roman"/>
          <w:bCs/>
        </w:rPr>
        <w:t>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2EFBBDCE" w14:textId="0AAD4701" w:rsidR="00205E44" w:rsidRPr="002524F5" w:rsidRDefault="00205E44"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w:t>
      </w:r>
      <w:r w:rsidR="005B5E51" w:rsidRPr="002524F5">
        <w:rPr>
          <w:rFonts w:ascii="Times New Roman" w:hAnsi="Times New Roman"/>
          <w:bCs/>
        </w:rPr>
        <w:t>os plazos señalados en la norma;</w:t>
      </w:r>
    </w:p>
    <w:p w14:paraId="5B509CAB" w14:textId="2B192EF5" w:rsidR="00772DDE"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r>
      <w:r w:rsidR="00245F10" w:rsidRPr="00245F10">
        <w:rPr>
          <w:rFonts w:ascii="Times New Roman" w:hAnsi="Times New Roman"/>
          <w:bCs/>
        </w:rPr>
        <w:t>la Mesa Institucional reunida el 23 de octubre del 2015 en la Administración Zonal La Delicia, integrada por: Ab</w:t>
      </w:r>
      <w:r w:rsidR="00245F10">
        <w:rPr>
          <w:rFonts w:ascii="Times New Roman" w:hAnsi="Times New Roman"/>
          <w:bCs/>
        </w:rPr>
        <w:t>g</w:t>
      </w:r>
      <w:r w:rsidR="00245F10" w:rsidRPr="00245F10">
        <w:rPr>
          <w:rFonts w:ascii="Times New Roman" w:hAnsi="Times New Roman"/>
          <w:bCs/>
        </w:rPr>
        <w:t xml:space="preserve">. Catherine Thur de Koos, Coordinadora de la Unidad Especial 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w:t>
      </w:r>
      <w:r w:rsidR="00245F10" w:rsidRPr="00245F10">
        <w:rPr>
          <w:rFonts w:ascii="Times New Roman" w:hAnsi="Times New Roman"/>
          <w:bCs/>
        </w:rPr>
        <w:lastRenderedPageBreak/>
        <w:t>Regula Tu Barrio de la Administración Zonal de La Delicia; Sr. Humberto Almeida De Sucre,</w:t>
      </w:r>
      <w:r w:rsidR="00245F10">
        <w:rPr>
          <w:rFonts w:ascii="Times New Roman" w:hAnsi="Times New Roman"/>
          <w:bCs/>
        </w:rPr>
        <w:t xml:space="preserve"> </w:t>
      </w:r>
      <w:r w:rsidR="00245F10" w:rsidRPr="00245F10">
        <w:rPr>
          <w:rFonts w:ascii="Times New Roman" w:hAnsi="Times New Roman"/>
          <w:bCs/>
        </w:rPr>
        <w:t>Administrador Zonal la Delicia; Ab. María Cristina Villacís, Directora Jurídica Administración Zonal la Delicia; Arq. Andrea Criollo, Directora de Gestión de Territorio Administración Zonal la Delicia; Arq. Edgar Flores, Delegado de la Secretaria de Territorio Hábitat y Vivienda; Ing. Marco Manobanda, Delegado de la Dirección Metropolitana de Gestión y Riesgos; Ing. Geovanny Ortíz, Delegado de la Dirección Metropolitana de Catastros, aprobaron el Informe Socio organizativo legal y técnico Nº 004-UERB-AZLD-SOLT-2015, de fecha 22 de octubre del año 2015, habilitante de la Ordenanza de Reconocimiento del Asentamiento Humano de Hecho y Consolidado de Interés Social, denominado Comité Pro-Mejoras del Barrio “Altar del Pululahua”, a favor de sus copropietarios.</w:t>
      </w:r>
    </w:p>
    <w:p w14:paraId="1C45C8BA" w14:textId="40AD63B1" w:rsidR="001B6936" w:rsidRPr="002524F5" w:rsidRDefault="001B6936" w:rsidP="001B6936">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mediante Resolución No. C0</w:t>
      </w:r>
      <w:r>
        <w:rPr>
          <w:rFonts w:ascii="Times New Roman" w:hAnsi="Times New Roman"/>
          <w:bCs/>
        </w:rPr>
        <w:t xml:space="preserve">11, de 10 de enero de 2019, suscrito por el Secretario del Concejo Metropolitano de Quito, se expone: </w:t>
      </w:r>
      <w:r w:rsidRPr="00923043">
        <w:rPr>
          <w:rFonts w:ascii="Times New Roman" w:hAnsi="Times New Roman"/>
          <w:bCs/>
          <w:i/>
        </w:rPr>
        <w:t xml:space="preserve">“El Concejo Metropolitano de Quito, en sesión ordinaria realizada el 10 de enero de 2019, luego de conocer el informe No. IC-O-2017-054, emitido por la Comisión  </w:t>
      </w:r>
      <w:r w:rsidR="00E0046B" w:rsidRPr="00923043">
        <w:rPr>
          <w:rFonts w:ascii="Times New Roman" w:hAnsi="Times New Roman"/>
          <w:bCs/>
          <w:i/>
        </w:rPr>
        <w:t>de Ordenamiento Territorial relacionado con el proyecto de Ordenanza que reconoce y aprueba el fraccionamiento del predio No. 5199927, sobre el que se encuentra el asentamiento humano de hecho y consolidado de interés social denominado Comité Pro mejoras del Barrio Altar de Pululahua, a favor de sus copropietarios, de conformidad con lo dispuesto en los artículos 57, literal</w:t>
      </w:r>
      <w:r w:rsidR="00602110" w:rsidRPr="00923043">
        <w:rPr>
          <w:rFonts w:ascii="Times New Roman" w:hAnsi="Times New Roman"/>
          <w:bCs/>
          <w:i/>
        </w:rPr>
        <w:t xml:space="preserve"> d), 87 literal d) y 323 del Código Orgánico de Organización Territorial, Autonomía y Descentralización COOTAD, RESOLVIÓ: devolver el expediente a la Comisión de Ordenamiento Territorial a fin de que se realice un nuevo análisis del mismo considerando que el asentamiento se encuentra en un área histórica y, por lo tanto, en función de las observaciones realizadas por parte del Instituto Metropolitano de Patrimonio IMP</w:t>
      </w:r>
      <w:r w:rsidR="00923043" w:rsidRPr="00923043">
        <w:rPr>
          <w:rFonts w:ascii="Times New Roman" w:hAnsi="Times New Roman"/>
          <w:bCs/>
          <w:i/>
        </w:rPr>
        <w:t>.</w:t>
      </w:r>
      <w:r w:rsidR="00923043">
        <w:rPr>
          <w:rFonts w:ascii="Times New Roman" w:hAnsi="Times New Roman"/>
          <w:bCs/>
          <w:i/>
        </w:rPr>
        <w:t>”</w:t>
      </w:r>
      <w:r w:rsidRPr="002524F5">
        <w:rPr>
          <w:rFonts w:ascii="Times New Roman" w:hAnsi="Times New Roman"/>
          <w:bCs/>
        </w:rPr>
        <w:t>;</w:t>
      </w:r>
    </w:p>
    <w:p w14:paraId="4A218188" w14:textId="2AE8A294"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t>Que,</w:t>
      </w:r>
      <w:r w:rsidRPr="00683244">
        <w:rPr>
          <w:rFonts w:ascii="Times New Roman" w:hAnsi="Times New Roman"/>
        </w:rPr>
        <w:tab/>
      </w:r>
      <w:r w:rsidRPr="00683244">
        <w:rPr>
          <w:rFonts w:ascii="Times New Roman" w:hAnsi="Times New Roman"/>
          <w:bCs/>
        </w:rPr>
        <w:t>la Mesa Institucional,</w:t>
      </w:r>
      <w:r w:rsidRPr="00760F32">
        <w:rPr>
          <w:rFonts w:ascii="Times New Roman" w:hAnsi="Times New Roman"/>
          <w:lang w:val="es-ES"/>
        </w:rPr>
        <w:t xml:space="preserve"> reunida </w:t>
      </w:r>
      <w:r w:rsidR="007B18F9" w:rsidRPr="00760F32">
        <w:rPr>
          <w:rFonts w:ascii="Times New Roman" w:hAnsi="Times New Roman"/>
          <w:lang w:val="es-ES"/>
        </w:rPr>
        <w:t xml:space="preserve">virtualmente </w:t>
      </w:r>
      <w:r w:rsidR="00E40EC3" w:rsidRPr="00760F32">
        <w:rPr>
          <w:rFonts w:ascii="Times New Roman" w:hAnsi="Times New Roman"/>
          <w:lang w:val="es-ES"/>
        </w:rPr>
        <w:t>el 0</w:t>
      </w:r>
      <w:r w:rsidRPr="00760F32">
        <w:rPr>
          <w:rFonts w:ascii="Times New Roman" w:hAnsi="Times New Roman"/>
          <w:lang w:val="es-ES"/>
        </w:rPr>
        <w:t xml:space="preserve">6 de </w:t>
      </w:r>
      <w:r w:rsidR="00E40EC3" w:rsidRPr="00760F32">
        <w:rPr>
          <w:rFonts w:ascii="Times New Roman" w:hAnsi="Times New Roman"/>
          <w:lang w:val="es-ES"/>
        </w:rPr>
        <w:t>agosto</w:t>
      </w:r>
      <w:r w:rsidR="0054164B" w:rsidRPr="00760F32">
        <w:rPr>
          <w:rFonts w:ascii="Times New Roman" w:hAnsi="Times New Roman"/>
          <w:lang w:val="es-ES"/>
        </w:rPr>
        <w:t xml:space="preserve"> del 2020, integrada por: Abg. Ingrid Rafaela Castillo Rodríguez, Delegada de la Administradora Zonal La Delicia; Dr. Bayron Vinicio Flores López, Director Jurídico de la Administración Zonal La Delicia; Arq, Sergio Peralta, Delegado de la Dirección Metropolitana de Catastro; Ing. Luis Albán, Delegado de la Dirección Metropolitana de Gestión de Riesgos; Arq. Elizabeth Ortiz, Delegada de la Secretaria de Territorio, Hábitat y Vivienda; Abg. Lucia Jurado Orna, Responsable Legal y Coordinadora Delegada</w:t>
      </w:r>
      <w:r w:rsidR="00760F32">
        <w:rPr>
          <w:rFonts w:ascii="Times New Roman" w:hAnsi="Times New Roman"/>
          <w:lang w:val="es-ES"/>
        </w:rPr>
        <w:t xml:space="preserve"> </w:t>
      </w:r>
      <w:r w:rsidR="0054164B" w:rsidRPr="00760F32">
        <w:rPr>
          <w:rFonts w:ascii="Times New Roman" w:hAnsi="Times New Roman"/>
          <w:lang w:val="es-ES"/>
        </w:rPr>
        <w:t>–</w:t>
      </w:r>
      <w:r w:rsidR="00760F32">
        <w:rPr>
          <w:rFonts w:ascii="Times New Roman" w:hAnsi="Times New Roman"/>
          <w:lang w:val="es-ES"/>
        </w:rPr>
        <w:t xml:space="preserve"> </w:t>
      </w:r>
      <w:r w:rsidR="0054164B" w:rsidRPr="00760F32">
        <w:rPr>
          <w:rFonts w:ascii="Times New Roman" w:hAnsi="Times New Roman"/>
          <w:lang w:val="es-ES"/>
        </w:rPr>
        <w:t>Unidad Especial “Regula Tu Barrio” – La Delicia; Srta. Angela Lucía Oña, Responsable Socio-Organizativa - Unidad Especial “Regula Tu Barrio” – La Delicia; Arq. Yessica Burbano Puebla, Responsable Técnica - Unidad Especial “Regula Tu Barrio” – La Delicia</w:t>
      </w:r>
      <w:r w:rsidRPr="00683244">
        <w:rPr>
          <w:rFonts w:ascii="Times New Roman" w:hAnsi="Times New Roman"/>
          <w:lang w:val="es-ES"/>
        </w:rPr>
        <w:t xml:space="preserve">, </w:t>
      </w:r>
      <w:r w:rsidR="00E40EC3">
        <w:rPr>
          <w:rFonts w:ascii="Times New Roman" w:hAnsi="Times New Roman"/>
          <w:lang w:val="es-ES"/>
        </w:rPr>
        <w:t>aprobaron</w:t>
      </w:r>
      <w:r w:rsidR="008821B6" w:rsidRPr="00683244">
        <w:rPr>
          <w:rFonts w:ascii="Times New Roman" w:hAnsi="Times New Roman"/>
          <w:lang w:val="es-ES"/>
        </w:rPr>
        <w:t xml:space="preserve">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w:t>
      </w:r>
      <w:r w:rsidR="0054164B">
        <w:rPr>
          <w:rFonts w:ascii="Times New Roman" w:hAnsi="Times New Roman"/>
          <w:lang w:val="es-ES"/>
        </w:rPr>
        <w:t>2</w:t>
      </w:r>
      <w:r w:rsidR="00A60262" w:rsidRPr="00683244">
        <w:rPr>
          <w:rFonts w:ascii="Times New Roman" w:hAnsi="Times New Roman"/>
          <w:lang w:val="es-ES"/>
        </w:rPr>
        <w:t>-UERB-AZLD-2020</w:t>
      </w:r>
      <w:r w:rsidR="00E40EC3">
        <w:rPr>
          <w:rFonts w:ascii="Times New Roman" w:hAnsi="Times New Roman"/>
          <w:lang w:val="es-ES"/>
        </w:rPr>
        <w:t>, de 15 de julio de 2020</w:t>
      </w:r>
      <w:r w:rsidR="00A60262" w:rsidRPr="00683244">
        <w:rPr>
          <w:rFonts w:ascii="Times New Roman" w:hAnsi="Times New Roman"/>
          <w:lang w:val="es-ES"/>
        </w:rPr>
        <w:t>, alcance al informe Socio Organizativo, Legal y Técnico (SOLT) No. 00</w:t>
      </w:r>
      <w:r w:rsidR="00E40EC3">
        <w:rPr>
          <w:rFonts w:ascii="Times New Roman" w:hAnsi="Times New Roman"/>
          <w:lang w:val="es-ES"/>
        </w:rPr>
        <w:t>4</w:t>
      </w:r>
      <w:r w:rsidR="00A60262" w:rsidRPr="00683244">
        <w:rPr>
          <w:rFonts w:ascii="Times New Roman" w:hAnsi="Times New Roman"/>
          <w:lang w:val="es-ES"/>
        </w:rPr>
        <w:t>-UERB-AZLD-SOLT-2015</w:t>
      </w:r>
      <w:r w:rsidR="00E40EC3">
        <w:rPr>
          <w:rFonts w:ascii="Times New Roman" w:hAnsi="Times New Roman"/>
          <w:lang w:val="es-ES"/>
        </w:rPr>
        <w:t xml:space="preserve">, de 22 de octubre de 2015, </w:t>
      </w:r>
      <w:r w:rsidR="00760F32">
        <w:rPr>
          <w:rFonts w:ascii="Times New Roman" w:hAnsi="Times New Roman"/>
          <w:lang w:val="es-ES"/>
        </w:rPr>
        <w:t xml:space="preserve">habilitante para el proceso de </w:t>
      </w:r>
      <w:r w:rsidR="00E40EC3" w:rsidRPr="00E40EC3">
        <w:rPr>
          <w:rFonts w:ascii="Times New Roman" w:hAnsi="Times New Roman"/>
          <w:lang w:val="es-ES"/>
        </w:rPr>
        <w:t>integral de regularizaci</w:t>
      </w:r>
      <w:r w:rsidR="00E40EC3">
        <w:rPr>
          <w:rFonts w:ascii="Times New Roman" w:hAnsi="Times New Roman"/>
          <w:lang w:val="es-ES"/>
        </w:rPr>
        <w:t>ó</w:t>
      </w:r>
      <w:r w:rsidR="00E40EC3" w:rsidRPr="00E40EC3">
        <w:rPr>
          <w:rFonts w:ascii="Times New Roman" w:hAnsi="Times New Roman"/>
          <w:lang w:val="es-ES"/>
        </w:rPr>
        <w:t xml:space="preserve">n del asentamiento humano de hecho y consolidado de interés social denominado </w:t>
      </w:r>
      <w:r w:rsidR="00E65B1B">
        <w:rPr>
          <w:rFonts w:ascii="Times New Roman" w:hAnsi="Times New Roman"/>
          <w:lang w:val="es-ES"/>
        </w:rPr>
        <w:t>C</w:t>
      </w:r>
      <w:r w:rsidR="00E40EC3" w:rsidRPr="00E40EC3">
        <w:rPr>
          <w:rFonts w:ascii="Times New Roman" w:hAnsi="Times New Roman"/>
          <w:lang w:val="es-ES"/>
        </w:rPr>
        <w:t xml:space="preserve">omité </w:t>
      </w:r>
      <w:r w:rsidR="00E65B1B">
        <w:rPr>
          <w:rFonts w:ascii="Times New Roman" w:hAnsi="Times New Roman"/>
          <w:lang w:val="es-ES"/>
        </w:rPr>
        <w:t>P</w:t>
      </w:r>
      <w:r w:rsidR="00E40EC3" w:rsidRPr="00E40EC3">
        <w:rPr>
          <w:rFonts w:ascii="Times New Roman" w:hAnsi="Times New Roman"/>
          <w:lang w:val="es-ES"/>
        </w:rPr>
        <w:t xml:space="preserve">ro-mejoras del </w:t>
      </w:r>
      <w:r w:rsidR="00E65B1B">
        <w:rPr>
          <w:rFonts w:ascii="Times New Roman" w:hAnsi="Times New Roman"/>
          <w:lang w:val="es-ES"/>
        </w:rPr>
        <w:t>B</w:t>
      </w:r>
      <w:r w:rsidR="00E40EC3" w:rsidRPr="00E40EC3">
        <w:rPr>
          <w:rFonts w:ascii="Times New Roman" w:hAnsi="Times New Roman"/>
          <w:lang w:val="es-ES"/>
        </w:rPr>
        <w:t>arrio “</w:t>
      </w:r>
      <w:r w:rsidR="00E40EC3">
        <w:rPr>
          <w:rFonts w:ascii="Times New Roman" w:hAnsi="Times New Roman"/>
          <w:lang w:val="es-ES"/>
        </w:rPr>
        <w:t>A</w:t>
      </w:r>
      <w:r w:rsidR="00E40EC3" w:rsidRPr="00E40EC3">
        <w:rPr>
          <w:rFonts w:ascii="Times New Roman" w:hAnsi="Times New Roman"/>
          <w:lang w:val="es-ES"/>
        </w:rPr>
        <w:t xml:space="preserve">ltar de </w:t>
      </w:r>
      <w:r w:rsidR="00E40EC3">
        <w:rPr>
          <w:rFonts w:ascii="Times New Roman" w:hAnsi="Times New Roman"/>
          <w:lang w:val="es-ES"/>
        </w:rPr>
        <w:t>P</w:t>
      </w:r>
      <w:r w:rsidR="00E40EC3" w:rsidRPr="00E40EC3">
        <w:rPr>
          <w:rFonts w:ascii="Times New Roman" w:hAnsi="Times New Roman"/>
          <w:lang w:val="es-ES"/>
        </w:rPr>
        <w:t>ululahua”, a favor de sus copropietarios.</w:t>
      </w:r>
    </w:p>
    <w:p w14:paraId="75C6C373" w14:textId="5F4E71B7"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la Dirección Metropolitana de Gestión de Riesgos </w:t>
      </w:r>
      <w:r w:rsidR="007906A0">
        <w:rPr>
          <w:rFonts w:ascii="Times New Roman" w:hAnsi="Times New Roman" w:cs="Times New Roman"/>
        </w:rPr>
        <w:t xml:space="preserve">en el Informe </w:t>
      </w:r>
      <w:r w:rsidRPr="00AB7D71">
        <w:rPr>
          <w:rFonts w:ascii="Times New Roman" w:hAnsi="Times New Roman" w:cs="Times New Roman"/>
        </w:rPr>
        <w:t xml:space="preserve">No. </w:t>
      </w:r>
      <w:r w:rsidR="00C2360B">
        <w:rPr>
          <w:rFonts w:ascii="Times New Roman" w:hAnsi="Times New Roman" w:cs="Times New Roman"/>
        </w:rPr>
        <w:t>44</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sidR="00C2360B">
        <w:rPr>
          <w:rFonts w:ascii="Times New Roman" w:hAnsi="Times New Roman" w:cs="Times New Roman"/>
        </w:rPr>
        <w:t>08</w:t>
      </w:r>
      <w:r w:rsidRPr="00AB7D71">
        <w:rPr>
          <w:rFonts w:ascii="Times New Roman" w:hAnsi="Times New Roman" w:cs="Times New Roman"/>
        </w:rPr>
        <w:t xml:space="preserve"> de </w:t>
      </w:r>
      <w:r w:rsidR="00E65B1B">
        <w:rPr>
          <w:rFonts w:ascii="Times New Roman" w:hAnsi="Times New Roman" w:cs="Times New Roman"/>
        </w:rPr>
        <w:t>abril</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w:t>
      </w:r>
      <w:r w:rsidR="00D41179">
        <w:rPr>
          <w:rFonts w:ascii="Times New Roman" w:hAnsi="Times New Roman" w:cs="Times New Roman"/>
        </w:rPr>
        <w:t>manifiesta que el asentamiento humano de hecho y consolidado de interés social denominado Barrio “Altar de Pululahua”</w:t>
      </w:r>
      <w:r w:rsidR="0099777A">
        <w:rPr>
          <w:rFonts w:ascii="Times New Roman" w:hAnsi="Times New Roman" w:cs="Times New Roman"/>
        </w:rPr>
        <w:t xml:space="preserve">, </w:t>
      </w:r>
      <w:r w:rsidR="00D41179">
        <w:rPr>
          <w:rFonts w:ascii="Times New Roman" w:hAnsi="Times New Roman" w:cs="Times New Roman"/>
        </w:rPr>
        <w:t xml:space="preserve">presenta un Riesgo Medio </w:t>
      </w:r>
      <w:r>
        <w:rPr>
          <w:rFonts w:ascii="Times New Roman" w:hAnsi="Times New Roman" w:cs="Times New Roman"/>
        </w:rPr>
        <w:t>a</w:t>
      </w:r>
      <w:r w:rsidR="00D41179">
        <w:rPr>
          <w:rFonts w:ascii="Times New Roman" w:hAnsi="Times New Roman" w:cs="Times New Roman"/>
        </w:rPr>
        <w:t xml:space="preserve">nte la inestabilidad de laderas y movimientos en masa, de acuerdo a la evaluación de deslizamientos, </w:t>
      </w:r>
      <w:r w:rsidR="00D41179">
        <w:rPr>
          <w:rFonts w:ascii="Times New Roman" w:hAnsi="Times New Roman" w:cs="Times New Roman"/>
        </w:rPr>
        <w:lastRenderedPageBreak/>
        <w:t>hundimientos y vulnerabilidades descritas</w:t>
      </w:r>
      <w:r w:rsidR="00131BC6">
        <w:rPr>
          <w:rFonts w:ascii="Times New Roman" w:hAnsi="Times New Roman" w:cs="Times New Roman"/>
        </w:rPr>
        <w:t>, y considera factible continuar con el proceso de regularización</w:t>
      </w:r>
      <w:r w:rsidRPr="002524F5">
        <w:rPr>
          <w:rFonts w:ascii="Times New Roman" w:hAnsi="Times New Roman" w:cs="Times New Roman"/>
        </w:rPr>
        <w:t xml:space="preserve">; </w:t>
      </w:r>
    </w:p>
    <w:p w14:paraId="1956AE84" w14:textId="65C1843E" w:rsidR="00016E32" w:rsidRPr="00414439" w:rsidRDefault="00016E32" w:rsidP="00B706AE">
      <w:pPr>
        <w:spacing w:after="240"/>
        <w:ind w:left="705" w:hanging="705"/>
        <w:rPr>
          <w:rFonts w:ascii="Times New Roman" w:hAnsi="Times New Roman" w:cs="Times New Roman"/>
        </w:rPr>
      </w:pPr>
      <w:r w:rsidRPr="00414439">
        <w:rPr>
          <w:rFonts w:ascii="Times New Roman" w:hAnsi="Times New Roman" w:cs="Times New Roman"/>
          <w:b/>
          <w:bCs/>
        </w:rPr>
        <w:t xml:space="preserve">Que, </w:t>
      </w:r>
      <w:r w:rsidRPr="00414439">
        <w:rPr>
          <w:rFonts w:ascii="Times New Roman" w:hAnsi="Times New Roman" w:cs="Times New Roman"/>
          <w:b/>
          <w:bCs/>
        </w:rPr>
        <w:tab/>
      </w:r>
      <w:r w:rsidR="00FF6831">
        <w:rPr>
          <w:rFonts w:ascii="Times New Roman" w:hAnsi="Times New Roman" w:cs="Times New Roman"/>
          <w:bCs/>
        </w:rPr>
        <w:t xml:space="preserve">Mediante oficio No. SGSG-DMGR-AT-2017-1239, de 24 de noviembre de 2017, suscrito por el Director Metropolitano de Gestión de Riesgos, </w:t>
      </w:r>
      <w:r w:rsidR="00136B0A">
        <w:rPr>
          <w:rFonts w:ascii="Times New Roman" w:hAnsi="Times New Roman" w:cs="Times New Roman"/>
          <w:bCs/>
        </w:rPr>
        <w:t xml:space="preserve">se </w:t>
      </w:r>
      <w:r w:rsidR="00FF6831">
        <w:rPr>
          <w:rFonts w:ascii="Times New Roman" w:hAnsi="Times New Roman" w:cs="Times New Roman"/>
          <w:bCs/>
        </w:rPr>
        <w:t xml:space="preserve">remite </w:t>
      </w:r>
      <w:r w:rsidR="00DF5304" w:rsidRPr="00414439">
        <w:rPr>
          <w:rFonts w:ascii="Times New Roman" w:hAnsi="Times New Roman" w:cs="Times New Roman"/>
        </w:rPr>
        <w:t>el I</w:t>
      </w:r>
      <w:r w:rsidR="005B5E51" w:rsidRPr="00414439">
        <w:rPr>
          <w:rFonts w:ascii="Times New Roman" w:hAnsi="Times New Roman" w:cs="Times New Roman"/>
        </w:rPr>
        <w:t xml:space="preserve">nforme </w:t>
      </w:r>
      <w:r w:rsidR="00AB7D71" w:rsidRPr="00414439">
        <w:rPr>
          <w:rFonts w:ascii="Times New Roman" w:hAnsi="Times New Roman" w:cs="Times New Roman"/>
        </w:rPr>
        <w:t xml:space="preserve">No. </w:t>
      </w:r>
      <w:r w:rsidR="00FD3519" w:rsidRPr="00414439">
        <w:rPr>
          <w:rFonts w:ascii="Times New Roman" w:hAnsi="Times New Roman" w:cs="Times New Roman"/>
        </w:rPr>
        <w:t>254</w:t>
      </w:r>
      <w:r w:rsidR="00AB7D71" w:rsidRPr="00414439">
        <w:rPr>
          <w:rFonts w:ascii="Times New Roman" w:hAnsi="Times New Roman" w:cs="Times New Roman"/>
        </w:rPr>
        <w:t>-AT-DMGR-201</w:t>
      </w:r>
      <w:r w:rsidR="00FD3519" w:rsidRPr="00414439">
        <w:rPr>
          <w:rFonts w:ascii="Times New Roman" w:hAnsi="Times New Roman" w:cs="Times New Roman"/>
        </w:rPr>
        <w:t>7</w:t>
      </w:r>
      <w:r w:rsidR="00AB7D71" w:rsidRPr="00414439">
        <w:rPr>
          <w:rFonts w:ascii="Times New Roman" w:hAnsi="Times New Roman" w:cs="Times New Roman"/>
        </w:rPr>
        <w:t xml:space="preserve">, de </w:t>
      </w:r>
      <w:r w:rsidR="00FD3519" w:rsidRPr="00414439">
        <w:rPr>
          <w:rFonts w:ascii="Times New Roman" w:hAnsi="Times New Roman" w:cs="Times New Roman"/>
        </w:rPr>
        <w:t>2</w:t>
      </w:r>
      <w:r w:rsidR="00AB7D71" w:rsidRPr="00414439">
        <w:rPr>
          <w:rFonts w:ascii="Times New Roman" w:hAnsi="Times New Roman" w:cs="Times New Roman"/>
        </w:rPr>
        <w:t xml:space="preserve">0 de </w:t>
      </w:r>
      <w:r w:rsidR="00FD3519" w:rsidRPr="00414439">
        <w:rPr>
          <w:rFonts w:ascii="Times New Roman" w:hAnsi="Times New Roman" w:cs="Times New Roman"/>
        </w:rPr>
        <w:t xml:space="preserve">noviembre </w:t>
      </w:r>
      <w:r w:rsidR="00AB7D71" w:rsidRPr="00414439">
        <w:rPr>
          <w:rFonts w:ascii="Times New Roman" w:hAnsi="Times New Roman" w:cs="Times New Roman"/>
        </w:rPr>
        <w:t>de 201</w:t>
      </w:r>
      <w:r w:rsidR="00FD3519" w:rsidRPr="00414439">
        <w:rPr>
          <w:rFonts w:ascii="Times New Roman" w:hAnsi="Times New Roman" w:cs="Times New Roman"/>
        </w:rPr>
        <w:t>7</w:t>
      </w:r>
      <w:r w:rsidRPr="00414439">
        <w:rPr>
          <w:rFonts w:ascii="Times New Roman" w:hAnsi="Times New Roman" w:cs="Times New Roman"/>
        </w:rPr>
        <w:t xml:space="preserve">, </w:t>
      </w:r>
      <w:r w:rsidR="00136B0A">
        <w:rPr>
          <w:rFonts w:ascii="Times New Roman" w:hAnsi="Times New Roman" w:cs="Times New Roman"/>
        </w:rPr>
        <w:t xml:space="preserve">con el cual se </w:t>
      </w:r>
      <w:r w:rsidRPr="00414439">
        <w:rPr>
          <w:rFonts w:ascii="Times New Roman" w:hAnsi="Times New Roman" w:cs="Times New Roman"/>
        </w:rPr>
        <w:t xml:space="preserve">califica </w:t>
      </w:r>
      <w:r w:rsidR="001C5BB8" w:rsidRPr="00414439">
        <w:rPr>
          <w:rFonts w:ascii="Times New Roman" w:hAnsi="Times New Roman" w:cs="Times New Roman"/>
        </w:rPr>
        <w:t xml:space="preserve">al asentamiento humano de hecho y consolidado de interés social denominado </w:t>
      </w:r>
      <w:r w:rsidR="002C45BA" w:rsidRPr="00414439">
        <w:rPr>
          <w:rFonts w:ascii="Times New Roman" w:hAnsi="Times New Roman" w:cs="Times New Roman"/>
        </w:rPr>
        <w:t>Comité Pro-mejoras del Barrio “Altar de Pululahua”</w:t>
      </w:r>
      <w:r w:rsidR="00136B0A">
        <w:rPr>
          <w:rFonts w:ascii="Times New Roman" w:hAnsi="Times New Roman" w:cs="Times New Roman"/>
        </w:rPr>
        <w:t xml:space="preserve">, </w:t>
      </w:r>
      <w:r w:rsidR="001C5BB8" w:rsidRPr="00414439">
        <w:rPr>
          <w:rFonts w:ascii="Times New Roman" w:hAnsi="Times New Roman" w:cs="Times New Roman"/>
        </w:rPr>
        <w:t xml:space="preserve">en general con un </w:t>
      </w:r>
      <w:r w:rsidR="00AB7D71" w:rsidRPr="00414439">
        <w:rPr>
          <w:rFonts w:ascii="Times New Roman" w:hAnsi="Times New Roman" w:cs="Times New Roman"/>
        </w:rPr>
        <w:t xml:space="preserve">Riesgo </w:t>
      </w:r>
      <w:r w:rsidR="00FD3519" w:rsidRPr="00414439">
        <w:rPr>
          <w:rFonts w:ascii="Times New Roman" w:hAnsi="Times New Roman" w:cs="Times New Roman"/>
        </w:rPr>
        <w:t>Alto</w:t>
      </w:r>
      <w:r w:rsidR="00AB7D71" w:rsidRPr="00414439">
        <w:rPr>
          <w:rFonts w:ascii="Times New Roman" w:hAnsi="Times New Roman" w:cs="Times New Roman"/>
        </w:rPr>
        <w:t xml:space="preserve"> Mitigable, frente a movimientos de remoción en masa</w:t>
      </w:r>
      <w:r w:rsidR="00FD3519" w:rsidRPr="00414439">
        <w:rPr>
          <w:rFonts w:ascii="Times New Roman" w:hAnsi="Times New Roman" w:cs="Times New Roman"/>
        </w:rPr>
        <w:t xml:space="preserve">. Esto debido a que se observaron condiciones físicas en el terreno que representan amenaza, así </w:t>
      </w:r>
      <w:r w:rsidR="00571EE2" w:rsidRPr="00414439">
        <w:rPr>
          <w:rFonts w:ascii="Times New Roman" w:hAnsi="Times New Roman" w:cs="Times New Roman"/>
        </w:rPr>
        <w:t>c</w:t>
      </w:r>
      <w:r w:rsidR="00FD3519" w:rsidRPr="00414439">
        <w:rPr>
          <w:rFonts w:ascii="Times New Roman" w:hAnsi="Times New Roman" w:cs="Times New Roman"/>
        </w:rPr>
        <w:t>omo condiciones</w:t>
      </w:r>
      <w:r w:rsidR="00571EE2" w:rsidRPr="00414439">
        <w:rPr>
          <w:rFonts w:ascii="Times New Roman" w:hAnsi="Times New Roman" w:cs="Times New Roman"/>
        </w:rPr>
        <w:t xml:space="preserve"> de exposición ante flujos de escombros que podrán ocasionar daños o pérdidas, sin </w:t>
      </w:r>
      <w:r w:rsidR="00E0046B" w:rsidRPr="00414439">
        <w:rPr>
          <w:rFonts w:ascii="Times New Roman" w:hAnsi="Times New Roman" w:cs="Times New Roman"/>
        </w:rPr>
        <w:t>embargo,</w:t>
      </w:r>
      <w:r w:rsidR="00571EE2" w:rsidRPr="00414439">
        <w:rPr>
          <w:rFonts w:ascii="Times New Roman" w:hAnsi="Times New Roman" w:cs="Times New Roman"/>
        </w:rPr>
        <w:t xml:space="preserve"> este escenario de riesgo está condicionado a periodos extraordinarios de los fenómenos desencadenantes (precipitaciones y sismos)</w:t>
      </w:r>
      <w:r w:rsidR="00414439" w:rsidRPr="00414439">
        <w:rPr>
          <w:rFonts w:ascii="Times New Roman" w:hAnsi="Times New Roman" w:cs="Times New Roman"/>
        </w:rPr>
        <w:t xml:space="preserve">; </w:t>
      </w:r>
      <w:r w:rsidRPr="00414439">
        <w:rPr>
          <w:rFonts w:ascii="Times New Roman" w:hAnsi="Times New Roman" w:cs="Times New Roman"/>
        </w:rPr>
        <w:t xml:space="preserve"> </w:t>
      </w:r>
    </w:p>
    <w:p w14:paraId="31484231" w14:textId="02F6439E"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00782A25">
        <w:rPr>
          <w:rFonts w:ascii="Times New Roman" w:hAnsi="Times New Roman" w:cs="Times New Roman"/>
        </w:rPr>
        <w:t xml:space="preserve">el </w:t>
      </w:r>
      <w:r w:rsidR="007A4AC5" w:rsidRPr="00782A25">
        <w:rPr>
          <w:rFonts w:ascii="Times New Roman" w:hAnsi="Times New Roman" w:cs="Times New Roman"/>
        </w:rPr>
        <w:t xml:space="preserve">Informe </w:t>
      </w:r>
      <w:r w:rsidR="005118E8">
        <w:rPr>
          <w:rFonts w:ascii="Times New Roman" w:hAnsi="Times New Roman" w:cs="Times New Roman"/>
        </w:rPr>
        <w:t xml:space="preserve">de </w:t>
      </w:r>
      <w:r w:rsidR="007A4AC5" w:rsidRPr="00782A25">
        <w:rPr>
          <w:rFonts w:ascii="Times New Roman" w:hAnsi="Times New Roman" w:cs="Times New Roman"/>
        </w:rPr>
        <w:t xml:space="preserve">la Dirección Metropolitana de </w:t>
      </w:r>
      <w:r w:rsidR="005118E8">
        <w:rPr>
          <w:rFonts w:ascii="Times New Roman" w:hAnsi="Times New Roman" w:cs="Times New Roman"/>
        </w:rPr>
        <w:t xml:space="preserve">Gestión de Riesgos </w:t>
      </w:r>
      <w:r w:rsidR="005118E8" w:rsidRPr="00782A25">
        <w:rPr>
          <w:rFonts w:ascii="Times New Roman" w:hAnsi="Times New Roman" w:cs="Times New Roman"/>
        </w:rPr>
        <w:t>No.020-AT-DMGR-2020 de 11 de febrero de 2020</w:t>
      </w:r>
      <w:r w:rsidR="001349C4">
        <w:rPr>
          <w:rFonts w:ascii="Times New Roman" w:hAnsi="Times New Roman" w:cs="Times New Roman"/>
        </w:rPr>
        <w:t xml:space="preserve">, </w:t>
      </w:r>
      <w:r w:rsidR="005118E8" w:rsidRPr="00414439">
        <w:rPr>
          <w:rFonts w:ascii="Times New Roman" w:hAnsi="Times New Roman" w:cs="Times New Roman"/>
        </w:rPr>
        <w:t>califica por movimientos en masa al asentamiento humano de hecho y consolidado de interés social denominado Comité Pro-mejoras del Barrio “Altar de Pululahua”</w:t>
      </w:r>
      <w:r w:rsidR="005118E8">
        <w:rPr>
          <w:rFonts w:ascii="Times New Roman" w:hAnsi="Times New Roman" w:cs="Times New Roman"/>
        </w:rPr>
        <w:t xml:space="preserve"> </w:t>
      </w:r>
      <w:r w:rsidR="007A4AC5" w:rsidRPr="00782A25">
        <w:rPr>
          <w:rFonts w:ascii="Times New Roman" w:hAnsi="Times New Roman" w:cs="Times New Roman"/>
        </w:rPr>
        <w:t xml:space="preserve">en general </w:t>
      </w:r>
      <w:r w:rsidR="005118E8">
        <w:rPr>
          <w:rFonts w:ascii="Times New Roman" w:hAnsi="Times New Roman" w:cs="Times New Roman"/>
        </w:rPr>
        <w:t>con</w:t>
      </w:r>
      <w:r w:rsidR="007A4AC5" w:rsidRPr="00782A25">
        <w:rPr>
          <w:rFonts w:ascii="Times New Roman" w:hAnsi="Times New Roman" w:cs="Times New Roman"/>
        </w:rPr>
        <w:t xml:space="preserve"> un </w:t>
      </w:r>
      <w:r w:rsidR="007A4AC5" w:rsidRPr="00782A25">
        <w:rPr>
          <w:rFonts w:ascii="Times New Roman" w:hAnsi="Times New Roman" w:cs="Times New Roman"/>
          <w:bCs/>
        </w:rPr>
        <w:t xml:space="preserve">Riesgo Moderado Mitigable </w:t>
      </w:r>
      <w:r w:rsidR="007A4AC5" w:rsidRPr="00782A25">
        <w:rPr>
          <w:rFonts w:ascii="Times New Roman" w:hAnsi="Times New Roman" w:cs="Times New Roman"/>
        </w:rPr>
        <w:t xml:space="preserve">para todos lotes frente a deslizamientos, a excepción de los lotes  2, 3, 14, 20 que presentan un </w:t>
      </w:r>
      <w:r w:rsidR="007A4AC5" w:rsidRPr="00782A25">
        <w:rPr>
          <w:rFonts w:ascii="Times New Roman" w:hAnsi="Times New Roman" w:cs="Times New Roman"/>
          <w:bCs/>
        </w:rPr>
        <w:t>Riesgo Alto Mitigable</w:t>
      </w:r>
      <w:r w:rsidR="007A4AC5" w:rsidRPr="00782A25">
        <w:rPr>
          <w:rFonts w:ascii="Times New Roman" w:hAnsi="Times New Roman" w:cs="Times New Roman"/>
        </w:rPr>
        <w:t xml:space="preserve"> por tener cortes en el terreno sin protección y los lotes 104, 109, 111, 112, 116, 120, 127, 132, 133 y 134 que presentan un </w:t>
      </w:r>
      <w:r w:rsidR="007A4AC5" w:rsidRPr="00782A25">
        <w:rPr>
          <w:rFonts w:ascii="Times New Roman" w:hAnsi="Times New Roman" w:cs="Times New Roman"/>
          <w:bCs/>
        </w:rPr>
        <w:t>Riesgo Alto Mitigable</w:t>
      </w:r>
      <w:r w:rsidR="00B706AE">
        <w:rPr>
          <w:rFonts w:ascii="Times New Roman" w:hAnsi="Times New Roman" w:cs="Times New Roman"/>
          <w:bCs/>
        </w:rPr>
        <w:t xml:space="preserve"> </w:t>
      </w:r>
      <w:r w:rsidR="007A4AC5" w:rsidRPr="00782A25">
        <w:rPr>
          <w:rFonts w:ascii="Times New Roman" w:hAnsi="Times New Roman" w:cs="Times New Roman"/>
        </w:rPr>
        <w:t>por encontrarse colindantes con la quebrada ubicada al norte del asentamient</w:t>
      </w:r>
      <w:r w:rsidR="005118E8">
        <w:rPr>
          <w:rFonts w:ascii="Times New Roman" w:hAnsi="Times New Roman" w:cs="Times New Roman"/>
        </w:rPr>
        <w:t>o humano de hecho y consolidado</w:t>
      </w:r>
      <w:r w:rsidRPr="00360EE8">
        <w:rPr>
          <w:rFonts w:ascii="Times New Roman" w:hAnsi="Times New Roman" w:cs="Times New Roman"/>
        </w:rPr>
        <w:t>;</w:t>
      </w:r>
    </w:p>
    <w:p w14:paraId="0BB973FF" w14:textId="1580F8C6"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2F07AE" w:rsidRPr="00EB3929">
        <w:rPr>
          <w:rFonts w:ascii="Times New Roman" w:hAnsi="Times New Roman" w:cs="Times New Roman"/>
        </w:rPr>
        <w:t>mediante oficio No.</w:t>
      </w:r>
      <w:r w:rsidR="00EB3929" w:rsidRPr="00EB3929">
        <w:rPr>
          <w:rFonts w:ascii="Times New Roman" w:hAnsi="Times New Roman" w:cs="Times New Roman"/>
        </w:rPr>
        <w:t xml:space="preserve"> GADDMQ-AZLD-2020-1690-O, de 18 de junio de 2020, suscrito por la Administradora Zonal La Delicia, </w:t>
      </w:r>
      <w:r w:rsidR="00EB3929">
        <w:rPr>
          <w:rFonts w:ascii="Times New Roman" w:hAnsi="Times New Roman" w:cs="Times New Roman"/>
        </w:rPr>
        <w:t xml:space="preserve">se </w:t>
      </w:r>
      <w:r w:rsidR="00EB3929" w:rsidRPr="00EB3929">
        <w:rPr>
          <w:rFonts w:ascii="Times New Roman" w:hAnsi="Times New Roman" w:cs="Times New Roman"/>
        </w:rPr>
        <w:t xml:space="preserve">emite el </w:t>
      </w:r>
      <w:r w:rsidRPr="00EB3929">
        <w:rPr>
          <w:rFonts w:ascii="Times New Roman" w:hAnsi="Times New Roman" w:cs="Times New Roman"/>
        </w:rPr>
        <w:t xml:space="preserve">Informe </w:t>
      </w:r>
      <w:r w:rsidR="00EB3929" w:rsidRPr="00EB3929">
        <w:rPr>
          <w:rFonts w:ascii="Times New Roman" w:hAnsi="Times New Roman" w:cs="Times New Roman"/>
        </w:rPr>
        <w:t>técnico No. 049-UTYV-20, sobre la definición y replanteo vial para el asentamiento humano de hecho y consolidado denominado Comité Pro mejoras del Barrio “Altar de Pululahua”</w:t>
      </w:r>
      <w:r w:rsidRPr="00EB3929">
        <w:rPr>
          <w:rFonts w:ascii="Times New Roman" w:hAnsi="Times New Roman" w:cs="Times New Roman"/>
        </w:rPr>
        <w:t>;</w:t>
      </w:r>
    </w:p>
    <w:p w14:paraId="3CA68681" w14:textId="57F1CDF3"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EB3929" w:rsidRPr="00EB3929">
        <w:rPr>
          <w:rFonts w:ascii="Times New Roman" w:hAnsi="Times New Roman" w:cs="Times New Roman"/>
        </w:rPr>
        <w:t xml:space="preserve">mediante memorando No. </w:t>
      </w:r>
      <w:r w:rsidR="00D335F0">
        <w:rPr>
          <w:rFonts w:ascii="Times New Roman" w:hAnsi="Times New Roman" w:cs="Times New Roman"/>
        </w:rPr>
        <w:t>STHV-DMPPS-2020-0334-M, de 14 de agosto de 2020,</w:t>
      </w:r>
      <w:r w:rsidR="00085179">
        <w:rPr>
          <w:rFonts w:ascii="Times New Roman" w:hAnsi="Times New Roman" w:cs="Times New Roman"/>
        </w:rPr>
        <w:t xml:space="preserve"> suscrito por el Director Metropolitano de Políticas y Planeamiento del suelo (S), </w:t>
      </w:r>
      <w:r w:rsidR="00D335F0">
        <w:rPr>
          <w:rFonts w:ascii="Times New Roman" w:hAnsi="Times New Roman" w:cs="Times New Roman"/>
        </w:rPr>
        <w:t>la Secretaría de territorio Hábitat y Vivienda, considera factible el cambio de uso de suelo y edificabilidad (zonificación), para el asentamiento humano de hecho y consolidado denominado Comité Pro mejoras del Barrio “Altar de Pululahua”, a fin de que se continúe con el proceso de regularización</w:t>
      </w:r>
      <w:r w:rsidRPr="00EB3929">
        <w:rPr>
          <w:rFonts w:ascii="Times New Roman" w:hAnsi="Times New Roman" w:cs="Times New Roman"/>
        </w:rPr>
        <w:t>;</w:t>
      </w:r>
    </w:p>
    <w:p w14:paraId="1D94A111" w14:textId="5DFD85AB" w:rsidR="003F1795" w:rsidRDefault="003F1795" w:rsidP="003F1795">
      <w:pPr>
        <w:spacing w:after="240"/>
        <w:ind w:left="705" w:hanging="705"/>
        <w:rPr>
          <w:rFonts w:ascii="Times New Roman" w:hAnsi="Times New Roman" w:cs="Times New Roman"/>
        </w:rPr>
      </w:pPr>
      <w:r w:rsidRPr="00A327E6">
        <w:rPr>
          <w:rFonts w:ascii="Times New Roman" w:hAnsi="Times New Roman" w:cs="Times New Roman"/>
          <w:b/>
          <w:bCs/>
        </w:rPr>
        <w:t xml:space="preserve">Que, </w:t>
      </w:r>
      <w:r w:rsidRPr="00A327E6">
        <w:rPr>
          <w:rFonts w:ascii="Times New Roman" w:hAnsi="Times New Roman" w:cs="Times New Roman"/>
        </w:rPr>
        <w:tab/>
      </w:r>
      <w:r w:rsidR="009B1783" w:rsidRPr="00A327E6">
        <w:rPr>
          <w:rFonts w:ascii="Times New Roman" w:hAnsi="Times New Roman" w:cs="Times New Roman"/>
        </w:rPr>
        <w:t xml:space="preserve">mediante </w:t>
      </w:r>
      <w:r w:rsidR="00642AD3" w:rsidRPr="00A327E6">
        <w:rPr>
          <w:rFonts w:ascii="Times New Roman" w:hAnsi="Times New Roman" w:cs="Times New Roman"/>
        </w:rPr>
        <w:t>memorando INPC-</w:t>
      </w:r>
      <w:r w:rsidR="00A327E6" w:rsidRPr="00A327E6">
        <w:rPr>
          <w:rFonts w:ascii="Times New Roman" w:hAnsi="Times New Roman" w:cs="Times New Roman"/>
        </w:rPr>
        <w:t xml:space="preserve">DAAPPS-2020-0115-M, de 04 de marzo de 2020, el Instituto Nacional de Patrimonio Cultural, remite el </w:t>
      </w:r>
      <w:r w:rsidR="00A327E6" w:rsidRPr="00A327E6">
        <w:rPr>
          <w:rFonts w:ascii="Times New Roman" w:hAnsi="Times New Roman" w:cs="Times New Roman"/>
          <w:i/>
        </w:rPr>
        <w:t>“Análisis Informe actualizado del predio 5199972, del barrio Altar de Pululahua y la ordenanza No. 3259 en vigencia.”</w:t>
      </w:r>
      <w:r w:rsidRPr="00A327E6">
        <w:rPr>
          <w:rFonts w:ascii="Times New Roman" w:hAnsi="Times New Roman" w:cs="Times New Roman"/>
        </w:rPr>
        <w:t>;</w:t>
      </w:r>
    </w:p>
    <w:p w14:paraId="6DB563B2" w14:textId="77777777" w:rsidR="00D76D88" w:rsidRDefault="00A327E6" w:rsidP="00D76D88">
      <w:pPr>
        <w:spacing w:after="240"/>
        <w:ind w:left="705" w:hanging="705"/>
        <w:rPr>
          <w:rFonts w:ascii="Times New Roman" w:hAnsi="Times New Roman" w:cs="Times New Roman"/>
        </w:rPr>
      </w:pPr>
      <w:r>
        <w:rPr>
          <w:rFonts w:ascii="Times New Roman" w:hAnsi="Times New Roman" w:cs="Times New Roman"/>
          <w:b/>
          <w:bCs/>
        </w:rPr>
        <w:t>Que,</w:t>
      </w:r>
      <w:r>
        <w:rPr>
          <w:rFonts w:ascii="Times New Roman" w:hAnsi="Times New Roman" w:cs="Times New Roman"/>
          <w:b/>
          <w:bCs/>
        </w:rPr>
        <w:tab/>
      </w:r>
      <w:r w:rsidRPr="00D76D88">
        <w:rPr>
          <w:rFonts w:ascii="Times New Roman" w:hAnsi="Times New Roman" w:cs="Times New Roman"/>
        </w:rPr>
        <w:t xml:space="preserve">mediante </w:t>
      </w:r>
      <w:r w:rsidR="00D76D88" w:rsidRPr="00D76D88">
        <w:rPr>
          <w:rFonts w:ascii="Times New Roman" w:hAnsi="Times New Roman" w:cs="Times New Roman"/>
        </w:rPr>
        <w:t>Oficio Nro. STHV-DMGT-2021-0363-O, de 02 de febrero de 2021</w:t>
      </w:r>
      <w:r w:rsidR="00D76D88">
        <w:rPr>
          <w:rFonts w:ascii="Times New Roman" w:hAnsi="Times New Roman" w:cs="Times New Roman"/>
        </w:rPr>
        <w:t>, la Secretaría de Territorio Hábitat y Vivienda, emite el informe sobre el asentamiento humano de hecho y consolidado denominado Comité Pro mejoras del Barrio “Altar de Pululahua”, señalando que:</w:t>
      </w:r>
    </w:p>
    <w:p w14:paraId="1181818B" w14:textId="37B13A74" w:rsidR="00D76D88"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 xml:space="preserve">“El inmueble con predio N°5199927 con clave catastral 16412-01-001, de acuerdo con lo expuesto en el memorando STHV-DMPPS-2020-0334-M, mantiene la zona (H), y por lo tanto cualquier intervención nueva en el mismo, requerirá del informe técnico favorable de la Secretaría de Territorio, Hábitat y Vivienda, y para intervenciones constructivas mayores </w:t>
      </w:r>
      <w:r w:rsidRPr="00D76D88">
        <w:rPr>
          <w:rFonts w:ascii="Times New Roman" w:hAnsi="Times New Roman" w:cs="Times New Roman"/>
          <w:i/>
        </w:rPr>
        <w:lastRenderedPageBreak/>
        <w:t xml:space="preserve">nuevas sean arquitectónicas o urbanísticas, la aprobación de la Comisión de Áreas Históricas y Patrimonio. </w:t>
      </w:r>
    </w:p>
    <w:p w14:paraId="251C3F98" w14:textId="77777777" w:rsidR="00D76D88" w:rsidRPr="00D76D88" w:rsidRDefault="00D76D88" w:rsidP="00D76D88">
      <w:pPr>
        <w:pStyle w:val="Prrafodelista"/>
        <w:spacing w:after="240"/>
        <w:rPr>
          <w:rFonts w:ascii="Times New Roman" w:hAnsi="Times New Roman" w:cs="Times New Roman"/>
          <w:i/>
        </w:rPr>
      </w:pPr>
    </w:p>
    <w:p w14:paraId="61FDC856" w14:textId="64225717" w:rsidR="00A327E6"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En cuanto a la posibilidad de una subdivisión predial, esta será factible siempre y cuando se acoja lo dispuesto en el plan de uso y ocupación del suelo vigente, en referencia a la clasificación, uso y zonificación asignadas al predio.”</w:t>
      </w:r>
    </w:p>
    <w:p w14:paraId="369FB7DA" w14:textId="26376834" w:rsidR="00242678" w:rsidRPr="00242678" w:rsidRDefault="00242678" w:rsidP="00242678">
      <w:pPr>
        <w:spacing w:after="240"/>
        <w:ind w:left="705" w:hanging="705"/>
        <w:rPr>
          <w:rFonts w:ascii="Times New Roman" w:hAnsi="Times New Roman" w:cs="Times New Roman"/>
        </w:rPr>
      </w:pPr>
      <w:r>
        <w:rPr>
          <w:rFonts w:ascii="Times New Roman" w:hAnsi="Times New Roman" w:cs="Times New Roman"/>
          <w:b/>
          <w:bCs/>
        </w:rPr>
        <w:t>Que,</w:t>
      </w:r>
      <w:r>
        <w:rPr>
          <w:rFonts w:ascii="Times New Roman" w:hAnsi="Times New Roman" w:cs="Times New Roman"/>
          <w:b/>
          <w:bCs/>
        </w:rPr>
        <w:tab/>
      </w:r>
      <w:r w:rsidRPr="00242678">
        <w:rPr>
          <w:rFonts w:ascii="Times New Roman" w:hAnsi="Times New Roman" w:cs="Times New Roman"/>
        </w:rPr>
        <w:t xml:space="preserve">mediante memorando </w:t>
      </w:r>
      <w:r w:rsidR="00A73CE8" w:rsidRPr="00A73CE8">
        <w:rPr>
          <w:rFonts w:ascii="Times New Roman" w:hAnsi="Times New Roman" w:cs="Times New Roman"/>
        </w:rPr>
        <w:t>Oficio Nro. INPC-INPC-2021-0180-O</w:t>
      </w:r>
      <w:r w:rsidRPr="00242678">
        <w:rPr>
          <w:rFonts w:ascii="Times New Roman" w:hAnsi="Times New Roman" w:cs="Times New Roman"/>
        </w:rPr>
        <w:t xml:space="preserve">, de </w:t>
      </w:r>
      <w:r w:rsidR="00A73CE8">
        <w:rPr>
          <w:rFonts w:ascii="Times New Roman" w:hAnsi="Times New Roman" w:cs="Times New Roman"/>
        </w:rPr>
        <w:t>12</w:t>
      </w:r>
      <w:r w:rsidRPr="00242678">
        <w:rPr>
          <w:rFonts w:ascii="Times New Roman" w:hAnsi="Times New Roman" w:cs="Times New Roman"/>
        </w:rPr>
        <w:t xml:space="preserve"> de a</w:t>
      </w:r>
      <w:r w:rsidR="00A73CE8">
        <w:rPr>
          <w:rFonts w:ascii="Times New Roman" w:hAnsi="Times New Roman" w:cs="Times New Roman"/>
        </w:rPr>
        <w:t>b</w:t>
      </w:r>
      <w:r w:rsidRPr="00242678">
        <w:rPr>
          <w:rFonts w:ascii="Times New Roman" w:hAnsi="Times New Roman" w:cs="Times New Roman"/>
        </w:rPr>
        <w:t>r</w:t>
      </w:r>
      <w:r w:rsidR="00A73CE8">
        <w:rPr>
          <w:rFonts w:ascii="Times New Roman" w:hAnsi="Times New Roman" w:cs="Times New Roman"/>
        </w:rPr>
        <w:t>il</w:t>
      </w:r>
      <w:r w:rsidRPr="00242678">
        <w:rPr>
          <w:rFonts w:ascii="Times New Roman" w:hAnsi="Times New Roman" w:cs="Times New Roman"/>
        </w:rPr>
        <w:t xml:space="preserve"> de 202</w:t>
      </w:r>
      <w:r w:rsidR="00A73CE8">
        <w:rPr>
          <w:rFonts w:ascii="Times New Roman" w:hAnsi="Times New Roman" w:cs="Times New Roman"/>
        </w:rPr>
        <w:t>1</w:t>
      </w:r>
      <w:r w:rsidRPr="00242678">
        <w:rPr>
          <w:rFonts w:ascii="Times New Roman" w:hAnsi="Times New Roman" w:cs="Times New Roman"/>
        </w:rPr>
        <w:t>, el Instituto Nacional de Patrimonio Cultural, remite</w:t>
      </w:r>
      <w:r w:rsidR="00A73CE8">
        <w:rPr>
          <w:rFonts w:ascii="Times New Roman" w:hAnsi="Times New Roman" w:cs="Times New Roman"/>
        </w:rPr>
        <w:t xml:space="preserve"> </w:t>
      </w:r>
      <w:r w:rsidR="008855F3">
        <w:rPr>
          <w:rFonts w:ascii="Times New Roman" w:hAnsi="Times New Roman" w:cs="Times New Roman"/>
        </w:rPr>
        <w:t xml:space="preserve">el </w:t>
      </w:r>
      <w:r w:rsidR="008855F3" w:rsidRPr="008855F3">
        <w:rPr>
          <w:rFonts w:ascii="Times New Roman" w:hAnsi="Times New Roman" w:cs="Times New Roman"/>
        </w:rPr>
        <w:t>Memorando Nro. INPC-DAAPPS-2021-0239-M</w:t>
      </w:r>
      <w:r w:rsidR="008855F3">
        <w:rPr>
          <w:rFonts w:ascii="Times New Roman" w:hAnsi="Times New Roman" w:cs="Times New Roman"/>
        </w:rPr>
        <w:t xml:space="preserve">, en el cual se realiza </w:t>
      </w:r>
      <w:r w:rsidR="00A73CE8">
        <w:rPr>
          <w:rFonts w:ascii="Times New Roman" w:hAnsi="Times New Roman" w:cs="Times New Roman"/>
        </w:rPr>
        <w:t xml:space="preserve">la </w:t>
      </w:r>
      <w:r w:rsidR="00A73CE8" w:rsidRPr="00A73CE8">
        <w:rPr>
          <w:rFonts w:ascii="Times New Roman" w:hAnsi="Times New Roman" w:cs="Times New Roman"/>
        </w:rPr>
        <w:t>rectificación del memorando Nro. DAAPPS-2020-0115-M</w:t>
      </w:r>
      <w:r w:rsidR="00A73CE8">
        <w:rPr>
          <w:rFonts w:ascii="Times New Roman" w:hAnsi="Times New Roman" w:cs="Times New Roman"/>
        </w:rPr>
        <w:t xml:space="preserve">, de </w:t>
      </w:r>
      <w:r w:rsidR="00A73CE8" w:rsidRPr="00A73CE8">
        <w:rPr>
          <w:rFonts w:ascii="Times New Roman" w:hAnsi="Times New Roman" w:cs="Times New Roman"/>
        </w:rPr>
        <w:t>04 de marzo de 2020, donde se hace mención al predio 5599972 en la parroquia San Antonio de Pichincha, y debería decir Predio 5599927.</w:t>
      </w:r>
    </w:p>
    <w:p w14:paraId="71BF0DF1" w14:textId="77777777"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570100" w14:textId="77777777" w:rsidR="000D5D62"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3EE70149"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CONSOLIDADO DE INTERÉS SOCIAL DENOMINADO</w:t>
      </w:r>
      <w:r w:rsidR="00A96C44">
        <w:rPr>
          <w:rFonts w:ascii="Times New Roman" w:hAnsi="Times New Roman"/>
          <w:b/>
          <w:bCs/>
          <w:sz w:val="22"/>
          <w:szCs w:val="22"/>
        </w:rPr>
        <w:t xml:space="preserve"> </w:t>
      </w:r>
      <w:r w:rsidR="002C45BA">
        <w:rPr>
          <w:rFonts w:ascii="Times New Roman" w:hAnsi="Times New Roman"/>
          <w:b/>
          <w:bCs/>
          <w:sz w:val="22"/>
          <w:szCs w:val="22"/>
        </w:rPr>
        <w:t>COMITÉ PRO-MEJORAS DEL BARRIO “ALTAR DE PULULAHUA”</w:t>
      </w:r>
      <w:r w:rsidR="001349C4">
        <w:rPr>
          <w:rFonts w:ascii="Times New Roman" w:hAnsi="Times New Roman"/>
          <w:b/>
          <w:bCs/>
          <w:sz w:val="22"/>
          <w:szCs w:val="22"/>
        </w:rPr>
        <w:t>, A FAVOR DE SUS COPROPIETARIOS.</w:t>
      </w:r>
    </w:p>
    <w:p w14:paraId="2CF002F6" w14:textId="4B24FF76"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5199927</w:t>
      </w:r>
      <w:r w:rsidR="00B3032B">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 xml:space="preserve">sus vías, </w:t>
      </w:r>
      <w:r w:rsidR="0076544C">
        <w:rPr>
          <w:rFonts w:ascii="Times New Roman" w:hAnsi="Times New Roman" w:cs="Times New Roman"/>
        </w:rPr>
        <w:t xml:space="preserve">trasferencia de </w:t>
      </w:r>
      <w:r w:rsidR="0076544C" w:rsidRPr="002524F5">
        <w:rPr>
          <w:rFonts w:ascii="Times New Roman" w:hAnsi="Times New Roman" w:cs="Times New Roman"/>
        </w:rPr>
        <w:t>área</w:t>
      </w:r>
      <w:r w:rsidR="00A609FF">
        <w:rPr>
          <w:rFonts w:ascii="Times New Roman" w:hAnsi="Times New Roman" w:cs="Times New Roman"/>
        </w:rPr>
        <w:t>s</w:t>
      </w:r>
      <w:r w:rsidR="0076544C" w:rsidRPr="002524F5">
        <w:rPr>
          <w:rFonts w:ascii="Times New Roman" w:hAnsi="Times New Roman" w:cs="Times New Roman"/>
        </w:rPr>
        <w:t xml:space="preserve"> verde</w:t>
      </w:r>
      <w:r w:rsidR="00A609FF">
        <w:rPr>
          <w:rFonts w:ascii="Times New Roman" w:hAnsi="Times New Roman" w:cs="Times New Roman"/>
        </w:rPr>
        <w:t>s</w:t>
      </w:r>
      <w:r w:rsidR="0076544C" w:rsidRPr="0076544C">
        <w:rPr>
          <w:rFonts w:ascii="Times New Roman" w:hAnsi="Times New Roman" w:cs="Times New Roman"/>
          <w:bCs/>
          <w:color w:val="000000" w:themeColor="text1"/>
        </w:rPr>
        <w:t xml:space="preserve"> y</w:t>
      </w:r>
      <w:r w:rsidR="00A609FF">
        <w:rPr>
          <w:rFonts w:ascii="Times New Roman" w:hAnsi="Times New Roman" w:cs="Times New Roman"/>
          <w:bCs/>
          <w:color w:val="000000" w:themeColor="text1"/>
        </w:rPr>
        <w:t xml:space="preserve"> comunal</w:t>
      </w:r>
      <w:r w:rsidR="001349C4">
        <w:rPr>
          <w:rFonts w:ascii="Times New Roman" w:hAnsi="Times New Roman" w:cs="Times New Roman"/>
          <w:bCs/>
          <w:color w:val="000000" w:themeColor="text1"/>
        </w:rPr>
        <w:t>es</w:t>
      </w:r>
      <w:r w:rsidR="00A609FF">
        <w:rPr>
          <w:rFonts w:ascii="Times New Roman" w:hAnsi="Times New Roman" w:cs="Times New Roman"/>
          <w:bCs/>
          <w:color w:val="000000" w:themeColor="text1"/>
        </w:rPr>
        <w:t xml:space="preserve">, transferencia de áreas </w:t>
      </w:r>
      <w:r w:rsidR="001349C4">
        <w:rPr>
          <w:rFonts w:ascii="Times New Roman" w:hAnsi="Times New Roman" w:cs="Times New Roman"/>
          <w:bCs/>
          <w:color w:val="000000" w:themeColor="text1"/>
        </w:rPr>
        <w:t>de fajas de protección</w:t>
      </w:r>
      <w:r w:rsidR="00A609FF">
        <w:rPr>
          <w:rFonts w:ascii="Times New Roman" w:hAnsi="Times New Roman" w:cs="Times New Roman"/>
          <w:bCs/>
          <w:color w:val="000000" w:themeColor="text1"/>
        </w:rPr>
        <w:t xml:space="preserve"> y </w:t>
      </w:r>
      <w:r w:rsidR="001349C4">
        <w:rPr>
          <w:rFonts w:ascii="Times New Roman" w:hAnsi="Times New Roman" w:cs="Times New Roman"/>
          <w:bCs/>
          <w:color w:val="000000" w:themeColor="text1"/>
        </w:rPr>
        <w:t>modificar la zonificación actual</w:t>
      </w:r>
      <w:r w:rsidR="0076544C" w:rsidRPr="0076544C">
        <w:rPr>
          <w:rFonts w:ascii="Times New Roman" w:hAnsi="Times New Roman" w:cs="Times New Roman"/>
          <w:bCs/>
          <w:color w:val="000000" w:themeColor="text1"/>
        </w:rPr>
        <w:t xml:space="preserve"> sobre la que se encuentra el asentamiento humano </w:t>
      </w:r>
      <w:r w:rsidR="0076544C">
        <w:rPr>
          <w:rFonts w:ascii="Times New Roman" w:hAnsi="Times New Roman" w:cs="Times New Roman"/>
          <w:bCs/>
          <w:color w:val="000000" w:themeColor="text1"/>
        </w:rPr>
        <w:t xml:space="preserve">de hecho y consolidado de interés social denominado </w:t>
      </w:r>
      <w:r w:rsidR="002C45BA">
        <w:rPr>
          <w:rFonts w:ascii="Times New Roman" w:hAnsi="Times New Roman" w:cs="Times New Roman"/>
          <w:bCs/>
          <w:color w:val="000000" w:themeColor="text1"/>
        </w:rPr>
        <w:t>Comité Pro-mejoras del Barrio “Altar de Pululahua”</w:t>
      </w:r>
      <w:r w:rsidR="00CD61EE" w:rsidRPr="002524F5">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6C01ABC2"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Comité Pro-mejoras del Barrio “Altar de Pululahua”</w:t>
      </w:r>
      <w:r w:rsidR="003950F8"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lastRenderedPageBreak/>
        <w:t>Las dimensiones y superficies de los lotes son las determinadas en el plano aprobatorio que forma parte integrante de esta Ordenanza.</w:t>
      </w:r>
    </w:p>
    <w:p w14:paraId="51858ECD" w14:textId="523A1988"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2C45BA">
        <w:rPr>
          <w:rFonts w:ascii="Times New Roman" w:hAnsi="Times New Roman" w:cs="Times New Roman"/>
          <w:bCs/>
          <w:color w:val="000000" w:themeColor="text1"/>
        </w:rPr>
        <w:t>Comité Pro-mejoras del Barrio “Altar de Pululahua”</w:t>
      </w:r>
      <w:r w:rsidR="00461D3F"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3E736A1E"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w:t>
      </w:r>
      <w:r w:rsidR="00D37954" w:rsidRPr="002524F5">
        <w:rPr>
          <w:rFonts w:ascii="Times New Roman" w:hAnsi="Times New Roman" w:cs="Times New Roman"/>
          <w:b/>
          <w:bCs/>
        </w:rPr>
        <w:t>Social. -</w:t>
      </w:r>
      <w:r w:rsidR="000968AE" w:rsidRPr="002524F5">
        <w:rPr>
          <w:rFonts w:ascii="Times New Roman" w:hAnsi="Times New Roman" w:cs="Times New Roman"/>
          <w:b/>
          <w:bCs/>
        </w:rPr>
        <w:t xml:space="preserve">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5D624E60"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 xml:space="preserve">Especificaciones </w:t>
      </w:r>
      <w:r w:rsidR="00D37954" w:rsidRPr="00461D3F">
        <w:rPr>
          <w:rFonts w:ascii="Times New Roman" w:hAnsi="Times New Roman" w:cs="Times New Roman"/>
          <w:b/>
          <w:bCs/>
        </w:rPr>
        <w:t>técnicas. -</w:t>
      </w:r>
    </w:p>
    <w:p w14:paraId="09557964" w14:textId="77777777" w:rsidR="0076544C" w:rsidRDefault="0076544C" w:rsidP="00461D3F">
      <w:pPr>
        <w:spacing w:after="0"/>
        <w:rPr>
          <w:rFonts w:ascii="Times New Roman" w:hAnsi="Times New Roman" w:cs="Times New Roman"/>
          <w:b/>
          <w:bCs/>
        </w:rPr>
      </w:pPr>
    </w:p>
    <w:tbl>
      <w:tblPr>
        <w:tblW w:w="8926" w:type="dxa"/>
        <w:tblCellMar>
          <w:left w:w="70" w:type="dxa"/>
          <w:right w:w="70" w:type="dxa"/>
        </w:tblCellMar>
        <w:tblLook w:val="04A0" w:firstRow="1" w:lastRow="0" w:firstColumn="1" w:lastColumn="0" w:noHBand="0" w:noVBand="1"/>
      </w:tblPr>
      <w:tblGrid>
        <w:gridCol w:w="2880"/>
        <w:gridCol w:w="2785"/>
        <w:gridCol w:w="3261"/>
      </w:tblGrid>
      <w:tr w:rsidR="001A4BCA" w:rsidRPr="001A4BCA" w14:paraId="35CB98F8" w14:textId="77777777" w:rsidTr="001A4BC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16A38F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Predio Número:</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18B45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5199927</w:t>
            </w:r>
          </w:p>
        </w:tc>
      </w:tr>
      <w:tr w:rsidR="001A4BCA" w:rsidRPr="001A4BCA" w14:paraId="57DBD23C"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noWrap/>
            <w:hideMark/>
          </w:tcPr>
          <w:p w14:paraId="5EB82561"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Zonificación actual:</w:t>
            </w:r>
          </w:p>
        </w:tc>
        <w:tc>
          <w:tcPr>
            <w:tcW w:w="2785" w:type="dxa"/>
            <w:tcBorders>
              <w:top w:val="nil"/>
              <w:left w:val="nil"/>
              <w:bottom w:val="single" w:sz="4" w:space="0" w:color="auto"/>
              <w:right w:val="single" w:sz="4" w:space="0" w:color="auto"/>
            </w:tcBorders>
            <w:shd w:val="clear" w:color="auto" w:fill="auto"/>
            <w:vAlign w:val="center"/>
            <w:hideMark/>
          </w:tcPr>
          <w:p w14:paraId="597ED86C"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H8 (A2502H-10)</w:t>
            </w:r>
          </w:p>
        </w:tc>
        <w:tc>
          <w:tcPr>
            <w:tcW w:w="3261" w:type="dxa"/>
            <w:tcBorders>
              <w:top w:val="nil"/>
              <w:left w:val="nil"/>
              <w:bottom w:val="single" w:sz="4" w:space="0" w:color="auto"/>
              <w:right w:val="single" w:sz="4" w:space="0" w:color="auto"/>
            </w:tcBorders>
            <w:shd w:val="clear" w:color="auto" w:fill="auto"/>
            <w:vAlign w:val="center"/>
            <w:hideMark/>
          </w:tcPr>
          <w:p w14:paraId="72418D6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A31 (PQ)</w:t>
            </w:r>
          </w:p>
        </w:tc>
      </w:tr>
      <w:tr w:rsidR="001A4BCA" w:rsidRPr="001A4BCA" w14:paraId="79E9D75B"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71D2BD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Lote mínimo: </w:t>
            </w:r>
          </w:p>
        </w:tc>
        <w:tc>
          <w:tcPr>
            <w:tcW w:w="2785" w:type="dxa"/>
            <w:tcBorders>
              <w:top w:val="nil"/>
              <w:left w:val="nil"/>
              <w:bottom w:val="single" w:sz="4" w:space="0" w:color="auto"/>
              <w:right w:val="single" w:sz="4" w:space="0" w:color="auto"/>
            </w:tcBorders>
            <w:shd w:val="clear" w:color="auto" w:fill="auto"/>
            <w:vAlign w:val="center"/>
            <w:hideMark/>
          </w:tcPr>
          <w:p w14:paraId="25272A4D"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2500 m2</w:t>
            </w:r>
          </w:p>
        </w:tc>
        <w:tc>
          <w:tcPr>
            <w:tcW w:w="3261" w:type="dxa"/>
            <w:tcBorders>
              <w:top w:val="nil"/>
              <w:left w:val="nil"/>
              <w:bottom w:val="single" w:sz="4" w:space="0" w:color="auto"/>
              <w:right w:val="single" w:sz="4" w:space="0" w:color="auto"/>
            </w:tcBorders>
            <w:shd w:val="clear" w:color="auto" w:fill="auto"/>
            <w:vAlign w:val="center"/>
            <w:hideMark/>
          </w:tcPr>
          <w:p w14:paraId="6A8E8DFB"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0m2</w:t>
            </w:r>
          </w:p>
        </w:tc>
      </w:tr>
      <w:tr w:rsidR="001A4BCA" w:rsidRPr="001A4BCA" w14:paraId="47CF8436" w14:textId="77777777" w:rsidTr="00684AD6">
        <w:trPr>
          <w:trHeight w:val="392"/>
        </w:trPr>
        <w:tc>
          <w:tcPr>
            <w:tcW w:w="2880" w:type="dxa"/>
            <w:tcBorders>
              <w:top w:val="nil"/>
              <w:left w:val="single" w:sz="4" w:space="0" w:color="auto"/>
              <w:bottom w:val="single" w:sz="4" w:space="0" w:color="auto"/>
              <w:right w:val="single" w:sz="4" w:space="0" w:color="auto"/>
            </w:tcBorders>
            <w:shd w:val="clear" w:color="auto" w:fill="auto"/>
            <w:hideMark/>
          </w:tcPr>
          <w:p w14:paraId="1AF7C3F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Forma ocupación del suelo:                             </w:t>
            </w:r>
          </w:p>
        </w:tc>
        <w:tc>
          <w:tcPr>
            <w:tcW w:w="2785" w:type="dxa"/>
            <w:tcBorders>
              <w:top w:val="nil"/>
              <w:left w:val="nil"/>
              <w:bottom w:val="single" w:sz="4" w:space="0" w:color="auto"/>
              <w:right w:val="single" w:sz="4" w:space="0" w:color="auto"/>
            </w:tcBorders>
            <w:shd w:val="clear" w:color="auto" w:fill="auto"/>
            <w:vAlign w:val="center"/>
            <w:hideMark/>
          </w:tcPr>
          <w:p w14:paraId="2E25584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(H) Áreas Históricas</w:t>
            </w:r>
          </w:p>
        </w:tc>
        <w:tc>
          <w:tcPr>
            <w:tcW w:w="3261" w:type="dxa"/>
            <w:tcBorders>
              <w:top w:val="nil"/>
              <w:left w:val="nil"/>
              <w:bottom w:val="single" w:sz="4" w:space="0" w:color="auto"/>
              <w:right w:val="single" w:sz="4" w:space="0" w:color="auto"/>
            </w:tcBorders>
            <w:shd w:val="clear" w:color="auto" w:fill="auto"/>
            <w:vAlign w:val="center"/>
            <w:hideMark/>
          </w:tcPr>
          <w:p w14:paraId="69B7B60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(A) Aislada</w:t>
            </w:r>
          </w:p>
        </w:tc>
      </w:tr>
      <w:tr w:rsidR="001A4BCA" w:rsidRPr="001A4BCA" w14:paraId="24386C16" w14:textId="77777777" w:rsidTr="001A4BCA">
        <w:trPr>
          <w:trHeight w:val="77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F0FD8A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Uso principal:                              </w:t>
            </w:r>
          </w:p>
        </w:tc>
        <w:tc>
          <w:tcPr>
            <w:tcW w:w="2785" w:type="dxa"/>
            <w:tcBorders>
              <w:top w:val="nil"/>
              <w:left w:val="nil"/>
              <w:bottom w:val="single" w:sz="4" w:space="0" w:color="auto"/>
              <w:right w:val="single" w:sz="4" w:space="0" w:color="auto"/>
            </w:tcBorders>
            <w:shd w:val="clear" w:color="auto" w:fill="auto"/>
            <w:vAlign w:val="center"/>
            <w:hideMark/>
          </w:tcPr>
          <w:p w14:paraId="1DF7014B" w14:textId="7F5CC21E"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(A</w:t>
            </w:r>
            <w:r w:rsidR="00EB02BE">
              <w:rPr>
                <w:rFonts w:ascii="Times New Roman" w:hAnsi="Times New Roman" w:cs="Times New Roman"/>
                <w:bCs/>
                <w:color w:val="000000"/>
                <w:lang w:val="es-ES" w:eastAsia="es-EC"/>
              </w:rPr>
              <w:t>R</w:t>
            </w:r>
            <w:r w:rsidRPr="001A4BCA">
              <w:rPr>
                <w:rFonts w:ascii="Times New Roman" w:hAnsi="Times New Roman" w:cs="Times New Roman"/>
                <w:bCs/>
                <w:color w:val="000000"/>
                <w:lang w:val="es-ES" w:eastAsia="es-EC"/>
              </w:rPr>
              <w:t>R) Agrícola Residencial</w:t>
            </w:r>
          </w:p>
        </w:tc>
        <w:tc>
          <w:tcPr>
            <w:tcW w:w="3261" w:type="dxa"/>
            <w:tcBorders>
              <w:top w:val="nil"/>
              <w:left w:val="nil"/>
              <w:bottom w:val="single" w:sz="4" w:space="0" w:color="auto"/>
              <w:right w:val="single" w:sz="4" w:space="0" w:color="auto"/>
            </w:tcBorders>
            <w:shd w:val="clear" w:color="auto" w:fill="auto"/>
            <w:vAlign w:val="center"/>
            <w:hideMark/>
          </w:tcPr>
          <w:p w14:paraId="27F95B8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(PE/CPN) Protección Ecológica/Conservación del Patrimonio Natural</w:t>
            </w:r>
          </w:p>
        </w:tc>
      </w:tr>
      <w:tr w:rsidR="001A4BCA" w:rsidRPr="001A4BCA" w14:paraId="405CFDA1"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397440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Clasificación del Suelo:                                        </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18ED8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(SRU) Suelo Rural</w:t>
            </w:r>
          </w:p>
        </w:tc>
      </w:tr>
      <w:tr w:rsidR="001A4BCA" w:rsidRPr="001A4BCA" w14:paraId="6F6A5852"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4A7ADC2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Número de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5BEB9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139</w:t>
            </w:r>
          </w:p>
        </w:tc>
      </w:tr>
      <w:tr w:rsidR="001A4BCA" w:rsidRPr="001A4BCA" w14:paraId="40D102C1" w14:textId="77777777" w:rsidTr="001A4BCA">
        <w:trPr>
          <w:trHeight w:val="375"/>
        </w:trPr>
        <w:tc>
          <w:tcPr>
            <w:tcW w:w="2880" w:type="dxa"/>
            <w:tcBorders>
              <w:top w:val="nil"/>
              <w:left w:val="single" w:sz="4" w:space="0" w:color="auto"/>
              <w:bottom w:val="single" w:sz="4" w:space="0" w:color="auto"/>
              <w:right w:val="single" w:sz="4" w:space="0" w:color="auto"/>
            </w:tcBorders>
            <w:shd w:val="clear" w:color="auto" w:fill="auto"/>
            <w:hideMark/>
          </w:tcPr>
          <w:p w14:paraId="5DCB38C6"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Útil de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4DEED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28.159,16m2</w:t>
            </w:r>
          </w:p>
        </w:tc>
      </w:tr>
      <w:tr w:rsidR="001A4BCA" w:rsidRPr="001A4BCA" w14:paraId="06806FAA"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D636C9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Vías y Pasajes: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AE6AD" w14:textId="0DAD7CB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11</w:t>
            </w:r>
            <w:r w:rsidR="00B3032B">
              <w:rPr>
                <w:rFonts w:ascii="Times New Roman" w:hAnsi="Times New Roman" w:cs="Times New Roman"/>
                <w:color w:val="000000"/>
                <w:lang w:eastAsia="es-EC"/>
              </w:rPr>
              <w:t>.</w:t>
            </w:r>
            <w:r w:rsidRPr="001A4BCA">
              <w:rPr>
                <w:rFonts w:ascii="Times New Roman" w:hAnsi="Times New Roman" w:cs="Times New Roman"/>
                <w:color w:val="000000"/>
                <w:lang w:eastAsia="es-EC"/>
              </w:rPr>
              <w:t>5</w:t>
            </w:r>
            <w:r w:rsidR="00B3032B">
              <w:rPr>
                <w:rFonts w:ascii="Times New Roman" w:hAnsi="Times New Roman" w:cs="Times New Roman"/>
                <w:color w:val="000000"/>
                <w:lang w:eastAsia="es-EC"/>
              </w:rPr>
              <w:t>29</w:t>
            </w:r>
            <w:r w:rsidRPr="001A4BCA">
              <w:rPr>
                <w:rFonts w:ascii="Times New Roman" w:hAnsi="Times New Roman" w:cs="Times New Roman"/>
                <w:color w:val="000000"/>
                <w:lang w:eastAsia="es-EC"/>
              </w:rPr>
              <w:t>,57m2</w:t>
            </w:r>
          </w:p>
        </w:tc>
      </w:tr>
      <w:tr w:rsidR="001A4BCA" w:rsidRPr="001A4BCA" w14:paraId="69392C08" w14:textId="77777777" w:rsidTr="001A4BCA">
        <w:trPr>
          <w:trHeight w:val="388"/>
        </w:trPr>
        <w:tc>
          <w:tcPr>
            <w:tcW w:w="2880" w:type="dxa"/>
            <w:tcBorders>
              <w:top w:val="nil"/>
              <w:left w:val="single" w:sz="4" w:space="0" w:color="auto"/>
              <w:bottom w:val="single" w:sz="4" w:space="0" w:color="auto"/>
              <w:right w:val="single" w:sz="4" w:space="0" w:color="auto"/>
            </w:tcBorders>
            <w:shd w:val="clear" w:color="auto" w:fill="auto"/>
            <w:hideMark/>
          </w:tcPr>
          <w:p w14:paraId="0848870E"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Afectación Vial en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1E3B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1.357,29m2</w:t>
            </w:r>
          </w:p>
        </w:tc>
      </w:tr>
      <w:tr w:rsidR="001A4BCA" w:rsidRPr="001A4BCA" w14:paraId="67C88509" w14:textId="77777777" w:rsidTr="001A4BCA">
        <w:trPr>
          <w:trHeight w:val="624"/>
        </w:trPr>
        <w:tc>
          <w:tcPr>
            <w:tcW w:w="2880" w:type="dxa"/>
            <w:tcBorders>
              <w:top w:val="nil"/>
              <w:left w:val="single" w:sz="4" w:space="0" w:color="auto"/>
              <w:bottom w:val="single" w:sz="4" w:space="0" w:color="auto"/>
              <w:right w:val="single" w:sz="4" w:space="0" w:color="auto"/>
            </w:tcBorders>
            <w:shd w:val="clear" w:color="auto" w:fill="auto"/>
            <w:hideMark/>
          </w:tcPr>
          <w:p w14:paraId="515B1F39"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Faja de Protección de Quebrada en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C9B24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913,17m2</w:t>
            </w:r>
          </w:p>
        </w:tc>
      </w:tr>
      <w:tr w:rsidR="001A4BCA" w:rsidRPr="001A4BCA" w14:paraId="51B7B9C3" w14:textId="77777777" w:rsidTr="001A4BCA">
        <w:trPr>
          <w:trHeight w:val="363"/>
        </w:trPr>
        <w:tc>
          <w:tcPr>
            <w:tcW w:w="2880" w:type="dxa"/>
            <w:tcBorders>
              <w:top w:val="nil"/>
              <w:left w:val="single" w:sz="4" w:space="0" w:color="auto"/>
              <w:bottom w:val="single" w:sz="4" w:space="0" w:color="auto"/>
              <w:right w:val="single" w:sz="4" w:space="0" w:color="auto"/>
            </w:tcBorders>
            <w:shd w:val="clear" w:color="auto" w:fill="auto"/>
            <w:hideMark/>
          </w:tcPr>
          <w:p w14:paraId="12A49C2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Fajas de Protección:</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7AE5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4.783,71m2</w:t>
            </w:r>
          </w:p>
        </w:tc>
      </w:tr>
      <w:tr w:rsidR="001A4BCA" w:rsidRPr="001A4BCA" w14:paraId="1FF0B7E5"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105E413D"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Comunales: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F97B0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2.734,75m2</w:t>
            </w:r>
          </w:p>
        </w:tc>
      </w:tr>
      <w:tr w:rsidR="001A4BCA" w:rsidRPr="001A4BCA" w14:paraId="55319F36"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70CBA08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Verdes: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DB7C0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879,51m2</w:t>
            </w:r>
          </w:p>
        </w:tc>
      </w:tr>
      <w:tr w:rsidR="001A4BCA" w:rsidRPr="001A4BCA" w14:paraId="1765C685" w14:textId="77777777" w:rsidTr="001A4BCA">
        <w:trPr>
          <w:trHeight w:val="377"/>
        </w:trPr>
        <w:tc>
          <w:tcPr>
            <w:tcW w:w="2880" w:type="dxa"/>
            <w:tcBorders>
              <w:top w:val="nil"/>
              <w:left w:val="single" w:sz="4" w:space="0" w:color="auto"/>
              <w:bottom w:val="single" w:sz="4" w:space="0" w:color="auto"/>
              <w:right w:val="single" w:sz="4" w:space="0" w:color="auto"/>
            </w:tcBorders>
            <w:shd w:val="clear" w:color="auto" w:fill="auto"/>
            <w:hideMark/>
          </w:tcPr>
          <w:p w14:paraId="6BB5BAD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bruta del terreno(Área Total):</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CD132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50.357,16m2</w:t>
            </w:r>
          </w:p>
        </w:tc>
      </w:tr>
    </w:tbl>
    <w:p w14:paraId="28E13996" w14:textId="77777777" w:rsidR="000968AE" w:rsidRPr="00461D3F" w:rsidRDefault="000968AE" w:rsidP="001A4BCA">
      <w:pPr>
        <w:spacing w:after="0"/>
        <w:rPr>
          <w:rFonts w:ascii="Times New Roman" w:hAnsi="Times New Roman" w:cs="Times New Roman"/>
        </w:rPr>
      </w:pPr>
    </w:p>
    <w:p w14:paraId="2CD03386" w14:textId="075C847E"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C6185E">
        <w:rPr>
          <w:rFonts w:ascii="Times New Roman" w:hAnsi="Times New Roman" w:cs="Times New Roman"/>
        </w:rPr>
        <w:t>39</w:t>
      </w:r>
      <w:r w:rsidRPr="00461D3F">
        <w:rPr>
          <w:rFonts w:ascii="Times New Roman" w:hAnsi="Times New Roman" w:cs="Times New Roman"/>
        </w:rPr>
        <w:t xml:space="preserve">, signados del uno (1) al </w:t>
      </w:r>
      <w:r w:rsidR="00C6185E">
        <w:rPr>
          <w:rFonts w:ascii="Times New Roman" w:hAnsi="Times New Roman" w:cs="Times New Roman"/>
        </w:rPr>
        <w:t>ciento treinta y nueve</w:t>
      </w:r>
      <w:r w:rsidRPr="00461D3F">
        <w:rPr>
          <w:rFonts w:ascii="Times New Roman" w:hAnsi="Times New Roman" w:cs="Times New Roman"/>
        </w:rPr>
        <w:t xml:space="preserve"> (1</w:t>
      </w:r>
      <w:r w:rsidR="00C6185E">
        <w:rPr>
          <w:rFonts w:ascii="Times New Roman" w:hAnsi="Times New Roman" w:cs="Times New Roman"/>
        </w:rPr>
        <w:t>39</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13DF3041" w14:textId="72A435B5" w:rsidR="00C6185E" w:rsidRDefault="00C6185E" w:rsidP="00C6185E">
      <w:pPr>
        <w:spacing w:after="240"/>
        <w:rPr>
          <w:rFonts w:ascii="Times New Roman" w:hAnsi="Times New Roman" w:cs="Times New Roman"/>
        </w:rPr>
      </w:pPr>
      <w:r w:rsidRPr="00C6185E">
        <w:rPr>
          <w:rFonts w:ascii="Times New Roman" w:hAnsi="Times New Roman" w:cs="Times New Roman"/>
        </w:rPr>
        <w:t>El área total del predio No. 5199927, es la que consta en la Resolución No. 414-2017, emitida por la Dirección Metropolitana de Catastro, el 18 de octubre de 2017, inscrita en el Registro de la Propiedad del Distrito Metropolitano de Quito el 01 de agosto de 2018, y se encuentra rectificada y regularizada de conformidad al Art. IV.1.164 del Código Municipal para el Distrito Metropolitano de Quito.</w:t>
      </w:r>
    </w:p>
    <w:p w14:paraId="3D076419" w14:textId="703C285F" w:rsidR="000968AE" w:rsidRDefault="007F206F" w:rsidP="00C6185E">
      <w:pPr>
        <w:spacing w:after="240"/>
        <w:rPr>
          <w:rFonts w:ascii="Times New Roman" w:hAnsi="Times New Roman" w:cs="Times New Roman"/>
        </w:rPr>
      </w:pPr>
      <w:r w:rsidRPr="007A5A48">
        <w:rPr>
          <w:rFonts w:ascii="Times New Roman" w:hAnsi="Times New Roman" w:cs="Times New Roman"/>
          <w:b/>
          <w:bCs/>
        </w:rPr>
        <w:lastRenderedPageBreak/>
        <w:t xml:space="preserve">Artículo </w:t>
      </w:r>
      <w:r w:rsidR="00986F11" w:rsidRPr="007A5A48">
        <w:rPr>
          <w:rFonts w:ascii="Times New Roman" w:hAnsi="Times New Roman" w:cs="Times New Roman"/>
          <w:b/>
          <w:bCs/>
        </w:rPr>
        <w:t>5</w:t>
      </w:r>
      <w:r w:rsidRPr="007A5A48">
        <w:rPr>
          <w:rFonts w:ascii="Times New Roman" w:hAnsi="Times New Roman" w:cs="Times New Roman"/>
          <w:b/>
          <w:bCs/>
        </w:rPr>
        <w:t>.</w:t>
      </w:r>
      <w:r w:rsidR="000968AE" w:rsidRPr="007A5A48">
        <w:rPr>
          <w:rFonts w:ascii="Times New Roman" w:hAnsi="Times New Roman" w:cs="Times New Roman"/>
          <w:b/>
          <w:bCs/>
        </w:rPr>
        <w:t xml:space="preserve">- Zonificación de los </w:t>
      </w:r>
      <w:r w:rsidR="00A3267F" w:rsidRPr="007A5A48">
        <w:rPr>
          <w:rFonts w:ascii="Times New Roman" w:hAnsi="Times New Roman" w:cs="Times New Roman"/>
          <w:b/>
          <w:bCs/>
        </w:rPr>
        <w:t>lotes. -</w:t>
      </w:r>
      <w:r w:rsidR="00C0305E" w:rsidRPr="007A5A48">
        <w:rPr>
          <w:rFonts w:ascii="Times New Roman" w:hAnsi="Times New Roman" w:cs="Times New Roman"/>
          <w:b/>
          <w:bCs/>
        </w:rPr>
        <w:t xml:space="preserve"> </w:t>
      </w:r>
      <w:r w:rsidR="00013580" w:rsidRPr="007A5A48">
        <w:rPr>
          <w:rFonts w:ascii="Times New Roman" w:hAnsi="Times New Roman" w:cs="Times New Roman"/>
        </w:rPr>
        <w:t>Los lotes fraccionado</w:t>
      </w:r>
      <w:r w:rsidR="007A5A48">
        <w:rPr>
          <w:rFonts w:ascii="Times New Roman" w:hAnsi="Times New Roman" w:cs="Times New Roman"/>
        </w:rPr>
        <w:t xml:space="preserve">s modificarán la zonificación a: </w:t>
      </w:r>
      <w:r w:rsidR="002A4F11" w:rsidRPr="007A5A48">
        <w:rPr>
          <w:rFonts w:ascii="Times New Roman" w:hAnsi="Times New Roman" w:cs="Times New Roman"/>
        </w:rPr>
        <w:t>H1</w:t>
      </w:r>
      <w:r w:rsidR="007A5A48">
        <w:rPr>
          <w:rFonts w:ascii="Times New Roman" w:hAnsi="Times New Roman" w:cs="Times New Roman"/>
        </w:rPr>
        <w:t xml:space="preserve"> </w:t>
      </w:r>
      <w:r w:rsidR="002A4F11" w:rsidRPr="007A5A48">
        <w:rPr>
          <w:rFonts w:ascii="Times New Roman" w:hAnsi="Times New Roman" w:cs="Times New Roman"/>
        </w:rPr>
        <w:t>(D202H-</w:t>
      </w:r>
      <w:r w:rsidR="00A3267F" w:rsidRPr="007A5A48">
        <w:rPr>
          <w:rFonts w:ascii="Times New Roman" w:hAnsi="Times New Roman" w:cs="Times New Roman"/>
        </w:rPr>
        <w:t>70)</w:t>
      </w:r>
      <w:r w:rsidR="00A3267F">
        <w:rPr>
          <w:rFonts w:ascii="Times New Roman" w:hAnsi="Times New Roman" w:cs="Times New Roman"/>
        </w:rPr>
        <w:t>/A31 (PQ)</w:t>
      </w:r>
      <w:r w:rsidR="00013580" w:rsidRPr="007A5A48">
        <w:rPr>
          <w:rFonts w:ascii="Times New Roman" w:hAnsi="Times New Roman" w:cs="Times New Roman"/>
        </w:rPr>
        <w:t>, forma de ocupación: (</w:t>
      </w:r>
      <w:r w:rsidR="002A4F11" w:rsidRPr="007A5A48">
        <w:rPr>
          <w:rFonts w:ascii="Times New Roman" w:hAnsi="Times New Roman" w:cs="Times New Roman"/>
        </w:rPr>
        <w:t>D</w:t>
      </w:r>
      <w:r w:rsidR="00013580" w:rsidRPr="007A5A48">
        <w:rPr>
          <w:rFonts w:ascii="Times New Roman" w:hAnsi="Times New Roman" w:cs="Times New Roman"/>
        </w:rPr>
        <w:t xml:space="preserve">) </w:t>
      </w:r>
      <w:r w:rsidR="002A4F11" w:rsidRPr="007A5A48">
        <w:rPr>
          <w:rFonts w:ascii="Times New Roman" w:hAnsi="Times New Roman" w:cs="Times New Roman"/>
        </w:rPr>
        <w:t>Sobre línea de fábrica</w:t>
      </w:r>
      <w:r w:rsidR="00A3267F">
        <w:rPr>
          <w:rFonts w:ascii="Times New Roman" w:hAnsi="Times New Roman" w:cs="Times New Roman"/>
        </w:rPr>
        <w:t xml:space="preserve">/(H) Área </w:t>
      </w:r>
      <w:r w:rsidR="00024041">
        <w:rPr>
          <w:rFonts w:ascii="Times New Roman" w:hAnsi="Times New Roman" w:cs="Times New Roman"/>
        </w:rPr>
        <w:t>Histórica</w:t>
      </w:r>
      <w:r w:rsidR="00A3267F">
        <w:rPr>
          <w:rFonts w:ascii="Times New Roman" w:hAnsi="Times New Roman" w:cs="Times New Roman"/>
        </w:rPr>
        <w:t>/(A) Aislada</w:t>
      </w:r>
      <w:r w:rsidR="00013580" w:rsidRPr="007A5A48">
        <w:rPr>
          <w:rFonts w:ascii="Times New Roman" w:hAnsi="Times New Roman" w:cs="Times New Roman"/>
        </w:rPr>
        <w:t xml:space="preserve">; lote mínimo 200 m2; número de pisos: </w:t>
      </w:r>
      <w:r w:rsidR="002A4F11" w:rsidRPr="007A5A48">
        <w:rPr>
          <w:rFonts w:ascii="Times New Roman" w:hAnsi="Times New Roman" w:cs="Times New Roman"/>
        </w:rPr>
        <w:t>2</w:t>
      </w:r>
      <w:r w:rsidR="007A5A48" w:rsidRPr="007A5A48">
        <w:rPr>
          <w:rFonts w:ascii="Times New Roman" w:hAnsi="Times New Roman" w:cs="Times New Roman"/>
        </w:rPr>
        <w:t xml:space="preserve"> pisos; COS planta baja 7</w:t>
      </w:r>
      <w:r w:rsidR="00013580" w:rsidRPr="007A5A48">
        <w:rPr>
          <w:rFonts w:ascii="Times New Roman" w:hAnsi="Times New Roman" w:cs="Times New Roman"/>
        </w:rPr>
        <w:t xml:space="preserve">0%, COS total </w:t>
      </w:r>
      <w:r w:rsidR="007A5A48" w:rsidRPr="007A5A48">
        <w:rPr>
          <w:rFonts w:ascii="Times New Roman" w:hAnsi="Times New Roman" w:cs="Times New Roman"/>
        </w:rPr>
        <w:t>1</w:t>
      </w:r>
      <w:r w:rsidR="00013580" w:rsidRPr="007A5A48">
        <w:rPr>
          <w:rFonts w:ascii="Times New Roman" w:hAnsi="Times New Roman" w:cs="Times New Roman"/>
        </w:rPr>
        <w:t xml:space="preserve">40%; Uso principal: </w:t>
      </w:r>
      <w:r w:rsidR="007A5A48" w:rsidRPr="007A5A48">
        <w:rPr>
          <w:rFonts w:ascii="Times New Roman" w:hAnsi="Times New Roman" w:cs="Times New Roman"/>
        </w:rPr>
        <w:t>(RR</w:t>
      </w:r>
      <w:r w:rsidR="00A3267F">
        <w:rPr>
          <w:rFonts w:ascii="Times New Roman" w:hAnsi="Times New Roman" w:cs="Times New Roman"/>
        </w:rPr>
        <w:t>2</w:t>
      </w:r>
      <w:r w:rsidR="007A5A48" w:rsidRPr="007A5A48">
        <w:rPr>
          <w:rFonts w:ascii="Times New Roman" w:hAnsi="Times New Roman" w:cs="Times New Roman"/>
        </w:rPr>
        <w:t xml:space="preserve">) Residencial Rural </w:t>
      </w:r>
      <w:r w:rsidR="00A3267F">
        <w:rPr>
          <w:rFonts w:ascii="Times New Roman" w:hAnsi="Times New Roman" w:cs="Times New Roman"/>
        </w:rPr>
        <w:t>2</w:t>
      </w:r>
      <w:r w:rsidR="00013580" w:rsidRPr="007A5A48">
        <w:rPr>
          <w:rFonts w:ascii="Times New Roman" w:hAnsi="Times New Roman" w:cs="Times New Roman"/>
        </w:rPr>
        <w:t>.</w:t>
      </w:r>
    </w:p>
    <w:p w14:paraId="308794DD" w14:textId="3BFF28AA"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466B4" w:rsidRPr="002524F5">
        <w:rPr>
          <w:rFonts w:ascii="Times New Roman" w:hAnsi="Times New Roman" w:cs="Times New Roman"/>
          <w:b/>
          <w:bCs/>
        </w:rPr>
        <w:t>Clasificación del Suelo. -</w:t>
      </w:r>
      <w:r w:rsidR="008466B4" w:rsidRPr="002524F5">
        <w:rPr>
          <w:rFonts w:ascii="Times New Roman" w:hAnsi="Times New Roman" w:cs="Times New Roman"/>
        </w:rPr>
        <w:t xml:space="preserve"> La Clasificación del Suelo se ma</w:t>
      </w:r>
      <w:r w:rsidR="000F26B4">
        <w:rPr>
          <w:rFonts w:ascii="Times New Roman" w:hAnsi="Times New Roman" w:cs="Times New Roman"/>
        </w:rPr>
        <w:t>ntiene en</w:t>
      </w:r>
      <w:r w:rsidR="000B20E7">
        <w:rPr>
          <w:rFonts w:ascii="Times New Roman" w:hAnsi="Times New Roman" w:cs="Times New Roman"/>
        </w:rPr>
        <w:t xml:space="preserve">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604E3068"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Excepción.- </w:t>
      </w:r>
      <w:r w:rsidRPr="002524F5">
        <w:rPr>
          <w:rFonts w:ascii="Times New Roman" w:hAnsi="Times New Roman" w:cs="Times New Roman"/>
          <w:bCs/>
          <w:color w:val="000000"/>
        </w:rPr>
        <w:t>Por tratarse de un asentamiento humano de hecho y consolidado de interés social, se aprueban por excepción</w:t>
      </w:r>
      <w:r w:rsidR="000F26B4">
        <w:rPr>
          <w:rFonts w:ascii="Times New Roman" w:hAnsi="Times New Roman" w:cs="Times New Roman"/>
          <w:bCs/>
          <w:color w:val="000000"/>
        </w:rPr>
        <w:t xml:space="preserve"> esto es, con áreas inferiores a las mínimas establecidas en las zonificación vigente, </w:t>
      </w:r>
      <w:r w:rsidRPr="002524F5">
        <w:rPr>
          <w:rFonts w:ascii="Times New Roman" w:hAnsi="Times New Roman" w:cs="Times New Roman"/>
          <w:bCs/>
          <w:color w:val="000000"/>
        </w:rPr>
        <w:t xml:space="preserve">los lotes </w:t>
      </w:r>
      <w:r w:rsidR="000C5F25">
        <w:rPr>
          <w:rFonts w:ascii="Times New Roman" w:hAnsi="Times New Roman" w:cs="Times New Roman"/>
          <w:bCs/>
          <w:color w:val="000000"/>
        </w:rPr>
        <w:t>1, 2, 3, 4, 5, 6</w:t>
      </w:r>
      <w:r w:rsidRPr="002524F5">
        <w:rPr>
          <w:rFonts w:ascii="Times New Roman" w:hAnsi="Times New Roman" w:cs="Times New Roman"/>
          <w:bCs/>
          <w:color w:val="000000"/>
        </w:rPr>
        <w:t xml:space="preserve">, </w:t>
      </w:r>
      <w:r w:rsidR="000C5F25">
        <w:rPr>
          <w:rFonts w:ascii="Times New Roman" w:hAnsi="Times New Roman" w:cs="Times New Roman"/>
          <w:bCs/>
          <w:color w:val="000000"/>
        </w:rPr>
        <w:t>7</w:t>
      </w:r>
      <w:r w:rsidRPr="002524F5">
        <w:rPr>
          <w:rFonts w:ascii="Times New Roman" w:hAnsi="Times New Roman" w:cs="Times New Roman"/>
          <w:bCs/>
          <w:color w:val="000000"/>
        </w:rPr>
        <w:t>,</w:t>
      </w:r>
      <w:r w:rsidR="006D0AFC">
        <w:rPr>
          <w:rFonts w:ascii="Times New Roman" w:hAnsi="Times New Roman" w:cs="Times New Roman"/>
          <w:bCs/>
          <w:color w:val="000000"/>
        </w:rPr>
        <w:t xml:space="preserve"> </w:t>
      </w:r>
      <w:r w:rsidR="000C5F25">
        <w:rPr>
          <w:rFonts w:ascii="Times New Roman" w:hAnsi="Times New Roman" w:cs="Times New Roman"/>
          <w:bCs/>
          <w:color w:val="000000"/>
        </w:rPr>
        <w:t xml:space="preserve">8, 9, </w:t>
      </w:r>
      <w:r w:rsidR="000B20E7">
        <w:rPr>
          <w:rFonts w:ascii="Times New Roman" w:hAnsi="Times New Roman" w:cs="Times New Roman"/>
          <w:bCs/>
          <w:color w:val="000000"/>
        </w:rPr>
        <w:t>11</w:t>
      </w:r>
      <w:r w:rsidR="000C5F25">
        <w:rPr>
          <w:rFonts w:ascii="Times New Roman" w:hAnsi="Times New Roman" w:cs="Times New Roman"/>
          <w:bCs/>
          <w:color w:val="000000"/>
        </w:rPr>
        <w:t>,</w:t>
      </w:r>
      <w:r w:rsidR="006D0AFC">
        <w:rPr>
          <w:rFonts w:ascii="Times New Roman" w:hAnsi="Times New Roman" w:cs="Times New Roman"/>
          <w:bCs/>
          <w:color w:val="000000"/>
        </w:rPr>
        <w:t xml:space="preserve"> 12</w:t>
      </w:r>
      <w:r w:rsidR="000C5F25">
        <w:rPr>
          <w:rFonts w:ascii="Times New Roman" w:hAnsi="Times New Roman" w:cs="Times New Roman"/>
          <w:bCs/>
          <w:color w:val="000000"/>
        </w:rPr>
        <w:t xml:space="preserve">, </w:t>
      </w:r>
      <w:r w:rsidR="00341E5B">
        <w:rPr>
          <w:rFonts w:ascii="Times New Roman" w:hAnsi="Times New Roman" w:cs="Times New Roman"/>
          <w:bCs/>
          <w:color w:val="000000"/>
        </w:rPr>
        <w:t xml:space="preserve">21, 22, 23, 24, 25, </w:t>
      </w:r>
      <w:r w:rsidR="000C5F25">
        <w:rPr>
          <w:rFonts w:ascii="Times New Roman" w:hAnsi="Times New Roman" w:cs="Times New Roman"/>
          <w:bCs/>
          <w:color w:val="000000"/>
        </w:rPr>
        <w:t xml:space="preserve">26, 27, 29, 30, 31, 32, 33, </w:t>
      </w:r>
      <w:r w:rsidR="00341E5B">
        <w:rPr>
          <w:rFonts w:ascii="Times New Roman" w:hAnsi="Times New Roman" w:cs="Times New Roman"/>
          <w:bCs/>
          <w:color w:val="000000"/>
        </w:rPr>
        <w:t xml:space="preserve">34, </w:t>
      </w:r>
      <w:r w:rsidR="000C5F25">
        <w:rPr>
          <w:rFonts w:ascii="Times New Roman" w:hAnsi="Times New Roman" w:cs="Times New Roman"/>
          <w:bCs/>
          <w:color w:val="000000"/>
        </w:rPr>
        <w:t xml:space="preserve">35, 36, 37, 38, 39, 40, 41, 42, 43, 44, 45, 46, 47, 48, 49, 50, </w:t>
      </w:r>
      <w:r w:rsidR="00341E5B">
        <w:rPr>
          <w:rFonts w:ascii="Times New Roman" w:hAnsi="Times New Roman" w:cs="Times New Roman"/>
          <w:bCs/>
          <w:color w:val="000000"/>
        </w:rPr>
        <w:t xml:space="preserve">51, </w:t>
      </w:r>
      <w:r w:rsidR="000C5F25">
        <w:rPr>
          <w:rFonts w:ascii="Times New Roman" w:hAnsi="Times New Roman" w:cs="Times New Roman"/>
          <w:bCs/>
          <w:color w:val="000000"/>
        </w:rPr>
        <w:t xml:space="preserve">52, 54, 55, 56, 57, 58, 60, 62, 63, 64, 67, </w:t>
      </w:r>
      <w:r w:rsidR="00341E5B">
        <w:rPr>
          <w:rFonts w:ascii="Times New Roman" w:hAnsi="Times New Roman" w:cs="Times New Roman"/>
          <w:bCs/>
          <w:color w:val="000000"/>
        </w:rPr>
        <w:t xml:space="preserve">68, </w:t>
      </w:r>
      <w:r w:rsidR="000C5F25">
        <w:rPr>
          <w:rFonts w:ascii="Times New Roman" w:hAnsi="Times New Roman" w:cs="Times New Roman"/>
          <w:bCs/>
          <w:color w:val="000000"/>
        </w:rPr>
        <w:t xml:space="preserve">69, 70, 71, 72, 73, 74, 75, 76, 78, 80, 81, 82, 83, 84, 86, 89, 92, 95, 96, 97, 98, </w:t>
      </w:r>
      <w:r w:rsidR="00341E5B">
        <w:rPr>
          <w:rFonts w:ascii="Times New Roman" w:hAnsi="Times New Roman" w:cs="Times New Roman"/>
          <w:bCs/>
          <w:color w:val="000000"/>
        </w:rPr>
        <w:t xml:space="preserve">102, </w:t>
      </w:r>
      <w:r w:rsidR="000C5F25">
        <w:rPr>
          <w:rFonts w:ascii="Times New Roman" w:hAnsi="Times New Roman" w:cs="Times New Roman"/>
          <w:bCs/>
          <w:color w:val="000000"/>
        </w:rPr>
        <w:t>105, 117,</w:t>
      </w:r>
      <w:r w:rsidR="00341E5B">
        <w:rPr>
          <w:rFonts w:ascii="Times New Roman" w:hAnsi="Times New Roman" w:cs="Times New Roman"/>
          <w:bCs/>
          <w:color w:val="000000"/>
        </w:rPr>
        <w:t xml:space="preserve"> 125, </w:t>
      </w:r>
      <w:r w:rsidR="000C5F25">
        <w:rPr>
          <w:rFonts w:ascii="Times New Roman" w:hAnsi="Times New Roman" w:cs="Times New Roman"/>
          <w:bCs/>
          <w:color w:val="000000"/>
        </w:rPr>
        <w:t>126</w:t>
      </w:r>
      <w:r w:rsidR="00C80DC0">
        <w:rPr>
          <w:rFonts w:ascii="Times New Roman" w:hAnsi="Times New Roman" w:cs="Times New Roman"/>
          <w:bCs/>
          <w:color w:val="000000"/>
        </w:rPr>
        <w:t xml:space="preserve"> y 130</w:t>
      </w:r>
      <w:r w:rsidR="00986F11" w:rsidRPr="002524F5">
        <w:rPr>
          <w:rFonts w:ascii="Times New Roman" w:hAnsi="Times New Roman" w:cs="Times New Roman"/>
          <w:bCs/>
          <w:color w:val="000000"/>
        </w:rPr>
        <w:t>.</w:t>
      </w:r>
    </w:p>
    <w:p w14:paraId="7B605935" w14:textId="75722F1E" w:rsidR="00883D0B" w:rsidRDefault="007F206F" w:rsidP="0080046D">
      <w:pPr>
        <w:spacing w:after="24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024041" w:rsidRPr="0024254C">
        <w:rPr>
          <w:rFonts w:ascii="Times New Roman" w:hAnsi="Times New Roman" w:cs="Times New Roman"/>
          <w:bCs/>
          <w:color w:val="000000"/>
        </w:rPr>
        <w:t>A</w:t>
      </w:r>
      <w:r w:rsidR="00024041">
        <w:rPr>
          <w:rFonts w:ascii="Times New Roman" w:hAnsi="Times New Roman" w:cs="Times New Roman"/>
          <w:bCs/>
          <w:color w:val="000000"/>
        </w:rPr>
        <w:t xml:space="preserve"> </w:t>
      </w:r>
      <w:r w:rsidR="00024041" w:rsidRPr="0024254C">
        <w:rPr>
          <w:rFonts w:ascii="Times New Roman" w:hAnsi="Times New Roman" w:cs="Times New Roman"/>
          <w:bCs/>
          <w:color w:val="000000"/>
        </w:rPr>
        <w:t>l</w:t>
      </w:r>
      <w:r w:rsidR="00024041">
        <w:rPr>
          <w:rFonts w:ascii="Times New Roman" w:hAnsi="Times New Roman" w:cs="Times New Roman"/>
          <w:bCs/>
          <w:color w:val="000000"/>
        </w:rPr>
        <w:t>os</w:t>
      </w:r>
      <w:r w:rsidR="00024041" w:rsidRPr="0024254C">
        <w:rPr>
          <w:rFonts w:ascii="Times New Roman" w:hAnsi="Times New Roman" w:cs="Times New Roman"/>
          <w:bCs/>
          <w:color w:val="000000"/>
        </w:rPr>
        <w:t xml:space="preserve"> propietario</w:t>
      </w:r>
      <w:r w:rsidR="00024041">
        <w:rPr>
          <w:rFonts w:ascii="Times New Roman" w:hAnsi="Times New Roman" w:cs="Times New Roman"/>
          <w:bCs/>
          <w:color w:val="000000"/>
        </w:rPr>
        <w:t>s</w:t>
      </w:r>
      <w:r w:rsidR="00024041" w:rsidRPr="0024254C">
        <w:rPr>
          <w:rFonts w:ascii="Times New Roman" w:hAnsi="Times New Roman" w:cs="Times New Roman"/>
          <w:bCs/>
          <w:color w:val="000000"/>
        </w:rPr>
        <w:t xml:space="preserve"> del predio donde se encuentra el asentamiento humano de hecho y consolidado de interés social </w:t>
      </w:r>
      <w:r w:rsidR="00024041" w:rsidRPr="006635F0">
        <w:rPr>
          <w:rFonts w:ascii="Times New Roman" w:hAnsi="Times New Roman" w:cs="Times New Roman"/>
          <w:bCs/>
          <w:color w:val="000000"/>
        </w:rPr>
        <w:t>Comité Pro</w:t>
      </w:r>
      <w:r w:rsidR="00024041">
        <w:rPr>
          <w:rFonts w:ascii="Times New Roman" w:hAnsi="Times New Roman" w:cs="Times New Roman"/>
          <w:bCs/>
          <w:color w:val="000000"/>
        </w:rPr>
        <w:t>-</w:t>
      </w:r>
      <w:r w:rsidR="00024041" w:rsidRPr="006635F0">
        <w:rPr>
          <w:rFonts w:ascii="Times New Roman" w:hAnsi="Times New Roman" w:cs="Times New Roman"/>
          <w:bCs/>
          <w:color w:val="000000"/>
        </w:rPr>
        <w:t>mejoras del Barrio “</w:t>
      </w:r>
      <w:r w:rsidR="00024041">
        <w:rPr>
          <w:rFonts w:ascii="Times New Roman" w:hAnsi="Times New Roman" w:cs="Times New Roman"/>
          <w:bCs/>
          <w:color w:val="000000"/>
        </w:rPr>
        <w:t>Altar de Pululahua</w:t>
      </w:r>
      <w:r w:rsidR="00024041" w:rsidRPr="006635F0">
        <w:rPr>
          <w:rFonts w:ascii="Times New Roman" w:hAnsi="Times New Roman" w:cs="Times New Roman"/>
          <w:bCs/>
          <w:color w:val="000000"/>
        </w:rPr>
        <w:t>”</w:t>
      </w:r>
      <w:r w:rsidR="00024041" w:rsidRPr="0024254C">
        <w:rPr>
          <w:rFonts w:ascii="Times New Roman" w:hAnsi="Times New Roman" w:cs="Times New Roman"/>
          <w:bCs/>
          <w:color w:val="000000"/>
        </w:rPr>
        <w:t xml:space="preserve">, </w:t>
      </w:r>
      <w:r w:rsidR="00024041" w:rsidRPr="006635F0">
        <w:rPr>
          <w:rFonts w:ascii="Times New Roman" w:hAnsi="Times New Roman" w:cs="Times New Roman"/>
          <w:bCs/>
          <w:color w:val="000000"/>
        </w:rPr>
        <w:t>conforme a la normativa vigente se le</w:t>
      </w:r>
      <w:r w:rsidR="00024041">
        <w:rPr>
          <w:rFonts w:ascii="Times New Roman" w:hAnsi="Times New Roman" w:cs="Times New Roman"/>
          <w:bCs/>
          <w:color w:val="000000"/>
        </w:rPr>
        <w:t>s</w:t>
      </w:r>
      <w:r w:rsidR="00024041" w:rsidRPr="006635F0">
        <w:rPr>
          <w:rFonts w:ascii="Times New Roman" w:hAnsi="Times New Roman" w:cs="Times New Roman"/>
          <w:bCs/>
          <w:color w:val="000000"/>
        </w:rPr>
        <w:t xml:space="preserve"> exonera del 15% c</w:t>
      </w:r>
      <w:r w:rsidR="00024041">
        <w:rPr>
          <w:rFonts w:ascii="Times New Roman" w:hAnsi="Times New Roman" w:cs="Times New Roman"/>
          <w:bCs/>
          <w:color w:val="000000"/>
        </w:rPr>
        <w:t>omo contribución del área verde por ser considerado como un a</w:t>
      </w:r>
      <w:r w:rsidR="00024041" w:rsidRPr="006635F0">
        <w:rPr>
          <w:rFonts w:ascii="Times New Roman" w:hAnsi="Times New Roman" w:cs="Times New Roman"/>
          <w:bCs/>
          <w:color w:val="000000"/>
        </w:rPr>
        <w:t xml:space="preserve">sentamiento declarado de </w:t>
      </w:r>
      <w:r w:rsidR="00024041">
        <w:rPr>
          <w:rFonts w:ascii="Times New Roman" w:hAnsi="Times New Roman" w:cs="Times New Roman"/>
          <w:bCs/>
          <w:color w:val="000000"/>
        </w:rPr>
        <w:t>i</w:t>
      </w:r>
      <w:r w:rsidR="00024041" w:rsidRPr="006635F0">
        <w:rPr>
          <w:rFonts w:ascii="Times New Roman" w:hAnsi="Times New Roman" w:cs="Times New Roman"/>
          <w:bCs/>
          <w:color w:val="000000"/>
        </w:rPr>
        <w:t xml:space="preserve">nterés </w:t>
      </w:r>
      <w:r w:rsidR="00024041">
        <w:rPr>
          <w:rFonts w:ascii="Times New Roman" w:hAnsi="Times New Roman" w:cs="Times New Roman"/>
          <w:bCs/>
          <w:color w:val="000000"/>
        </w:rPr>
        <w:t>s</w:t>
      </w:r>
      <w:r w:rsidR="00024041" w:rsidRPr="006635F0">
        <w:rPr>
          <w:rFonts w:ascii="Times New Roman" w:hAnsi="Times New Roman" w:cs="Times New Roman"/>
          <w:bCs/>
          <w:color w:val="000000"/>
        </w:rPr>
        <w:t>ocial</w:t>
      </w:r>
      <w:r w:rsidR="00024041">
        <w:rPr>
          <w:rFonts w:ascii="Times New Roman" w:hAnsi="Times New Roman" w:cs="Times New Roman"/>
          <w:bCs/>
          <w:color w:val="000000"/>
        </w:rPr>
        <w:t>; S</w:t>
      </w:r>
      <w:r w:rsidR="00024041" w:rsidRPr="0024254C">
        <w:rPr>
          <w:rFonts w:ascii="Times New Roman" w:hAnsi="Times New Roman" w:cs="Times New Roman"/>
          <w:bCs/>
          <w:color w:val="000000"/>
        </w:rPr>
        <w:t>in embargo, de manera libre y voluntaria transfieren al Municipio del Distrito Metropolitano de Quito, como área verde</w:t>
      </w:r>
      <w:r w:rsidR="00024041">
        <w:rPr>
          <w:rFonts w:ascii="Times New Roman" w:hAnsi="Times New Roman" w:cs="Times New Roman"/>
          <w:bCs/>
          <w:color w:val="000000"/>
        </w:rPr>
        <w:t xml:space="preserve"> y de equipamiento comunal</w:t>
      </w:r>
      <w:r w:rsidR="00024041" w:rsidRPr="0024254C">
        <w:rPr>
          <w:rFonts w:ascii="Times New Roman" w:hAnsi="Times New Roman" w:cs="Times New Roman"/>
          <w:bCs/>
          <w:color w:val="000000"/>
        </w:rPr>
        <w:t xml:space="preserve"> un área total de </w:t>
      </w:r>
      <w:r w:rsidR="00024041">
        <w:rPr>
          <w:rFonts w:ascii="Times New Roman" w:hAnsi="Times New Roman" w:cs="Times New Roman"/>
          <w:bCs/>
          <w:color w:val="000000"/>
        </w:rPr>
        <w:t>3.614</w:t>
      </w:r>
      <w:r w:rsidR="00024041" w:rsidRPr="0024254C">
        <w:rPr>
          <w:rFonts w:ascii="Times New Roman" w:hAnsi="Times New Roman" w:cs="Times New Roman"/>
          <w:bCs/>
          <w:color w:val="000000"/>
        </w:rPr>
        <w:t>,</w:t>
      </w:r>
      <w:r w:rsidR="00024041">
        <w:rPr>
          <w:rFonts w:ascii="Times New Roman" w:hAnsi="Times New Roman" w:cs="Times New Roman"/>
          <w:bCs/>
          <w:color w:val="000000"/>
        </w:rPr>
        <w:t>26</w:t>
      </w:r>
      <w:r w:rsidR="00024041" w:rsidRPr="0024254C">
        <w:rPr>
          <w:rFonts w:ascii="Times New Roman" w:hAnsi="Times New Roman" w:cs="Times New Roman"/>
          <w:bCs/>
          <w:color w:val="000000"/>
        </w:rPr>
        <w:t>m2 del área útil de lotes, de conformidad al siguiente detalle:</w:t>
      </w: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1078"/>
        <w:gridCol w:w="1063"/>
        <w:gridCol w:w="2055"/>
      </w:tblGrid>
      <w:tr w:rsidR="00170836" w:rsidRPr="005B6545" w14:paraId="503668D9" w14:textId="77777777" w:rsidTr="005B4E1F">
        <w:trPr>
          <w:trHeight w:val="116"/>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E4FA33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tc>
      </w:tr>
      <w:tr w:rsidR="00170836" w:rsidRPr="005B6545" w14:paraId="13B7F23D" w14:textId="77777777" w:rsidTr="005B4E1F">
        <w:trPr>
          <w:trHeight w:val="7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261394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76DE461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48337AC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p w14:paraId="79FB0F51" w14:textId="77777777" w:rsidR="00170836" w:rsidRPr="005B4E1F" w:rsidRDefault="00170836" w:rsidP="00E65B1B">
            <w:pPr>
              <w:spacing w:after="0" w:line="240" w:lineRule="auto"/>
              <w:rPr>
                <w:rFonts w:ascii="Times New Roman" w:hAnsi="Times New Roman" w:cs="Times New Roman"/>
                <w:lang w:eastAsia="es-EC"/>
              </w:rPr>
            </w:pPr>
            <w:r w:rsidRPr="005B4E1F">
              <w:rPr>
                <w:rFonts w:ascii="Times New Roman" w:hAnsi="Times New Roman" w:cs="Times New Roman"/>
                <w:lang w:eastAsia="es-EC"/>
              </w:rPr>
              <w:t>  </w:t>
            </w:r>
          </w:p>
          <w:p w14:paraId="2F87988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7FF24CE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D7E058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1078" w:type="dxa"/>
            <w:tcBorders>
              <w:top w:val="nil"/>
              <w:left w:val="nil"/>
              <w:bottom w:val="single" w:sz="4" w:space="0" w:color="auto"/>
              <w:right w:val="single" w:sz="4" w:space="0" w:color="auto"/>
            </w:tcBorders>
            <w:shd w:val="clear" w:color="auto" w:fill="auto"/>
            <w:vAlign w:val="center"/>
            <w:hideMark/>
          </w:tcPr>
          <w:p w14:paraId="36A7C9F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063" w:type="dxa"/>
            <w:tcBorders>
              <w:top w:val="nil"/>
              <w:left w:val="nil"/>
              <w:bottom w:val="nil"/>
              <w:right w:val="single" w:sz="4" w:space="0" w:color="auto"/>
            </w:tcBorders>
            <w:shd w:val="clear" w:color="auto" w:fill="auto"/>
            <w:vAlign w:val="center"/>
            <w:hideMark/>
          </w:tcPr>
          <w:p w14:paraId="5DFBD71B"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2178008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5B6545" w14:paraId="7EB365DB" w14:textId="77777777" w:rsidTr="005B4E1F">
        <w:trPr>
          <w:trHeight w:val="175"/>
          <w:jc w:val="center"/>
        </w:trPr>
        <w:tc>
          <w:tcPr>
            <w:tcW w:w="1872" w:type="dxa"/>
            <w:vMerge/>
            <w:tcBorders>
              <w:left w:val="single" w:sz="4" w:space="0" w:color="auto"/>
              <w:right w:val="single" w:sz="4" w:space="0" w:color="auto"/>
            </w:tcBorders>
            <w:shd w:val="clear" w:color="auto" w:fill="auto"/>
            <w:vAlign w:val="center"/>
            <w:hideMark/>
          </w:tcPr>
          <w:p w14:paraId="12D4C96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8404E7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tcPr>
          <w:p w14:paraId="260DF17C" w14:textId="6F8CA4E0" w:rsidR="00170836" w:rsidRPr="005B4E1F" w:rsidRDefault="000E0553"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Protección 1</w:t>
            </w:r>
          </w:p>
          <w:p w14:paraId="7FF5F0DE" w14:textId="77BA6B1E" w:rsidR="00170836" w:rsidRPr="005B4E1F" w:rsidRDefault="000E0553"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Quebrada Abierta</w:t>
            </w:r>
          </w:p>
        </w:tc>
        <w:tc>
          <w:tcPr>
            <w:tcW w:w="1078" w:type="dxa"/>
            <w:tcBorders>
              <w:top w:val="nil"/>
              <w:left w:val="nil"/>
              <w:bottom w:val="single" w:sz="4" w:space="0" w:color="auto"/>
              <w:right w:val="single" w:sz="4" w:space="0" w:color="auto"/>
            </w:tcBorders>
            <w:shd w:val="clear" w:color="auto" w:fill="auto"/>
            <w:noWrap/>
            <w:vAlign w:val="bottom"/>
          </w:tcPr>
          <w:p w14:paraId="6C30585D" w14:textId="77777777" w:rsid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Ld=43,61</w:t>
            </w:r>
          </w:p>
          <w:p w14:paraId="3C743CE7" w14:textId="77777777" w:rsidR="005B4E1F" w:rsidRDefault="005B4E1F" w:rsidP="00E65B1B">
            <w:pPr>
              <w:spacing w:after="0" w:line="240" w:lineRule="auto"/>
              <w:jc w:val="center"/>
              <w:rPr>
                <w:rFonts w:ascii="Times New Roman" w:hAnsi="Times New Roman" w:cs="Times New Roman"/>
                <w:lang w:eastAsia="es-EC"/>
              </w:rPr>
            </w:pPr>
          </w:p>
          <w:p w14:paraId="19267826" w14:textId="15BADB1A"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 xml:space="preserve"> Ld=40,06</w:t>
            </w:r>
          </w:p>
        </w:tc>
        <w:tc>
          <w:tcPr>
            <w:tcW w:w="1063" w:type="dxa"/>
            <w:tcBorders>
              <w:top w:val="single" w:sz="4" w:space="0" w:color="auto"/>
              <w:left w:val="nil"/>
              <w:bottom w:val="nil"/>
              <w:right w:val="nil"/>
            </w:tcBorders>
            <w:shd w:val="clear" w:color="auto" w:fill="auto"/>
            <w:noWrap/>
            <w:vAlign w:val="bottom"/>
          </w:tcPr>
          <w:p w14:paraId="73DC1B4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Ld=83,67</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5E0E5119"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651,25 </w:t>
            </w:r>
          </w:p>
          <w:p w14:paraId="664A06D1" w14:textId="77777777" w:rsidR="00170836" w:rsidRPr="005B4E1F" w:rsidRDefault="00170836" w:rsidP="00E65B1B">
            <w:pPr>
              <w:spacing w:after="0" w:line="240" w:lineRule="auto"/>
              <w:rPr>
                <w:rFonts w:ascii="Times New Roman" w:hAnsi="Times New Roman" w:cs="Times New Roman"/>
                <w:lang w:eastAsia="es-EC"/>
              </w:rPr>
            </w:pPr>
          </w:p>
          <w:p w14:paraId="40F47EDB"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r>
      <w:tr w:rsidR="00170836" w:rsidRPr="00715E33" w14:paraId="151BA363" w14:textId="77777777" w:rsidTr="005B4E1F">
        <w:trPr>
          <w:trHeight w:val="122"/>
          <w:jc w:val="center"/>
        </w:trPr>
        <w:tc>
          <w:tcPr>
            <w:tcW w:w="1872" w:type="dxa"/>
            <w:vMerge/>
            <w:tcBorders>
              <w:left w:val="single" w:sz="4" w:space="0" w:color="auto"/>
              <w:right w:val="single" w:sz="4" w:space="0" w:color="auto"/>
            </w:tcBorders>
            <w:shd w:val="clear" w:color="auto" w:fill="auto"/>
            <w:vAlign w:val="center"/>
            <w:hideMark/>
          </w:tcPr>
          <w:p w14:paraId="43577BA5"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E2F30C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bottom"/>
          </w:tcPr>
          <w:p w14:paraId="436FE35E"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21</w:t>
            </w:r>
          </w:p>
          <w:p w14:paraId="36725E26"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22</w:t>
            </w:r>
          </w:p>
          <w:p w14:paraId="5C9298D7"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23</w:t>
            </w:r>
          </w:p>
          <w:p w14:paraId="7EFE636B"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24</w:t>
            </w:r>
          </w:p>
          <w:p w14:paraId="0038EE9F"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25</w:t>
            </w:r>
          </w:p>
          <w:p w14:paraId="2326E8DC"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26</w:t>
            </w:r>
          </w:p>
        </w:tc>
        <w:tc>
          <w:tcPr>
            <w:tcW w:w="1078" w:type="dxa"/>
            <w:tcBorders>
              <w:top w:val="nil"/>
              <w:left w:val="nil"/>
              <w:bottom w:val="single" w:sz="4" w:space="0" w:color="auto"/>
              <w:right w:val="single" w:sz="4" w:space="0" w:color="auto"/>
            </w:tcBorders>
            <w:shd w:val="clear" w:color="auto" w:fill="auto"/>
            <w:noWrap/>
          </w:tcPr>
          <w:p w14:paraId="26C00203"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3,88</w:t>
            </w:r>
          </w:p>
          <w:p w14:paraId="2F19F6E5"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122185D0"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B172F24"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337842DC"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7A9B00A"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3D3395D"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72,88</w:t>
            </w:r>
          </w:p>
        </w:tc>
        <w:tc>
          <w:tcPr>
            <w:tcW w:w="2055" w:type="dxa"/>
            <w:vMerge/>
            <w:tcBorders>
              <w:left w:val="single" w:sz="4" w:space="0" w:color="auto"/>
              <w:right w:val="single" w:sz="4" w:space="0" w:color="auto"/>
            </w:tcBorders>
            <w:shd w:val="clear" w:color="auto" w:fill="auto"/>
            <w:vAlign w:val="center"/>
            <w:hideMark/>
          </w:tcPr>
          <w:p w14:paraId="494C746F" w14:textId="77777777" w:rsidR="00170836" w:rsidRPr="005B4E1F" w:rsidRDefault="00170836" w:rsidP="00E65B1B">
            <w:pPr>
              <w:spacing w:after="0" w:line="240" w:lineRule="auto"/>
              <w:rPr>
                <w:rFonts w:ascii="Times New Roman" w:hAnsi="Times New Roman" w:cs="Times New Roman"/>
                <w:b/>
                <w:bCs/>
                <w:lang w:val="en-US" w:eastAsia="es-EC"/>
              </w:rPr>
            </w:pPr>
          </w:p>
        </w:tc>
      </w:tr>
      <w:tr w:rsidR="00170836" w:rsidRPr="005B6545" w14:paraId="0643528C" w14:textId="77777777" w:rsidTr="005B4E1F">
        <w:trPr>
          <w:trHeight w:val="75"/>
          <w:jc w:val="center"/>
        </w:trPr>
        <w:tc>
          <w:tcPr>
            <w:tcW w:w="1872" w:type="dxa"/>
            <w:vMerge/>
            <w:tcBorders>
              <w:left w:val="single" w:sz="4" w:space="0" w:color="auto"/>
              <w:right w:val="single" w:sz="4" w:space="0" w:color="auto"/>
            </w:tcBorders>
            <w:shd w:val="clear" w:color="auto" w:fill="auto"/>
            <w:noWrap/>
            <w:vAlign w:val="bottom"/>
            <w:hideMark/>
          </w:tcPr>
          <w:p w14:paraId="6057D75E" w14:textId="77777777" w:rsidR="00170836" w:rsidRPr="005B4E1F" w:rsidRDefault="00170836" w:rsidP="00E65B1B">
            <w:pPr>
              <w:spacing w:after="0" w:line="240" w:lineRule="auto"/>
              <w:rPr>
                <w:rFonts w:ascii="Times New Roman" w:hAnsi="Times New Roman" w:cs="Times New Roman"/>
                <w:lang w:val="en-US"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24EE192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5D47A52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1078" w:type="dxa"/>
            <w:tcBorders>
              <w:top w:val="single" w:sz="4" w:space="0" w:color="auto"/>
              <w:left w:val="nil"/>
              <w:bottom w:val="single" w:sz="4" w:space="0" w:color="auto"/>
              <w:right w:val="nil"/>
            </w:tcBorders>
            <w:shd w:val="clear" w:color="auto" w:fill="auto"/>
            <w:noWrap/>
            <w:vAlign w:val="bottom"/>
          </w:tcPr>
          <w:p w14:paraId="209723D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50D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4,43</w:t>
            </w:r>
          </w:p>
        </w:tc>
        <w:tc>
          <w:tcPr>
            <w:tcW w:w="2055" w:type="dxa"/>
            <w:vMerge/>
            <w:tcBorders>
              <w:left w:val="single" w:sz="4" w:space="0" w:color="auto"/>
              <w:right w:val="single" w:sz="4" w:space="0" w:color="auto"/>
            </w:tcBorders>
            <w:shd w:val="clear" w:color="auto" w:fill="auto"/>
            <w:noWrap/>
            <w:vAlign w:val="bottom"/>
            <w:hideMark/>
          </w:tcPr>
          <w:p w14:paraId="07F612FE" w14:textId="77777777" w:rsidR="00170836" w:rsidRPr="005B4E1F" w:rsidRDefault="00170836" w:rsidP="00E65B1B">
            <w:pPr>
              <w:spacing w:after="0" w:line="240" w:lineRule="auto"/>
              <w:rPr>
                <w:rFonts w:ascii="Times New Roman" w:hAnsi="Times New Roman" w:cs="Times New Roman"/>
                <w:lang w:eastAsia="es-EC"/>
              </w:rPr>
            </w:pPr>
          </w:p>
        </w:tc>
      </w:tr>
      <w:tr w:rsidR="00170836" w:rsidRPr="005B6545" w14:paraId="74A5731F" w14:textId="77777777" w:rsidTr="005B4E1F">
        <w:trPr>
          <w:trHeight w:val="75"/>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5FC28825"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4EDD1A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728FCD5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11C4E011"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nil"/>
              <w:bottom w:val="single" w:sz="4" w:space="0" w:color="auto"/>
              <w:right w:val="nil"/>
            </w:tcBorders>
            <w:shd w:val="clear" w:color="auto" w:fill="auto"/>
          </w:tcPr>
          <w:p w14:paraId="48D4A9D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18489C1" w14:textId="77777777" w:rsidR="00170836" w:rsidRPr="005B4E1F" w:rsidRDefault="00170836" w:rsidP="00E65B1B">
            <w:pPr>
              <w:spacing w:after="0" w:line="240" w:lineRule="auto"/>
              <w:rPr>
                <w:rFonts w:ascii="Times New Roman" w:hAnsi="Times New Roman" w:cs="Times New Roman"/>
                <w:lang w:eastAsia="es-EC"/>
              </w:rPr>
            </w:pPr>
          </w:p>
        </w:tc>
      </w:tr>
    </w:tbl>
    <w:p w14:paraId="7888EE44" w14:textId="77777777" w:rsidR="001F65EB" w:rsidRDefault="001F65EB" w:rsidP="000E0553">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7D398E8B"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8B830EB"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tc>
      </w:tr>
      <w:tr w:rsidR="00170836" w:rsidRPr="005B6545" w14:paraId="32E92CA1" w14:textId="77777777" w:rsidTr="005B4E1F">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241E6F45"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3E9F7ED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07D0B5C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p w14:paraId="6CD94576" w14:textId="77777777" w:rsidR="00170836" w:rsidRPr="00CA55C5" w:rsidRDefault="00170836" w:rsidP="00E65B1B">
            <w:pPr>
              <w:spacing w:after="0" w:line="240" w:lineRule="auto"/>
              <w:rPr>
                <w:rFonts w:ascii="Times New Roman" w:hAnsi="Times New Roman" w:cs="Times New Roman"/>
                <w:lang w:eastAsia="es-EC"/>
              </w:rPr>
            </w:pPr>
            <w:r w:rsidRPr="00CA55C5">
              <w:rPr>
                <w:rFonts w:ascii="Times New Roman" w:hAnsi="Times New Roman" w:cs="Times New Roman"/>
                <w:lang w:eastAsia="es-EC"/>
              </w:rPr>
              <w:t> </w:t>
            </w:r>
          </w:p>
          <w:p w14:paraId="664AC157"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5CE82203"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hideMark/>
          </w:tcPr>
          <w:p w14:paraId="506DAD2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bottom"/>
            <w:hideMark/>
          </w:tcPr>
          <w:p w14:paraId="1A985F67"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bottom"/>
            <w:hideMark/>
          </w:tcPr>
          <w:p w14:paraId="6290A8AA"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bottom"/>
            <w:hideMark/>
          </w:tcPr>
          <w:p w14:paraId="62A36F14"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170836" w:rsidRPr="00943E3C" w14:paraId="699ADB15"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3661F893"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78A024E"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3487618C" w14:textId="49039AD4" w:rsidR="00170836" w:rsidRPr="00CA55C5" w:rsidRDefault="00CA55C5"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 xml:space="preserve">e Protección </w:t>
            </w:r>
            <w:r w:rsidR="00170836" w:rsidRPr="00CA55C5">
              <w:rPr>
                <w:rFonts w:ascii="Times New Roman" w:hAnsi="Times New Roman" w:cs="Times New Roman"/>
                <w:lang w:eastAsia="es-EC"/>
              </w:rPr>
              <w:t>4</w:t>
            </w:r>
          </w:p>
        </w:tc>
        <w:tc>
          <w:tcPr>
            <w:tcW w:w="999" w:type="dxa"/>
            <w:tcBorders>
              <w:top w:val="nil"/>
              <w:left w:val="nil"/>
              <w:bottom w:val="single" w:sz="4" w:space="0" w:color="auto"/>
              <w:right w:val="single" w:sz="4" w:space="0" w:color="auto"/>
            </w:tcBorders>
            <w:shd w:val="clear" w:color="auto" w:fill="auto"/>
            <w:noWrap/>
            <w:vAlign w:val="center"/>
          </w:tcPr>
          <w:p w14:paraId="48B61153"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0BC3725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3,81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40687F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228,26m2</w:t>
            </w:r>
          </w:p>
        </w:tc>
      </w:tr>
      <w:tr w:rsidR="00170836" w:rsidRPr="005B6545" w14:paraId="3F51E0CC"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74D391FD"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3947D2F"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22937208"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Lote 139</w:t>
            </w:r>
          </w:p>
        </w:tc>
        <w:tc>
          <w:tcPr>
            <w:tcW w:w="999" w:type="dxa"/>
            <w:tcBorders>
              <w:top w:val="nil"/>
              <w:left w:val="nil"/>
              <w:bottom w:val="single" w:sz="4" w:space="0" w:color="auto"/>
              <w:right w:val="single" w:sz="4" w:space="0" w:color="auto"/>
            </w:tcBorders>
            <w:shd w:val="clear" w:color="auto" w:fill="auto"/>
            <w:noWrap/>
            <w:vAlign w:val="center"/>
          </w:tcPr>
          <w:p w14:paraId="0D8A5D6C"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102EBAC6"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11,14</w:t>
            </w:r>
          </w:p>
        </w:tc>
        <w:tc>
          <w:tcPr>
            <w:tcW w:w="2142" w:type="dxa"/>
            <w:vMerge/>
            <w:tcBorders>
              <w:left w:val="single" w:sz="4" w:space="0" w:color="auto"/>
              <w:right w:val="single" w:sz="4" w:space="0" w:color="auto"/>
            </w:tcBorders>
            <w:shd w:val="clear" w:color="auto" w:fill="auto"/>
            <w:vAlign w:val="center"/>
            <w:hideMark/>
          </w:tcPr>
          <w:p w14:paraId="6BBFFCCB" w14:textId="77777777" w:rsidR="00170836" w:rsidRPr="00CA55C5" w:rsidRDefault="00170836" w:rsidP="00E65B1B">
            <w:pPr>
              <w:spacing w:after="0" w:line="240" w:lineRule="auto"/>
              <w:rPr>
                <w:rFonts w:ascii="Times New Roman" w:hAnsi="Times New Roman" w:cs="Times New Roman"/>
                <w:b/>
                <w:bCs/>
                <w:lang w:eastAsia="es-EC"/>
              </w:rPr>
            </w:pPr>
          </w:p>
        </w:tc>
      </w:tr>
      <w:tr w:rsidR="00170836" w:rsidRPr="005B6545" w14:paraId="17EB486A"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329BF10"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9132"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F35F0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3572C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E19F"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26,45</w:t>
            </w:r>
          </w:p>
        </w:tc>
        <w:tc>
          <w:tcPr>
            <w:tcW w:w="2142" w:type="dxa"/>
            <w:vMerge/>
            <w:tcBorders>
              <w:left w:val="single" w:sz="4" w:space="0" w:color="auto"/>
              <w:right w:val="single" w:sz="4" w:space="0" w:color="auto"/>
            </w:tcBorders>
            <w:shd w:val="clear" w:color="auto" w:fill="auto"/>
            <w:noWrap/>
            <w:vAlign w:val="bottom"/>
            <w:hideMark/>
          </w:tcPr>
          <w:p w14:paraId="6A49450F" w14:textId="77777777" w:rsidR="00170836" w:rsidRPr="00CA55C5" w:rsidRDefault="00170836" w:rsidP="00E65B1B">
            <w:pPr>
              <w:spacing w:after="0" w:line="240" w:lineRule="auto"/>
              <w:rPr>
                <w:rFonts w:ascii="Times New Roman" w:hAnsi="Times New Roman" w:cs="Times New Roman"/>
                <w:lang w:eastAsia="es-EC"/>
              </w:rPr>
            </w:pPr>
          </w:p>
        </w:tc>
      </w:tr>
      <w:tr w:rsidR="00170836" w:rsidRPr="005B6545" w14:paraId="3FE506A4"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3845B691"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579AB05"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7A2D090"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Psj. Oe1A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0C27CD74"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6E0183E6"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Ld=28,07</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B2E0790" w14:textId="77777777" w:rsidR="00170836" w:rsidRPr="00CA55C5" w:rsidRDefault="00170836" w:rsidP="00E65B1B">
            <w:pPr>
              <w:spacing w:after="0" w:line="240" w:lineRule="auto"/>
              <w:rPr>
                <w:rFonts w:ascii="Times New Roman" w:hAnsi="Times New Roman" w:cs="Times New Roman"/>
                <w:lang w:eastAsia="es-EC"/>
              </w:rPr>
            </w:pPr>
          </w:p>
        </w:tc>
      </w:tr>
    </w:tbl>
    <w:p w14:paraId="6ED9EDBA" w14:textId="77777777" w:rsidR="00170836" w:rsidRDefault="00170836" w:rsidP="005B4E1F">
      <w:pPr>
        <w:spacing w:after="0"/>
        <w:rPr>
          <w:rFonts w:ascii="Times New Roman" w:hAnsi="Times New Roman" w:cs="Times New Roman"/>
          <w:b/>
        </w:rPr>
      </w:pPr>
    </w:p>
    <w:p w14:paraId="5987F70B" w14:textId="77777777" w:rsidR="00CA55C5" w:rsidRDefault="00CA55C5" w:rsidP="005B4E1F">
      <w:pPr>
        <w:spacing w:after="0"/>
        <w:rPr>
          <w:rFonts w:ascii="Times New Roman" w:hAnsi="Times New Roman" w:cs="Times New Roman"/>
          <w:b/>
        </w:rPr>
      </w:pPr>
    </w:p>
    <w:p w14:paraId="501D5390"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CA55C5" w:rsidRPr="00CA55C5" w14:paraId="28FB2A05" w14:textId="77777777" w:rsidTr="0099777A">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15CB07E9"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tc>
      </w:tr>
      <w:tr w:rsidR="00CA55C5" w:rsidRPr="00CA55C5" w14:paraId="7054D068" w14:textId="77777777" w:rsidTr="006976D2">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687DA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64D1AFE6"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p w14:paraId="5B5603A3"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0DD6727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76F0ED94"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3D73E21"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377391A"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FD66E5D"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CA55C5" w:rsidRPr="00CA55C5" w14:paraId="20CAC14F" w14:textId="77777777" w:rsidTr="0099777A">
        <w:trPr>
          <w:trHeight w:val="50"/>
          <w:jc w:val="center"/>
        </w:trPr>
        <w:tc>
          <w:tcPr>
            <w:tcW w:w="1872" w:type="dxa"/>
            <w:vMerge/>
            <w:tcBorders>
              <w:left w:val="single" w:sz="4" w:space="0" w:color="auto"/>
              <w:right w:val="single" w:sz="4" w:space="0" w:color="auto"/>
            </w:tcBorders>
            <w:shd w:val="clear" w:color="auto" w:fill="auto"/>
            <w:vAlign w:val="center"/>
            <w:hideMark/>
          </w:tcPr>
          <w:p w14:paraId="00CC11D5"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FD4C929"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135E6E4"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CaN7</w:t>
            </w:r>
          </w:p>
        </w:tc>
        <w:tc>
          <w:tcPr>
            <w:tcW w:w="999" w:type="dxa"/>
            <w:tcBorders>
              <w:top w:val="nil"/>
              <w:left w:val="nil"/>
              <w:bottom w:val="single" w:sz="4" w:space="0" w:color="auto"/>
              <w:right w:val="single" w:sz="4" w:space="0" w:color="auto"/>
            </w:tcBorders>
            <w:shd w:val="clear" w:color="auto" w:fill="auto"/>
            <w:noWrap/>
            <w:vAlign w:val="center"/>
          </w:tcPr>
          <w:p w14:paraId="5BE7724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91743BA"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140,30</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C8E0E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2355,57</w:t>
            </w:r>
          </w:p>
        </w:tc>
      </w:tr>
      <w:tr w:rsidR="00CA55C5" w:rsidRPr="00CA55C5" w14:paraId="66053238" w14:textId="77777777" w:rsidTr="0099777A">
        <w:trPr>
          <w:trHeight w:val="296"/>
          <w:jc w:val="center"/>
        </w:trPr>
        <w:tc>
          <w:tcPr>
            <w:tcW w:w="1872" w:type="dxa"/>
            <w:vMerge/>
            <w:tcBorders>
              <w:left w:val="single" w:sz="4" w:space="0" w:color="auto"/>
              <w:right w:val="single" w:sz="4" w:space="0" w:color="auto"/>
            </w:tcBorders>
            <w:shd w:val="clear" w:color="auto" w:fill="auto"/>
            <w:vAlign w:val="center"/>
            <w:hideMark/>
          </w:tcPr>
          <w:p w14:paraId="1D66C958"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B47000D"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DD9A659" w14:textId="672076F8" w:rsidR="00CA55C5" w:rsidRPr="00CA55C5"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e Protecci</w:t>
            </w:r>
            <w:r>
              <w:rPr>
                <w:rFonts w:ascii="Times New Roman" w:hAnsi="Times New Roman" w:cs="Times New Roman"/>
                <w:lang w:eastAsia="es-EC"/>
              </w:rPr>
              <w:t>ó</w:t>
            </w:r>
            <w:r w:rsidRPr="00CA55C5">
              <w:rPr>
                <w:rFonts w:ascii="Times New Roman" w:hAnsi="Times New Roman" w:cs="Times New Roman"/>
                <w:lang w:eastAsia="es-EC"/>
              </w:rPr>
              <w:t>n 2</w:t>
            </w:r>
          </w:p>
        </w:tc>
        <w:tc>
          <w:tcPr>
            <w:tcW w:w="999" w:type="dxa"/>
            <w:tcBorders>
              <w:top w:val="nil"/>
              <w:left w:val="nil"/>
              <w:bottom w:val="single" w:sz="4" w:space="0" w:color="auto"/>
              <w:right w:val="single" w:sz="4" w:space="0" w:color="auto"/>
            </w:tcBorders>
            <w:shd w:val="clear" w:color="auto" w:fill="auto"/>
            <w:noWrap/>
            <w:vAlign w:val="center"/>
          </w:tcPr>
          <w:p w14:paraId="61CF83F0"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10585B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Ld=153,49</w:t>
            </w:r>
          </w:p>
        </w:tc>
        <w:tc>
          <w:tcPr>
            <w:tcW w:w="2142" w:type="dxa"/>
            <w:vMerge/>
            <w:tcBorders>
              <w:left w:val="single" w:sz="4" w:space="0" w:color="auto"/>
              <w:right w:val="single" w:sz="4" w:space="0" w:color="auto"/>
            </w:tcBorders>
            <w:shd w:val="clear" w:color="auto" w:fill="auto"/>
            <w:vAlign w:val="center"/>
            <w:hideMark/>
          </w:tcPr>
          <w:p w14:paraId="7BE6F300" w14:textId="77777777" w:rsidR="00CA55C5" w:rsidRPr="00CA55C5" w:rsidRDefault="00CA55C5" w:rsidP="0099777A">
            <w:pPr>
              <w:spacing w:after="0" w:line="240" w:lineRule="auto"/>
              <w:rPr>
                <w:rFonts w:ascii="Times New Roman" w:hAnsi="Times New Roman" w:cs="Times New Roman"/>
                <w:b/>
                <w:bCs/>
                <w:lang w:eastAsia="es-EC"/>
              </w:rPr>
            </w:pPr>
          </w:p>
        </w:tc>
      </w:tr>
      <w:tr w:rsidR="00CA55C5" w:rsidRPr="00CA55C5" w14:paraId="36895D19" w14:textId="77777777" w:rsidTr="0099777A">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70648BD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E73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6692F0E1"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2E2FDCC7"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58D7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6,08</w:t>
            </w:r>
          </w:p>
        </w:tc>
        <w:tc>
          <w:tcPr>
            <w:tcW w:w="2142" w:type="dxa"/>
            <w:vMerge/>
            <w:tcBorders>
              <w:left w:val="single" w:sz="4" w:space="0" w:color="auto"/>
              <w:right w:val="single" w:sz="4" w:space="0" w:color="auto"/>
            </w:tcBorders>
            <w:shd w:val="clear" w:color="auto" w:fill="auto"/>
            <w:noWrap/>
            <w:vAlign w:val="bottom"/>
            <w:hideMark/>
          </w:tcPr>
          <w:p w14:paraId="0A81F464" w14:textId="77777777" w:rsidR="00CA55C5" w:rsidRPr="00CA55C5" w:rsidRDefault="00CA55C5" w:rsidP="0099777A">
            <w:pPr>
              <w:spacing w:after="0" w:line="240" w:lineRule="auto"/>
              <w:rPr>
                <w:rFonts w:ascii="Times New Roman" w:hAnsi="Times New Roman" w:cs="Times New Roman"/>
                <w:lang w:eastAsia="es-EC"/>
              </w:rPr>
            </w:pPr>
          </w:p>
        </w:tc>
      </w:tr>
      <w:tr w:rsidR="00CA55C5" w:rsidRPr="00CA55C5" w14:paraId="0CFD5F55" w14:textId="77777777" w:rsidTr="0099777A">
        <w:trPr>
          <w:trHeight w:val="214"/>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EC5477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153BA1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415A7C5"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DD1EDA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0996469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9,92</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51FB8B2" w14:textId="77777777" w:rsidR="00CA55C5" w:rsidRPr="00CA55C5" w:rsidRDefault="00CA55C5" w:rsidP="0099777A">
            <w:pPr>
              <w:spacing w:after="0" w:line="240" w:lineRule="auto"/>
              <w:rPr>
                <w:rFonts w:ascii="Times New Roman" w:hAnsi="Times New Roman" w:cs="Times New Roman"/>
                <w:lang w:eastAsia="es-EC"/>
              </w:rPr>
            </w:pPr>
          </w:p>
        </w:tc>
      </w:tr>
    </w:tbl>
    <w:p w14:paraId="101B8ABD"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22167E" w14:paraId="07B2929E"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30DF75AF"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tc>
      </w:tr>
      <w:tr w:rsidR="00170836" w:rsidRPr="0022167E" w14:paraId="6C836864"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68AF7B48"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2F1968BA"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p w14:paraId="7CD36CCD"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5601EE6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2322ED76"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DFC82C4"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2B3143D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1C04502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22167E" w14:paraId="0E74C53F"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0848B313"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80AA55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7B76A2DE" w14:textId="7C43548A" w:rsidR="00170836" w:rsidRPr="005B4E1F"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w:t>
            </w:r>
            <w:r>
              <w:rPr>
                <w:rFonts w:ascii="Times New Roman" w:hAnsi="Times New Roman" w:cs="Times New Roman"/>
                <w:lang w:eastAsia="es-EC"/>
              </w:rPr>
              <w:t>ó</w:t>
            </w:r>
            <w:r w:rsidRPr="005B4E1F">
              <w:rPr>
                <w:rFonts w:ascii="Times New Roman" w:hAnsi="Times New Roman" w:cs="Times New Roman"/>
                <w:lang w:eastAsia="es-EC"/>
              </w:rPr>
              <w:t xml:space="preserve">n </w:t>
            </w:r>
            <w:r w:rsidR="00170836" w:rsidRPr="005B4E1F">
              <w:rPr>
                <w:rFonts w:ascii="Times New Roman" w:hAnsi="Times New Roman" w:cs="Times New Roman"/>
                <w:lang w:eastAsia="es-EC"/>
              </w:rPr>
              <w:t>2</w:t>
            </w:r>
          </w:p>
        </w:tc>
        <w:tc>
          <w:tcPr>
            <w:tcW w:w="999" w:type="dxa"/>
            <w:tcBorders>
              <w:top w:val="nil"/>
              <w:left w:val="nil"/>
              <w:bottom w:val="single" w:sz="4" w:space="0" w:color="auto"/>
              <w:right w:val="single" w:sz="4" w:space="0" w:color="auto"/>
            </w:tcBorders>
            <w:shd w:val="clear" w:color="auto" w:fill="auto"/>
            <w:noWrap/>
            <w:vAlign w:val="center"/>
          </w:tcPr>
          <w:p w14:paraId="115326CC"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3E04153C"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Ld=78,01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3DAF7052"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379,18</w:t>
            </w:r>
          </w:p>
        </w:tc>
      </w:tr>
      <w:tr w:rsidR="00170836" w:rsidRPr="0022167E" w14:paraId="64928773"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30BFB1F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451C2847"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6441FED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Propiedad Particular</w:t>
            </w:r>
          </w:p>
        </w:tc>
        <w:tc>
          <w:tcPr>
            <w:tcW w:w="999" w:type="dxa"/>
            <w:tcBorders>
              <w:top w:val="nil"/>
              <w:left w:val="nil"/>
              <w:bottom w:val="single" w:sz="4" w:space="0" w:color="auto"/>
              <w:right w:val="single" w:sz="4" w:space="0" w:color="auto"/>
            </w:tcBorders>
            <w:shd w:val="clear" w:color="auto" w:fill="auto"/>
            <w:noWrap/>
            <w:vAlign w:val="center"/>
          </w:tcPr>
          <w:p w14:paraId="52D9554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6A9EF04"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Ld=71,68</w:t>
            </w:r>
          </w:p>
        </w:tc>
        <w:tc>
          <w:tcPr>
            <w:tcW w:w="2142" w:type="dxa"/>
            <w:vMerge/>
            <w:tcBorders>
              <w:left w:val="single" w:sz="4" w:space="0" w:color="auto"/>
              <w:right w:val="single" w:sz="4" w:space="0" w:color="auto"/>
            </w:tcBorders>
            <w:shd w:val="clear" w:color="auto" w:fill="auto"/>
            <w:vAlign w:val="center"/>
            <w:hideMark/>
          </w:tcPr>
          <w:p w14:paraId="7043654F" w14:textId="77777777" w:rsidR="00170836" w:rsidRPr="005B4E1F" w:rsidRDefault="00170836" w:rsidP="00E65B1B">
            <w:pPr>
              <w:spacing w:after="0" w:line="240" w:lineRule="auto"/>
              <w:rPr>
                <w:rFonts w:ascii="Times New Roman" w:hAnsi="Times New Roman" w:cs="Times New Roman"/>
                <w:b/>
                <w:bCs/>
                <w:lang w:eastAsia="es-EC"/>
              </w:rPr>
            </w:pPr>
          </w:p>
        </w:tc>
      </w:tr>
      <w:tr w:rsidR="00170836" w:rsidRPr="0022167E" w14:paraId="59A922E7"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64633B70"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30C5"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7917E3C8"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999" w:type="dxa"/>
            <w:tcBorders>
              <w:top w:val="nil"/>
              <w:left w:val="nil"/>
              <w:bottom w:val="single" w:sz="4" w:space="0" w:color="auto"/>
              <w:right w:val="nil"/>
            </w:tcBorders>
            <w:shd w:val="clear" w:color="auto" w:fill="auto"/>
            <w:noWrap/>
            <w:vAlign w:val="center"/>
          </w:tcPr>
          <w:p w14:paraId="248A774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EAFF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142" w:type="dxa"/>
            <w:vMerge/>
            <w:tcBorders>
              <w:left w:val="single" w:sz="4" w:space="0" w:color="auto"/>
              <w:right w:val="single" w:sz="4" w:space="0" w:color="auto"/>
            </w:tcBorders>
            <w:shd w:val="clear" w:color="auto" w:fill="auto"/>
            <w:noWrap/>
            <w:vAlign w:val="bottom"/>
            <w:hideMark/>
          </w:tcPr>
          <w:p w14:paraId="21807F87" w14:textId="77777777" w:rsidR="00170836" w:rsidRPr="005B4E1F" w:rsidRDefault="00170836" w:rsidP="00E65B1B">
            <w:pPr>
              <w:spacing w:after="0" w:line="240" w:lineRule="auto"/>
              <w:rPr>
                <w:rFonts w:ascii="Times New Roman" w:hAnsi="Times New Roman" w:cs="Times New Roman"/>
                <w:lang w:eastAsia="es-EC"/>
              </w:rPr>
            </w:pPr>
          </w:p>
        </w:tc>
      </w:tr>
      <w:tr w:rsidR="00170836" w:rsidRPr="0022167E" w14:paraId="76EB5E79"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8ACCEFC"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88D75EF"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5F22A3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64B4CE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1D17B6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10,20</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C78F211" w14:textId="77777777" w:rsidR="00170836" w:rsidRPr="005B4E1F" w:rsidRDefault="00170836" w:rsidP="00E65B1B">
            <w:pPr>
              <w:spacing w:after="0" w:line="240" w:lineRule="auto"/>
              <w:rPr>
                <w:rFonts w:ascii="Times New Roman" w:hAnsi="Times New Roman" w:cs="Times New Roman"/>
                <w:lang w:eastAsia="es-EC"/>
              </w:rPr>
            </w:pPr>
          </w:p>
        </w:tc>
      </w:tr>
    </w:tbl>
    <w:p w14:paraId="60DD9D11" w14:textId="77777777" w:rsidR="00170836" w:rsidRDefault="00170836" w:rsidP="00F10595">
      <w:pPr>
        <w:spacing w:after="0"/>
        <w:rPr>
          <w:rFonts w:ascii="Times New Roman" w:hAnsi="Times New Roman" w:cs="Times New Roman"/>
          <w:b/>
        </w:rPr>
      </w:pPr>
    </w:p>
    <w:p w14:paraId="3E94422A" w14:textId="032E8BE9" w:rsidR="00170836" w:rsidRDefault="0022167E" w:rsidP="0080046D">
      <w:pPr>
        <w:spacing w:after="240"/>
        <w:rPr>
          <w:rFonts w:ascii="Times New Roman" w:hAnsi="Times New Roman" w:cs="Times New Roman"/>
          <w:b/>
        </w:rPr>
      </w:pPr>
      <w:r w:rsidRPr="000B20E7">
        <w:rPr>
          <w:rFonts w:ascii="Times New Roman" w:hAnsi="Times New Roman" w:cs="Times New Roman"/>
          <w:b/>
          <w:bCs/>
          <w:lang w:val="es-ES_tradnl"/>
        </w:rPr>
        <w:t xml:space="preserve">Artículo </w:t>
      </w:r>
      <w:r>
        <w:rPr>
          <w:rFonts w:ascii="Times New Roman" w:hAnsi="Times New Roman" w:cs="Times New Roman"/>
          <w:b/>
          <w:bCs/>
          <w:lang w:val="es-ES_tradnl"/>
        </w:rPr>
        <w:t>9</w:t>
      </w:r>
      <w:r w:rsidRPr="000B20E7">
        <w:rPr>
          <w:rFonts w:ascii="Times New Roman" w:hAnsi="Times New Roman" w:cs="Times New Roman"/>
          <w:b/>
          <w:bCs/>
          <w:lang w:val="es-ES_tradnl"/>
        </w:rPr>
        <w:t xml:space="preserve">.- Del área </w:t>
      </w:r>
      <w:r>
        <w:rPr>
          <w:rFonts w:ascii="Times New Roman" w:hAnsi="Times New Roman" w:cs="Times New Roman"/>
          <w:b/>
          <w:bCs/>
          <w:lang w:val="es-ES_tradnl"/>
        </w:rPr>
        <w:t xml:space="preserve">de Faja de </w:t>
      </w:r>
      <w:r w:rsidR="00684AD6">
        <w:rPr>
          <w:rFonts w:ascii="Times New Roman" w:hAnsi="Times New Roman" w:cs="Times New Roman"/>
          <w:b/>
          <w:bCs/>
          <w:lang w:val="es-ES_tradnl"/>
        </w:rPr>
        <w:t>Protección</w:t>
      </w:r>
      <w:r w:rsidR="00684AD6" w:rsidRPr="000B20E7">
        <w:rPr>
          <w:rFonts w:ascii="Times New Roman" w:hAnsi="Times New Roman" w:cs="Times New Roman"/>
          <w:b/>
          <w:bCs/>
          <w:lang w:val="es-ES_tradnl"/>
        </w:rPr>
        <w:t>. -</w:t>
      </w:r>
      <w:r w:rsidRPr="0060370C">
        <w:rPr>
          <w:rFonts w:ascii="Times New Roman" w:hAnsi="Times New Roman" w:cs="Times New Roman"/>
          <w:i/>
        </w:rPr>
        <w:t xml:space="preserve"> </w:t>
      </w:r>
      <w:r>
        <w:rPr>
          <w:rFonts w:ascii="Times New Roman" w:hAnsi="Times New Roman" w:cs="Times New Roman"/>
          <w:bCs/>
          <w:color w:val="000000"/>
        </w:rPr>
        <w:t>Los</w:t>
      </w:r>
      <w:r w:rsidRPr="0024254C">
        <w:rPr>
          <w:rFonts w:ascii="Times New Roman" w:hAnsi="Times New Roman" w:cs="Times New Roman"/>
          <w:bCs/>
          <w:color w:val="000000"/>
        </w:rPr>
        <w:t xml:space="preserve"> propietario</w:t>
      </w:r>
      <w:r>
        <w:rPr>
          <w:rFonts w:ascii="Times New Roman" w:hAnsi="Times New Roman" w:cs="Times New Roman"/>
          <w:bCs/>
          <w:color w:val="000000"/>
        </w:rPr>
        <w:t>s</w:t>
      </w:r>
      <w:r w:rsidRPr="0024254C">
        <w:rPr>
          <w:rFonts w:ascii="Times New Roman" w:hAnsi="Times New Roman" w:cs="Times New Roman"/>
          <w:bCs/>
          <w:color w:val="000000"/>
        </w:rPr>
        <w:t xml:space="preserve"> del predio donde se encuentra el asentamiento humano de hecho y consolidado de interés social </w:t>
      </w:r>
      <w:r w:rsidR="006976D2">
        <w:rPr>
          <w:rFonts w:ascii="Times New Roman" w:hAnsi="Times New Roman" w:cs="Times New Roman"/>
          <w:bCs/>
          <w:color w:val="000000"/>
        </w:rPr>
        <w:t xml:space="preserve">denominado </w:t>
      </w:r>
      <w:r>
        <w:rPr>
          <w:rFonts w:ascii="Times New Roman" w:hAnsi="Times New Roman" w:cs="Times New Roman"/>
          <w:bCs/>
          <w:color w:val="000000" w:themeColor="text1"/>
        </w:rPr>
        <w:t>Comité Pro-mejoras del Barrio “Altar de Pululahua”</w:t>
      </w:r>
      <w:r w:rsidRPr="0024254C">
        <w:rPr>
          <w:rFonts w:ascii="Times New Roman" w:hAnsi="Times New Roman" w:cs="Times New Roman"/>
          <w:bCs/>
          <w:color w:val="000000"/>
        </w:rPr>
        <w:t xml:space="preserve">, </w:t>
      </w:r>
      <w:r>
        <w:rPr>
          <w:rFonts w:ascii="Times New Roman" w:hAnsi="Times New Roman" w:cs="Times New Roman"/>
          <w:bCs/>
          <w:color w:val="000000"/>
        </w:rPr>
        <w:t xml:space="preserve">transfieren de manera libre y voluntaria al Municipio del Distrito Metropolitano de Quito como contribución por Fajas de Protección, un área total de </w:t>
      </w:r>
      <w:r w:rsidRPr="00170836">
        <w:rPr>
          <w:rFonts w:ascii="Times New Roman" w:hAnsi="Times New Roman" w:cs="Times New Roman"/>
          <w:bCs/>
          <w:lang w:val="es-ES"/>
        </w:rPr>
        <w:t>4.783,71</w:t>
      </w:r>
      <w:r w:rsidRPr="00C6185E">
        <w:rPr>
          <w:rFonts w:ascii="Times New Roman" w:hAnsi="Times New Roman" w:cs="Times New Roman"/>
          <w:bCs/>
          <w:lang w:val="es-ES"/>
        </w:rPr>
        <w:t>m2</w:t>
      </w:r>
      <w:r>
        <w:rPr>
          <w:rFonts w:ascii="Times New Roman" w:hAnsi="Times New Roman" w:cs="Times New Roman"/>
          <w:bCs/>
          <w:lang w:val="es-ES"/>
        </w:rPr>
        <w:t>, de conformidad al siguiente detalle</w:t>
      </w:r>
      <w:r w:rsidRPr="0024254C">
        <w:rPr>
          <w:rFonts w:ascii="Times New Roman" w:hAnsi="Times New Roman" w:cs="Times New Roman"/>
          <w:bCs/>
          <w:color w:val="000000"/>
        </w:rPr>
        <w:t>:</w:t>
      </w: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22C07D5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238E3CD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1</w:t>
            </w:r>
          </w:p>
        </w:tc>
      </w:tr>
      <w:tr w:rsidR="00170836" w:rsidRPr="005B6545" w14:paraId="01525E62"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D96254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1</w:t>
            </w:r>
          </w:p>
        </w:tc>
        <w:tc>
          <w:tcPr>
            <w:tcW w:w="999" w:type="dxa"/>
            <w:tcBorders>
              <w:top w:val="nil"/>
              <w:left w:val="nil"/>
              <w:bottom w:val="nil"/>
              <w:right w:val="single" w:sz="4" w:space="0" w:color="auto"/>
            </w:tcBorders>
            <w:shd w:val="clear" w:color="auto" w:fill="auto"/>
            <w:hideMark/>
          </w:tcPr>
          <w:p w14:paraId="14214CD2"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5C8CCBF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207974A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6E7C43A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303BCDC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8FFFC07"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FFB7838"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D3FD309"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48FEBA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p w14:paraId="704FD7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single" w:sz="4" w:space="0" w:color="auto"/>
            </w:tcBorders>
            <w:shd w:val="clear" w:color="auto" w:fill="auto"/>
            <w:noWrap/>
            <w:vAlign w:val="center"/>
          </w:tcPr>
          <w:p w14:paraId="4211232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Ld=51,48</w:t>
            </w:r>
          </w:p>
          <w:p w14:paraId="267E177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Ld=18,46</w:t>
            </w:r>
          </w:p>
        </w:tc>
        <w:tc>
          <w:tcPr>
            <w:tcW w:w="1142" w:type="dxa"/>
            <w:tcBorders>
              <w:top w:val="single" w:sz="4" w:space="0" w:color="auto"/>
              <w:left w:val="nil"/>
              <w:bottom w:val="nil"/>
              <w:right w:val="nil"/>
            </w:tcBorders>
            <w:shd w:val="clear" w:color="auto" w:fill="auto"/>
            <w:noWrap/>
            <w:vAlign w:val="center"/>
          </w:tcPr>
          <w:p w14:paraId="4E57D01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69,94</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19D77068"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698,85</w:t>
            </w:r>
          </w:p>
        </w:tc>
      </w:tr>
      <w:tr w:rsidR="00170836" w:rsidRPr="005B6545" w14:paraId="282B6D1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F7485D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44049B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159214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CaN6J</w:t>
            </w:r>
          </w:p>
          <w:p w14:paraId="435DE6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21</w:t>
            </w:r>
          </w:p>
          <w:p w14:paraId="04522AD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1</w:t>
            </w:r>
          </w:p>
        </w:tc>
        <w:tc>
          <w:tcPr>
            <w:tcW w:w="999" w:type="dxa"/>
            <w:tcBorders>
              <w:top w:val="nil"/>
              <w:left w:val="nil"/>
              <w:bottom w:val="single" w:sz="4" w:space="0" w:color="auto"/>
              <w:right w:val="single" w:sz="4" w:space="0" w:color="auto"/>
            </w:tcBorders>
            <w:shd w:val="clear" w:color="auto" w:fill="auto"/>
            <w:noWrap/>
            <w:vAlign w:val="center"/>
          </w:tcPr>
          <w:p w14:paraId="5F429CC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25,55</w:t>
            </w:r>
          </w:p>
          <w:p w14:paraId="19853E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24,91</w:t>
            </w:r>
          </w:p>
          <w:p w14:paraId="27CA2D9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Ld=43,61</w:t>
            </w:r>
          </w:p>
        </w:tc>
        <w:tc>
          <w:tcPr>
            <w:tcW w:w="1142" w:type="dxa"/>
            <w:tcBorders>
              <w:top w:val="single" w:sz="4" w:space="0" w:color="auto"/>
              <w:left w:val="nil"/>
              <w:bottom w:val="nil"/>
              <w:right w:val="single" w:sz="4" w:space="0" w:color="auto"/>
            </w:tcBorders>
            <w:shd w:val="clear" w:color="auto" w:fill="auto"/>
            <w:noWrap/>
            <w:vAlign w:val="center"/>
          </w:tcPr>
          <w:p w14:paraId="1244746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94,07</w:t>
            </w:r>
          </w:p>
        </w:tc>
        <w:tc>
          <w:tcPr>
            <w:tcW w:w="2142" w:type="dxa"/>
            <w:vMerge/>
            <w:tcBorders>
              <w:left w:val="single" w:sz="4" w:space="0" w:color="auto"/>
              <w:right w:val="single" w:sz="4" w:space="0" w:color="auto"/>
            </w:tcBorders>
            <w:shd w:val="clear" w:color="auto" w:fill="auto"/>
            <w:vAlign w:val="center"/>
            <w:hideMark/>
          </w:tcPr>
          <w:p w14:paraId="6732EFEE"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53C0AA58"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25057103"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4F8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4B70431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nil"/>
            </w:tcBorders>
            <w:shd w:val="clear" w:color="auto" w:fill="auto"/>
            <w:noWrap/>
            <w:vAlign w:val="center"/>
          </w:tcPr>
          <w:p w14:paraId="2CCB5FF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C611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7,68</w:t>
            </w:r>
          </w:p>
        </w:tc>
        <w:tc>
          <w:tcPr>
            <w:tcW w:w="2142" w:type="dxa"/>
            <w:vMerge/>
            <w:tcBorders>
              <w:left w:val="single" w:sz="4" w:space="0" w:color="auto"/>
              <w:right w:val="single" w:sz="4" w:space="0" w:color="auto"/>
            </w:tcBorders>
            <w:shd w:val="clear" w:color="auto" w:fill="auto"/>
            <w:noWrap/>
            <w:vAlign w:val="bottom"/>
            <w:hideMark/>
          </w:tcPr>
          <w:p w14:paraId="6E948BB6"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6DAE3EF8"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2153DB18"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908FB7E"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8A4C71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476D80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1E499AF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13,31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08CAF88F" w14:textId="77777777" w:rsidR="00170836" w:rsidRPr="006976D2" w:rsidRDefault="00170836" w:rsidP="00E65B1B">
            <w:pPr>
              <w:spacing w:after="0" w:line="240" w:lineRule="auto"/>
              <w:rPr>
                <w:rFonts w:ascii="Times New Roman" w:hAnsi="Times New Roman" w:cs="Times New Roman"/>
                <w:lang w:eastAsia="es-EC"/>
              </w:rPr>
            </w:pPr>
          </w:p>
        </w:tc>
      </w:tr>
    </w:tbl>
    <w:p w14:paraId="1F2042AF" w14:textId="77777777" w:rsidR="00170836" w:rsidRDefault="00170836" w:rsidP="006976D2">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086ECCE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037DB3F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2</w:t>
            </w:r>
          </w:p>
        </w:tc>
      </w:tr>
      <w:tr w:rsidR="00170836" w:rsidRPr="005B6545" w14:paraId="5C5EA5ED"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DB855A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2</w:t>
            </w:r>
          </w:p>
        </w:tc>
        <w:tc>
          <w:tcPr>
            <w:tcW w:w="999" w:type="dxa"/>
            <w:tcBorders>
              <w:top w:val="nil"/>
              <w:left w:val="nil"/>
              <w:bottom w:val="nil"/>
              <w:right w:val="single" w:sz="4" w:space="0" w:color="auto"/>
            </w:tcBorders>
            <w:shd w:val="clear" w:color="auto" w:fill="auto"/>
            <w:hideMark/>
          </w:tcPr>
          <w:p w14:paraId="43BB7C74"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AA2473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E937B2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AE83D0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A7A99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5DA59575"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36104F50"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ABF7E37"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0F59C8C5" w14:textId="5D8306AE"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1</w:t>
            </w:r>
          </w:p>
        </w:tc>
        <w:tc>
          <w:tcPr>
            <w:tcW w:w="999" w:type="dxa"/>
            <w:tcBorders>
              <w:top w:val="nil"/>
              <w:left w:val="nil"/>
              <w:bottom w:val="single" w:sz="4" w:space="0" w:color="auto"/>
              <w:right w:val="single" w:sz="4" w:space="0" w:color="auto"/>
            </w:tcBorders>
            <w:shd w:val="clear" w:color="auto" w:fill="auto"/>
            <w:noWrap/>
            <w:vAlign w:val="center"/>
          </w:tcPr>
          <w:p w14:paraId="0277D74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4A8B857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Ld=153,49</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58C97BA"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2945,81</w:t>
            </w:r>
          </w:p>
        </w:tc>
      </w:tr>
      <w:tr w:rsidR="00170836" w:rsidRPr="005B6545" w14:paraId="44FF29F8"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4639002"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A9862C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3128C7D" w14:textId="161B9295"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 xml:space="preserve">2 </w:t>
            </w:r>
          </w:p>
          <w:p w14:paraId="29A47E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Propiedad Particular            </w:t>
            </w:r>
          </w:p>
        </w:tc>
        <w:tc>
          <w:tcPr>
            <w:tcW w:w="999" w:type="dxa"/>
            <w:tcBorders>
              <w:top w:val="nil"/>
              <w:left w:val="nil"/>
              <w:bottom w:val="single" w:sz="4" w:space="0" w:color="auto"/>
              <w:right w:val="single" w:sz="4" w:space="0" w:color="auto"/>
            </w:tcBorders>
            <w:shd w:val="clear" w:color="auto" w:fill="auto"/>
            <w:noWrap/>
            <w:vAlign w:val="center"/>
          </w:tcPr>
          <w:p w14:paraId="26991EF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Ld=78,01</w:t>
            </w:r>
          </w:p>
          <w:p w14:paraId="5B46388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lastRenderedPageBreak/>
              <w:t>Ld=74,55</w:t>
            </w:r>
          </w:p>
        </w:tc>
        <w:tc>
          <w:tcPr>
            <w:tcW w:w="1142" w:type="dxa"/>
            <w:tcBorders>
              <w:top w:val="single" w:sz="4" w:space="0" w:color="auto"/>
              <w:left w:val="nil"/>
              <w:bottom w:val="nil"/>
              <w:right w:val="single" w:sz="4" w:space="0" w:color="auto"/>
            </w:tcBorders>
            <w:shd w:val="clear" w:color="auto" w:fill="auto"/>
            <w:noWrap/>
            <w:vAlign w:val="center"/>
          </w:tcPr>
          <w:p w14:paraId="2FF39FD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lastRenderedPageBreak/>
              <w:t>152,56</w:t>
            </w:r>
          </w:p>
        </w:tc>
        <w:tc>
          <w:tcPr>
            <w:tcW w:w="2142" w:type="dxa"/>
            <w:vMerge/>
            <w:tcBorders>
              <w:left w:val="single" w:sz="4" w:space="0" w:color="auto"/>
              <w:right w:val="single" w:sz="4" w:space="0" w:color="auto"/>
            </w:tcBorders>
            <w:shd w:val="clear" w:color="auto" w:fill="auto"/>
            <w:vAlign w:val="center"/>
            <w:hideMark/>
          </w:tcPr>
          <w:p w14:paraId="304793D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09ADD263"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0BF9F5E6"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342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8EB729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3B98B35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52D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16,96</w:t>
            </w:r>
          </w:p>
        </w:tc>
        <w:tc>
          <w:tcPr>
            <w:tcW w:w="2142" w:type="dxa"/>
            <w:vMerge/>
            <w:tcBorders>
              <w:left w:val="single" w:sz="4" w:space="0" w:color="auto"/>
              <w:right w:val="single" w:sz="4" w:space="0" w:color="auto"/>
            </w:tcBorders>
            <w:shd w:val="clear" w:color="auto" w:fill="auto"/>
            <w:noWrap/>
            <w:vAlign w:val="bottom"/>
            <w:hideMark/>
          </w:tcPr>
          <w:p w14:paraId="6955551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8967914"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C6CC594"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3E49FA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14CD77E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297D8F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0EA2B9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25,21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296A721" w14:textId="77777777" w:rsidR="00170836" w:rsidRPr="006976D2" w:rsidRDefault="00170836" w:rsidP="00E65B1B">
            <w:pPr>
              <w:spacing w:after="0" w:line="240" w:lineRule="auto"/>
              <w:rPr>
                <w:rFonts w:ascii="Times New Roman" w:hAnsi="Times New Roman" w:cs="Times New Roman"/>
                <w:lang w:eastAsia="es-EC"/>
              </w:rPr>
            </w:pPr>
          </w:p>
        </w:tc>
      </w:tr>
    </w:tbl>
    <w:p w14:paraId="62557531"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15A0FB83"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2F96B9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3</w:t>
            </w:r>
          </w:p>
        </w:tc>
      </w:tr>
      <w:tr w:rsidR="00170836" w:rsidRPr="005B6545" w14:paraId="35E262AB"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BDD95E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3</w:t>
            </w:r>
          </w:p>
        </w:tc>
        <w:tc>
          <w:tcPr>
            <w:tcW w:w="999" w:type="dxa"/>
            <w:tcBorders>
              <w:top w:val="nil"/>
              <w:left w:val="nil"/>
              <w:bottom w:val="nil"/>
              <w:right w:val="single" w:sz="4" w:space="0" w:color="auto"/>
            </w:tcBorders>
            <w:shd w:val="clear" w:color="auto" w:fill="auto"/>
            <w:hideMark/>
          </w:tcPr>
          <w:p w14:paraId="5ECC7311"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64673D3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67A3A830"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0C78316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7A0BE8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2BABD9C"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8F00593"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B12AEDF"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56CB6C0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54FBA87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57B0DB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Ld=310,20</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6CC8E9B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544,25</w:t>
            </w:r>
          </w:p>
        </w:tc>
      </w:tr>
      <w:tr w:rsidR="00170836" w:rsidRPr="005B6545" w14:paraId="4DE3C16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109096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52BB68E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AB41246"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Lote 104</w:t>
            </w:r>
          </w:p>
          <w:p w14:paraId="692E011C"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Psj. Oe2C</w:t>
            </w:r>
          </w:p>
          <w:p w14:paraId="24ED8EC7"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Lote 109</w:t>
            </w:r>
          </w:p>
          <w:p w14:paraId="488B2895"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Lote 112</w:t>
            </w:r>
          </w:p>
        </w:tc>
        <w:tc>
          <w:tcPr>
            <w:tcW w:w="999" w:type="dxa"/>
            <w:tcBorders>
              <w:top w:val="nil"/>
              <w:left w:val="nil"/>
              <w:bottom w:val="single" w:sz="4" w:space="0" w:color="auto"/>
              <w:right w:val="single" w:sz="4" w:space="0" w:color="auto"/>
            </w:tcBorders>
            <w:shd w:val="clear" w:color="auto" w:fill="auto"/>
            <w:noWrap/>
            <w:vAlign w:val="center"/>
          </w:tcPr>
          <w:p w14:paraId="1DA0B0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26,43</w:t>
            </w:r>
          </w:p>
          <w:p w14:paraId="389186D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6,00</w:t>
            </w:r>
          </w:p>
          <w:p w14:paraId="41EF411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12A219A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30,00</w:t>
            </w:r>
          </w:p>
        </w:tc>
        <w:tc>
          <w:tcPr>
            <w:tcW w:w="1142" w:type="dxa"/>
            <w:tcBorders>
              <w:top w:val="single" w:sz="4" w:space="0" w:color="auto"/>
              <w:left w:val="nil"/>
              <w:bottom w:val="nil"/>
              <w:right w:val="single" w:sz="4" w:space="0" w:color="auto"/>
            </w:tcBorders>
            <w:shd w:val="clear" w:color="auto" w:fill="auto"/>
            <w:noWrap/>
            <w:vAlign w:val="center"/>
          </w:tcPr>
          <w:p w14:paraId="6FBE076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82,43</w:t>
            </w:r>
          </w:p>
        </w:tc>
        <w:tc>
          <w:tcPr>
            <w:tcW w:w="2055" w:type="dxa"/>
            <w:vMerge/>
            <w:tcBorders>
              <w:left w:val="single" w:sz="4" w:space="0" w:color="auto"/>
              <w:right w:val="single" w:sz="4" w:space="0" w:color="auto"/>
            </w:tcBorders>
            <w:shd w:val="clear" w:color="auto" w:fill="auto"/>
            <w:vAlign w:val="center"/>
            <w:hideMark/>
          </w:tcPr>
          <w:p w14:paraId="682E28E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19A4C60B"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357FF2C0"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0712B"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285221B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Oe2A</w:t>
            </w:r>
          </w:p>
        </w:tc>
        <w:tc>
          <w:tcPr>
            <w:tcW w:w="999" w:type="dxa"/>
            <w:tcBorders>
              <w:top w:val="nil"/>
              <w:left w:val="nil"/>
              <w:bottom w:val="single" w:sz="4" w:space="0" w:color="auto"/>
              <w:right w:val="nil"/>
            </w:tcBorders>
            <w:shd w:val="clear" w:color="auto" w:fill="auto"/>
            <w:noWrap/>
            <w:vAlign w:val="center"/>
          </w:tcPr>
          <w:p w14:paraId="71E337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4C17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12,64</w:t>
            </w:r>
          </w:p>
        </w:tc>
        <w:tc>
          <w:tcPr>
            <w:tcW w:w="2055" w:type="dxa"/>
            <w:vMerge/>
            <w:tcBorders>
              <w:left w:val="single" w:sz="4" w:space="0" w:color="auto"/>
              <w:right w:val="single" w:sz="4" w:space="0" w:color="auto"/>
            </w:tcBorders>
            <w:shd w:val="clear" w:color="auto" w:fill="auto"/>
            <w:noWrap/>
            <w:vAlign w:val="bottom"/>
            <w:hideMark/>
          </w:tcPr>
          <w:p w14:paraId="7B3E21D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4AAC5763"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14E499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13693B0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470994D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559EEEA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4D35E5D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8,62</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7BE4D68" w14:textId="77777777" w:rsidR="00170836" w:rsidRPr="006976D2" w:rsidRDefault="00170836" w:rsidP="00E65B1B">
            <w:pPr>
              <w:spacing w:after="0" w:line="240" w:lineRule="auto"/>
              <w:rPr>
                <w:rFonts w:ascii="Times New Roman" w:hAnsi="Times New Roman" w:cs="Times New Roman"/>
                <w:lang w:eastAsia="es-EC"/>
              </w:rPr>
            </w:pPr>
          </w:p>
        </w:tc>
      </w:tr>
    </w:tbl>
    <w:p w14:paraId="38E5CD15"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6C263D1B"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C83ECF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4</w:t>
            </w:r>
          </w:p>
        </w:tc>
      </w:tr>
      <w:tr w:rsidR="00170836" w:rsidRPr="005B6545" w14:paraId="3F6A4C56"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203276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4</w:t>
            </w:r>
          </w:p>
        </w:tc>
        <w:tc>
          <w:tcPr>
            <w:tcW w:w="999" w:type="dxa"/>
            <w:tcBorders>
              <w:top w:val="nil"/>
              <w:left w:val="nil"/>
              <w:bottom w:val="nil"/>
              <w:right w:val="single" w:sz="4" w:space="0" w:color="auto"/>
            </w:tcBorders>
            <w:shd w:val="clear" w:color="auto" w:fill="auto"/>
            <w:hideMark/>
          </w:tcPr>
          <w:p w14:paraId="1E0A5D6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EACFB0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D2601A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5619FE3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3E39832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36494E2B"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6BFF43CD"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AD8F10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2FA3869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2F6E27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2FE162D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Ld=129,39</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7499406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594,80</w:t>
            </w:r>
          </w:p>
        </w:tc>
      </w:tr>
      <w:tr w:rsidR="00170836" w:rsidRPr="005B6545" w14:paraId="1CF3C656"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548A6DB"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F35F43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13E738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Oe2A</w:t>
            </w:r>
          </w:p>
          <w:p w14:paraId="2875218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116</w:t>
            </w:r>
          </w:p>
          <w:p w14:paraId="30932C9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120</w:t>
            </w:r>
          </w:p>
          <w:p w14:paraId="1922E88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Oe1D</w:t>
            </w:r>
          </w:p>
          <w:p w14:paraId="6B3EB7E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127</w:t>
            </w:r>
          </w:p>
          <w:p w14:paraId="6021788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132</w:t>
            </w:r>
          </w:p>
          <w:p w14:paraId="7F1A81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133</w:t>
            </w:r>
          </w:p>
          <w:p w14:paraId="36D6BD8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134</w:t>
            </w:r>
          </w:p>
          <w:p w14:paraId="67318ED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Oe1A</w:t>
            </w:r>
          </w:p>
          <w:p w14:paraId="734129F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2</w:t>
            </w:r>
          </w:p>
        </w:tc>
        <w:tc>
          <w:tcPr>
            <w:tcW w:w="999" w:type="dxa"/>
            <w:tcBorders>
              <w:top w:val="nil"/>
              <w:left w:val="nil"/>
              <w:bottom w:val="single" w:sz="4" w:space="0" w:color="auto"/>
              <w:right w:val="single" w:sz="4" w:space="0" w:color="auto"/>
            </w:tcBorders>
            <w:shd w:val="clear" w:color="auto" w:fill="auto"/>
            <w:noWrap/>
            <w:vAlign w:val="center"/>
          </w:tcPr>
          <w:p w14:paraId="25F4B9F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7,23</w:t>
            </w:r>
          </w:p>
          <w:p w14:paraId="388FC1C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22,36</w:t>
            </w:r>
          </w:p>
          <w:p w14:paraId="7E08CE5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2E0FFE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7,84</w:t>
            </w:r>
          </w:p>
          <w:p w14:paraId="7CC522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1CD027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p w14:paraId="20E4D37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10,00</w:t>
            </w:r>
          </w:p>
          <w:p w14:paraId="0591719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32,96</w:t>
            </w:r>
          </w:p>
          <w:p w14:paraId="37BEB2C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Ld=17,98</w:t>
            </w:r>
          </w:p>
          <w:p w14:paraId="29DC38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3,81</w:t>
            </w:r>
          </w:p>
        </w:tc>
        <w:tc>
          <w:tcPr>
            <w:tcW w:w="1142" w:type="dxa"/>
            <w:tcBorders>
              <w:top w:val="single" w:sz="4" w:space="0" w:color="auto"/>
              <w:left w:val="nil"/>
              <w:bottom w:val="nil"/>
              <w:right w:val="single" w:sz="4" w:space="0" w:color="auto"/>
            </w:tcBorders>
            <w:shd w:val="clear" w:color="auto" w:fill="auto"/>
            <w:noWrap/>
            <w:vAlign w:val="center"/>
          </w:tcPr>
          <w:p w14:paraId="007EF45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152,41</w:t>
            </w:r>
          </w:p>
        </w:tc>
        <w:tc>
          <w:tcPr>
            <w:tcW w:w="2055" w:type="dxa"/>
            <w:vMerge/>
            <w:tcBorders>
              <w:left w:val="single" w:sz="4" w:space="0" w:color="auto"/>
              <w:right w:val="single" w:sz="4" w:space="0" w:color="auto"/>
            </w:tcBorders>
            <w:shd w:val="clear" w:color="auto" w:fill="auto"/>
            <w:vAlign w:val="center"/>
            <w:hideMark/>
          </w:tcPr>
          <w:p w14:paraId="217191D1"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6F06E9DE"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F0C943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DEDD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5B903C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5D3B50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39F8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tc>
        <w:tc>
          <w:tcPr>
            <w:tcW w:w="2055" w:type="dxa"/>
            <w:vMerge/>
            <w:tcBorders>
              <w:left w:val="single" w:sz="4" w:space="0" w:color="auto"/>
              <w:right w:val="single" w:sz="4" w:space="0" w:color="auto"/>
            </w:tcBorders>
            <w:shd w:val="clear" w:color="auto" w:fill="auto"/>
            <w:noWrap/>
            <w:vAlign w:val="bottom"/>
            <w:hideMark/>
          </w:tcPr>
          <w:p w14:paraId="529D13A1"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BAAFA4A"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7746D67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739DA35C"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190F96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31BDD84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B1F54D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4,91</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5C07A0A6" w14:textId="77777777" w:rsidR="00170836" w:rsidRPr="006976D2" w:rsidRDefault="00170836" w:rsidP="00E65B1B">
            <w:pPr>
              <w:spacing w:after="0" w:line="240" w:lineRule="auto"/>
              <w:rPr>
                <w:rFonts w:ascii="Times New Roman" w:hAnsi="Times New Roman" w:cs="Times New Roman"/>
                <w:lang w:eastAsia="es-EC"/>
              </w:rPr>
            </w:pPr>
          </w:p>
        </w:tc>
      </w:tr>
    </w:tbl>
    <w:p w14:paraId="3A48236D" w14:textId="77777777" w:rsidR="00170836" w:rsidRDefault="00170836" w:rsidP="006976D2">
      <w:pPr>
        <w:spacing w:after="0"/>
        <w:rPr>
          <w:rFonts w:ascii="Times New Roman" w:hAnsi="Times New Roman" w:cs="Times New Roman"/>
          <w:b/>
        </w:rPr>
      </w:pPr>
    </w:p>
    <w:p w14:paraId="7A166A3D" w14:textId="3590139A" w:rsidR="0065145C" w:rsidRDefault="007138B1" w:rsidP="00105BD2">
      <w:pPr>
        <w:spacing w:after="240"/>
        <w:rPr>
          <w:rFonts w:ascii="Times New Roman" w:hAnsi="Times New Roman" w:cs="Times New Roman"/>
        </w:rPr>
      </w:pPr>
      <w:r w:rsidRPr="002B3979">
        <w:rPr>
          <w:rFonts w:ascii="Times New Roman" w:hAnsi="Times New Roman" w:cs="Times New Roman"/>
          <w:b/>
        </w:rPr>
        <w:t>Artículo</w:t>
      </w:r>
      <w:r w:rsidR="00986F11" w:rsidRPr="002B3979">
        <w:rPr>
          <w:rFonts w:ascii="Times New Roman" w:hAnsi="Times New Roman" w:cs="Times New Roman"/>
          <w:b/>
        </w:rPr>
        <w:t xml:space="preserve"> </w:t>
      </w:r>
      <w:r w:rsidR="0080046D" w:rsidRPr="002B3979">
        <w:rPr>
          <w:rFonts w:ascii="Times New Roman" w:hAnsi="Times New Roman" w:cs="Times New Roman"/>
          <w:b/>
        </w:rPr>
        <w:t>9</w:t>
      </w:r>
      <w:r w:rsidR="00986F11" w:rsidRPr="002B3979">
        <w:rPr>
          <w:rFonts w:ascii="Times New Roman" w:hAnsi="Times New Roman" w:cs="Times New Roman"/>
          <w:b/>
        </w:rPr>
        <w:t>.</w:t>
      </w:r>
      <w:r w:rsidRPr="002B3979">
        <w:rPr>
          <w:rFonts w:ascii="Times New Roman" w:hAnsi="Times New Roman" w:cs="Times New Roman"/>
          <w:b/>
          <w:bCs/>
        </w:rPr>
        <w:t xml:space="preserve">- Calificación de Riesgos.- </w:t>
      </w:r>
      <w:r w:rsidRPr="002B3979">
        <w:rPr>
          <w:rFonts w:ascii="Times New Roman" w:hAnsi="Times New Roman" w:cs="Times New Roman"/>
          <w:bCs/>
        </w:rPr>
        <w:t xml:space="preserve"> </w:t>
      </w:r>
      <w:r w:rsidRPr="002B3979">
        <w:rPr>
          <w:rFonts w:ascii="Times New Roman" w:hAnsi="Times New Roman" w:cs="Times New Roman"/>
        </w:rPr>
        <w:t xml:space="preserve">El </w:t>
      </w:r>
      <w:r w:rsidR="0065145C" w:rsidRPr="002B3979">
        <w:rPr>
          <w:rFonts w:ascii="Times New Roman" w:hAnsi="Times New Roman" w:cs="Times New Roman"/>
        </w:rPr>
        <w:t>asentamiento humano de hecho y consolidado de interés social</w:t>
      </w:r>
      <w:r w:rsidR="0065145C" w:rsidRPr="002B3979">
        <w:rPr>
          <w:rFonts w:ascii="Times New Roman" w:hAnsi="Times New Roman" w:cs="Times New Roman"/>
          <w:bCs/>
          <w:color w:val="000000"/>
        </w:rPr>
        <w:t xml:space="preserve"> denominado</w:t>
      </w:r>
      <w:r w:rsidR="00885CFB" w:rsidRPr="002B3979">
        <w:rPr>
          <w:rFonts w:ascii="Times New Roman" w:hAnsi="Times New Roman" w:cs="Times New Roman"/>
          <w:bCs/>
        </w:rPr>
        <w:t xml:space="preserve"> </w:t>
      </w:r>
      <w:r w:rsidR="002C45BA" w:rsidRPr="002B3979">
        <w:rPr>
          <w:rFonts w:ascii="Times New Roman" w:hAnsi="Times New Roman" w:cs="Times New Roman"/>
          <w:bCs/>
          <w:color w:val="000000" w:themeColor="text1"/>
        </w:rPr>
        <w:t>Comité Pro-mejoras del Barrio “Altar de Pululahua”</w:t>
      </w:r>
      <w:r w:rsidR="00DB7589" w:rsidRPr="002B3979">
        <w:rPr>
          <w:rFonts w:ascii="Times New Roman" w:hAnsi="Times New Roman" w:cs="Times New Roman"/>
          <w:bCs/>
          <w:color w:val="000000" w:themeColor="text1"/>
        </w:rPr>
        <w:t xml:space="preserve">, </w:t>
      </w:r>
      <w:r w:rsidR="002C45BA" w:rsidRPr="002B3979">
        <w:rPr>
          <w:rFonts w:ascii="Times New Roman" w:hAnsi="Times New Roman" w:cs="Times New Roman"/>
          <w:bCs/>
          <w:color w:val="000000" w:themeColor="text1"/>
        </w:rPr>
        <w:t>ubicado en la parroquia San Antonio de Pichincha</w:t>
      </w:r>
      <w:r w:rsidR="00AC3370" w:rsidRPr="002B3979">
        <w:rPr>
          <w:rFonts w:ascii="Times New Roman" w:hAnsi="Times New Roman" w:cs="Times New Roman"/>
          <w:bCs/>
        </w:rPr>
        <w:t xml:space="preserve">, </w:t>
      </w:r>
      <w:r w:rsidRPr="002B3979">
        <w:rPr>
          <w:rFonts w:ascii="Times New Roman" w:hAnsi="Times New Roman" w:cs="Times New Roman"/>
        </w:rPr>
        <w:t xml:space="preserve">deberá cumplir y acatar las recomendaciones que se encuentran determinadas en </w:t>
      </w:r>
      <w:r w:rsidR="00105BD2" w:rsidRPr="002B3979">
        <w:rPr>
          <w:rFonts w:ascii="Times New Roman" w:hAnsi="Times New Roman" w:cs="Times New Roman"/>
        </w:rPr>
        <w:t>los</w:t>
      </w:r>
      <w:r w:rsidRPr="002B3979">
        <w:rPr>
          <w:rFonts w:ascii="Times New Roman" w:hAnsi="Times New Roman" w:cs="Times New Roman"/>
        </w:rPr>
        <w:t xml:space="preserve"> informe</w:t>
      </w:r>
      <w:r w:rsidR="00105BD2" w:rsidRPr="002B3979">
        <w:rPr>
          <w:rFonts w:ascii="Times New Roman" w:hAnsi="Times New Roman" w:cs="Times New Roman"/>
        </w:rPr>
        <w:t>s</w:t>
      </w:r>
      <w:r w:rsidRPr="002B3979">
        <w:rPr>
          <w:rFonts w:ascii="Times New Roman" w:hAnsi="Times New Roman" w:cs="Times New Roman"/>
        </w:rPr>
        <w:t xml:space="preserve"> de la Dirección Metropolitana de Gestión de Riesgos</w:t>
      </w:r>
      <w:r w:rsidR="00DB7589" w:rsidRPr="002B3979">
        <w:rPr>
          <w:rFonts w:ascii="Times New Roman" w:hAnsi="Times New Roman" w:cs="Times New Roman"/>
        </w:rPr>
        <w:t xml:space="preserve"> No. </w:t>
      </w:r>
      <w:r w:rsidR="000F26B4" w:rsidRPr="002B3979">
        <w:rPr>
          <w:rFonts w:ascii="Times New Roman" w:hAnsi="Times New Roman" w:cs="Times New Roman"/>
        </w:rPr>
        <w:t>Informe</w:t>
      </w:r>
      <w:r w:rsidR="000F26B4">
        <w:rPr>
          <w:rFonts w:ascii="Times New Roman" w:hAnsi="Times New Roman" w:cs="Times New Roman"/>
        </w:rPr>
        <w:t xml:space="preserve"> </w:t>
      </w:r>
      <w:r w:rsidR="000F26B4" w:rsidRPr="00AB7D71">
        <w:rPr>
          <w:rFonts w:ascii="Times New Roman" w:hAnsi="Times New Roman" w:cs="Times New Roman"/>
        </w:rPr>
        <w:t xml:space="preserve">No. </w:t>
      </w:r>
      <w:r w:rsidR="000F26B4">
        <w:rPr>
          <w:rFonts w:ascii="Times New Roman" w:hAnsi="Times New Roman" w:cs="Times New Roman"/>
        </w:rPr>
        <w:t>44</w:t>
      </w:r>
      <w:r w:rsidR="000F26B4" w:rsidRPr="00AB7D71">
        <w:rPr>
          <w:rFonts w:ascii="Times New Roman" w:hAnsi="Times New Roman" w:cs="Times New Roman"/>
        </w:rPr>
        <w:t>-AT-DMGR-201</w:t>
      </w:r>
      <w:r w:rsidR="000F26B4">
        <w:rPr>
          <w:rFonts w:ascii="Times New Roman" w:hAnsi="Times New Roman" w:cs="Times New Roman"/>
        </w:rPr>
        <w:t>5</w:t>
      </w:r>
      <w:r w:rsidR="000F26B4" w:rsidRPr="00AB7D71">
        <w:rPr>
          <w:rFonts w:ascii="Times New Roman" w:hAnsi="Times New Roman" w:cs="Times New Roman"/>
        </w:rPr>
        <w:t xml:space="preserve">, de </w:t>
      </w:r>
      <w:r w:rsidR="000F26B4">
        <w:rPr>
          <w:rFonts w:ascii="Times New Roman" w:hAnsi="Times New Roman" w:cs="Times New Roman"/>
        </w:rPr>
        <w:t>08</w:t>
      </w:r>
      <w:r w:rsidR="000F26B4" w:rsidRPr="00AB7D71">
        <w:rPr>
          <w:rFonts w:ascii="Times New Roman" w:hAnsi="Times New Roman" w:cs="Times New Roman"/>
        </w:rPr>
        <w:t xml:space="preserve"> de </w:t>
      </w:r>
      <w:r w:rsidR="006976D2">
        <w:rPr>
          <w:rFonts w:ascii="Times New Roman" w:hAnsi="Times New Roman" w:cs="Times New Roman"/>
        </w:rPr>
        <w:t>abril</w:t>
      </w:r>
      <w:r w:rsidR="000F26B4" w:rsidRPr="00AB7D71">
        <w:rPr>
          <w:rFonts w:ascii="Times New Roman" w:hAnsi="Times New Roman" w:cs="Times New Roman"/>
        </w:rPr>
        <w:t xml:space="preserve"> de 201</w:t>
      </w:r>
      <w:r w:rsidR="000F26B4">
        <w:rPr>
          <w:rFonts w:ascii="Times New Roman" w:hAnsi="Times New Roman" w:cs="Times New Roman"/>
        </w:rPr>
        <w:t>5</w:t>
      </w:r>
      <w:r w:rsidR="000F26B4" w:rsidRPr="002524F5">
        <w:rPr>
          <w:rFonts w:ascii="Times New Roman" w:hAnsi="Times New Roman" w:cs="Times New Roman"/>
        </w:rPr>
        <w:t xml:space="preserve">, </w:t>
      </w:r>
      <w:r w:rsidR="000F26B4">
        <w:rPr>
          <w:rFonts w:ascii="Times New Roman" w:hAnsi="Times New Roman" w:cs="Times New Roman"/>
        </w:rPr>
        <w:t xml:space="preserve">en el que se manifiesta que el asentamiento humano de hecho y consolidado de interés social denominado Barrio “Altar de Pululahua” presenta un Riesgo Medio ante la inestabilidad de laderas y movimientos en masa, de acuerdo a la evaluación de deslizamientos, hundimientos y vulnerabilidades </w:t>
      </w:r>
      <w:r w:rsidR="000F26B4" w:rsidRPr="000F26B4">
        <w:rPr>
          <w:rFonts w:ascii="Times New Roman" w:hAnsi="Times New Roman" w:cs="Times New Roman"/>
        </w:rPr>
        <w:t>descritas</w:t>
      </w:r>
      <w:r w:rsidR="00DB7589" w:rsidRPr="000F26B4">
        <w:rPr>
          <w:rFonts w:ascii="Times New Roman" w:hAnsi="Times New Roman" w:cs="Times New Roman"/>
        </w:rPr>
        <w:t>; I</w:t>
      </w:r>
      <w:r w:rsidR="00255AFA" w:rsidRPr="000F26B4">
        <w:rPr>
          <w:rFonts w:ascii="Times New Roman" w:hAnsi="Times New Roman" w:cs="Times New Roman"/>
        </w:rPr>
        <w:t>nforme</w:t>
      </w:r>
      <w:r w:rsidR="00105BD2" w:rsidRPr="000F26B4">
        <w:rPr>
          <w:rFonts w:ascii="Times New Roman" w:hAnsi="Times New Roman" w:cs="Times New Roman"/>
        </w:rPr>
        <w:t xml:space="preserve"> </w:t>
      </w:r>
      <w:r w:rsidR="000F26B4" w:rsidRPr="000F26B4">
        <w:rPr>
          <w:rFonts w:ascii="Times New Roman" w:hAnsi="Times New Roman" w:cs="Times New Roman"/>
        </w:rPr>
        <w:t>No</w:t>
      </w:r>
      <w:r w:rsidR="000F26B4" w:rsidRPr="00414439">
        <w:rPr>
          <w:rFonts w:ascii="Times New Roman" w:hAnsi="Times New Roman" w:cs="Times New Roman"/>
        </w:rPr>
        <w:t xml:space="preserve">. 254-AT-DMGR-2017, de 20 de noviembre de 2017, </w:t>
      </w:r>
      <w:r w:rsidR="000F26B4">
        <w:rPr>
          <w:rFonts w:ascii="Times New Roman" w:hAnsi="Times New Roman" w:cs="Times New Roman"/>
        </w:rPr>
        <w:t xml:space="preserve">que </w:t>
      </w:r>
      <w:r w:rsidR="000F26B4" w:rsidRPr="00414439">
        <w:rPr>
          <w:rFonts w:ascii="Times New Roman" w:hAnsi="Times New Roman" w:cs="Times New Roman"/>
        </w:rPr>
        <w:t xml:space="preserve">califica por movimientos en masa al asentamiento humano de hecho y consolidado de interés social denominado Comité Pro-mejoras del Barrio “Altar de Pululahua” en general con un Riesgo Alto Mitigable, frente a movimientos de remoción en masa. Esto debido a que se observaron condiciones </w:t>
      </w:r>
      <w:r w:rsidR="000F26B4" w:rsidRPr="00414439">
        <w:rPr>
          <w:rFonts w:ascii="Times New Roman" w:hAnsi="Times New Roman" w:cs="Times New Roman"/>
        </w:rPr>
        <w:lastRenderedPageBreak/>
        <w:t xml:space="preserve">físicas en el terreno que representan amenaza, así como condiciones de exposición ante flujos de escombros que podrán ocasionar daños o pérdidas, sin embargo este escenario de riesgo está condicionado a periodos extraordinarios de los fenómenos desencadenantes (precipitaciones y </w:t>
      </w:r>
      <w:r w:rsidR="000F26B4" w:rsidRPr="008F18A3">
        <w:rPr>
          <w:rFonts w:ascii="Times New Roman" w:hAnsi="Times New Roman" w:cs="Times New Roman"/>
        </w:rPr>
        <w:t>sismos)</w:t>
      </w:r>
      <w:r w:rsidR="00105BD2" w:rsidRPr="008F18A3">
        <w:rPr>
          <w:rFonts w:ascii="Times New Roman" w:hAnsi="Times New Roman" w:cs="Times New Roman"/>
        </w:rPr>
        <w:t>;</w:t>
      </w:r>
      <w:r w:rsidR="00DB7589" w:rsidRPr="008F18A3">
        <w:rPr>
          <w:rFonts w:ascii="Times New Roman" w:hAnsi="Times New Roman" w:cs="Times New Roman"/>
        </w:rPr>
        <w:t xml:space="preserve"> </w:t>
      </w:r>
      <w:r w:rsidR="00DB7589" w:rsidRPr="002A28B6">
        <w:rPr>
          <w:rFonts w:ascii="Times New Roman" w:hAnsi="Times New Roman" w:cs="Times New Roman"/>
        </w:rPr>
        <w:t xml:space="preserve">así como las constantes en </w:t>
      </w:r>
      <w:r w:rsidR="002A28B6">
        <w:rPr>
          <w:rFonts w:ascii="Times New Roman" w:hAnsi="Times New Roman" w:cs="Times New Roman"/>
        </w:rPr>
        <w:t xml:space="preserve">el </w:t>
      </w:r>
      <w:r w:rsidR="002A28B6" w:rsidRPr="00782A25">
        <w:rPr>
          <w:rFonts w:ascii="Times New Roman" w:hAnsi="Times New Roman" w:cs="Times New Roman"/>
        </w:rPr>
        <w:t>Informe No.020-AT-DMGR-2020</w:t>
      </w:r>
      <w:r w:rsidR="006976D2">
        <w:rPr>
          <w:rFonts w:ascii="Times New Roman" w:hAnsi="Times New Roman" w:cs="Times New Roman"/>
        </w:rPr>
        <w:t xml:space="preserve">, </w:t>
      </w:r>
      <w:r w:rsidR="002A28B6" w:rsidRPr="00782A25">
        <w:rPr>
          <w:rFonts w:ascii="Times New Roman" w:hAnsi="Times New Roman" w:cs="Times New Roman"/>
        </w:rPr>
        <w:t>de 11 de febrero de 2020</w:t>
      </w:r>
      <w:r w:rsidR="002B3979">
        <w:rPr>
          <w:rFonts w:ascii="Times New Roman" w:hAnsi="Times New Roman" w:cs="Times New Roman"/>
        </w:rPr>
        <w:t xml:space="preserve">, </w:t>
      </w:r>
      <w:r w:rsidR="002A28B6">
        <w:rPr>
          <w:rFonts w:ascii="Times New Roman" w:hAnsi="Times New Roman" w:cs="Times New Roman"/>
        </w:rPr>
        <w:t xml:space="preserve">que </w:t>
      </w:r>
      <w:r w:rsidR="002A28B6" w:rsidRPr="00414439">
        <w:rPr>
          <w:rFonts w:ascii="Times New Roman" w:hAnsi="Times New Roman" w:cs="Times New Roman"/>
        </w:rPr>
        <w:t>califica por movimientos en masa al asentamiento humano de hecho y consolidado de interés social denominado Comité Pro-mejoras del Barrio “Altar de Pululahua”</w:t>
      </w:r>
      <w:r w:rsidR="002A28B6">
        <w:rPr>
          <w:rFonts w:ascii="Times New Roman" w:hAnsi="Times New Roman" w:cs="Times New Roman"/>
        </w:rPr>
        <w:t xml:space="preserve"> </w:t>
      </w:r>
      <w:r w:rsidR="002A28B6" w:rsidRPr="00782A25">
        <w:rPr>
          <w:rFonts w:ascii="Times New Roman" w:hAnsi="Times New Roman" w:cs="Times New Roman"/>
        </w:rPr>
        <w:t xml:space="preserve">en general </w:t>
      </w:r>
      <w:r w:rsidR="002A28B6">
        <w:rPr>
          <w:rFonts w:ascii="Times New Roman" w:hAnsi="Times New Roman" w:cs="Times New Roman"/>
        </w:rPr>
        <w:t>con</w:t>
      </w:r>
      <w:r w:rsidR="002A28B6" w:rsidRPr="00782A25">
        <w:rPr>
          <w:rFonts w:ascii="Times New Roman" w:hAnsi="Times New Roman" w:cs="Times New Roman"/>
        </w:rPr>
        <w:t xml:space="preserve"> un </w:t>
      </w:r>
      <w:r w:rsidR="002A28B6" w:rsidRPr="00782A25">
        <w:rPr>
          <w:rFonts w:ascii="Times New Roman" w:hAnsi="Times New Roman" w:cs="Times New Roman"/>
          <w:bCs/>
        </w:rPr>
        <w:t xml:space="preserve">Riesgo Moderado Mitigable </w:t>
      </w:r>
      <w:r w:rsidR="002A28B6" w:rsidRPr="00782A25">
        <w:rPr>
          <w:rFonts w:ascii="Times New Roman" w:hAnsi="Times New Roman" w:cs="Times New Roman"/>
        </w:rPr>
        <w:t xml:space="preserve">para todos lotes frente a deslizamientos, a excepción de los lotes  2, 3, 14, 20 que presentan un </w:t>
      </w:r>
      <w:r w:rsidR="002A28B6" w:rsidRPr="00782A25">
        <w:rPr>
          <w:rFonts w:ascii="Times New Roman" w:hAnsi="Times New Roman" w:cs="Times New Roman"/>
          <w:bCs/>
        </w:rPr>
        <w:t>Riesgo Alto Mitigable</w:t>
      </w:r>
      <w:r w:rsidR="002A28B6" w:rsidRPr="00782A25">
        <w:rPr>
          <w:rFonts w:ascii="Times New Roman" w:hAnsi="Times New Roman" w:cs="Times New Roman"/>
        </w:rPr>
        <w:t xml:space="preserve"> por tener cortes en el terreno sin protección y los lotes 104, 109, 111, 112, 116, 120, 127, 132, 133 y 134 que presentan un </w:t>
      </w:r>
      <w:r w:rsidR="002A28B6" w:rsidRPr="00782A25">
        <w:rPr>
          <w:rFonts w:ascii="Times New Roman" w:hAnsi="Times New Roman" w:cs="Times New Roman"/>
          <w:bCs/>
        </w:rPr>
        <w:t>Riesgo Alto Mitigable</w:t>
      </w:r>
      <w:r w:rsidR="002A28B6">
        <w:rPr>
          <w:rFonts w:ascii="Times New Roman" w:hAnsi="Times New Roman" w:cs="Times New Roman"/>
          <w:bCs/>
        </w:rPr>
        <w:t xml:space="preserve"> </w:t>
      </w:r>
      <w:r w:rsidR="002A28B6" w:rsidRPr="00782A25">
        <w:rPr>
          <w:rFonts w:ascii="Times New Roman" w:hAnsi="Times New Roman" w:cs="Times New Roman"/>
        </w:rPr>
        <w:t>por encontrarse colindantes con la quebrada ubicada al norte del asentamient</w:t>
      </w:r>
      <w:r w:rsidR="002A28B6">
        <w:rPr>
          <w:rFonts w:ascii="Times New Roman" w:hAnsi="Times New Roman" w:cs="Times New Roman"/>
        </w:rPr>
        <w:t>o humano de hecho y consolidado</w:t>
      </w:r>
      <w:r w:rsidR="00105BD2" w:rsidRPr="00DB7589">
        <w:rPr>
          <w:rFonts w:ascii="Times New Roman" w:hAnsi="Times New Roman" w:cs="Times New Roman"/>
        </w:rPr>
        <w:t>.</w:t>
      </w:r>
    </w:p>
    <w:p w14:paraId="5D5BD25C" w14:textId="77777777" w:rsidR="00623593" w:rsidRPr="00762D45" w:rsidRDefault="00623593" w:rsidP="00762D45">
      <w:pPr>
        <w:spacing w:after="240"/>
        <w:rPr>
          <w:rFonts w:ascii="Times New Roman" w:hAnsi="Times New Roman" w:cs="Times New Roman"/>
          <w:bCs/>
        </w:rPr>
      </w:pPr>
      <w:r w:rsidRPr="00762D45">
        <w:rPr>
          <w:rFonts w:ascii="Times New Roman" w:hAnsi="Times New Roman" w:cs="Times New Roman"/>
          <w:bCs/>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procederá a su validación y posteriormente, pondrá en conocimiento de la Administración Zonal La Delicia para su control respectivo. La Administración Zonal será notificada con el cronograma y realizará el seguimiento en la ejecución y avance de las obras de mitigación hasta la terminación de las mismas.</w:t>
      </w:r>
    </w:p>
    <w:p w14:paraId="26A1FDE6" w14:textId="77777777" w:rsidR="00623593" w:rsidRPr="00762D45" w:rsidRDefault="00623593" w:rsidP="00762D45">
      <w:pPr>
        <w:spacing w:after="240"/>
        <w:rPr>
          <w:rFonts w:ascii="Times New Roman" w:hAnsi="Times New Roman" w:cs="Times New Roman"/>
          <w:bCs/>
        </w:rPr>
      </w:pPr>
      <w:r w:rsidRPr="00762D45">
        <w:rPr>
          <w:rFonts w:ascii="Times New Roman" w:hAnsi="Times New Roman" w:cs="Times New Roman"/>
          <w:bCs/>
        </w:rPr>
        <w:t>En el caso de no presentarse el cronograma de obras referido, el Concejo Metropolitano podrá revocar la presente ordenanza.</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443DBADF"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80046D">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r w:rsidR="004B6851">
        <w:rPr>
          <w:rFonts w:ascii="Times New Roman" w:hAnsi="Times New Roman" w:cs="Times New Roman"/>
          <w:b/>
        </w:rPr>
        <w:t>Vías</w:t>
      </w:r>
      <w:r w:rsidR="008734EA" w:rsidRPr="004A7C8B">
        <w:rPr>
          <w:rFonts w:ascii="Times New Roman" w:hAnsi="Times New Roman" w:cs="Times New Roman"/>
          <w:b/>
        </w:rPr>
        <w:t>. -</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2C45BA">
        <w:rPr>
          <w:rFonts w:ascii="Times New Roman" w:hAnsi="Times New Roman" w:cs="Times New Roman"/>
        </w:rPr>
        <w:t>Comité Pro-mejoras del Barrio “Altar de Pululahua”</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005E84">
        <w:rPr>
          <w:rFonts w:ascii="Times New Roman" w:hAnsi="Times New Roman" w:cs="Times New Roman"/>
        </w:rPr>
        <w:t>1</w:t>
      </w:r>
      <w:r w:rsidR="004C5122" w:rsidRPr="0080046D">
        <w:rPr>
          <w:rFonts w:ascii="Times New Roman" w:hAnsi="Times New Roman" w:cs="Times New Roman"/>
        </w:rPr>
        <w:t xml:space="preserve"> años de existencia, con </w:t>
      </w:r>
      <w:r w:rsidR="006976D2">
        <w:rPr>
          <w:rFonts w:ascii="Times New Roman" w:hAnsi="Times New Roman" w:cs="Times New Roman"/>
        </w:rPr>
        <w:t>50</w:t>
      </w:r>
      <w:r w:rsidR="00F01BFA" w:rsidRPr="00F01BFA">
        <w:rPr>
          <w:rFonts w:ascii="Times New Roman" w:hAnsi="Times New Roman" w:cs="Times New Roman"/>
        </w:rPr>
        <w:t>,</w:t>
      </w:r>
      <w:r w:rsidR="006976D2">
        <w:rPr>
          <w:rFonts w:ascii="Times New Roman" w:hAnsi="Times New Roman" w:cs="Times New Roman"/>
        </w:rPr>
        <w:t>35</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obras civiles</w:t>
      </w:r>
      <w:r w:rsidR="008734EA">
        <w:rPr>
          <w:rFonts w:ascii="Times New Roman" w:hAnsi="Times New Roman" w:cs="Times New Roman"/>
        </w:rPr>
        <w:t xml:space="preserve"> y de infraestructura</w:t>
      </w:r>
      <w:r w:rsidR="004C5122" w:rsidRPr="0080046D">
        <w:rPr>
          <w:rFonts w:ascii="Times New Roman" w:hAnsi="Times New Roman" w:cs="Times New Roman"/>
        </w:rPr>
        <w:t xml:space="preserve">, razón por la cual los anchos viales se sujetarán al plano adjunto a la presente ordenanza. </w:t>
      </w:r>
    </w:p>
    <w:p w14:paraId="5675C97A" w14:textId="1E88DB23" w:rsidR="004C5122" w:rsidRPr="0080046D" w:rsidRDefault="004C5122" w:rsidP="008F18A3">
      <w:pPr>
        <w:spacing w:after="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calle</w:t>
      </w:r>
      <w:r w:rsidR="006976D2">
        <w:rPr>
          <w:rFonts w:ascii="Times New Roman" w:hAnsi="Times New Roman" w:cs="Times New Roman"/>
        </w:rPr>
        <w:t xml:space="preserve"> y el pasaje</w:t>
      </w:r>
      <w:r w:rsidR="00F01BFA">
        <w:rPr>
          <w:rFonts w:ascii="Times New Roman" w:hAnsi="Times New Roman" w:cs="Times New Roman"/>
        </w:rPr>
        <w:t xml:space="preserv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0"/>
        <w:gridCol w:w="4461"/>
      </w:tblGrid>
      <w:tr w:rsidR="00DB7589" w:rsidRPr="00FE6FC4" w14:paraId="7448B2FB"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016A1A2" w14:textId="5D7328C9" w:rsidR="00DB7589" w:rsidRPr="00FE6FC4" w:rsidRDefault="006976D2" w:rsidP="006976D2">
            <w:pPr>
              <w:spacing w:after="240"/>
              <w:rPr>
                <w:rFonts w:ascii="Times New Roman" w:hAnsi="Times New Roman" w:cs="Times New Roman"/>
              </w:rPr>
            </w:pPr>
            <w:r w:rsidRPr="006976D2">
              <w:rPr>
                <w:rFonts w:ascii="Times New Roman" w:hAnsi="Times New Roman" w:cs="Times New Roman"/>
              </w:rPr>
              <w:t xml:space="preserve">CaN6J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18FB1B08" w14:textId="1024B4E0" w:rsidR="00DB7589" w:rsidRPr="00FE6FC4" w:rsidRDefault="006976D2" w:rsidP="00F01BFA">
            <w:pPr>
              <w:spacing w:after="240"/>
              <w:rPr>
                <w:rFonts w:ascii="Times New Roman" w:hAnsi="Times New Roman" w:cs="Times New Roman"/>
              </w:rPr>
            </w:pPr>
            <w:r>
              <w:rPr>
                <w:rFonts w:ascii="Times New Roman" w:hAnsi="Times New Roman" w:cs="Times New Roman"/>
              </w:rPr>
              <w:t>8.00</w:t>
            </w:r>
            <w:r w:rsidR="00DB7589">
              <w:rPr>
                <w:rFonts w:ascii="Times New Roman" w:hAnsi="Times New Roman" w:cs="Times New Roman"/>
              </w:rPr>
              <w:t>m</w:t>
            </w:r>
          </w:p>
        </w:tc>
      </w:tr>
      <w:tr w:rsidR="006976D2" w:rsidRPr="00FE6FC4" w14:paraId="7DB97414"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89FFD05" w14:textId="20DE91EE" w:rsidR="006976D2" w:rsidRPr="006976D2" w:rsidRDefault="006976D2" w:rsidP="006976D2">
            <w:pPr>
              <w:spacing w:after="240"/>
              <w:rPr>
                <w:rFonts w:ascii="Times New Roman" w:hAnsi="Times New Roman" w:cs="Times New Roman"/>
              </w:rPr>
            </w:pPr>
            <w:r w:rsidRPr="006976D2">
              <w:rPr>
                <w:rFonts w:ascii="Times New Roman" w:hAnsi="Times New Roman" w:cs="Times New Roman"/>
              </w:rPr>
              <w:t xml:space="preserve">Psj. Oe2C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5CBA9A2C" w14:textId="15912384" w:rsidR="006976D2" w:rsidRDefault="006976D2" w:rsidP="00F01BFA">
            <w:pPr>
              <w:spacing w:after="240"/>
              <w:rPr>
                <w:rFonts w:ascii="Times New Roman" w:hAnsi="Times New Roman" w:cs="Times New Roman"/>
              </w:rPr>
            </w:pPr>
            <w:r w:rsidRPr="006976D2">
              <w:rPr>
                <w:rFonts w:ascii="Times New Roman" w:hAnsi="Times New Roman" w:cs="Times New Roman"/>
              </w:rPr>
              <w:t>6.00 m</w:t>
            </w:r>
          </w:p>
        </w:tc>
      </w:tr>
    </w:tbl>
    <w:p w14:paraId="070F42AC" w14:textId="77777777" w:rsidR="008B4484" w:rsidRDefault="008B4484" w:rsidP="00F01BFA">
      <w:pPr>
        <w:spacing w:after="0"/>
        <w:rPr>
          <w:rFonts w:ascii="Times New Roman" w:hAnsi="Times New Roman" w:cs="Times New Roman"/>
          <w:b/>
        </w:rPr>
      </w:pPr>
    </w:p>
    <w:p w14:paraId="432F65EB" w14:textId="172635F5"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4A7C8B">
        <w:rPr>
          <w:rFonts w:ascii="Times New Roman" w:hAnsi="Times New Roman" w:cs="Times New Roman"/>
          <w:b/>
        </w:rPr>
        <w:t>1</w:t>
      </w:r>
      <w:r w:rsidRPr="002524F5">
        <w:rPr>
          <w:rFonts w:ascii="Times New Roman" w:hAnsi="Times New Roman" w:cs="Times New Roman"/>
          <w:b/>
        </w:rPr>
        <w:t xml:space="preserve">.- </w:t>
      </w:r>
      <w:r w:rsidRPr="004A7C8B">
        <w:rPr>
          <w:rFonts w:ascii="Times New Roman" w:hAnsi="Times New Roman" w:cs="Times New Roman"/>
          <w:b/>
        </w:rPr>
        <w:t xml:space="preserve">De las obras a </w:t>
      </w:r>
      <w:r w:rsidR="00FF5491" w:rsidRPr="004A7C8B">
        <w:rPr>
          <w:rFonts w:ascii="Times New Roman" w:hAnsi="Times New Roman" w:cs="Times New Roman"/>
          <w:b/>
        </w:rPr>
        <w:t>ejecutarse. -</w:t>
      </w:r>
      <w:r w:rsidRPr="0060370C">
        <w:rPr>
          <w:rFonts w:ascii="Times New Roman" w:hAnsi="Times New Roman" w:cs="Times New Roman"/>
          <w:b/>
          <w:bCs/>
          <w:i/>
        </w:rPr>
        <w:t xml:space="preserve"> </w:t>
      </w:r>
      <w:r w:rsidRPr="004A7C8B">
        <w:rPr>
          <w:rFonts w:ascii="Times New Roman" w:hAnsi="Times New Roman" w:cs="Times New Roman"/>
        </w:rPr>
        <w:t xml:space="preserve">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008734EA" w:rsidRPr="004A7C8B">
        <w:rPr>
          <w:rFonts w:ascii="Times New Roman" w:hAnsi="Times New Roman" w:cs="Times New Roman"/>
        </w:rPr>
        <w:t xml:space="preserve"> </w:t>
      </w:r>
      <w:r w:rsidRPr="004A7C8B">
        <w:rPr>
          <w:rFonts w:ascii="Times New Roman" w:hAnsi="Times New Roman" w:cs="Times New Roman"/>
        </w:rPr>
        <w:t>a ejecutarse en el asentamiento humano de hecho y consolidado de interés social, son las siguientes:</w:t>
      </w:r>
      <w:r w:rsidRPr="0060370C">
        <w:rPr>
          <w:rFonts w:ascii="Times New Roman" w:hAnsi="Times New Roman" w:cs="Times New Roman"/>
          <w:i/>
        </w:rPr>
        <w:t xml:space="preserve"> </w:t>
      </w:r>
    </w:p>
    <w:tbl>
      <w:tblPr>
        <w:tblStyle w:val="Tablaconcuadrcula"/>
        <w:tblW w:w="8931" w:type="dxa"/>
        <w:tblInd w:w="-5" w:type="dxa"/>
        <w:tblLook w:val="04A0" w:firstRow="1" w:lastRow="0" w:firstColumn="1" w:lastColumn="0" w:noHBand="0" w:noVBand="1"/>
      </w:tblPr>
      <w:tblGrid>
        <w:gridCol w:w="4474"/>
        <w:gridCol w:w="4457"/>
      </w:tblGrid>
      <w:tr w:rsidR="00385E19" w:rsidRPr="004A7C8B" w14:paraId="3BED4583" w14:textId="77777777" w:rsidTr="006976D2">
        <w:tc>
          <w:tcPr>
            <w:tcW w:w="4474" w:type="dxa"/>
            <w:tcBorders>
              <w:top w:val="single" w:sz="4" w:space="0" w:color="auto"/>
              <w:left w:val="single" w:sz="4" w:space="0" w:color="auto"/>
              <w:bottom w:val="single" w:sz="4" w:space="0" w:color="auto"/>
              <w:right w:val="single" w:sz="4" w:space="0" w:color="auto"/>
            </w:tcBorders>
            <w:hideMark/>
          </w:tcPr>
          <w:p w14:paraId="0C65C789"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Calzadas:</w:t>
            </w:r>
            <w:r w:rsidRPr="004A7C8B">
              <w:rPr>
                <w:rFonts w:ascii="Times New Roman" w:hAnsi="Times New Roman" w:cs="Times New Roman"/>
              </w:rPr>
              <w:tab/>
            </w:r>
            <w:r w:rsidRPr="004A7C8B">
              <w:rPr>
                <w:rFonts w:ascii="Times New Roman" w:hAnsi="Times New Roman" w:cs="Times New Roman"/>
              </w:rPr>
              <w:tab/>
            </w:r>
          </w:p>
        </w:tc>
        <w:tc>
          <w:tcPr>
            <w:tcW w:w="4457" w:type="dxa"/>
            <w:tcBorders>
              <w:top w:val="single" w:sz="4" w:space="0" w:color="auto"/>
              <w:left w:val="single" w:sz="4" w:space="0" w:color="auto"/>
              <w:bottom w:val="single" w:sz="4" w:space="0" w:color="auto"/>
              <w:right w:val="single" w:sz="4" w:space="0" w:color="auto"/>
            </w:tcBorders>
            <w:hideMark/>
          </w:tcPr>
          <w:p w14:paraId="37A47A1C"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100%</w:t>
            </w:r>
          </w:p>
        </w:tc>
      </w:tr>
      <w:tr w:rsidR="00A84C98" w:rsidRPr="004A7C8B" w14:paraId="0BC6BE72" w14:textId="77777777" w:rsidTr="006976D2">
        <w:tc>
          <w:tcPr>
            <w:tcW w:w="4474" w:type="dxa"/>
            <w:tcBorders>
              <w:top w:val="single" w:sz="4" w:space="0" w:color="auto"/>
              <w:left w:val="single" w:sz="4" w:space="0" w:color="auto"/>
              <w:bottom w:val="single" w:sz="4" w:space="0" w:color="auto"/>
              <w:right w:val="single" w:sz="4" w:space="0" w:color="auto"/>
            </w:tcBorders>
          </w:tcPr>
          <w:p w14:paraId="53F363E9" w14:textId="32B97595" w:rsidR="00A84C98" w:rsidRPr="004A7C8B" w:rsidRDefault="00A84C98" w:rsidP="00A84C98">
            <w:pPr>
              <w:rPr>
                <w:rFonts w:ascii="Times New Roman" w:hAnsi="Times New Roman" w:cs="Times New Roman"/>
              </w:rPr>
            </w:pPr>
            <w:r>
              <w:rPr>
                <w:rFonts w:ascii="Times New Roman" w:hAnsi="Times New Roman" w:cs="Times New Roman"/>
              </w:rPr>
              <w:t>Aceras:</w:t>
            </w:r>
          </w:p>
        </w:tc>
        <w:tc>
          <w:tcPr>
            <w:tcW w:w="4457" w:type="dxa"/>
            <w:tcBorders>
              <w:top w:val="single" w:sz="4" w:space="0" w:color="auto"/>
              <w:left w:val="single" w:sz="4" w:space="0" w:color="auto"/>
              <w:bottom w:val="single" w:sz="4" w:space="0" w:color="auto"/>
              <w:right w:val="single" w:sz="4" w:space="0" w:color="auto"/>
            </w:tcBorders>
          </w:tcPr>
          <w:p w14:paraId="3B4CC8F9" w14:textId="1BF8FD98"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10A93329" w14:textId="77777777" w:rsidTr="006976D2">
        <w:tc>
          <w:tcPr>
            <w:tcW w:w="4474" w:type="dxa"/>
            <w:tcBorders>
              <w:top w:val="single" w:sz="4" w:space="0" w:color="auto"/>
              <w:left w:val="single" w:sz="4" w:space="0" w:color="auto"/>
              <w:bottom w:val="single" w:sz="4" w:space="0" w:color="auto"/>
              <w:right w:val="single" w:sz="4" w:space="0" w:color="auto"/>
            </w:tcBorders>
          </w:tcPr>
          <w:p w14:paraId="5FFFB15A" w14:textId="0FE0A7B4" w:rsidR="00A84C98" w:rsidRPr="004A7C8B" w:rsidRDefault="00A84C98" w:rsidP="00A84C98">
            <w:pPr>
              <w:rPr>
                <w:rFonts w:ascii="Times New Roman" w:hAnsi="Times New Roman" w:cs="Times New Roman"/>
              </w:rPr>
            </w:pPr>
            <w:r>
              <w:rPr>
                <w:rFonts w:ascii="Times New Roman" w:hAnsi="Times New Roman" w:cs="Times New Roman"/>
              </w:rPr>
              <w:t>Bordillos:</w:t>
            </w:r>
          </w:p>
        </w:tc>
        <w:tc>
          <w:tcPr>
            <w:tcW w:w="4457"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53C4964D" w14:textId="77777777" w:rsidTr="006976D2">
        <w:tc>
          <w:tcPr>
            <w:tcW w:w="4474" w:type="dxa"/>
            <w:tcBorders>
              <w:top w:val="single" w:sz="4" w:space="0" w:color="auto"/>
              <w:left w:val="single" w:sz="4" w:space="0" w:color="auto"/>
              <w:bottom w:val="single" w:sz="4" w:space="0" w:color="auto"/>
              <w:right w:val="single" w:sz="4" w:space="0" w:color="auto"/>
            </w:tcBorders>
          </w:tcPr>
          <w:p w14:paraId="3860BDEC" w14:textId="37C6EC01" w:rsidR="00A84C98" w:rsidRDefault="00A84C98">
            <w:pPr>
              <w:rPr>
                <w:rFonts w:ascii="Times New Roman" w:hAnsi="Times New Roman" w:cs="Times New Roman"/>
              </w:rPr>
            </w:pPr>
            <w:r>
              <w:rPr>
                <w:rFonts w:ascii="Times New Roman" w:hAnsi="Times New Roman" w:cs="Times New Roman"/>
              </w:rPr>
              <w:t>Alcantarillado:</w:t>
            </w:r>
          </w:p>
        </w:tc>
        <w:tc>
          <w:tcPr>
            <w:tcW w:w="4457"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r w:rsidR="00A84C98" w:rsidRPr="004A7C8B" w14:paraId="357CF56C" w14:textId="77777777" w:rsidTr="006976D2">
        <w:tc>
          <w:tcPr>
            <w:tcW w:w="4474" w:type="dxa"/>
            <w:tcBorders>
              <w:top w:val="single" w:sz="4" w:space="0" w:color="auto"/>
              <w:left w:val="single" w:sz="4" w:space="0" w:color="auto"/>
              <w:bottom w:val="single" w:sz="4" w:space="0" w:color="auto"/>
              <w:right w:val="single" w:sz="4" w:space="0" w:color="auto"/>
            </w:tcBorders>
          </w:tcPr>
          <w:p w14:paraId="371689A8" w14:textId="0BAF9022" w:rsidR="00A84C98" w:rsidRDefault="00A84C98">
            <w:pPr>
              <w:rPr>
                <w:rFonts w:ascii="Times New Roman" w:hAnsi="Times New Roman" w:cs="Times New Roman"/>
              </w:rPr>
            </w:pPr>
            <w:r>
              <w:rPr>
                <w:rFonts w:ascii="Times New Roman" w:hAnsi="Times New Roman" w:cs="Times New Roman"/>
              </w:rPr>
              <w:t>Energía Eléctrica</w:t>
            </w:r>
            <w:r w:rsidR="006976D2">
              <w:rPr>
                <w:rFonts w:ascii="Times New Roman" w:hAnsi="Times New Roman" w:cs="Times New Roman"/>
              </w:rPr>
              <w:t>:</w:t>
            </w:r>
            <w:r>
              <w:rPr>
                <w:rFonts w:ascii="Times New Roman" w:hAnsi="Times New Roman" w:cs="Times New Roman"/>
              </w:rPr>
              <w:t xml:space="preserve"> </w:t>
            </w:r>
          </w:p>
        </w:tc>
        <w:tc>
          <w:tcPr>
            <w:tcW w:w="4457" w:type="dxa"/>
            <w:tcBorders>
              <w:top w:val="single" w:sz="4" w:space="0" w:color="auto"/>
              <w:left w:val="single" w:sz="4" w:space="0" w:color="auto"/>
              <w:bottom w:val="single" w:sz="4" w:space="0" w:color="auto"/>
              <w:right w:val="single" w:sz="4" w:space="0" w:color="auto"/>
            </w:tcBorders>
          </w:tcPr>
          <w:p w14:paraId="76ABBCF5" w14:textId="590764B6" w:rsidR="00A84C98" w:rsidRPr="004A7C8B" w:rsidRDefault="00A84C98">
            <w:pPr>
              <w:rPr>
                <w:rFonts w:ascii="Times New Roman" w:hAnsi="Times New Roman" w:cs="Times New Roman"/>
              </w:rPr>
            </w:pPr>
            <w:r>
              <w:rPr>
                <w:rFonts w:ascii="Times New Roman" w:hAnsi="Times New Roman" w:cs="Times New Roman"/>
              </w:rPr>
              <w:t>1</w:t>
            </w:r>
            <w:r w:rsidR="006976D2">
              <w:rPr>
                <w:rFonts w:ascii="Times New Roman" w:hAnsi="Times New Roman" w:cs="Times New Roman"/>
              </w:rPr>
              <w:t>0</w:t>
            </w:r>
            <w:r>
              <w:rPr>
                <w:rFonts w:ascii="Times New Roman" w:hAnsi="Times New Roman" w:cs="Times New Roman"/>
              </w:rPr>
              <w:t>0%</w:t>
            </w:r>
          </w:p>
        </w:tc>
      </w:tr>
    </w:tbl>
    <w:p w14:paraId="02FCC222" w14:textId="77777777" w:rsidR="00385E19" w:rsidRPr="002524F5" w:rsidRDefault="00385E19" w:rsidP="002524F5">
      <w:pPr>
        <w:spacing w:after="0"/>
        <w:rPr>
          <w:rFonts w:ascii="Times New Roman" w:hAnsi="Times New Roman" w:cs="Times New Roman"/>
          <w:i/>
        </w:rPr>
      </w:pPr>
    </w:p>
    <w:p w14:paraId="370489EB" w14:textId="505BBD0F" w:rsidR="00D32628" w:rsidRDefault="00D32628" w:rsidP="00021577">
      <w:pPr>
        <w:pStyle w:val="Textoindependiente"/>
        <w:rPr>
          <w:rFonts w:ascii="Times New Roman" w:hAnsi="Times New Roman" w:cs="Times New Roman"/>
        </w:rPr>
      </w:pPr>
      <w:r w:rsidRPr="00021577">
        <w:rPr>
          <w:rFonts w:ascii="Times New Roman" w:hAnsi="Times New Roman" w:cs="Times New Roman"/>
          <w:b/>
          <w:bCs/>
        </w:rPr>
        <w:t>Artículo 1</w:t>
      </w:r>
      <w:r w:rsidR="004A7C8B">
        <w:rPr>
          <w:rFonts w:ascii="Times New Roman" w:hAnsi="Times New Roman" w:cs="Times New Roman"/>
          <w:b/>
          <w:bCs/>
        </w:rPr>
        <w:t>2</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 xml:space="preserve">El plazo de ejecución de la totalidad de 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Pr="004A7C8B">
        <w:rPr>
          <w:rFonts w:ascii="Times New Roman" w:hAnsi="Times New Roman" w:cs="Times New Roman"/>
        </w:rPr>
        <w:t xml:space="preserve">, será de </w:t>
      </w:r>
      <w:r w:rsidR="006976D2">
        <w:rPr>
          <w:rFonts w:ascii="Times New Roman" w:hAnsi="Times New Roman" w:cs="Times New Roman"/>
        </w:rPr>
        <w:t>cinco</w:t>
      </w:r>
      <w:r w:rsidRPr="004A7C8B">
        <w:rPr>
          <w:rFonts w:ascii="Times New Roman" w:hAnsi="Times New Roman" w:cs="Times New Roman"/>
        </w:rPr>
        <w:t xml:space="preserve"> (</w:t>
      </w:r>
      <w:r w:rsidR="006976D2">
        <w:rPr>
          <w:rFonts w:ascii="Times New Roman" w:hAnsi="Times New Roman" w:cs="Times New Roman"/>
        </w:rPr>
        <w:t>5</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11454B11" w14:textId="38B2161D" w:rsidR="004B6851" w:rsidRPr="004A7C8B" w:rsidRDefault="008F18A3" w:rsidP="00021577">
      <w:pPr>
        <w:pStyle w:val="Textoindependiente"/>
        <w:rPr>
          <w:rFonts w:ascii="Times New Roman" w:hAnsi="Times New Roman" w:cs="Times New Roman"/>
        </w:rPr>
      </w:pPr>
      <w:r w:rsidRPr="004E5B33">
        <w:rPr>
          <w:rFonts w:ascii="Times New Roman" w:hAnsi="Times New Roman" w:cs="Times New Roman"/>
        </w:rPr>
        <w:t xml:space="preserve">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00FF5491" w:rsidRPr="004E5B33">
        <w:rPr>
          <w:rFonts w:ascii="Times New Roman" w:hAnsi="Times New Roman" w:cs="Times New Roman"/>
        </w:rPr>
        <w:t xml:space="preserve"> </w:t>
      </w:r>
      <w:r w:rsidRPr="004E5B33">
        <w:rPr>
          <w:rFonts w:ascii="Times New Roman" w:hAnsi="Times New Roman" w:cs="Times New Roman"/>
        </w:rPr>
        <w:t>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51833031" w14:textId="6ABBE3AB"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B9478D">
        <w:rPr>
          <w:rFonts w:ascii="Times New Roman" w:hAnsi="Times New Roman" w:cs="Times New Roman"/>
          <w:b/>
          <w:bCs/>
        </w:rPr>
        <w:t>3</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w:t>
      </w:r>
      <w:r w:rsidR="00A40CC4" w:rsidRPr="004B6851">
        <w:rPr>
          <w:rFonts w:ascii="Times New Roman" w:hAnsi="Times New Roman" w:cs="Times New Roman"/>
          <w:b/>
          <w:bCs/>
        </w:rPr>
        <w:t>obras. -</w:t>
      </w:r>
      <w:r w:rsidRPr="004B6851">
        <w:rPr>
          <w:rFonts w:ascii="Times New Roman" w:hAnsi="Times New Roman" w:cs="Times New Roman"/>
          <w:b/>
          <w:bCs/>
        </w:rPr>
        <w:t xml:space="preserve"> </w:t>
      </w:r>
      <w:r w:rsidRPr="004B6851">
        <w:rPr>
          <w:rFonts w:ascii="Times New Roman" w:hAnsi="Times New Roman" w:cs="Times New Roman"/>
        </w:rPr>
        <w:t xml:space="preserve">La Administración Zonal </w:t>
      </w:r>
      <w:r w:rsidR="004B6851" w:rsidRPr="004B6851">
        <w:rPr>
          <w:rFonts w:ascii="Times New Roman" w:hAnsi="Times New Roman" w:cs="Times New Roman"/>
        </w:rPr>
        <w:t xml:space="preserve">la Delicia </w:t>
      </w:r>
      <w:r w:rsidRPr="004B6851">
        <w:rPr>
          <w:rFonts w:ascii="Times New Roman" w:hAnsi="Times New Roman" w:cs="Times New Roman"/>
        </w:rPr>
        <w:t>realizará de oficio, el seguimiento en la ejecución y avance de las obras civiles</w:t>
      </w:r>
      <w:r w:rsidR="00A40CC4">
        <w:rPr>
          <w:rFonts w:ascii="Times New Roman" w:hAnsi="Times New Roman" w:cs="Times New Roman"/>
        </w:rPr>
        <w:t xml:space="preserve"> y de infraestructura</w:t>
      </w:r>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r w:rsidR="004B6851" w:rsidRPr="004B6851">
        <w:rPr>
          <w:rFonts w:ascii="Times New Roman" w:hAnsi="Times New Roman" w:cs="Times New Roman"/>
        </w:rPr>
        <w:t xml:space="preserve"> la Delicia</w:t>
      </w:r>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6286061C"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B9478D">
        <w:rPr>
          <w:rFonts w:ascii="Times New Roman" w:hAnsi="Times New Roman" w:cs="Times New Roman"/>
          <w:b/>
          <w:bCs/>
        </w:rPr>
        <w:t>4</w:t>
      </w:r>
      <w:r w:rsidRPr="00021577">
        <w:rPr>
          <w:rFonts w:ascii="Times New Roman" w:hAnsi="Times New Roman" w:cs="Times New Roman"/>
          <w:b/>
          <w:bCs/>
        </w:rPr>
        <w:t xml:space="preserve">.- </w:t>
      </w:r>
      <w:r w:rsidRPr="008F234C">
        <w:rPr>
          <w:rFonts w:ascii="Times New Roman" w:hAnsi="Times New Roman" w:cs="Times New Roman"/>
          <w:b/>
          <w:bCs/>
        </w:rPr>
        <w:t xml:space="preserve">De la multa por retraso en ejecución de </w:t>
      </w:r>
      <w:r w:rsidR="00FF5491" w:rsidRPr="008F234C">
        <w:rPr>
          <w:rFonts w:ascii="Times New Roman" w:hAnsi="Times New Roman" w:cs="Times New Roman"/>
          <w:b/>
          <w:bCs/>
        </w:rPr>
        <w:t>obras</w:t>
      </w:r>
      <w:r w:rsidR="00FF5491" w:rsidRPr="008F234C">
        <w:rPr>
          <w:rFonts w:ascii="Times New Roman" w:hAnsi="Times New Roman" w:cs="Times New Roman"/>
        </w:rPr>
        <w:t>. -</w:t>
      </w:r>
      <w:r w:rsidRPr="008F234C">
        <w:rPr>
          <w:rFonts w:ascii="Times New Roman" w:hAnsi="Times New Roman" w:cs="Times New Roman"/>
        </w:rPr>
        <w:t xml:space="preserve"> En caso de retraso en la ejecución de 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Pr="008F234C">
        <w:rPr>
          <w:rFonts w:ascii="Times New Roman" w:hAnsi="Times New Roman" w:cs="Times New Roman"/>
        </w:rPr>
        <w:t xml:space="preserve">, los copropietarios del inmueble sobre el cual se ubica el asentamiento humano de hecho y consolidado de interés social denominado </w:t>
      </w:r>
      <w:r w:rsidR="002C45BA">
        <w:rPr>
          <w:rFonts w:ascii="Times New Roman" w:hAnsi="Times New Roman" w:cs="Times New Roman"/>
        </w:rPr>
        <w:t>Comité Pro-mejoras del Barrio “Altar de Pululahua”</w:t>
      </w:r>
      <w:r w:rsidRPr="008F234C">
        <w:rPr>
          <w:rFonts w:ascii="Times New Roman" w:hAnsi="Times New Roman" w:cs="Times New Roman"/>
        </w:rPr>
        <w:t xml:space="preserve"> se sujetarán a las sanciones contempladas en el Ordenamiento Jurídico Nacional y Metropolitano.”</w:t>
      </w:r>
    </w:p>
    <w:p w14:paraId="503C0450" w14:textId="039C086C"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B9478D">
        <w:rPr>
          <w:rFonts w:ascii="Times New Roman" w:hAnsi="Times New Roman" w:cs="Times New Roman"/>
          <w:b/>
        </w:rPr>
        <w:t>5</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2C45BA">
        <w:rPr>
          <w:rFonts w:ascii="Times New Roman" w:hAnsi="Times New Roman" w:cs="Times New Roman"/>
        </w:rPr>
        <w:t>Comité Pro-mejoras del Barrio “Altar de Pululahua”</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w:t>
      </w:r>
      <w:r w:rsidR="005658DC">
        <w:rPr>
          <w:rFonts w:ascii="Times New Roman" w:hAnsi="Times New Roman" w:cs="Times New Roman"/>
        </w:rPr>
        <w:t>n</w:t>
      </w:r>
      <w:r w:rsidR="00B9478D" w:rsidRPr="00276031">
        <w:rPr>
          <w:rFonts w:ascii="Times New Roman" w:hAnsi="Times New Roman" w:cs="Times New Roman"/>
        </w:rPr>
        <w:t xml:space="preserve"> levantar con el cumplimiento de la normativa vigente. El gravamen constituido a favor de la Municipalidad deberá constar en cada escritura individualizada.</w:t>
      </w:r>
    </w:p>
    <w:p w14:paraId="6C1EDE22" w14:textId="19520BFF"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6</w:t>
      </w:r>
      <w:r w:rsidRPr="00276031">
        <w:rPr>
          <w:rFonts w:ascii="Times New Roman" w:hAnsi="Times New Roman" w:cs="Times New Roman"/>
          <w:b/>
        </w:rPr>
        <w:t xml:space="preserve">.- </w:t>
      </w:r>
      <w:r w:rsidRPr="00276031">
        <w:rPr>
          <w:rFonts w:ascii="Times New Roman" w:hAnsi="Times New Roman" w:cs="Times New Roman"/>
          <w:b/>
          <w:bCs/>
          <w:lang w:val="es-ES_tradnl"/>
        </w:rPr>
        <w:t xml:space="preserve">De la Protocolización e inscripción de la </w:t>
      </w:r>
      <w:r w:rsidR="00417D2D" w:rsidRPr="00276031">
        <w:rPr>
          <w:rFonts w:ascii="Times New Roman" w:hAnsi="Times New Roman" w:cs="Times New Roman"/>
          <w:b/>
          <w:bCs/>
          <w:lang w:val="es-ES_tradnl"/>
        </w:rPr>
        <w:t>Ordenanza. -</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2C45BA">
        <w:rPr>
          <w:rFonts w:ascii="Times New Roman" w:hAnsi="Times New Roman" w:cs="Times New Roman"/>
        </w:rPr>
        <w:t>Comité Pro-mejoras del Barrio “Altar de Pululahua”</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w:t>
      </w:r>
      <w:r w:rsidR="00276031" w:rsidRPr="00276031">
        <w:rPr>
          <w:rFonts w:ascii="Times New Roman" w:hAnsi="Times New Roman" w:cs="Times New Roman"/>
        </w:rPr>
        <w:lastRenderedPageBreak/>
        <w:t xml:space="preserve">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77777777"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artículo </w:t>
      </w:r>
      <w:r w:rsidRPr="00276031">
        <w:rPr>
          <w:rFonts w:ascii="Times New Roman" w:eastAsiaTheme="minorHAnsi" w:hAnsi="Times New Roman" w:cs="Times New Roman"/>
        </w:rPr>
        <w:t>IV.7.64 de la Ordenanza No. 001 de 29 de marzo de 2019.</w:t>
      </w:r>
    </w:p>
    <w:p w14:paraId="78376A92" w14:textId="13913922" w:rsidR="00A84C98" w:rsidRPr="00A40CC4" w:rsidRDefault="00A84C98" w:rsidP="00276031">
      <w:pPr>
        <w:pStyle w:val="Textoindependiente"/>
        <w:spacing w:before="240" w:after="0"/>
        <w:rPr>
          <w:rFonts w:ascii="Times New Roman" w:hAnsi="Times New Roman" w:cs="Times New Roman"/>
          <w:lang w:val="es-ES_tradnl"/>
        </w:rPr>
      </w:pPr>
      <w:r w:rsidRPr="00A40CC4">
        <w:rPr>
          <w:rFonts w:ascii="Times New Roman" w:hAnsi="Times New Roman" w:cs="Times New Roman"/>
          <w:lang w:val="es-ES_tradnl"/>
        </w:rPr>
        <w:t xml:space="preserve">La </w:t>
      </w:r>
      <w:r w:rsidR="00A40CC4" w:rsidRPr="00A40CC4">
        <w:rPr>
          <w:rFonts w:ascii="Times New Roman" w:hAnsi="Times New Roman" w:cs="Times New Roman"/>
          <w:lang w:val="es-ES_tradnl"/>
        </w:rPr>
        <w:t xml:space="preserve">inscripción de la presente ordenanza en el Registro de la Propiedad servirá como título de dominio para efectos de la transferencia del área </w:t>
      </w:r>
      <w:r w:rsidR="00A40CC4">
        <w:rPr>
          <w:rFonts w:ascii="Times New Roman" w:hAnsi="Times New Roman" w:cs="Times New Roman"/>
          <w:lang w:val="es-ES_tradnl"/>
        </w:rPr>
        <w:t xml:space="preserve">verde, equipamiento comunal y fajas de protección </w:t>
      </w:r>
      <w:r w:rsidR="00A40CC4" w:rsidRPr="00A40CC4">
        <w:rPr>
          <w:rFonts w:ascii="Times New Roman" w:hAnsi="Times New Roman" w:cs="Times New Roman"/>
          <w:lang w:val="es-ES_tradnl"/>
        </w:rPr>
        <w:t>a favor del Municipio.</w:t>
      </w:r>
    </w:p>
    <w:p w14:paraId="481EA4B9" w14:textId="1DCDB336"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7</w:t>
      </w:r>
      <w:r w:rsidRPr="00276031">
        <w:rPr>
          <w:rFonts w:ascii="Times New Roman" w:hAnsi="Times New Roman" w:cs="Times New Roman"/>
          <w:b/>
        </w:rPr>
        <w:t xml:space="preserve">.- </w:t>
      </w:r>
      <w:r w:rsidR="00276031" w:rsidRPr="00276031">
        <w:rPr>
          <w:rFonts w:ascii="Times New Roman" w:hAnsi="Times New Roman" w:cs="Times New Roman"/>
          <w:b/>
          <w:lang w:val="es-ES_tradnl"/>
        </w:rPr>
        <w:t xml:space="preserve">De la partición y </w:t>
      </w:r>
      <w:r w:rsidR="00417D2D" w:rsidRPr="00276031">
        <w:rPr>
          <w:rFonts w:ascii="Times New Roman" w:hAnsi="Times New Roman" w:cs="Times New Roman"/>
          <w:b/>
          <w:lang w:val="es-ES_tradnl"/>
        </w:rPr>
        <w:t>adjudicación. -</w:t>
      </w:r>
      <w:r w:rsidR="00276031" w:rsidRPr="00276031">
        <w:rPr>
          <w:rFonts w:ascii="Times New Roman" w:hAnsi="Times New Roman" w:cs="Times New Roman"/>
          <w:lang w:val="es-ES_tradnl"/>
        </w:rPr>
        <w:t xml:space="preserve"> Se faculta al señor Alcalde para </w:t>
      </w:r>
      <w:r w:rsidR="00417D2D" w:rsidRPr="00276031">
        <w:rPr>
          <w:rFonts w:ascii="Times New Roman" w:hAnsi="Times New Roman" w:cs="Times New Roman"/>
          <w:lang w:val="es-ES_tradnl"/>
        </w:rPr>
        <w:t>que,</w:t>
      </w:r>
      <w:r w:rsidR="00276031" w:rsidRPr="00276031">
        <w:rPr>
          <w:rFonts w:ascii="Times New Roman" w:hAnsi="Times New Roman" w:cs="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2B80C6B" w14:textId="375EF299" w:rsidR="002B3979" w:rsidRDefault="00276031" w:rsidP="002B3979">
      <w:pPr>
        <w:spacing w:before="240" w:after="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18</w:t>
      </w:r>
      <w:r w:rsidRPr="00276031">
        <w:rPr>
          <w:rFonts w:ascii="Times New Roman" w:hAnsi="Times New Roman" w:cs="Times New Roman"/>
          <w:b/>
          <w:lang w:val="es-ES_tradnl"/>
        </w:rPr>
        <w:t xml:space="preserve">.- Solicitudes de ampliación de </w:t>
      </w:r>
      <w:r w:rsidR="00417D2D" w:rsidRPr="00276031">
        <w:rPr>
          <w:rFonts w:ascii="Times New Roman" w:hAnsi="Times New Roman" w:cs="Times New Roman"/>
          <w:b/>
          <w:lang w:val="es-ES_tradnl"/>
        </w:rPr>
        <w:t>plazo. -</w:t>
      </w:r>
      <w:r w:rsidRPr="00276031">
        <w:rPr>
          <w:rFonts w:ascii="Times New Roman" w:hAnsi="Times New Roman" w:cs="Times New Roman"/>
          <w:b/>
          <w:lang w:val="es-ES_tradnl"/>
        </w:rPr>
        <w:t xml:space="preserve"> </w:t>
      </w:r>
      <w:r w:rsidR="002B3979" w:rsidRPr="001A7B53">
        <w:rPr>
          <w:rFonts w:ascii="Times New Roman" w:hAnsi="Times New Roman" w:cs="Times New Roman"/>
          <w:bCs/>
          <w:lang w:val="es-ES_tradnl"/>
        </w:rPr>
        <w:t xml:space="preserve">Las solicitudes de ampliación de plazo </w:t>
      </w:r>
      <w:r w:rsidR="002B3979">
        <w:rPr>
          <w:rFonts w:ascii="Times New Roman" w:hAnsi="Times New Roman" w:cs="Times New Roman"/>
          <w:bCs/>
          <w:lang w:val="es-ES_tradnl"/>
        </w:rPr>
        <w:t>para ejecución de obras civiles</w:t>
      </w:r>
      <w:r w:rsidR="002B3979" w:rsidRPr="001A7B53">
        <w:rPr>
          <w:rFonts w:ascii="Times New Roman" w:hAnsi="Times New Roman" w:cs="Times New Roman"/>
          <w:bCs/>
          <w:lang w:val="es-ES_tradnl"/>
        </w:rPr>
        <w:t>, presentación del cronograma de mitigación de riesgos; y, la ejecución de obras de mitigación de riesgos será resueltas por la Administración Zonal correspondiente.</w:t>
      </w:r>
    </w:p>
    <w:p w14:paraId="69AA7B9A" w14:textId="4A002D14" w:rsidR="002B3979" w:rsidRPr="001A7B53" w:rsidRDefault="002B3979" w:rsidP="002B3979">
      <w:pPr>
        <w:spacing w:before="240" w:after="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14:paraId="1D87BAEF" w14:textId="77777777" w:rsidR="002B3979" w:rsidRDefault="002B3979" w:rsidP="002B3979">
      <w:pPr>
        <w:spacing w:before="240"/>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309A837F" w14:textId="7B1B29EE" w:rsidR="002B3979" w:rsidRDefault="002B3979" w:rsidP="002B3979">
      <w:pPr>
        <w:spacing w:after="36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FA21BAA" w14:textId="3A8CA239" w:rsidR="002524F5" w:rsidRPr="00276031" w:rsidRDefault="00276031" w:rsidP="002B3979">
      <w:pPr>
        <w:pStyle w:val="Textoindependiente"/>
        <w:spacing w:after="0"/>
        <w:rPr>
          <w:rFonts w:ascii="Times New Roman" w:hAnsi="Times New Roman" w:cs="Times New Roman"/>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19</w:t>
      </w:r>
      <w:r w:rsidRPr="00276031">
        <w:rPr>
          <w:rFonts w:ascii="Times New Roman" w:hAnsi="Times New Roman" w:cs="Times New Roman"/>
          <w:b/>
          <w:lang w:val="es-ES_tradnl"/>
        </w:rPr>
        <w:t xml:space="preserve">.- Potestad de </w:t>
      </w:r>
      <w:r w:rsidR="00417D2D" w:rsidRPr="00276031">
        <w:rPr>
          <w:rFonts w:ascii="Times New Roman" w:hAnsi="Times New Roman" w:cs="Times New Roman"/>
          <w:b/>
          <w:lang w:val="es-ES_tradnl"/>
        </w:rPr>
        <w:t>ejecución. -</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79A871DD"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lastRenderedPageBreak/>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 xml:space="preserve">De acuerdo al </w:t>
      </w:r>
      <w:r w:rsidR="002B3979" w:rsidRPr="00782A25">
        <w:rPr>
          <w:rFonts w:ascii="Times New Roman" w:hAnsi="Times New Roman" w:cs="Times New Roman"/>
        </w:rPr>
        <w:t>Informe No.020-AT-DMGR-2020 de 11 de febrero de 2020</w:t>
      </w:r>
      <w:r w:rsidR="0052246E" w:rsidRPr="00021577">
        <w:rPr>
          <w:rFonts w:ascii="Times New Roman" w:hAnsi="Times New Roman" w:cs="Times New Roman"/>
          <w:lang w:val="es-ES_tradnl"/>
        </w:rPr>
        <w:t xml:space="preserve">, se deberán cumplir las siguientes disposiciones, además de las recomendaciones generales y normativa legal vigente contenida en este mismo </w:t>
      </w:r>
      <w:r w:rsidR="002B3979">
        <w:rPr>
          <w:rFonts w:ascii="Times New Roman" w:hAnsi="Times New Roman" w:cs="Times New Roman"/>
          <w:lang w:val="es-ES_tradnl"/>
        </w:rPr>
        <w:t>informe</w:t>
      </w:r>
      <w:r w:rsidR="0052246E" w:rsidRPr="00021577">
        <w:rPr>
          <w:rFonts w:ascii="Times New Roman" w:hAnsi="Times New Roman" w:cs="Times New Roman"/>
          <w:lang w:val="es-ES_tradnl"/>
        </w:rPr>
        <w:t xml:space="preserve"> y las de los informes </w:t>
      </w:r>
      <w:r w:rsidR="002B3979" w:rsidRPr="002B3979">
        <w:rPr>
          <w:rFonts w:ascii="Times New Roman" w:hAnsi="Times New Roman" w:cs="Times New Roman"/>
        </w:rPr>
        <w:t>Informe</w:t>
      </w:r>
      <w:r w:rsidR="002B3979">
        <w:rPr>
          <w:rFonts w:ascii="Times New Roman" w:hAnsi="Times New Roman" w:cs="Times New Roman"/>
        </w:rPr>
        <w:t xml:space="preserve"> </w:t>
      </w:r>
      <w:r w:rsidR="002B3979" w:rsidRPr="00AB7D71">
        <w:rPr>
          <w:rFonts w:ascii="Times New Roman" w:hAnsi="Times New Roman" w:cs="Times New Roman"/>
        </w:rPr>
        <w:t xml:space="preserve">No. </w:t>
      </w:r>
      <w:r w:rsidR="002B3979">
        <w:rPr>
          <w:rFonts w:ascii="Times New Roman" w:hAnsi="Times New Roman" w:cs="Times New Roman"/>
        </w:rPr>
        <w:t>44</w:t>
      </w:r>
      <w:r w:rsidR="002B3979" w:rsidRPr="00AB7D71">
        <w:rPr>
          <w:rFonts w:ascii="Times New Roman" w:hAnsi="Times New Roman" w:cs="Times New Roman"/>
        </w:rPr>
        <w:t>-AT-DMGR-201</w:t>
      </w:r>
      <w:r w:rsidR="002B3979">
        <w:rPr>
          <w:rFonts w:ascii="Times New Roman" w:hAnsi="Times New Roman" w:cs="Times New Roman"/>
        </w:rPr>
        <w:t>5</w:t>
      </w:r>
      <w:r w:rsidR="002B3979" w:rsidRPr="00AB7D71">
        <w:rPr>
          <w:rFonts w:ascii="Times New Roman" w:hAnsi="Times New Roman" w:cs="Times New Roman"/>
        </w:rPr>
        <w:t xml:space="preserve">, de </w:t>
      </w:r>
      <w:r w:rsidR="002B3979">
        <w:rPr>
          <w:rFonts w:ascii="Times New Roman" w:hAnsi="Times New Roman" w:cs="Times New Roman"/>
        </w:rPr>
        <w:t>08</w:t>
      </w:r>
      <w:r w:rsidR="002B3979" w:rsidRPr="00AB7D71">
        <w:rPr>
          <w:rFonts w:ascii="Times New Roman" w:hAnsi="Times New Roman" w:cs="Times New Roman"/>
        </w:rPr>
        <w:t xml:space="preserve"> de </w:t>
      </w:r>
      <w:r w:rsidR="001E748D">
        <w:rPr>
          <w:rFonts w:ascii="Times New Roman" w:hAnsi="Times New Roman" w:cs="Times New Roman"/>
        </w:rPr>
        <w:t>abril</w:t>
      </w:r>
      <w:r w:rsidR="002B3979" w:rsidRPr="00AB7D71">
        <w:rPr>
          <w:rFonts w:ascii="Times New Roman" w:hAnsi="Times New Roman" w:cs="Times New Roman"/>
        </w:rPr>
        <w:t xml:space="preserve"> de 201</w:t>
      </w:r>
      <w:r w:rsidR="002B3979">
        <w:rPr>
          <w:rFonts w:ascii="Times New Roman" w:hAnsi="Times New Roman" w:cs="Times New Roman"/>
        </w:rPr>
        <w:t>5</w:t>
      </w:r>
      <w:r w:rsidR="0052246E" w:rsidRPr="00021577">
        <w:rPr>
          <w:rFonts w:ascii="Times New Roman" w:hAnsi="Times New Roman" w:cs="Times New Roman"/>
          <w:lang w:val="es-ES_tradnl"/>
        </w:rPr>
        <w:t xml:space="preserve"> y </w:t>
      </w:r>
      <w:r w:rsidR="002B3979" w:rsidRPr="000F26B4">
        <w:rPr>
          <w:rFonts w:ascii="Times New Roman" w:hAnsi="Times New Roman" w:cs="Times New Roman"/>
        </w:rPr>
        <w:t>No</w:t>
      </w:r>
      <w:r w:rsidR="002B3979" w:rsidRPr="00414439">
        <w:rPr>
          <w:rFonts w:ascii="Times New Roman" w:hAnsi="Times New Roman" w:cs="Times New Roman"/>
        </w:rPr>
        <w:t>. 254-AT-DMGR-2017, de 20 de noviembre de 2017</w:t>
      </w:r>
      <w:r w:rsidR="002B3979">
        <w:rPr>
          <w:rFonts w:ascii="Times New Roman" w:hAnsi="Times New Roman" w:cs="Times New Roman"/>
          <w:lang w:val="es-ES_tradnl"/>
        </w:rPr>
        <w:t>.</w:t>
      </w:r>
    </w:p>
    <w:p w14:paraId="255A0FD4" w14:textId="2A8558FF" w:rsidR="00533136" w:rsidRPr="00AB7D71" w:rsidRDefault="00C2681F" w:rsidP="007906A0">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59819BFF" w:rsidR="00AB7D71" w:rsidRDefault="00C2681F"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 xml:space="preserve">Se dispone que, </w:t>
      </w:r>
      <w:r w:rsidR="00AB7D71" w:rsidRPr="00AB7D71">
        <w:rPr>
          <w:rFonts w:ascii="Times New Roman" w:hAnsi="Times New Roman" w:cs="Times New Roman"/>
          <w:bCs/>
          <w:lang w:val="es-ES_tradnl"/>
        </w:rPr>
        <w:t xml:space="preserve">los propietarios </w:t>
      </w:r>
      <w:r w:rsidR="00FF5491">
        <w:rPr>
          <w:rFonts w:ascii="Times New Roman" w:hAnsi="Times New Roman" w:cs="Times New Roman"/>
          <w:bCs/>
          <w:lang w:val="es-ES_tradnl"/>
        </w:rPr>
        <w:t xml:space="preserve">de </w:t>
      </w:r>
      <w:r w:rsidR="00D85423">
        <w:rPr>
          <w:rFonts w:ascii="Times New Roman" w:hAnsi="Times New Roman" w:cs="Times New Roman"/>
          <w:bCs/>
          <w:lang w:val="es-ES_tradnl"/>
        </w:rPr>
        <w:t xml:space="preserve">los lotes 2, 3, 14 y 20, realicen las obras de mitigación en los cortes de terrenos reconocidos, esta obra corresponde a estructuras de estabilización cuyo diseño y construcción debe ser validado por un profesional </w:t>
      </w:r>
      <w:r w:rsidR="00382D70">
        <w:rPr>
          <w:rFonts w:ascii="Times New Roman" w:hAnsi="Times New Roman" w:cs="Times New Roman"/>
          <w:bCs/>
          <w:lang w:val="es-ES_tradnl"/>
        </w:rPr>
        <w:t>calificado</w:t>
      </w:r>
      <w:r w:rsidR="00AB7D71" w:rsidRPr="00AB7D71">
        <w:rPr>
          <w:rFonts w:ascii="Times New Roman" w:hAnsi="Times New Roman" w:cs="Times New Roman"/>
          <w:bCs/>
          <w:lang w:val="es-ES_tradnl"/>
        </w:rPr>
        <w:t>.</w:t>
      </w:r>
    </w:p>
    <w:p w14:paraId="53ED4409" w14:textId="77777777" w:rsidR="00D85423" w:rsidRPr="00D85423" w:rsidRDefault="00D85423" w:rsidP="00D85423">
      <w:pPr>
        <w:pStyle w:val="Prrafodelista"/>
        <w:rPr>
          <w:rFonts w:ascii="Times New Roman" w:hAnsi="Times New Roman" w:cs="Times New Roman"/>
          <w:bCs/>
          <w:lang w:val="es-ES_tradnl"/>
        </w:rPr>
      </w:pPr>
    </w:p>
    <w:p w14:paraId="2975EEAB" w14:textId="51234EF8" w:rsidR="00293D69" w:rsidRDefault="00D85423"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Pr>
          <w:rFonts w:ascii="Times New Roman" w:hAnsi="Times New Roman" w:cs="Times New Roman"/>
          <w:bCs/>
          <w:lang w:val="es-ES_tradnl"/>
        </w:rPr>
        <w:t xml:space="preserve">Se dispone que, los propietarios </w:t>
      </w:r>
      <w:r w:rsidR="00382D70">
        <w:rPr>
          <w:rFonts w:ascii="Times New Roman" w:hAnsi="Times New Roman" w:cs="Times New Roman"/>
          <w:bCs/>
          <w:lang w:val="es-ES_tradnl"/>
        </w:rPr>
        <w:t>del macrolote en el que se encuentra el asentamiento humano de hecho y consolidado denominado Comité Pro-mejoras del Barrio “Altar de Pululahua”, contraten a un profesional calificado para que realice un estudio geológico específico que evalué las condiciones particulares de amenaza en las quebradas colindantes al AHHYC, debido a la exposición que mantiene el Barrio a posibles flujos de lodo/escombros o algún otro tipo de movimientos en masa que se genere en el Domo La Marca (caída de rocas), especialmente los lotes 104, 109, 1</w:t>
      </w:r>
      <w:r w:rsidR="006B7575">
        <w:rPr>
          <w:rFonts w:ascii="Times New Roman" w:hAnsi="Times New Roman" w:cs="Times New Roman"/>
          <w:bCs/>
          <w:lang w:val="es-ES_tradnl"/>
        </w:rPr>
        <w:t>1</w:t>
      </w:r>
      <w:r w:rsidR="00382D70">
        <w:rPr>
          <w:rFonts w:ascii="Times New Roman" w:hAnsi="Times New Roman" w:cs="Times New Roman"/>
          <w:bCs/>
          <w:lang w:val="es-ES_tradnl"/>
        </w:rPr>
        <w:t>1, 112, 116, 120, 127, 132, 133 y 134 que colindan con las quebradas existentes.</w:t>
      </w:r>
    </w:p>
    <w:p w14:paraId="59C0D7F7" w14:textId="77777777" w:rsidR="00293D69" w:rsidRPr="00293D69" w:rsidRDefault="00293D69" w:rsidP="00293D69">
      <w:pPr>
        <w:pStyle w:val="Prrafodelista"/>
        <w:rPr>
          <w:rFonts w:ascii="Times New Roman" w:hAnsi="Times New Roman" w:cs="Times New Roman"/>
          <w:bCs/>
          <w:lang w:val="es-ES_tradnl"/>
        </w:rPr>
      </w:pPr>
    </w:p>
    <w:p w14:paraId="743943DC" w14:textId="1CF933DE" w:rsidR="00D85423" w:rsidRDefault="00293D69"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E265B0">
        <w:rPr>
          <w:rFonts w:ascii="Times New Roman" w:hAnsi="Times New Roman" w:cs="Times New Roman"/>
          <w:iCs/>
        </w:rPr>
        <w:t xml:space="preserve">Se dispone que, los propietarios y/o posesionarios </w:t>
      </w:r>
      <w:r>
        <w:rPr>
          <w:rFonts w:ascii="Times New Roman" w:hAnsi="Times New Roman" w:cs="Times New Roman"/>
          <w:iCs/>
        </w:rPr>
        <w:t>d</w:t>
      </w:r>
      <w:r w:rsidRPr="00E265B0">
        <w:rPr>
          <w:rFonts w:ascii="Times New Roman" w:hAnsi="Times New Roman" w:cs="Times New Roman"/>
          <w:iCs/>
        </w:rPr>
        <w:t>el AHHYC</w:t>
      </w:r>
      <w:r>
        <w:rPr>
          <w:rFonts w:ascii="Times New Roman" w:hAnsi="Times New Roman" w:cs="Times New Roman"/>
          <w:iCs/>
        </w:rPr>
        <w:t xml:space="preserve">, no construyan más viviendas en el macrolote evaluado, </w:t>
      </w:r>
      <w:r w:rsidRPr="00E265B0">
        <w:rPr>
          <w:rFonts w:ascii="Times New Roman" w:hAnsi="Times New Roman" w:cs="Times New Roman"/>
          <w:iCs/>
        </w:rPr>
        <w:t>n</w:t>
      </w:r>
      <w:r>
        <w:rPr>
          <w:rFonts w:ascii="Times New Roman" w:hAnsi="Times New Roman" w:cs="Times New Roman"/>
          <w:iCs/>
        </w:rPr>
        <w:t>i</w:t>
      </w:r>
      <w:r w:rsidRPr="00E265B0">
        <w:rPr>
          <w:rFonts w:ascii="Times New Roman" w:hAnsi="Times New Roman" w:cs="Times New Roman"/>
          <w:iCs/>
        </w:rPr>
        <w:t xml:space="preserve"> aumenten pisos</w:t>
      </w:r>
      <w:r>
        <w:rPr>
          <w:rFonts w:ascii="Times New Roman" w:hAnsi="Times New Roman" w:cs="Times New Roman"/>
          <w:iCs/>
        </w:rPr>
        <w:t xml:space="preserve">/plantas </w:t>
      </w:r>
      <w:r w:rsidRPr="00E265B0">
        <w:rPr>
          <w:rFonts w:ascii="Times New Roman" w:hAnsi="Times New Roman" w:cs="Times New Roman"/>
          <w:iCs/>
        </w:rPr>
        <w:t>sobre las edificaciones existentes, hasta que el proceso de regularización del asentamiento culmine y se determine su normativa de edificabilidad específica que deberá constar en sus respectivos Informes de Regulación Metropolitana</w:t>
      </w:r>
      <w:r>
        <w:rPr>
          <w:rFonts w:ascii="Times New Roman" w:hAnsi="Times New Roman" w:cs="Times New Roman"/>
          <w:iCs/>
        </w:rPr>
        <w:t xml:space="preserve"> (IRM)</w:t>
      </w:r>
      <w:r w:rsidRPr="00E265B0">
        <w:rPr>
          <w:rFonts w:ascii="Times New Roman" w:hAnsi="Times New Roman" w:cs="Times New Roman"/>
          <w:iCs/>
        </w:rPr>
        <w:t>, previa emisión de la licencia de construcción de la autoridad competente</w:t>
      </w:r>
      <w:r>
        <w:rPr>
          <w:rFonts w:ascii="Times New Roman" w:hAnsi="Times New Roman" w:cs="Times New Roman"/>
          <w:iCs/>
        </w:rPr>
        <w:t xml:space="preserve"> que es la Secretaría de Territorio Hábitat y Vivienda (STHV)</w:t>
      </w:r>
      <w:r w:rsidRPr="00E265B0">
        <w:rPr>
          <w:rFonts w:ascii="Times New Roman" w:hAnsi="Times New Roman" w:cs="Times New Roman"/>
          <w:iCs/>
        </w:rPr>
        <w:t>.</w:t>
      </w:r>
      <w:r w:rsidR="00382D70">
        <w:rPr>
          <w:rFonts w:ascii="Times New Roman" w:hAnsi="Times New Roman" w:cs="Times New Roman"/>
          <w:bCs/>
          <w:lang w:val="es-ES_tradnl"/>
        </w:rPr>
        <w:t xml:space="preserve"> </w:t>
      </w:r>
    </w:p>
    <w:p w14:paraId="4478BC42" w14:textId="52996BEA"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293D69">
        <w:rPr>
          <w:rFonts w:ascii="Times New Roman" w:hAnsi="Times New Roman" w:cs="Times New Roman"/>
          <w:bCs/>
          <w:lang w:val="es-ES_tradnl"/>
        </w:rPr>
        <w:t>Comité Pr</w:t>
      </w:r>
      <w:r w:rsidR="006B7575">
        <w:rPr>
          <w:rFonts w:ascii="Times New Roman" w:hAnsi="Times New Roman" w:cs="Times New Roman"/>
          <w:bCs/>
          <w:lang w:val="es-ES_tradnl"/>
        </w:rPr>
        <w:t>o</w:t>
      </w:r>
      <w:r w:rsidR="00293D69">
        <w:rPr>
          <w:rFonts w:ascii="Times New Roman" w:hAnsi="Times New Roman" w:cs="Times New Roman"/>
          <w:bCs/>
          <w:lang w:val="es-ES_tradnl"/>
        </w:rPr>
        <w:t xml:space="preserve">-mejoras del Barrio </w:t>
      </w:r>
      <w:r w:rsidR="00AB7D71" w:rsidRPr="00AB7D71">
        <w:rPr>
          <w:rFonts w:ascii="Times New Roman" w:hAnsi="Times New Roman" w:cs="Times New Roman"/>
          <w:bCs/>
          <w:lang w:val="es-ES_tradnl"/>
        </w:rPr>
        <w:t>“</w:t>
      </w:r>
      <w:r w:rsidR="00293D69">
        <w:rPr>
          <w:rFonts w:ascii="Times New Roman" w:hAnsi="Times New Roman" w:cs="Times New Roman"/>
          <w:bCs/>
          <w:lang w:val="es-ES_tradnl"/>
        </w:rPr>
        <w:t>Altar de Pululahua</w:t>
      </w:r>
      <w:r w:rsidR="00AB7D71" w:rsidRPr="00AB7D71">
        <w:rPr>
          <w:rFonts w:ascii="Times New Roman" w:hAnsi="Times New Roman" w:cs="Times New Roman"/>
          <w:bCs/>
          <w:lang w:val="es-ES_tradnl"/>
        </w:rPr>
        <w:t>”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r w:rsidR="00293D69">
        <w:rPr>
          <w:rFonts w:ascii="Times New Roman" w:hAnsi="Times New Roman" w:cs="Times New Roman"/>
          <w:bCs/>
          <w:lang w:val="es-ES_tradnl"/>
        </w:rPr>
        <w:t>, socializando la importancia de su cumplimiento en la reducción del riesgo y seguridad ciudadana</w:t>
      </w:r>
      <w:r w:rsidR="00AB7D71" w:rsidRPr="00AB7D71">
        <w:rPr>
          <w:rFonts w:ascii="Times New Roman" w:hAnsi="Times New Roman" w:cs="Times New Roman"/>
          <w:bCs/>
          <w:lang w:val="es-ES_tradnl"/>
        </w:rPr>
        <w:t>.</w:t>
      </w:r>
    </w:p>
    <w:p w14:paraId="099D7A28" w14:textId="77777777" w:rsidR="00533136" w:rsidRPr="00021577" w:rsidRDefault="00533136" w:rsidP="00293D69">
      <w:pPr>
        <w:pStyle w:val="Prrafodelista"/>
        <w:spacing w:after="0"/>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3181BCDA"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el.…… de …………. del </w:t>
      </w:r>
      <w:r w:rsidR="00C2681F" w:rsidRPr="00F07AA4">
        <w:rPr>
          <w:rFonts w:ascii="Times New Roman" w:hAnsi="Times New Roman" w:cs="Times New Roman"/>
        </w:rPr>
        <w:t>202</w:t>
      </w:r>
      <w:r w:rsidR="0035442E">
        <w:rPr>
          <w:rFonts w:ascii="Times New Roman" w:hAnsi="Times New Roman" w:cs="Times New Roman"/>
        </w:rPr>
        <w:t>1</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lastRenderedPageBreak/>
              <w:t>Abg. Damaris Priscila Ortiz Pasuy</w:t>
            </w:r>
          </w:p>
          <w:p w14:paraId="103DB2A8" w14:textId="2999CE12" w:rsidR="003A6ABE" w:rsidRPr="00021577" w:rsidRDefault="003A6ABE" w:rsidP="00293D69">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64EAC0C9" w14:textId="25AF912D"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La infrascrita Secretaria General del Concejo Metropolitano de Quito, certifica que la presente ordenanza fue discutida y aprobada en dos debates, en sesiones de ….. de ……..  y ….. de …………. de </w:t>
      </w:r>
      <w:r w:rsidR="00C2681F" w:rsidRPr="00021577">
        <w:rPr>
          <w:rFonts w:ascii="Times New Roman" w:eastAsia="MS Mincho" w:hAnsi="Times New Roman" w:cs="Times New Roman"/>
        </w:rPr>
        <w:t>202</w:t>
      </w:r>
      <w:r w:rsidR="0035442E">
        <w:rPr>
          <w:rFonts w:ascii="Times New Roman" w:eastAsia="MS Mincho" w:hAnsi="Times New Roman" w:cs="Times New Roman"/>
        </w:rPr>
        <w:t>1</w:t>
      </w:r>
      <w:r w:rsidRPr="00021577">
        <w:rPr>
          <w:rFonts w:ascii="Times New Roman" w:eastAsia="MS Mincho" w:hAnsi="Times New Roman" w:cs="Times New Roman"/>
        </w:rPr>
        <w:t>- Quito,</w:t>
      </w:r>
    </w:p>
    <w:p w14:paraId="3F04A7C0" w14:textId="77777777" w:rsidR="003A6887" w:rsidRPr="00021577" w:rsidRDefault="003A6887"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Abg. Damaris Priscila Ortiz Pasuy</w:t>
      </w:r>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Dr. Jorge Yunda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5612B38C"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Yunda Machado, Alcalde del Distrito Metropolitano de Quito, el …………. de 20</w:t>
      </w:r>
      <w:r w:rsidR="00C2681F" w:rsidRPr="00021577">
        <w:rPr>
          <w:rFonts w:ascii="Times New Roman" w:eastAsia="MS Mincho" w:hAnsi="Times New Roman" w:cs="Times New Roman"/>
        </w:rPr>
        <w:t>2</w:t>
      </w:r>
      <w:r w:rsidR="0035442E">
        <w:rPr>
          <w:rFonts w:ascii="Times New Roman" w:eastAsia="MS Mincho" w:hAnsi="Times New Roman" w:cs="Times New Roman"/>
        </w:rPr>
        <w:t>1</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default" r:id="rId8"/>
      <w:footerReference w:type="default" r:id="rId9"/>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FF062" w14:textId="77777777" w:rsidR="002E50A6" w:rsidRDefault="002E50A6" w:rsidP="00276199">
      <w:r>
        <w:separator/>
      </w:r>
    </w:p>
  </w:endnote>
  <w:endnote w:type="continuationSeparator" w:id="0">
    <w:p w14:paraId="2F82617E" w14:textId="77777777" w:rsidR="002E50A6" w:rsidRDefault="002E50A6"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67493DFC" w:rsidR="00E70A47" w:rsidRDefault="00E70A47">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CE26A9">
              <w:rPr>
                <w:rFonts w:ascii="Times New Roman" w:hAnsi="Times New Roman" w:cs="Times New Roman"/>
                <w:b/>
                <w:noProof/>
              </w:rPr>
              <w:t>1</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CE26A9">
              <w:rPr>
                <w:rFonts w:ascii="Times New Roman" w:hAnsi="Times New Roman" w:cs="Times New Roman"/>
                <w:b/>
                <w:noProof/>
              </w:rPr>
              <w:t>16</w:t>
            </w:r>
            <w:r w:rsidRPr="002524F5">
              <w:rPr>
                <w:rFonts w:ascii="Times New Roman" w:hAnsi="Times New Roman" w:cs="Times New Roman"/>
                <w:b/>
              </w:rPr>
              <w:fldChar w:fldCharType="end"/>
            </w:r>
          </w:p>
        </w:sdtContent>
      </w:sdt>
    </w:sdtContent>
  </w:sdt>
  <w:p w14:paraId="446001A2" w14:textId="77777777" w:rsidR="00E70A47" w:rsidRDefault="00E70A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EED67" w14:textId="77777777" w:rsidR="002E50A6" w:rsidRDefault="002E50A6" w:rsidP="00276199">
      <w:r>
        <w:separator/>
      </w:r>
    </w:p>
  </w:footnote>
  <w:footnote w:type="continuationSeparator" w:id="0">
    <w:p w14:paraId="1F453E02" w14:textId="77777777" w:rsidR="002E50A6" w:rsidRDefault="002E50A6"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6849"/>
      <w:docPartObj>
        <w:docPartGallery w:val="Watermarks"/>
        <w:docPartUnique/>
      </w:docPartObj>
    </w:sdtPr>
    <w:sdtEndPr/>
    <w:sdtContent>
      <w:p w14:paraId="220287EA" w14:textId="57A2DD2B" w:rsidR="00E70A47" w:rsidRDefault="002E50A6"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8298" o:spid="_x0000_s2049" type="#_x0000_t136" style="position:absolute;left:0;text-align:left;margin-left:0;margin-top:0;width:788.25pt;height:40.5pt;rotation:315;z-index:-251658752;mso-position-horizontal:center;mso-position-horizontal-relative:margin;mso-position-vertical:center;mso-position-vertical-relative:margin" o:allowincell="f" fillcolor="#7f7f7f [1612]" stroked="f">
              <v:fill opacity=".5"/>
              <v:textpath style="font-family:&quot;calibri&quot;;font-size:33pt" string="Proyecto Ordenanza Comisión de Ordenamiento Territorial"/>
              <w10:wrap anchorx="margin" anchory="margin"/>
            </v:shape>
          </w:pict>
        </w:r>
      </w:p>
    </w:sdtContent>
  </w:sdt>
  <w:p w14:paraId="0416EE55" w14:textId="77777777" w:rsidR="00E70A47" w:rsidRDefault="00E70A47" w:rsidP="00D46305">
    <w:pPr>
      <w:pStyle w:val="Encabezado"/>
      <w:jc w:val="center"/>
    </w:pPr>
  </w:p>
  <w:p w14:paraId="0BB23AD6" w14:textId="77777777" w:rsidR="00E70A47" w:rsidRDefault="00E70A47"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E70A47" w:rsidRPr="001279EC" w:rsidRDefault="00E70A47" w:rsidP="00D46305">
    <w:pPr>
      <w:pStyle w:val="Encabezado"/>
      <w:jc w:val="cent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8E520B"/>
    <w:multiLevelType w:val="hybridMultilevel"/>
    <w:tmpl w:val="005868E4"/>
    <w:lvl w:ilvl="0" w:tplc="48D8E844">
      <w:numFmt w:val="bullet"/>
      <w:lvlText w:val="-"/>
      <w:lvlJc w:val="left"/>
      <w:pPr>
        <w:ind w:left="720" w:hanging="360"/>
      </w:pPr>
      <w:rPr>
        <w:rFonts w:ascii="Calibri" w:eastAsia="Calibri" w:hAnsi="Calibri" w:cs="Calibri"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9"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63FD3E7A"/>
    <w:multiLevelType w:val="hybridMultilevel"/>
    <w:tmpl w:val="9538FE9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74343C2C"/>
    <w:multiLevelType w:val="hybridMultilevel"/>
    <w:tmpl w:val="5FE2CDF4"/>
    <w:lvl w:ilvl="0" w:tplc="864ED794">
      <w:start w:val="1"/>
      <w:numFmt w:val="bullet"/>
      <w:lvlText w:val="•"/>
      <w:lvlJc w:val="left"/>
      <w:pPr>
        <w:tabs>
          <w:tab w:val="num" w:pos="720"/>
        </w:tabs>
        <w:ind w:left="720" w:hanging="360"/>
      </w:pPr>
      <w:rPr>
        <w:rFonts w:ascii="Arial" w:hAnsi="Arial" w:hint="default"/>
      </w:rPr>
    </w:lvl>
    <w:lvl w:ilvl="1" w:tplc="FE6AF180" w:tentative="1">
      <w:start w:val="1"/>
      <w:numFmt w:val="bullet"/>
      <w:lvlText w:val="•"/>
      <w:lvlJc w:val="left"/>
      <w:pPr>
        <w:tabs>
          <w:tab w:val="num" w:pos="1440"/>
        </w:tabs>
        <w:ind w:left="1440" w:hanging="360"/>
      </w:pPr>
      <w:rPr>
        <w:rFonts w:ascii="Arial" w:hAnsi="Arial" w:hint="default"/>
      </w:rPr>
    </w:lvl>
    <w:lvl w:ilvl="2" w:tplc="4E5EBE0C" w:tentative="1">
      <w:start w:val="1"/>
      <w:numFmt w:val="bullet"/>
      <w:lvlText w:val="•"/>
      <w:lvlJc w:val="left"/>
      <w:pPr>
        <w:tabs>
          <w:tab w:val="num" w:pos="2160"/>
        </w:tabs>
        <w:ind w:left="2160" w:hanging="360"/>
      </w:pPr>
      <w:rPr>
        <w:rFonts w:ascii="Arial" w:hAnsi="Arial" w:hint="default"/>
      </w:rPr>
    </w:lvl>
    <w:lvl w:ilvl="3" w:tplc="56AA2856" w:tentative="1">
      <w:start w:val="1"/>
      <w:numFmt w:val="bullet"/>
      <w:lvlText w:val="•"/>
      <w:lvlJc w:val="left"/>
      <w:pPr>
        <w:tabs>
          <w:tab w:val="num" w:pos="2880"/>
        </w:tabs>
        <w:ind w:left="2880" w:hanging="360"/>
      </w:pPr>
      <w:rPr>
        <w:rFonts w:ascii="Arial" w:hAnsi="Arial" w:hint="default"/>
      </w:rPr>
    </w:lvl>
    <w:lvl w:ilvl="4" w:tplc="D7C06878" w:tentative="1">
      <w:start w:val="1"/>
      <w:numFmt w:val="bullet"/>
      <w:lvlText w:val="•"/>
      <w:lvlJc w:val="left"/>
      <w:pPr>
        <w:tabs>
          <w:tab w:val="num" w:pos="3600"/>
        </w:tabs>
        <w:ind w:left="3600" w:hanging="360"/>
      </w:pPr>
      <w:rPr>
        <w:rFonts w:ascii="Arial" w:hAnsi="Arial" w:hint="default"/>
      </w:rPr>
    </w:lvl>
    <w:lvl w:ilvl="5" w:tplc="5EFC8818" w:tentative="1">
      <w:start w:val="1"/>
      <w:numFmt w:val="bullet"/>
      <w:lvlText w:val="•"/>
      <w:lvlJc w:val="left"/>
      <w:pPr>
        <w:tabs>
          <w:tab w:val="num" w:pos="4320"/>
        </w:tabs>
        <w:ind w:left="4320" w:hanging="360"/>
      </w:pPr>
      <w:rPr>
        <w:rFonts w:ascii="Arial" w:hAnsi="Arial" w:hint="default"/>
      </w:rPr>
    </w:lvl>
    <w:lvl w:ilvl="6" w:tplc="6F20AC2A" w:tentative="1">
      <w:start w:val="1"/>
      <w:numFmt w:val="bullet"/>
      <w:lvlText w:val="•"/>
      <w:lvlJc w:val="left"/>
      <w:pPr>
        <w:tabs>
          <w:tab w:val="num" w:pos="5040"/>
        </w:tabs>
        <w:ind w:left="5040" w:hanging="360"/>
      </w:pPr>
      <w:rPr>
        <w:rFonts w:ascii="Arial" w:hAnsi="Arial" w:hint="default"/>
      </w:rPr>
    </w:lvl>
    <w:lvl w:ilvl="7" w:tplc="55669362" w:tentative="1">
      <w:start w:val="1"/>
      <w:numFmt w:val="bullet"/>
      <w:lvlText w:val="•"/>
      <w:lvlJc w:val="left"/>
      <w:pPr>
        <w:tabs>
          <w:tab w:val="num" w:pos="5760"/>
        </w:tabs>
        <w:ind w:left="5760" w:hanging="360"/>
      </w:pPr>
      <w:rPr>
        <w:rFonts w:ascii="Arial" w:hAnsi="Arial" w:hint="default"/>
      </w:rPr>
    </w:lvl>
    <w:lvl w:ilvl="8" w:tplc="83E0B6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8"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2"/>
  </w:num>
  <w:num w:numId="4">
    <w:abstractNumId w:val="18"/>
  </w:num>
  <w:num w:numId="5">
    <w:abstractNumId w:val="0"/>
  </w:num>
  <w:num w:numId="6">
    <w:abstractNumId w:val="15"/>
  </w:num>
  <w:num w:numId="7">
    <w:abstractNumId w:val="8"/>
  </w:num>
  <w:num w:numId="8">
    <w:abstractNumId w:val="7"/>
  </w:num>
  <w:num w:numId="9">
    <w:abstractNumId w:val="10"/>
  </w:num>
  <w:num w:numId="10">
    <w:abstractNumId w:val="9"/>
  </w:num>
  <w:num w:numId="11">
    <w:abstractNumId w:val="4"/>
  </w:num>
  <w:num w:numId="12">
    <w:abstractNumId w:val="17"/>
  </w:num>
  <w:num w:numId="13">
    <w:abstractNumId w:val="13"/>
  </w:num>
  <w:num w:numId="14">
    <w:abstractNumId w:val="11"/>
  </w:num>
  <w:num w:numId="15">
    <w:abstractNumId w:val="1"/>
  </w:num>
  <w:num w:numId="16">
    <w:abstractNumId w:val="2"/>
  </w:num>
  <w:num w:numId="17">
    <w:abstractNumId w:val="16"/>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5E84"/>
    <w:rsid w:val="00006E5D"/>
    <w:rsid w:val="000113CD"/>
    <w:rsid w:val="0001149D"/>
    <w:rsid w:val="00012B8B"/>
    <w:rsid w:val="00013580"/>
    <w:rsid w:val="00015353"/>
    <w:rsid w:val="00016E32"/>
    <w:rsid w:val="00020128"/>
    <w:rsid w:val="00021577"/>
    <w:rsid w:val="00024041"/>
    <w:rsid w:val="00024EBD"/>
    <w:rsid w:val="00041771"/>
    <w:rsid w:val="00041F29"/>
    <w:rsid w:val="00045367"/>
    <w:rsid w:val="00047931"/>
    <w:rsid w:val="00054D11"/>
    <w:rsid w:val="00057CE1"/>
    <w:rsid w:val="000620C1"/>
    <w:rsid w:val="00073CF2"/>
    <w:rsid w:val="00085179"/>
    <w:rsid w:val="00085D6F"/>
    <w:rsid w:val="00085D70"/>
    <w:rsid w:val="00086B25"/>
    <w:rsid w:val="00095796"/>
    <w:rsid w:val="000968AE"/>
    <w:rsid w:val="0009793C"/>
    <w:rsid w:val="000A199B"/>
    <w:rsid w:val="000A3C8F"/>
    <w:rsid w:val="000A3FDC"/>
    <w:rsid w:val="000A48F0"/>
    <w:rsid w:val="000B0DF3"/>
    <w:rsid w:val="000B178F"/>
    <w:rsid w:val="000B20E7"/>
    <w:rsid w:val="000B4C69"/>
    <w:rsid w:val="000B675F"/>
    <w:rsid w:val="000C5F25"/>
    <w:rsid w:val="000C6C3A"/>
    <w:rsid w:val="000D5630"/>
    <w:rsid w:val="000D5D62"/>
    <w:rsid w:val="000E0553"/>
    <w:rsid w:val="000E1737"/>
    <w:rsid w:val="000E1A25"/>
    <w:rsid w:val="000E3467"/>
    <w:rsid w:val="000E3845"/>
    <w:rsid w:val="000F094C"/>
    <w:rsid w:val="000F26B4"/>
    <w:rsid w:val="000F3292"/>
    <w:rsid w:val="000F3C68"/>
    <w:rsid w:val="00101DA1"/>
    <w:rsid w:val="0010367A"/>
    <w:rsid w:val="00104EC3"/>
    <w:rsid w:val="00105BD2"/>
    <w:rsid w:val="0011735A"/>
    <w:rsid w:val="001222A0"/>
    <w:rsid w:val="00124FA8"/>
    <w:rsid w:val="001279EC"/>
    <w:rsid w:val="00130797"/>
    <w:rsid w:val="00131BC6"/>
    <w:rsid w:val="001349C4"/>
    <w:rsid w:val="00136B0A"/>
    <w:rsid w:val="00142CA3"/>
    <w:rsid w:val="00150FF1"/>
    <w:rsid w:val="001534BF"/>
    <w:rsid w:val="00156A8E"/>
    <w:rsid w:val="0017049C"/>
    <w:rsid w:val="00170766"/>
    <w:rsid w:val="00170836"/>
    <w:rsid w:val="001732CA"/>
    <w:rsid w:val="00175BEF"/>
    <w:rsid w:val="00175CAE"/>
    <w:rsid w:val="0018215F"/>
    <w:rsid w:val="001854C3"/>
    <w:rsid w:val="001857E4"/>
    <w:rsid w:val="001A4BCA"/>
    <w:rsid w:val="001A55FF"/>
    <w:rsid w:val="001A7A12"/>
    <w:rsid w:val="001B476C"/>
    <w:rsid w:val="001B6936"/>
    <w:rsid w:val="001C3E00"/>
    <w:rsid w:val="001C42B9"/>
    <w:rsid w:val="001C5BB8"/>
    <w:rsid w:val="001D1679"/>
    <w:rsid w:val="001D277D"/>
    <w:rsid w:val="001E0D47"/>
    <w:rsid w:val="001E17F4"/>
    <w:rsid w:val="001E4C49"/>
    <w:rsid w:val="001E748D"/>
    <w:rsid w:val="001F13D8"/>
    <w:rsid w:val="001F65EB"/>
    <w:rsid w:val="001F7020"/>
    <w:rsid w:val="0020195C"/>
    <w:rsid w:val="00202A54"/>
    <w:rsid w:val="00203EA2"/>
    <w:rsid w:val="0020579C"/>
    <w:rsid w:val="00205E44"/>
    <w:rsid w:val="002108E8"/>
    <w:rsid w:val="002113C1"/>
    <w:rsid w:val="00212F98"/>
    <w:rsid w:val="00215B85"/>
    <w:rsid w:val="0022083F"/>
    <w:rsid w:val="0022167E"/>
    <w:rsid w:val="0022251E"/>
    <w:rsid w:val="00223221"/>
    <w:rsid w:val="00233407"/>
    <w:rsid w:val="002407F3"/>
    <w:rsid w:val="00241908"/>
    <w:rsid w:val="00242678"/>
    <w:rsid w:val="00242E5C"/>
    <w:rsid w:val="00245F10"/>
    <w:rsid w:val="00246705"/>
    <w:rsid w:val="002524F5"/>
    <w:rsid w:val="00255AFA"/>
    <w:rsid w:val="002626BF"/>
    <w:rsid w:val="002634E4"/>
    <w:rsid w:val="00275A10"/>
    <w:rsid w:val="00276031"/>
    <w:rsid w:val="00276199"/>
    <w:rsid w:val="00276671"/>
    <w:rsid w:val="00277D55"/>
    <w:rsid w:val="00282623"/>
    <w:rsid w:val="00287975"/>
    <w:rsid w:val="0029168D"/>
    <w:rsid w:val="00293D69"/>
    <w:rsid w:val="00297F91"/>
    <w:rsid w:val="002A28B6"/>
    <w:rsid w:val="002A4F11"/>
    <w:rsid w:val="002A7AFB"/>
    <w:rsid w:val="002B1776"/>
    <w:rsid w:val="002B3979"/>
    <w:rsid w:val="002B6C30"/>
    <w:rsid w:val="002B6D23"/>
    <w:rsid w:val="002C24C6"/>
    <w:rsid w:val="002C45BA"/>
    <w:rsid w:val="002C5D89"/>
    <w:rsid w:val="002C7C4A"/>
    <w:rsid w:val="002D36A7"/>
    <w:rsid w:val="002D3D3B"/>
    <w:rsid w:val="002D4699"/>
    <w:rsid w:val="002D4899"/>
    <w:rsid w:val="002E1D96"/>
    <w:rsid w:val="002E24F2"/>
    <w:rsid w:val="002E3313"/>
    <w:rsid w:val="002E4C06"/>
    <w:rsid w:val="002E50A6"/>
    <w:rsid w:val="002E7733"/>
    <w:rsid w:val="002F07AE"/>
    <w:rsid w:val="002F5A96"/>
    <w:rsid w:val="002F7723"/>
    <w:rsid w:val="002F789F"/>
    <w:rsid w:val="00302CBB"/>
    <w:rsid w:val="00302F33"/>
    <w:rsid w:val="003035B5"/>
    <w:rsid w:val="003059ED"/>
    <w:rsid w:val="00320FE5"/>
    <w:rsid w:val="00325E33"/>
    <w:rsid w:val="003321E8"/>
    <w:rsid w:val="003371AA"/>
    <w:rsid w:val="00341E5B"/>
    <w:rsid w:val="00346741"/>
    <w:rsid w:val="0035132E"/>
    <w:rsid w:val="0035442E"/>
    <w:rsid w:val="00354F0A"/>
    <w:rsid w:val="00356137"/>
    <w:rsid w:val="00360EE8"/>
    <w:rsid w:val="00362DC9"/>
    <w:rsid w:val="00364EDA"/>
    <w:rsid w:val="00365C54"/>
    <w:rsid w:val="00376A1F"/>
    <w:rsid w:val="0037789E"/>
    <w:rsid w:val="0038195B"/>
    <w:rsid w:val="00382D70"/>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1795"/>
    <w:rsid w:val="003F4574"/>
    <w:rsid w:val="003F543B"/>
    <w:rsid w:val="003F5515"/>
    <w:rsid w:val="003F7F08"/>
    <w:rsid w:val="00404A4D"/>
    <w:rsid w:val="00404B07"/>
    <w:rsid w:val="00407C05"/>
    <w:rsid w:val="00414439"/>
    <w:rsid w:val="00417D2D"/>
    <w:rsid w:val="00422A57"/>
    <w:rsid w:val="00426BFF"/>
    <w:rsid w:val="00427E2B"/>
    <w:rsid w:val="00430375"/>
    <w:rsid w:val="004316A7"/>
    <w:rsid w:val="00431BBB"/>
    <w:rsid w:val="0044350E"/>
    <w:rsid w:val="004545E6"/>
    <w:rsid w:val="00456A7E"/>
    <w:rsid w:val="00461D3F"/>
    <w:rsid w:val="004626DD"/>
    <w:rsid w:val="004640E3"/>
    <w:rsid w:val="004654E8"/>
    <w:rsid w:val="00466634"/>
    <w:rsid w:val="00466AF3"/>
    <w:rsid w:val="0046780D"/>
    <w:rsid w:val="004700D7"/>
    <w:rsid w:val="00473EB1"/>
    <w:rsid w:val="00477CF3"/>
    <w:rsid w:val="004816DA"/>
    <w:rsid w:val="00482AAA"/>
    <w:rsid w:val="00491C99"/>
    <w:rsid w:val="004A16F9"/>
    <w:rsid w:val="004A7C8B"/>
    <w:rsid w:val="004B5AE8"/>
    <w:rsid w:val="004B6851"/>
    <w:rsid w:val="004C5122"/>
    <w:rsid w:val="004C6453"/>
    <w:rsid w:val="004E36BE"/>
    <w:rsid w:val="004E4219"/>
    <w:rsid w:val="004E4AFF"/>
    <w:rsid w:val="004E7D0A"/>
    <w:rsid w:val="005118E8"/>
    <w:rsid w:val="0052246E"/>
    <w:rsid w:val="0052426F"/>
    <w:rsid w:val="00525BC8"/>
    <w:rsid w:val="00526356"/>
    <w:rsid w:val="00530CDF"/>
    <w:rsid w:val="00533136"/>
    <w:rsid w:val="00533358"/>
    <w:rsid w:val="005340A5"/>
    <w:rsid w:val="005364CA"/>
    <w:rsid w:val="00540BD8"/>
    <w:rsid w:val="0054164B"/>
    <w:rsid w:val="00545082"/>
    <w:rsid w:val="00547B6D"/>
    <w:rsid w:val="005500E4"/>
    <w:rsid w:val="0055250E"/>
    <w:rsid w:val="00552681"/>
    <w:rsid w:val="005572F3"/>
    <w:rsid w:val="00557665"/>
    <w:rsid w:val="0056091F"/>
    <w:rsid w:val="00564763"/>
    <w:rsid w:val="005658DC"/>
    <w:rsid w:val="00571EE2"/>
    <w:rsid w:val="00574209"/>
    <w:rsid w:val="0059480A"/>
    <w:rsid w:val="0059617D"/>
    <w:rsid w:val="005974BF"/>
    <w:rsid w:val="005A54E0"/>
    <w:rsid w:val="005A790F"/>
    <w:rsid w:val="005B2F9E"/>
    <w:rsid w:val="005B3090"/>
    <w:rsid w:val="005B4E1F"/>
    <w:rsid w:val="005B5E51"/>
    <w:rsid w:val="005B62BA"/>
    <w:rsid w:val="005C24F4"/>
    <w:rsid w:val="005D2650"/>
    <w:rsid w:val="005D3C8E"/>
    <w:rsid w:val="005E1C86"/>
    <w:rsid w:val="005F3B9E"/>
    <w:rsid w:val="005F7AC3"/>
    <w:rsid w:val="00601CB4"/>
    <w:rsid w:val="00602110"/>
    <w:rsid w:val="0060370C"/>
    <w:rsid w:val="00613F02"/>
    <w:rsid w:val="00615393"/>
    <w:rsid w:val="00623593"/>
    <w:rsid w:val="00625A6D"/>
    <w:rsid w:val="00627190"/>
    <w:rsid w:val="0063459A"/>
    <w:rsid w:val="00642AD3"/>
    <w:rsid w:val="0064727D"/>
    <w:rsid w:val="00650B8D"/>
    <w:rsid w:val="00650CB7"/>
    <w:rsid w:val="0065145C"/>
    <w:rsid w:val="00653FD0"/>
    <w:rsid w:val="00664563"/>
    <w:rsid w:val="00683244"/>
    <w:rsid w:val="00684157"/>
    <w:rsid w:val="00684AD6"/>
    <w:rsid w:val="0068706E"/>
    <w:rsid w:val="00687973"/>
    <w:rsid w:val="00691575"/>
    <w:rsid w:val="00693D0B"/>
    <w:rsid w:val="00696615"/>
    <w:rsid w:val="006976D2"/>
    <w:rsid w:val="00697FA2"/>
    <w:rsid w:val="006A403D"/>
    <w:rsid w:val="006A57A4"/>
    <w:rsid w:val="006A6BCD"/>
    <w:rsid w:val="006B582B"/>
    <w:rsid w:val="006B7575"/>
    <w:rsid w:val="006D0AFC"/>
    <w:rsid w:val="006D1096"/>
    <w:rsid w:val="006F6AE4"/>
    <w:rsid w:val="00705465"/>
    <w:rsid w:val="00706810"/>
    <w:rsid w:val="007138B1"/>
    <w:rsid w:val="00726453"/>
    <w:rsid w:val="0073079F"/>
    <w:rsid w:val="007369C9"/>
    <w:rsid w:val="00742FF6"/>
    <w:rsid w:val="007553E5"/>
    <w:rsid w:val="00760F32"/>
    <w:rsid w:val="0076266F"/>
    <w:rsid w:val="00762D45"/>
    <w:rsid w:val="0076544C"/>
    <w:rsid w:val="00765489"/>
    <w:rsid w:val="00765E2D"/>
    <w:rsid w:val="00770ED3"/>
    <w:rsid w:val="00772DDE"/>
    <w:rsid w:val="00782A25"/>
    <w:rsid w:val="00785E29"/>
    <w:rsid w:val="0078677F"/>
    <w:rsid w:val="007867D1"/>
    <w:rsid w:val="00787182"/>
    <w:rsid w:val="007906A0"/>
    <w:rsid w:val="007A326B"/>
    <w:rsid w:val="007A35F2"/>
    <w:rsid w:val="007A4AC5"/>
    <w:rsid w:val="007A5A48"/>
    <w:rsid w:val="007B18F9"/>
    <w:rsid w:val="007E5268"/>
    <w:rsid w:val="007F206F"/>
    <w:rsid w:val="0080046D"/>
    <w:rsid w:val="008115D8"/>
    <w:rsid w:val="0081454C"/>
    <w:rsid w:val="00823117"/>
    <w:rsid w:val="008235B8"/>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734EA"/>
    <w:rsid w:val="00877FAA"/>
    <w:rsid w:val="008817DE"/>
    <w:rsid w:val="008821B6"/>
    <w:rsid w:val="00883D0B"/>
    <w:rsid w:val="008845F9"/>
    <w:rsid w:val="008855F3"/>
    <w:rsid w:val="00885CFB"/>
    <w:rsid w:val="0088650E"/>
    <w:rsid w:val="00892602"/>
    <w:rsid w:val="00892747"/>
    <w:rsid w:val="00892FDB"/>
    <w:rsid w:val="008952CC"/>
    <w:rsid w:val="00897A58"/>
    <w:rsid w:val="008A35E4"/>
    <w:rsid w:val="008B4484"/>
    <w:rsid w:val="008B7072"/>
    <w:rsid w:val="008B7AD1"/>
    <w:rsid w:val="008C1357"/>
    <w:rsid w:val="008C24D4"/>
    <w:rsid w:val="008C2748"/>
    <w:rsid w:val="008C4818"/>
    <w:rsid w:val="008E18FB"/>
    <w:rsid w:val="008E24AD"/>
    <w:rsid w:val="008E4B67"/>
    <w:rsid w:val="008F18A3"/>
    <w:rsid w:val="008F234C"/>
    <w:rsid w:val="008F417E"/>
    <w:rsid w:val="00902FB9"/>
    <w:rsid w:val="0090522E"/>
    <w:rsid w:val="00906E99"/>
    <w:rsid w:val="0091013A"/>
    <w:rsid w:val="0091441A"/>
    <w:rsid w:val="00915E4B"/>
    <w:rsid w:val="00920F27"/>
    <w:rsid w:val="00923043"/>
    <w:rsid w:val="009304E6"/>
    <w:rsid w:val="0093417F"/>
    <w:rsid w:val="00944659"/>
    <w:rsid w:val="0094670F"/>
    <w:rsid w:val="0094735E"/>
    <w:rsid w:val="00950067"/>
    <w:rsid w:val="00954942"/>
    <w:rsid w:val="00955771"/>
    <w:rsid w:val="00961B1A"/>
    <w:rsid w:val="00963E6D"/>
    <w:rsid w:val="00970299"/>
    <w:rsid w:val="009812D2"/>
    <w:rsid w:val="00982803"/>
    <w:rsid w:val="00986F11"/>
    <w:rsid w:val="00995681"/>
    <w:rsid w:val="0099767B"/>
    <w:rsid w:val="0099777A"/>
    <w:rsid w:val="009A0618"/>
    <w:rsid w:val="009A10BE"/>
    <w:rsid w:val="009A540C"/>
    <w:rsid w:val="009B0D1A"/>
    <w:rsid w:val="009B1783"/>
    <w:rsid w:val="009C1F1B"/>
    <w:rsid w:val="009D0429"/>
    <w:rsid w:val="009D2582"/>
    <w:rsid w:val="009D3479"/>
    <w:rsid w:val="009F4A97"/>
    <w:rsid w:val="00A0151F"/>
    <w:rsid w:val="00A02D8F"/>
    <w:rsid w:val="00A11241"/>
    <w:rsid w:val="00A16BD8"/>
    <w:rsid w:val="00A3267F"/>
    <w:rsid w:val="00A327E6"/>
    <w:rsid w:val="00A40CC4"/>
    <w:rsid w:val="00A411D5"/>
    <w:rsid w:val="00A4461F"/>
    <w:rsid w:val="00A45AFE"/>
    <w:rsid w:val="00A50570"/>
    <w:rsid w:val="00A54603"/>
    <w:rsid w:val="00A5618F"/>
    <w:rsid w:val="00A56C6F"/>
    <w:rsid w:val="00A60262"/>
    <w:rsid w:val="00A609FF"/>
    <w:rsid w:val="00A63F53"/>
    <w:rsid w:val="00A7364C"/>
    <w:rsid w:val="00A73CE8"/>
    <w:rsid w:val="00A74096"/>
    <w:rsid w:val="00A84C98"/>
    <w:rsid w:val="00A85382"/>
    <w:rsid w:val="00A86854"/>
    <w:rsid w:val="00A96C44"/>
    <w:rsid w:val="00AA1788"/>
    <w:rsid w:val="00AA20AC"/>
    <w:rsid w:val="00AA639F"/>
    <w:rsid w:val="00AB22D1"/>
    <w:rsid w:val="00AB2628"/>
    <w:rsid w:val="00AB5849"/>
    <w:rsid w:val="00AB7D71"/>
    <w:rsid w:val="00AC3370"/>
    <w:rsid w:val="00AC767A"/>
    <w:rsid w:val="00AD0DE2"/>
    <w:rsid w:val="00AD11DE"/>
    <w:rsid w:val="00AD386A"/>
    <w:rsid w:val="00AD62E1"/>
    <w:rsid w:val="00AE0063"/>
    <w:rsid w:val="00AE2E37"/>
    <w:rsid w:val="00AE6CBB"/>
    <w:rsid w:val="00AE7D52"/>
    <w:rsid w:val="00AF5E6F"/>
    <w:rsid w:val="00B051A1"/>
    <w:rsid w:val="00B0667D"/>
    <w:rsid w:val="00B07B3E"/>
    <w:rsid w:val="00B176A4"/>
    <w:rsid w:val="00B203C4"/>
    <w:rsid w:val="00B244A4"/>
    <w:rsid w:val="00B3032B"/>
    <w:rsid w:val="00B3221B"/>
    <w:rsid w:val="00B46EA4"/>
    <w:rsid w:val="00B52C4F"/>
    <w:rsid w:val="00B54862"/>
    <w:rsid w:val="00B5489C"/>
    <w:rsid w:val="00B611F5"/>
    <w:rsid w:val="00B61E16"/>
    <w:rsid w:val="00B676DF"/>
    <w:rsid w:val="00B704EE"/>
    <w:rsid w:val="00B706AE"/>
    <w:rsid w:val="00B710D0"/>
    <w:rsid w:val="00B733D0"/>
    <w:rsid w:val="00B75822"/>
    <w:rsid w:val="00B80798"/>
    <w:rsid w:val="00B807CD"/>
    <w:rsid w:val="00B81A3E"/>
    <w:rsid w:val="00B82F65"/>
    <w:rsid w:val="00B85F3A"/>
    <w:rsid w:val="00B90CB6"/>
    <w:rsid w:val="00B9191B"/>
    <w:rsid w:val="00B9478D"/>
    <w:rsid w:val="00B95A13"/>
    <w:rsid w:val="00BA583F"/>
    <w:rsid w:val="00BA7491"/>
    <w:rsid w:val="00BB2A70"/>
    <w:rsid w:val="00BB52A1"/>
    <w:rsid w:val="00BB7C21"/>
    <w:rsid w:val="00BC0CC5"/>
    <w:rsid w:val="00BC1870"/>
    <w:rsid w:val="00BC3187"/>
    <w:rsid w:val="00BC7948"/>
    <w:rsid w:val="00BC7D41"/>
    <w:rsid w:val="00BD008E"/>
    <w:rsid w:val="00BD13DF"/>
    <w:rsid w:val="00BD351A"/>
    <w:rsid w:val="00BD44D8"/>
    <w:rsid w:val="00BD46F5"/>
    <w:rsid w:val="00BD5C4A"/>
    <w:rsid w:val="00BE28BA"/>
    <w:rsid w:val="00BE5441"/>
    <w:rsid w:val="00BE5EA7"/>
    <w:rsid w:val="00BF384A"/>
    <w:rsid w:val="00BF688F"/>
    <w:rsid w:val="00C027E6"/>
    <w:rsid w:val="00C0305E"/>
    <w:rsid w:val="00C031FA"/>
    <w:rsid w:val="00C07A91"/>
    <w:rsid w:val="00C07B1F"/>
    <w:rsid w:val="00C12CE5"/>
    <w:rsid w:val="00C15EEE"/>
    <w:rsid w:val="00C2360B"/>
    <w:rsid w:val="00C263F5"/>
    <w:rsid w:val="00C2681F"/>
    <w:rsid w:val="00C4733C"/>
    <w:rsid w:val="00C514A6"/>
    <w:rsid w:val="00C54156"/>
    <w:rsid w:val="00C54988"/>
    <w:rsid w:val="00C55D90"/>
    <w:rsid w:val="00C6185E"/>
    <w:rsid w:val="00C65619"/>
    <w:rsid w:val="00C75CD0"/>
    <w:rsid w:val="00C80DC0"/>
    <w:rsid w:val="00C95869"/>
    <w:rsid w:val="00C965F9"/>
    <w:rsid w:val="00CA0FEA"/>
    <w:rsid w:val="00CA55C5"/>
    <w:rsid w:val="00CA57E2"/>
    <w:rsid w:val="00CA7D73"/>
    <w:rsid w:val="00CB3809"/>
    <w:rsid w:val="00CB4844"/>
    <w:rsid w:val="00CB6C15"/>
    <w:rsid w:val="00CD387E"/>
    <w:rsid w:val="00CD61EE"/>
    <w:rsid w:val="00CE26A9"/>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335F0"/>
    <w:rsid w:val="00D37954"/>
    <w:rsid w:val="00D41179"/>
    <w:rsid w:val="00D43925"/>
    <w:rsid w:val="00D45350"/>
    <w:rsid w:val="00D46305"/>
    <w:rsid w:val="00D46EB8"/>
    <w:rsid w:val="00D47024"/>
    <w:rsid w:val="00D61BEE"/>
    <w:rsid w:val="00D62967"/>
    <w:rsid w:val="00D702EC"/>
    <w:rsid w:val="00D70913"/>
    <w:rsid w:val="00D76D88"/>
    <w:rsid w:val="00D77262"/>
    <w:rsid w:val="00D8110B"/>
    <w:rsid w:val="00D8428E"/>
    <w:rsid w:val="00D85423"/>
    <w:rsid w:val="00DA22EB"/>
    <w:rsid w:val="00DA3EB1"/>
    <w:rsid w:val="00DA3EEF"/>
    <w:rsid w:val="00DA57F2"/>
    <w:rsid w:val="00DA7AAD"/>
    <w:rsid w:val="00DB7589"/>
    <w:rsid w:val="00DB7AB3"/>
    <w:rsid w:val="00DC4F72"/>
    <w:rsid w:val="00DE0BC0"/>
    <w:rsid w:val="00DF3A71"/>
    <w:rsid w:val="00DF5304"/>
    <w:rsid w:val="00DF7802"/>
    <w:rsid w:val="00DF7D9B"/>
    <w:rsid w:val="00E0046B"/>
    <w:rsid w:val="00E033D5"/>
    <w:rsid w:val="00E07586"/>
    <w:rsid w:val="00E217A4"/>
    <w:rsid w:val="00E268ED"/>
    <w:rsid w:val="00E33F20"/>
    <w:rsid w:val="00E40A3E"/>
    <w:rsid w:val="00E40EC3"/>
    <w:rsid w:val="00E534F5"/>
    <w:rsid w:val="00E53D2E"/>
    <w:rsid w:val="00E55568"/>
    <w:rsid w:val="00E56CA8"/>
    <w:rsid w:val="00E56E24"/>
    <w:rsid w:val="00E61E04"/>
    <w:rsid w:val="00E63569"/>
    <w:rsid w:val="00E65B1B"/>
    <w:rsid w:val="00E671EB"/>
    <w:rsid w:val="00E67200"/>
    <w:rsid w:val="00E70A47"/>
    <w:rsid w:val="00E71848"/>
    <w:rsid w:val="00E7190F"/>
    <w:rsid w:val="00E94DB3"/>
    <w:rsid w:val="00E95015"/>
    <w:rsid w:val="00E952F6"/>
    <w:rsid w:val="00EA1D06"/>
    <w:rsid w:val="00EB02BE"/>
    <w:rsid w:val="00EB3929"/>
    <w:rsid w:val="00EB5DDF"/>
    <w:rsid w:val="00EC6510"/>
    <w:rsid w:val="00ED0275"/>
    <w:rsid w:val="00ED2A0D"/>
    <w:rsid w:val="00ED38ED"/>
    <w:rsid w:val="00EE29DF"/>
    <w:rsid w:val="00EE3FCD"/>
    <w:rsid w:val="00EE7999"/>
    <w:rsid w:val="00EF29C0"/>
    <w:rsid w:val="00EF3EC3"/>
    <w:rsid w:val="00EF5ED6"/>
    <w:rsid w:val="00F01BFA"/>
    <w:rsid w:val="00F0416E"/>
    <w:rsid w:val="00F04E14"/>
    <w:rsid w:val="00F07AA4"/>
    <w:rsid w:val="00F10595"/>
    <w:rsid w:val="00F16729"/>
    <w:rsid w:val="00F23567"/>
    <w:rsid w:val="00F23742"/>
    <w:rsid w:val="00F2548B"/>
    <w:rsid w:val="00F268E9"/>
    <w:rsid w:val="00F30D81"/>
    <w:rsid w:val="00F31218"/>
    <w:rsid w:val="00F33663"/>
    <w:rsid w:val="00F3658A"/>
    <w:rsid w:val="00F60F33"/>
    <w:rsid w:val="00F64C09"/>
    <w:rsid w:val="00F7081C"/>
    <w:rsid w:val="00F745B1"/>
    <w:rsid w:val="00F76113"/>
    <w:rsid w:val="00F853B1"/>
    <w:rsid w:val="00FA0E1A"/>
    <w:rsid w:val="00FA0EB5"/>
    <w:rsid w:val="00FA464D"/>
    <w:rsid w:val="00FA63CD"/>
    <w:rsid w:val="00FC22C5"/>
    <w:rsid w:val="00FC5AA2"/>
    <w:rsid w:val="00FD3519"/>
    <w:rsid w:val="00FE0B84"/>
    <w:rsid w:val="00FE38EA"/>
    <w:rsid w:val="00FE6FC4"/>
    <w:rsid w:val="00FE7BED"/>
    <w:rsid w:val="00FF4EC4"/>
    <w:rsid w:val="00FF5491"/>
    <w:rsid w:val="00FF68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paragraph" w:styleId="Revisin">
    <w:name w:val="Revision"/>
    <w:hidden/>
    <w:uiPriority w:val="99"/>
    <w:semiHidden/>
    <w:rsid w:val="0062359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18643466">
      <w:bodyDiv w:val="1"/>
      <w:marLeft w:val="0"/>
      <w:marRight w:val="0"/>
      <w:marTop w:val="0"/>
      <w:marBottom w:val="0"/>
      <w:divBdr>
        <w:top w:val="none" w:sz="0" w:space="0" w:color="auto"/>
        <w:left w:val="none" w:sz="0" w:space="0" w:color="auto"/>
        <w:bottom w:val="none" w:sz="0" w:space="0" w:color="auto"/>
        <w:right w:val="none" w:sz="0" w:space="0" w:color="auto"/>
      </w:divBdr>
    </w:div>
    <w:div w:id="176847446">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36142705">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752161965">
      <w:bodyDiv w:val="1"/>
      <w:marLeft w:val="0"/>
      <w:marRight w:val="0"/>
      <w:marTop w:val="0"/>
      <w:marBottom w:val="0"/>
      <w:divBdr>
        <w:top w:val="none" w:sz="0" w:space="0" w:color="auto"/>
        <w:left w:val="none" w:sz="0" w:space="0" w:color="auto"/>
        <w:bottom w:val="none" w:sz="0" w:space="0" w:color="auto"/>
        <w:right w:val="none" w:sz="0" w:space="0" w:color="auto"/>
      </w:divBdr>
      <w:divsChild>
        <w:div w:id="425883567">
          <w:marLeft w:val="274"/>
          <w:marRight w:val="0"/>
          <w:marTop w:val="0"/>
          <w:marBottom w:val="0"/>
          <w:divBdr>
            <w:top w:val="none" w:sz="0" w:space="0" w:color="auto"/>
            <w:left w:val="none" w:sz="0" w:space="0" w:color="auto"/>
            <w:bottom w:val="none" w:sz="0" w:space="0" w:color="auto"/>
            <w:right w:val="none" w:sz="0" w:space="0" w:color="auto"/>
          </w:divBdr>
        </w:div>
      </w:divsChild>
    </w:div>
    <w:div w:id="894779786">
      <w:bodyDiv w:val="1"/>
      <w:marLeft w:val="0"/>
      <w:marRight w:val="0"/>
      <w:marTop w:val="0"/>
      <w:marBottom w:val="0"/>
      <w:divBdr>
        <w:top w:val="none" w:sz="0" w:space="0" w:color="auto"/>
        <w:left w:val="none" w:sz="0" w:space="0" w:color="auto"/>
        <w:bottom w:val="none" w:sz="0" w:space="0" w:color="auto"/>
        <w:right w:val="none" w:sz="0" w:space="0" w:color="auto"/>
      </w:divBdr>
    </w:div>
    <w:div w:id="964310762">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30580363">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39624638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470829527">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49149481">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597712892">
      <w:bodyDiv w:val="1"/>
      <w:marLeft w:val="0"/>
      <w:marRight w:val="0"/>
      <w:marTop w:val="0"/>
      <w:marBottom w:val="0"/>
      <w:divBdr>
        <w:top w:val="none" w:sz="0" w:space="0" w:color="auto"/>
        <w:left w:val="none" w:sz="0" w:space="0" w:color="auto"/>
        <w:bottom w:val="none" w:sz="0" w:space="0" w:color="auto"/>
        <w:right w:val="none" w:sz="0" w:space="0" w:color="auto"/>
      </w:divBdr>
      <w:divsChild>
        <w:div w:id="1113473688">
          <w:marLeft w:val="274"/>
          <w:marRight w:val="0"/>
          <w:marTop w:val="0"/>
          <w:marBottom w:val="0"/>
          <w:divBdr>
            <w:top w:val="none" w:sz="0" w:space="0" w:color="auto"/>
            <w:left w:val="none" w:sz="0" w:space="0" w:color="auto"/>
            <w:bottom w:val="none" w:sz="0" w:space="0" w:color="auto"/>
            <w:right w:val="none" w:sz="0" w:space="0" w:color="auto"/>
          </w:divBdr>
        </w:div>
      </w:divsChild>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781027405">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 w:id="21433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2FFF-983E-47E0-9950-56BB4967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6412</Words>
  <Characters>35270</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2</cp:revision>
  <cp:lastPrinted>2021-05-15T06:44:00Z</cp:lastPrinted>
  <dcterms:created xsi:type="dcterms:W3CDTF">2021-08-19T20:06:00Z</dcterms:created>
  <dcterms:modified xsi:type="dcterms:W3CDTF">2021-08-19T20:06:00Z</dcterms:modified>
</cp:coreProperties>
</file>