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4B1C73" w:rsidRDefault="00353AEE" w:rsidP="002768BF">
      <w:pPr>
        <w:jc w:val="center"/>
        <w:rPr>
          <w:rFonts w:ascii="Palatino Linotype" w:hAnsi="Palatino Linotype"/>
        </w:rPr>
      </w:pPr>
    </w:p>
    <w:p w:rsidR="00353AEE" w:rsidRPr="004B1C7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B1C73">
        <w:rPr>
          <w:rFonts w:ascii="Palatino Linotype" w:hAnsi="Palatino Linotype" w:cs="Arial"/>
          <w:b/>
        </w:rPr>
        <w:t>ACTA</w:t>
      </w:r>
      <w:r w:rsidR="000D628C" w:rsidRPr="004B1C73">
        <w:rPr>
          <w:rFonts w:ascii="Palatino Linotype" w:hAnsi="Palatino Linotype" w:cs="Arial"/>
          <w:b/>
        </w:rPr>
        <w:t xml:space="preserve"> RESOLUTIVA DE LA SESIÓN No. 03</w:t>
      </w:r>
      <w:r w:rsidR="00A95DF2" w:rsidRPr="004B1C73">
        <w:rPr>
          <w:rFonts w:ascii="Palatino Linotype" w:hAnsi="Palatino Linotype" w:cs="Arial"/>
          <w:b/>
        </w:rPr>
        <w:t>8</w:t>
      </w:r>
      <w:r w:rsidRPr="004B1C73">
        <w:rPr>
          <w:rFonts w:ascii="Palatino Linotype" w:hAnsi="Palatino Linotype" w:cs="Arial"/>
          <w:b/>
        </w:rPr>
        <w:t xml:space="preserve"> - ORDINARIA</w:t>
      </w:r>
    </w:p>
    <w:p w:rsidR="00353AEE" w:rsidRPr="004B1C7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B1C73">
        <w:rPr>
          <w:rFonts w:ascii="Palatino Linotype" w:hAnsi="Palatino Linotype" w:cs="Arial"/>
          <w:b/>
        </w:rPr>
        <w:t>DE LA COMISIÓN DE ORDENAMIENTO TERRITORIAL</w:t>
      </w:r>
    </w:p>
    <w:p w:rsidR="00353AEE" w:rsidRPr="004B1C7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4B1C73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4B1C73">
        <w:rPr>
          <w:rFonts w:ascii="Palatino Linotype" w:hAnsi="Palatino Linotype" w:cs="Arial"/>
          <w:b/>
        </w:rPr>
        <w:t>VIERN</w:t>
      </w:r>
      <w:r w:rsidR="00337E9A" w:rsidRPr="004B1C73">
        <w:rPr>
          <w:rFonts w:ascii="Palatino Linotype" w:hAnsi="Palatino Linotype" w:cs="Arial"/>
          <w:b/>
        </w:rPr>
        <w:t xml:space="preserve">ES </w:t>
      </w:r>
      <w:r w:rsidR="00A95DF2" w:rsidRPr="004B1C73">
        <w:rPr>
          <w:rFonts w:ascii="Palatino Linotype" w:hAnsi="Palatino Linotype" w:cs="Arial"/>
          <w:b/>
        </w:rPr>
        <w:t>11</w:t>
      </w:r>
      <w:r w:rsidR="001C4C5B" w:rsidRPr="004B1C73">
        <w:rPr>
          <w:rFonts w:ascii="Palatino Linotype" w:hAnsi="Palatino Linotype" w:cs="Arial"/>
          <w:b/>
        </w:rPr>
        <w:t xml:space="preserve"> </w:t>
      </w:r>
      <w:r w:rsidR="00353AEE" w:rsidRPr="004B1C73">
        <w:rPr>
          <w:rFonts w:ascii="Palatino Linotype" w:hAnsi="Palatino Linotype" w:cs="Arial"/>
          <w:b/>
        </w:rPr>
        <w:t xml:space="preserve">DE </w:t>
      </w:r>
      <w:r w:rsidR="00A95DF2" w:rsidRPr="004B1C73">
        <w:rPr>
          <w:rFonts w:ascii="Palatino Linotype" w:hAnsi="Palatino Linotype" w:cs="Arial"/>
          <w:b/>
        </w:rPr>
        <w:t xml:space="preserve">DICIEMBRE </w:t>
      </w:r>
      <w:r w:rsidR="00353AEE" w:rsidRPr="004B1C73">
        <w:rPr>
          <w:rFonts w:ascii="Palatino Linotype" w:hAnsi="Palatino Linotype" w:cs="Arial"/>
          <w:b/>
        </w:rPr>
        <w:t>DE 2020</w:t>
      </w:r>
    </w:p>
    <w:p w:rsidR="00353AEE" w:rsidRPr="004B1C7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4B1C73">
        <w:rPr>
          <w:rFonts w:ascii="Palatino Linotype" w:eastAsia="Batang" w:hAnsi="Palatino Linotype" w:cs="Arial"/>
          <w:lang w:eastAsia="es-ES"/>
        </w:rPr>
        <w:t>1</w:t>
      </w:r>
      <w:r w:rsidR="002721C4" w:rsidRPr="004B1C73">
        <w:rPr>
          <w:rFonts w:ascii="Palatino Linotype" w:eastAsia="Batang" w:hAnsi="Palatino Linotype" w:cs="Arial"/>
          <w:lang w:eastAsia="es-ES"/>
        </w:rPr>
        <w:t>0</w:t>
      </w:r>
      <w:r w:rsidR="00977FBA" w:rsidRPr="004B1C73">
        <w:rPr>
          <w:rFonts w:ascii="Palatino Linotype" w:eastAsia="Batang" w:hAnsi="Palatino Linotype" w:cs="Arial"/>
          <w:lang w:eastAsia="es-ES"/>
        </w:rPr>
        <w:t>h</w:t>
      </w:r>
      <w:r w:rsidR="00A95DF2" w:rsidRPr="004B1C73">
        <w:rPr>
          <w:rFonts w:ascii="Palatino Linotype" w:eastAsia="Batang" w:hAnsi="Palatino Linotype" w:cs="Arial"/>
          <w:lang w:eastAsia="es-ES"/>
        </w:rPr>
        <w:t>11</w:t>
      </w:r>
      <w:r w:rsidR="00BE503B" w:rsidRPr="004B1C73">
        <w:rPr>
          <w:rFonts w:ascii="Palatino Linotype" w:eastAsia="Batang" w:hAnsi="Palatino Linotype" w:cs="Arial"/>
          <w:lang w:eastAsia="es-ES"/>
        </w:rPr>
        <w:t xml:space="preserve"> del </w:t>
      </w:r>
      <w:r w:rsidR="00A95DF2" w:rsidRPr="004B1C73">
        <w:rPr>
          <w:rFonts w:ascii="Palatino Linotype" w:eastAsia="Batang" w:hAnsi="Palatino Linotype" w:cs="Arial"/>
          <w:lang w:eastAsia="es-ES"/>
        </w:rPr>
        <w:t xml:space="preserve">11 de diciembre </w:t>
      </w:r>
      <w:r w:rsidR="00337E9A" w:rsidRPr="004B1C73">
        <w:rPr>
          <w:rFonts w:ascii="Palatino Linotype" w:eastAsia="Batang" w:hAnsi="Palatino Linotype" w:cs="Arial"/>
          <w:lang w:eastAsia="es-ES"/>
        </w:rPr>
        <w:t>de 2020</w:t>
      </w:r>
      <w:r w:rsidRPr="004B1C73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4B1C73">
        <w:rPr>
          <w:rFonts w:ascii="Palatino Linotype" w:eastAsia="Batang" w:hAnsi="Palatino Linotype" w:cs="Arial"/>
          <w:lang w:eastAsia="es-ES"/>
        </w:rPr>
        <w:t>sesión No. 03</w:t>
      </w:r>
      <w:r w:rsidR="00A95DF2" w:rsidRPr="004B1C73">
        <w:rPr>
          <w:rFonts w:ascii="Palatino Linotype" w:eastAsia="Batang" w:hAnsi="Palatino Linotype" w:cs="Arial"/>
          <w:lang w:eastAsia="es-ES"/>
        </w:rPr>
        <w:t>8</w:t>
      </w:r>
      <w:r w:rsidRPr="004B1C73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4B1C73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4B1C73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4B1C7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4B1C7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4B1C73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A95DF2" w:rsidRPr="004B1C73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A95DF2" w:rsidRPr="004B1C73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A95DF2" w:rsidRPr="004B1C73">
        <w:rPr>
          <w:rFonts w:ascii="Palatino Linotype" w:eastAsia="Batang" w:hAnsi="Palatino Linotype" w:cs="Arial"/>
          <w:lang w:eastAsia="es-ES"/>
        </w:rPr>
        <w:t xml:space="preserve">, Andrea Hidalgo; </w:t>
      </w:r>
      <w:r w:rsidR="00C06C24" w:rsidRPr="004B1C73">
        <w:rPr>
          <w:rFonts w:ascii="Palatino Linotype" w:eastAsia="Batang" w:hAnsi="Palatino Linotype" w:cs="Arial"/>
          <w:lang w:eastAsia="es-ES"/>
        </w:rPr>
        <w:t>y</w:t>
      </w:r>
      <w:r w:rsidRPr="004B1C73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4B1C73">
        <w:rPr>
          <w:rFonts w:ascii="Palatino Linotype" w:eastAsia="Batang" w:hAnsi="Palatino Linotype" w:cs="Arial"/>
          <w:lang w:eastAsia="es-ES"/>
        </w:rPr>
        <w:t xml:space="preserve">Luis Reina </w:t>
      </w:r>
      <w:r w:rsidRPr="004B1C7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4B1C73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4B1C73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B1C73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4B1C7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4B1C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B1C7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B1C7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B1C7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4B1C7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B1C7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B1C7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B1C7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C06C2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B1C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B1C7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BE18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B1C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B1C7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B1C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B1C7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94A0E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B1C7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B1C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B1C7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B1C7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B1C7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B1C7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E55536" w:rsidRPr="004B1C73" w:rsidRDefault="00E55536" w:rsidP="002768BF">
      <w:pPr>
        <w:jc w:val="both"/>
        <w:rPr>
          <w:rFonts w:ascii="Palatino Linotype" w:hAnsi="Palatino Linotype"/>
        </w:rPr>
      </w:pPr>
    </w:p>
    <w:p w:rsidR="001C618A" w:rsidRPr="004B1C73" w:rsidRDefault="001C618A" w:rsidP="00E602B4">
      <w:pPr>
        <w:jc w:val="both"/>
        <w:rPr>
          <w:rFonts w:ascii="Palatino Linotype" w:eastAsia="Batang" w:hAnsi="Palatino Linotype" w:cs="Arial"/>
          <w:lang w:eastAsia="es-ES"/>
        </w:rPr>
      </w:pPr>
      <w:r w:rsidRPr="001933B7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1933B7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1933B7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1933B7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1933B7">
        <w:rPr>
          <w:rFonts w:ascii="Palatino Linotype" w:eastAsia="Batang" w:hAnsi="Palatino Linotype" w:cs="Arial"/>
          <w:lang w:eastAsia="es-ES"/>
        </w:rPr>
        <w:t xml:space="preserve">, </w:t>
      </w:r>
      <w:r w:rsidR="00BE1836" w:rsidRPr="001933B7">
        <w:rPr>
          <w:rFonts w:ascii="Palatino Linotype" w:eastAsia="Batang" w:hAnsi="Palatino Linotype" w:cs="Arial"/>
          <w:lang w:eastAsia="es-ES"/>
        </w:rPr>
        <w:t xml:space="preserve">Cisne López, </w:t>
      </w:r>
      <w:r w:rsidR="0076402A" w:rsidRPr="001933B7">
        <w:rPr>
          <w:rFonts w:ascii="Palatino Linotype" w:eastAsia="Batang" w:hAnsi="Palatino Linotype" w:cs="Arial"/>
          <w:lang w:eastAsia="es-ES"/>
        </w:rPr>
        <w:t>C</w:t>
      </w:r>
      <w:r w:rsidR="00BE1836" w:rsidRPr="001933B7">
        <w:rPr>
          <w:rFonts w:ascii="Palatino Linotype" w:eastAsia="Batang" w:hAnsi="Palatino Linotype" w:cs="Arial"/>
          <w:lang w:eastAsia="es-ES"/>
        </w:rPr>
        <w:t>h</w:t>
      </w:r>
      <w:r w:rsidR="0076402A" w:rsidRPr="001933B7">
        <w:rPr>
          <w:rFonts w:ascii="Palatino Linotype" w:eastAsia="Batang" w:hAnsi="Palatino Linotype" w:cs="Arial"/>
          <w:lang w:eastAsia="es-ES"/>
        </w:rPr>
        <w:t>ristian Naranjo, Lucía Jurado,</w:t>
      </w:r>
      <w:r w:rsidR="00491C89" w:rsidRPr="001933B7">
        <w:rPr>
          <w:rFonts w:ascii="Palatino Linotype" w:eastAsia="Batang" w:hAnsi="Palatino Linotype" w:cs="Arial"/>
          <w:lang w:eastAsia="es-ES"/>
        </w:rPr>
        <w:t xml:space="preserve"> Daniel Cano, Rogelio Echeverría,</w:t>
      </w:r>
      <w:r w:rsidR="0076402A" w:rsidRPr="001933B7">
        <w:rPr>
          <w:rFonts w:ascii="Palatino Linotype" w:eastAsia="Batang" w:hAnsi="Palatino Linotype" w:cs="Arial"/>
          <w:lang w:eastAsia="es-ES"/>
        </w:rPr>
        <w:t xml:space="preserve"> </w:t>
      </w:r>
      <w:r w:rsidR="00A52AFC" w:rsidRPr="001933B7">
        <w:rPr>
          <w:rFonts w:ascii="Palatino Linotype" w:eastAsia="Batang" w:hAnsi="Palatino Linotype" w:cs="Arial"/>
          <w:lang w:eastAsia="es-ES"/>
        </w:rPr>
        <w:t xml:space="preserve">Miguel Hidalgo, </w:t>
      </w:r>
      <w:r w:rsidRPr="001933B7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1933B7">
        <w:rPr>
          <w:rFonts w:ascii="Palatino Linotype" w:eastAsia="Batang" w:hAnsi="Palatino Linotype" w:cs="Arial"/>
          <w:lang w:eastAsia="es-ES"/>
        </w:rPr>
        <w:t xml:space="preserve"> </w:t>
      </w:r>
      <w:r w:rsidR="007A69C3" w:rsidRPr="001933B7">
        <w:rPr>
          <w:rFonts w:ascii="Palatino Linotype" w:eastAsia="Batang" w:hAnsi="Palatino Linotype" w:cs="Arial"/>
          <w:lang w:eastAsia="es-ES"/>
        </w:rPr>
        <w:t xml:space="preserve">Elizabeth Ortiz, funcionaria de la Secretaría de Territorio, Hábitat y Vivienda; </w:t>
      </w:r>
      <w:r w:rsidR="008C4982" w:rsidRPr="001933B7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1933B7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1933B7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1933B7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1933B7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1933B7">
        <w:rPr>
          <w:rFonts w:ascii="Palatino Linotype" w:eastAsia="Batang" w:hAnsi="Palatino Linotype" w:cs="Arial"/>
          <w:lang w:eastAsia="es-ES"/>
        </w:rPr>
        <w:t>Edison Yépez delegado</w:t>
      </w:r>
      <w:r w:rsidRPr="00BE1836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726251" w:rsidRPr="00BE1836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BE1836">
        <w:rPr>
          <w:rFonts w:ascii="Palatino Linotype" w:eastAsia="Batang" w:hAnsi="Palatino Linotype" w:cs="Arial"/>
          <w:lang w:eastAsia="es-ES"/>
        </w:rPr>
        <w:t>Gabriela Espín</w:t>
      </w:r>
      <w:r w:rsidR="000A4AE2" w:rsidRPr="00BE1836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BE1836">
        <w:rPr>
          <w:rFonts w:ascii="Palatino Linotype" w:eastAsia="Batang" w:hAnsi="Palatino Linotype" w:cs="Arial"/>
          <w:lang w:eastAsia="es-ES"/>
        </w:rPr>
        <w:t>y Sebastián Nader, funcionarios del despacho de la concejala Soledad Benítez; Vanessa Velásquez</w:t>
      </w:r>
      <w:r w:rsidR="000A4AE2" w:rsidRPr="00BE1836">
        <w:rPr>
          <w:rFonts w:ascii="Palatino Linotype" w:eastAsia="Batang" w:hAnsi="Palatino Linotype" w:cs="Arial"/>
          <w:lang w:eastAsia="es-ES"/>
        </w:rPr>
        <w:t xml:space="preserve"> y Johanna Vélez</w:t>
      </w:r>
      <w:r w:rsidRPr="00BE1836">
        <w:rPr>
          <w:rFonts w:ascii="Palatino Linotype" w:eastAsia="Batang" w:hAnsi="Palatino Linotype" w:cs="Arial"/>
          <w:lang w:eastAsia="es-ES"/>
        </w:rPr>
        <w:t xml:space="preserve"> funcionaria</w:t>
      </w:r>
      <w:r w:rsidR="000A4AE2" w:rsidRPr="00BE1836">
        <w:rPr>
          <w:rFonts w:ascii="Palatino Linotype" w:eastAsia="Batang" w:hAnsi="Palatino Linotype" w:cs="Arial"/>
          <w:lang w:eastAsia="es-ES"/>
        </w:rPr>
        <w:t>s</w:t>
      </w:r>
      <w:r w:rsidRPr="00BE1836">
        <w:rPr>
          <w:rFonts w:ascii="Palatino Linotype" w:eastAsia="Batang" w:hAnsi="Palatino Linotype" w:cs="Arial"/>
          <w:lang w:eastAsia="es-ES"/>
        </w:rPr>
        <w:t xml:space="preserve"> del despacho del concejal Santiago </w:t>
      </w:r>
      <w:proofErr w:type="spellStart"/>
      <w:r w:rsidRPr="00BE1836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BE1836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BE1836">
        <w:rPr>
          <w:rFonts w:ascii="Palatino Linotype" w:eastAsia="Batang" w:hAnsi="Palatino Linotype" w:cs="Arial"/>
          <w:lang w:eastAsia="es-ES"/>
        </w:rPr>
        <w:t>Diana Arboleda</w:t>
      </w:r>
      <w:r w:rsidRPr="00BE1836">
        <w:rPr>
          <w:rFonts w:ascii="Palatino Linotype" w:eastAsia="Batang" w:hAnsi="Palatino Linotype" w:cs="Arial"/>
          <w:lang w:eastAsia="es-ES"/>
        </w:rPr>
        <w:t>, funcionari</w:t>
      </w:r>
      <w:r w:rsidR="00DA6BB3" w:rsidRPr="00BE1836">
        <w:rPr>
          <w:rFonts w:ascii="Palatino Linotype" w:eastAsia="Batang" w:hAnsi="Palatino Linotype" w:cs="Arial"/>
          <w:lang w:eastAsia="es-ES"/>
        </w:rPr>
        <w:t>a</w:t>
      </w:r>
      <w:r w:rsidRPr="00BE1836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BE1836">
        <w:rPr>
          <w:rFonts w:ascii="Palatino Linotype" w:eastAsia="Batang" w:hAnsi="Palatino Linotype" w:cs="Arial"/>
          <w:lang w:eastAsia="es-ES"/>
        </w:rPr>
        <w:t xml:space="preserve"> </w:t>
      </w:r>
      <w:r w:rsidRPr="00BE1836">
        <w:rPr>
          <w:rFonts w:ascii="Palatino Linotype" w:eastAsia="Batang" w:hAnsi="Palatino Linotype" w:cs="Arial"/>
          <w:lang w:eastAsia="es-ES"/>
        </w:rPr>
        <w:t>l</w:t>
      </w:r>
      <w:r w:rsidR="00DA6BB3" w:rsidRPr="00BE1836">
        <w:rPr>
          <w:rFonts w:ascii="Palatino Linotype" w:eastAsia="Batang" w:hAnsi="Palatino Linotype" w:cs="Arial"/>
          <w:lang w:eastAsia="es-ES"/>
        </w:rPr>
        <w:t>a</w:t>
      </w:r>
      <w:r w:rsidRPr="00BE1836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BE1836">
        <w:rPr>
          <w:rFonts w:ascii="Palatino Linotype" w:eastAsia="Batang" w:hAnsi="Palatino Linotype" w:cs="Arial"/>
          <w:lang w:eastAsia="es-ES"/>
        </w:rPr>
        <w:t>a</w:t>
      </w:r>
      <w:r w:rsidRPr="00BE1836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BE1836">
        <w:rPr>
          <w:rFonts w:ascii="Palatino Linotype" w:eastAsia="Batang" w:hAnsi="Palatino Linotype" w:cs="Arial"/>
          <w:lang w:eastAsia="es-ES"/>
        </w:rPr>
        <w:t>Andrea Hidalgo</w:t>
      </w:r>
      <w:r w:rsidRPr="00BE1836">
        <w:rPr>
          <w:rFonts w:ascii="Palatino Linotype" w:eastAsia="Batang" w:hAnsi="Palatino Linotype" w:cs="Arial"/>
          <w:lang w:eastAsia="es-ES"/>
        </w:rPr>
        <w:t xml:space="preserve">; </w:t>
      </w:r>
      <w:r w:rsidR="00596A75" w:rsidRPr="00BE1836">
        <w:rPr>
          <w:rFonts w:ascii="Palatino Linotype" w:eastAsia="Batang" w:hAnsi="Palatino Linotype" w:cs="Arial"/>
          <w:lang w:eastAsia="es-ES"/>
        </w:rPr>
        <w:t xml:space="preserve">Patricio Torres, funcionario del despacho del concejal </w:t>
      </w:r>
      <w:r w:rsidR="00596A75" w:rsidRPr="001933B7">
        <w:rPr>
          <w:rFonts w:ascii="Palatino Linotype" w:eastAsia="Batang" w:hAnsi="Palatino Linotype" w:cs="Arial"/>
          <w:lang w:eastAsia="es-ES"/>
        </w:rPr>
        <w:t xml:space="preserve">Mario Granda; </w:t>
      </w:r>
      <w:r w:rsidRPr="001933B7">
        <w:rPr>
          <w:rFonts w:ascii="Palatino Linotype" w:eastAsia="Batang" w:hAnsi="Palatino Linotype" w:cs="Arial"/>
          <w:lang w:eastAsia="es-ES"/>
        </w:rPr>
        <w:t xml:space="preserve">Alfonso Bolívar, funcionario del despacho del concejal Luis Reina; y, Samuel </w:t>
      </w:r>
      <w:proofErr w:type="spellStart"/>
      <w:r w:rsidRPr="001933B7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1933B7">
        <w:rPr>
          <w:rFonts w:ascii="Palatino Linotype" w:eastAsia="Batang" w:hAnsi="Palatino Linotype" w:cs="Arial"/>
          <w:lang w:eastAsia="es-ES"/>
        </w:rPr>
        <w:t xml:space="preserve"> y </w:t>
      </w:r>
      <w:r w:rsidR="000A4AE2" w:rsidRPr="001933B7">
        <w:rPr>
          <w:rFonts w:ascii="Palatino Linotype" w:eastAsia="Batang" w:hAnsi="Palatino Linotype" w:cs="Arial"/>
          <w:lang w:eastAsia="es-ES"/>
        </w:rPr>
        <w:t>Manolo Ochoa</w:t>
      </w:r>
      <w:r w:rsidRPr="001933B7">
        <w:rPr>
          <w:rFonts w:ascii="Palatino Linotype" w:eastAsia="Batang" w:hAnsi="Palatino Linotype" w:cs="Arial"/>
          <w:lang w:eastAsia="es-ES"/>
        </w:rPr>
        <w:t>, funcionarios de la Secretaría General del Concejo.</w:t>
      </w:r>
    </w:p>
    <w:p w:rsidR="001C618A" w:rsidRPr="004B1C73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4B1C73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4B1C73">
        <w:rPr>
          <w:rFonts w:ascii="Palatino Linotype" w:eastAsia="Batang" w:hAnsi="Palatino Linotype" w:cs="Arial"/>
          <w:lang w:eastAsia="es-ES"/>
        </w:rPr>
        <w:t>, delegada</w:t>
      </w:r>
      <w:r w:rsidR="001C618A" w:rsidRPr="004B1C73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</w:t>
      </w:r>
      <w:r w:rsidR="00AE5B21" w:rsidRPr="004B1C73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4B1C73">
        <w:rPr>
          <w:rFonts w:ascii="Palatino Linotype" w:eastAsia="Batang" w:hAnsi="Palatino Linotype" w:cs="Arial"/>
          <w:lang w:eastAsia="es-ES"/>
        </w:rPr>
        <w:t>orden del día:</w:t>
      </w:r>
    </w:p>
    <w:p w:rsidR="004E2566" w:rsidRPr="004B1C73" w:rsidRDefault="004E2566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42C36" w:rsidRPr="004B1C73" w:rsidRDefault="00C42C36" w:rsidP="00C42C3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lastRenderedPageBreak/>
        <w:t xml:space="preserve">Presentación del Proyecto de Ordenanza modificatoria al Título II del Libro IV.7 del Código Municipal, antes Ordenanza No. 147, por parte de la Unidad Especial Regula tu Barrio; y resolución al respecto.  </w:t>
      </w:r>
    </w:p>
    <w:p w:rsidR="00C42C36" w:rsidRPr="004B1C73" w:rsidRDefault="000B4FE8" w:rsidP="00C42C3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>Varios.</w:t>
      </w:r>
    </w:p>
    <w:p w:rsidR="00CA5FC4" w:rsidRPr="004B1C73" w:rsidRDefault="00CA5FC4" w:rsidP="00C42C36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p w:rsidR="00C42C36" w:rsidRPr="00AB5AEE" w:rsidRDefault="00C42C36" w:rsidP="00AB5AEE">
      <w:pPr>
        <w:spacing w:after="0" w:line="240" w:lineRule="auto"/>
        <w:ind w:left="360"/>
        <w:jc w:val="both"/>
        <w:rPr>
          <w:rFonts w:ascii="Palatino Linotype" w:hAnsi="Palatino Linotype" w:cs="Times New Roman"/>
          <w:i/>
        </w:rPr>
      </w:pPr>
      <w:r w:rsidRPr="00AB5AEE">
        <w:rPr>
          <w:rFonts w:ascii="Palatino Linotype" w:eastAsia="Batang" w:hAnsi="Palatino Linotype" w:cs="Arial"/>
          <w:lang w:eastAsia="es-ES"/>
        </w:rPr>
        <w:t xml:space="preserve">Previa a la aprobación del orden del día, el concejal Luis Reina, solicita se incluya como parte del segundo punto el </w:t>
      </w:r>
      <w:r w:rsidRPr="00AB5AEE">
        <w:rPr>
          <w:rFonts w:ascii="Palatino Linotype" w:eastAsia="Batang" w:hAnsi="Palatino Linotype" w:cs="Arial"/>
          <w:i/>
          <w:lang w:eastAsia="es-ES"/>
        </w:rPr>
        <w:t>“</w:t>
      </w:r>
      <w:r w:rsidRPr="00AB5AEE">
        <w:rPr>
          <w:rFonts w:ascii="Palatino Linotype" w:hAnsi="Palatino Linotype" w:cs="Times New Roman"/>
          <w:i/>
        </w:rPr>
        <w:t>Conocimiento y evaluación de la Resolución No. 23- COT-2020 de 07 de agosto de 2020 y resolución al respecto”.</w:t>
      </w:r>
    </w:p>
    <w:p w:rsidR="00C42C36" w:rsidRPr="004B1C73" w:rsidRDefault="00C42C36" w:rsidP="00C42C36">
      <w:pPr>
        <w:spacing w:after="0" w:line="240" w:lineRule="auto"/>
        <w:ind w:left="360"/>
        <w:jc w:val="both"/>
        <w:rPr>
          <w:rFonts w:ascii="Palatino Linotype" w:hAnsi="Palatino Linotype" w:cs="Times New Roman"/>
          <w:i/>
        </w:rPr>
      </w:pPr>
    </w:p>
    <w:p w:rsidR="00C42C36" w:rsidRPr="004B1C73" w:rsidRDefault="00C42C36" w:rsidP="00C42C36">
      <w:pPr>
        <w:spacing w:after="0" w:line="240" w:lineRule="auto"/>
        <w:ind w:left="360"/>
        <w:jc w:val="both"/>
        <w:rPr>
          <w:rFonts w:ascii="Palatino Linotype" w:hAnsi="Palatino Linotype" w:cs="Times New Roman"/>
          <w:highlight w:val="yellow"/>
        </w:rPr>
      </w:pPr>
      <w:r w:rsidRPr="004B1C73">
        <w:rPr>
          <w:rFonts w:ascii="Palatino Linotype" w:hAnsi="Palatino Linotype"/>
        </w:rPr>
        <w:t>La Comisión aprueba la moción, conforme la siguiente votación:</w:t>
      </w:r>
    </w:p>
    <w:p w:rsidR="00C42C36" w:rsidRPr="004B1C73" w:rsidRDefault="00C42C36" w:rsidP="00C42C36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42C36" w:rsidRPr="004B1C73" w:rsidTr="00C42C36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42C36" w:rsidRPr="004B1C73" w:rsidTr="00C42C36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42C36" w:rsidRPr="004B1C73" w:rsidTr="00C42C36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36" w:rsidRPr="004B1C73" w:rsidRDefault="00C42C36" w:rsidP="00A239F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42C36" w:rsidRPr="004B1C73" w:rsidTr="00C42C36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36" w:rsidRPr="004B1C73" w:rsidRDefault="00C42C36" w:rsidP="00A239F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42C36" w:rsidRPr="004B1C73" w:rsidTr="00C42C36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36" w:rsidRPr="004B1C73" w:rsidRDefault="00C42C36" w:rsidP="00A239F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42C36" w:rsidRPr="004B1C73" w:rsidTr="00C42C36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36" w:rsidRPr="004B1C73" w:rsidRDefault="00C42C36" w:rsidP="00A239F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42C36" w:rsidRPr="004B1C73" w:rsidTr="00C42C36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36" w:rsidRPr="004B1C73" w:rsidRDefault="00C42C36" w:rsidP="00A239F3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42C36" w:rsidRPr="004B1C73" w:rsidTr="00C42C36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2C36" w:rsidRPr="004B1C73" w:rsidRDefault="00C42C36" w:rsidP="00A239F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42C36" w:rsidRPr="004B1C73" w:rsidRDefault="00C42C36" w:rsidP="00C42C36">
      <w:pPr>
        <w:spacing w:after="0" w:line="240" w:lineRule="auto"/>
        <w:ind w:left="360"/>
        <w:jc w:val="both"/>
        <w:rPr>
          <w:rFonts w:ascii="Palatino Linotype" w:eastAsia="Batang" w:hAnsi="Palatino Linotype" w:cs="Arial"/>
          <w:lang w:eastAsia="es-ES"/>
        </w:rPr>
      </w:pPr>
    </w:p>
    <w:p w:rsidR="00F52B9C" w:rsidRPr="004B1C7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 xml:space="preserve">La </w:t>
      </w:r>
      <w:r w:rsidR="00F52B9C" w:rsidRPr="004B1C73">
        <w:rPr>
          <w:rFonts w:ascii="Palatino Linotype" w:eastAsia="Batang" w:hAnsi="Palatino Linotype" w:cs="Arial"/>
          <w:lang w:eastAsia="es-ES"/>
        </w:rPr>
        <w:t xml:space="preserve">señora Presidenta solicita se proceda a tomar votación </w:t>
      </w:r>
      <w:r w:rsidR="00A239F3" w:rsidRPr="004B1C73">
        <w:rPr>
          <w:rFonts w:ascii="Palatino Linotype" w:eastAsia="Batang" w:hAnsi="Palatino Linotype" w:cs="Arial"/>
          <w:lang w:eastAsia="es-ES"/>
        </w:rPr>
        <w:t xml:space="preserve">para la aprobación </w:t>
      </w:r>
      <w:r w:rsidR="00F52B9C" w:rsidRPr="004B1C73">
        <w:rPr>
          <w:rFonts w:ascii="Palatino Linotype" w:eastAsia="Batang" w:hAnsi="Palatino Linotype" w:cs="Arial"/>
          <w:lang w:eastAsia="es-ES"/>
        </w:rPr>
        <w:t>del orden del día.</w:t>
      </w:r>
    </w:p>
    <w:p w:rsidR="00F52B9C" w:rsidRPr="004B1C73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4B1C73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4B1C73">
        <w:rPr>
          <w:rFonts w:ascii="Palatino Linotype" w:eastAsia="Batang" w:hAnsi="Palatino Linotype" w:cs="Arial"/>
          <w:lang w:eastAsia="es-ES"/>
        </w:rPr>
        <w:t>Comisión</w:t>
      </w:r>
      <w:r w:rsidR="00C66ACD" w:rsidRPr="004B1C73">
        <w:rPr>
          <w:rFonts w:ascii="Palatino Linotype" w:eastAsia="Batang" w:hAnsi="Palatino Linotype" w:cs="Arial"/>
          <w:lang w:eastAsia="es-ES"/>
        </w:rPr>
        <w:t xml:space="preserve"> por unanimidad</w:t>
      </w:r>
      <w:r w:rsidR="00CA5FC4" w:rsidRPr="004B1C73">
        <w:rPr>
          <w:rFonts w:ascii="Palatino Linotype" w:eastAsia="Batang" w:hAnsi="Palatino Linotype" w:cs="Arial"/>
          <w:lang w:eastAsia="es-ES"/>
        </w:rPr>
        <w:t xml:space="preserve"> aprueba el orden del día</w:t>
      </w:r>
      <w:r w:rsidR="00C66ACD" w:rsidRPr="004B1C73">
        <w:rPr>
          <w:rFonts w:ascii="Palatino Linotype" w:eastAsia="Batang" w:hAnsi="Palatino Linotype" w:cs="Arial"/>
          <w:lang w:eastAsia="es-ES"/>
        </w:rPr>
        <w:t>,</w:t>
      </w:r>
      <w:r w:rsidR="00CA5FC4" w:rsidRPr="004B1C73">
        <w:rPr>
          <w:rFonts w:ascii="Palatino Linotype" w:eastAsia="Batang" w:hAnsi="Palatino Linotype" w:cs="Arial"/>
          <w:lang w:eastAsia="es-ES"/>
        </w:rPr>
        <w:t xml:space="preserve"> conforme a la siguiente votación: </w:t>
      </w:r>
    </w:p>
    <w:p w:rsidR="00F9486A" w:rsidRPr="004B1C73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4B1C73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76A5" w:rsidRPr="004B1C73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4B1C7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B1C7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B1C7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0E237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B1C7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0E237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B1C7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B1C7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B1C7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B1C73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B1C73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B1C7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5FC4" w:rsidRPr="004B1C7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4B1C7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4B1C73" w:rsidRDefault="00676246" w:rsidP="002768BF">
      <w:pPr>
        <w:jc w:val="center"/>
        <w:rPr>
          <w:rFonts w:ascii="Palatino Linotype" w:hAnsi="Palatino Linotype"/>
          <w:b/>
        </w:rPr>
      </w:pPr>
      <w:r w:rsidRPr="004B1C73">
        <w:rPr>
          <w:rFonts w:ascii="Palatino Linotype" w:hAnsi="Palatino Linotype"/>
          <w:b/>
        </w:rPr>
        <w:t>DESARROLLO DE LA SESIÓN</w:t>
      </w:r>
    </w:p>
    <w:p w:rsidR="00584E97" w:rsidRPr="004B1C73" w:rsidRDefault="00F01C82" w:rsidP="000B4FE8">
      <w:pPr>
        <w:spacing w:after="0" w:line="240" w:lineRule="auto"/>
        <w:jc w:val="both"/>
        <w:rPr>
          <w:rFonts w:ascii="Palatino Linotype" w:hAnsi="Palatino Linotype"/>
          <w:b/>
        </w:rPr>
      </w:pPr>
      <w:r w:rsidRPr="004B1C73">
        <w:rPr>
          <w:rFonts w:ascii="Palatino Linotype" w:hAnsi="Palatino Linotype"/>
          <w:b/>
        </w:rPr>
        <w:t xml:space="preserve">Primer Punto.- </w:t>
      </w:r>
      <w:r w:rsidR="000B4FE8" w:rsidRPr="004B1C73">
        <w:rPr>
          <w:rFonts w:ascii="Palatino Linotype" w:hAnsi="Palatino Linotype"/>
          <w:b/>
        </w:rPr>
        <w:t>Presentación del Proyecto de Ordenanza modificatoria al Título II del Libro IV.7 del Código Municipal, antes Ordenanza No. 147, por parte de la Unidad Especial Regula tu Barrio; y resolución al respecto.</w:t>
      </w:r>
    </w:p>
    <w:p w:rsidR="000B4FE8" w:rsidRPr="004B1C73" w:rsidRDefault="000B4FE8" w:rsidP="000B4FE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B1C73" w:rsidRPr="004B1C73" w:rsidRDefault="004B1C73" w:rsidP="004B1C73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>L</w:t>
      </w:r>
      <w:r w:rsidR="00DF1CE9" w:rsidRPr="004B1C73">
        <w:rPr>
          <w:rFonts w:ascii="Palatino Linotype" w:hAnsi="Palatino Linotype" w:cs="Times New Roman"/>
          <w:bCs/>
        </w:rPr>
        <w:t>a Unidad Especial Regula tu Barrio</w:t>
      </w:r>
      <w:r w:rsidRPr="004B1C73">
        <w:rPr>
          <w:rFonts w:ascii="Palatino Linotype" w:hAnsi="Palatino Linotype" w:cs="Times New Roman"/>
          <w:bCs/>
        </w:rPr>
        <w:t xml:space="preserve">, presentó el texto </w:t>
      </w:r>
      <w:r w:rsidRPr="004B1C73">
        <w:rPr>
          <w:rFonts w:ascii="Palatino Linotype" w:hAnsi="Palatino Linotype" w:cs="Times New Roman"/>
          <w:bCs/>
        </w:rPr>
        <w:t xml:space="preserve">del </w:t>
      </w:r>
      <w:r w:rsidRPr="004B1C73">
        <w:rPr>
          <w:rFonts w:ascii="Palatino Linotype" w:hAnsi="Palatino Linotype" w:cs="Times New Roman"/>
          <w:bCs/>
        </w:rPr>
        <w:t>“</w:t>
      </w:r>
      <w:r w:rsidRPr="004B1C73">
        <w:rPr>
          <w:rFonts w:ascii="Palatino Linotype" w:hAnsi="Palatino Linotype" w:cs="Times New Roman"/>
          <w:bCs/>
        </w:rPr>
        <w:t>Proyecto de Ordenanza modificatoria al Título II del Libro IV.7 del Código Muni</w:t>
      </w:r>
      <w:r w:rsidRPr="004B1C73">
        <w:rPr>
          <w:rFonts w:ascii="Palatino Linotype" w:hAnsi="Palatino Linotype" w:cs="Times New Roman"/>
          <w:bCs/>
        </w:rPr>
        <w:t xml:space="preserve">cipal, antes Ordenanza No. </w:t>
      </w:r>
      <w:r w:rsidRPr="004B1C73">
        <w:rPr>
          <w:rFonts w:ascii="Palatino Linotype" w:hAnsi="Palatino Linotype" w:cs="Times New Roman"/>
          <w:bCs/>
        </w:rPr>
        <w:lastRenderedPageBreak/>
        <w:t xml:space="preserve">147”, propuesta que reforma el procedimiento integral de regularización de los asentamientos humanos de hecho y consolidados, con el </w:t>
      </w:r>
      <w:r w:rsidRPr="004B1C73">
        <w:rPr>
          <w:rFonts w:ascii="Palatino Linotype" w:hAnsi="Palatino Linotype" w:cs="Times New Roman"/>
          <w:bCs/>
        </w:rPr>
        <w:t xml:space="preserve">fin de </w:t>
      </w:r>
      <w:r w:rsidRPr="004B1C73">
        <w:rPr>
          <w:rFonts w:ascii="Palatino Linotype" w:hAnsi="Palatino Linotype" w:cs="Times New Roman"/>
          <w:bCs/>
        </w:rPr>
        <w:t xml:space="preserve">contar con </w:t>
      </w:r>
      <w:r w:rsidRPr="004B1C73">
        <w:rPr>
          <w:rFonts w:ascii="Palatino Linotype" w:hAnsi="Palatino Linotype" w:cs="Times New Roman"/>
          <w:bCs/>
        </w:rPr>
        <w:t>un instrumento jurídico técnico y actualizado en base de las nuevas disposiciones legales establecidas en cuerpos orgánicos como la  Ley Orgánica de Ordenamiento Territorial, Uso y Gestión de Suelo.</w:t>
      </w:r>
    </w:p>
    <w:p w:rsidR="004B1C73" w:rsidRPr="004B1C73" w:rsidRDefault="004B1C73" w:rsidP="004B1C7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lang w:eastAsia="es-ES"/>
        </w:rPr>
      </w:pPr>
    </w:p>
    <w:p w:rsidR="000B4FE8" w:rsidRPr="004B1C73" w:rsidRDefault="00AB5AEE" w:rsidP="00DF1CE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bCs/>
        </w:rPr>
        <w:t>Segundo P</w:t>
      </w:r>
      <w:r w:rsidR="00934873" w:rsidRPr="004B1C73">
        <w:rPr>
          <w:rFonts w:ascii="Palatino Linotype" w:hAnsi="Palatino Linotype" w:cs="Times New Roman"/>
          <w:b/>
          <w:bCs/>
        </w:rPr>
        <w:t xml:space="preserve">unto.- </w:t>
      </w:r>
      <w:r w:rsidR="000B4FE8" w:rsidRPr="004B1C73">
        <w:rPr>
          <w:rFonts w:ascii="Palatino Linotype" w:hAnsi="Palatino Linotype" w:cs="Times New Roman"/>
          <w:b/>
        </w:rPr>
        <w:t>Conocimiento y evaluación de la Resolución No. 23- COT-2020 de 07 de agosto d</w:t>
      </w:r>
      <w:r w:rsidR="000B4FE8" w:rsidRPr="004B1C73">
        <w:rPr>
          <w:rFonts w:ascii="Palatino Linotype" w:hAnsi="Palatino Linotype" w:cs="Times New Roman"/>
          <w:b/>
        </w:rPr>
        <w:t>e 2020 y resolución al respecto</w:t>
      </w:r>
      <w:r w:rsidR="000B4FE8" w:rsidRPr="004B1C73">
        <w:rPr>
          <w:rFonts w:ascii="Palatino Linotype" w:hAnsi="Palatino Linotype" w:cs="Times New Roman"/>
          <w:b/>
        </w:rPr>
        <w:t>.</w:t>
      </w:r>
    </w:p>
    <w:p w:rsidR="00453AB7" w:rsidRPr="004B1C73" w:rsidRDefault="00453AB7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542C64" w:rsidRPr="004B1C73" w:rsidRDefault="00542C64" w:rsidP="00542C64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>L</w:t>
      </w:r>
      <w:r w:rsidRPr="004B1C73">
        <w:rPr>
          <w:rFonts w:ascii="Palatino Linotype" w:hAnsi="Palatino Linotype" w:cs="Times New Roman"/>
          <w:bCs/>
        </w:rPr>
        <w:t>uego de conocer el Oficio Nro. GADDMQ-SGCTYPC-20200959-O de 04 de septiembre de 2020, suscrito por la señora Ximena Villafuerte Mejía, Secretaria General de Coordinación Territorial y Participación Ciudadana, mediante el cual remite la información solicitada en la Resolución No. 023-COT-2020 de la Comisión de Ordenamiento Territorial, aprobada en la sesión No. 027 - ordinaria de 07 de agosto de 2020, solicitando además, que en lo referente a los Asentamientos Humanos que han levantado su hipoteca y aquellos que tienen problemas en hacerlo “se otorgue una extensión de plazo de al menos 10 días laborables para la entrega de la información requerida (…)”,</w:t>
      </w:r>
      <w:r w:rsidRPr="004B1C73">
        <w:rPr>
          <w:rFonts w:ascii="Palatino Linotype" w:hAnsi="Palatino Linotype" w:cs="Times New Roman"/>
          <w:bCs/>
        </w:rPr>
        <w:t xml:space="preserve"> el concejal Luis Reina, mocionó</w:t>
      </w:r>
      <w:r w:rsidRPr="004B1C73">
        <w:rPr>
          <w:rFonts w:ascii="Palatino Linotype" w:hAnsi="Palatino Linotype" w:cs="Times New Roman"/>
          <w:bCs/>
        </w:rPr>
        <w:t xml:space="preserve">:  </w:t>
      </w:r>
    </w:p>
    <w:p w:rsidR="00542C64" w:rsidRPr="004B1C73" w:rsidRDefault="00542C64" w:rsidP="00542C64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 xml:space="preserve"> </w:t>
      </w:r>
    </w:p>
    <w:p w:rsidR="00542C64" w:rsidRPr="004B1C73" w:rsidRDefault="00542C64" w:rsidP="00542C64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 xml:space="preserve">a) Insistir a la Secretaria General de Coordinación Territorial y Participación Ciudadana, que en el plazo de 15 días, remita la información solicitada en el Resolución No. 023-COT-2020 de la Comisión de Ordenamiento Territorial, aprobada en la sesión No. 027 - ordinaria de 07 de agosto de 2020.  </w:t>
      </w:r>
    </w:p>
    <w:p w:rsidR="00542C64" w:rsidRPr="004B1C73" w:rsidRDefault="00542C64" w:rsidP="00542C64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0B4FE8" w:rsidRPr="004B1C73" w:rsidRDefault="00542C64" w:rsidP="00542C64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>b) Presente  un documento en el que conste  la caracterización de los Asentamientos Humanos de Hecho y Consolidados que tienen títulos de crédito pendientes de pago por incumplimiento de los plazos para ejecución de obras; y, elabore una hoja de ruta que contenga las entidades responsables, acciones a desarrollarse, tiempo y el trámite que deba realizar la comunidad.</w:t>
      </w:r>
    </w:p>
    <w:p w:rsidR="000B4FE8" w:rsidRPr="004B1C73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542C64" w:rsidRPr="004B1C73" w:rsidRDefault="00542C64" w:rsidP="00542C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B1C73">
        <w:rPr>
          <w:rFonts w:ascii="Palatino Linotype" w:eastAsia="Batang" w:hAnsi="Palatino Linotype" w:cs="Arial"/>
          <w:lang w:eastAsia="es-ES"/>
        </w:rPr>
        <w:t xml:space="preserve">La Comisión aprueba </w:t>
      </w:r>
      <w:r w:rsidRPr="004B1C73">
        <w:rPr>
          <w:rFonts w:ascii="Palatino Linotype" w:eastAsia="Batang" w:hAnsi="Palatino Linotype" w:cs="Arial"/>
          <w:lang w:eastAsia="es-ES"/>
        </w:rPr>
        <w:t>la moción</w:t>
      </w:r>
      <w:r w:rsidRPr="004B1C73">
        <w:rPr>
          <w:rFonts w:ascii="Palatino Linotype" w:eastAsia="Batang" w:hAnsi="Palatino Linotype" w:cs="Arial"/>
          <w:lang w:eastAsia="es-ES"/>
        </w:rPr>
        <w:t xml:space="preserve">, conforme a la siguiente votación: </w:t>
      </w:r>
    </w:p>
    <w:p w:rsidR="000B4FE8" w:rsidRPr="004B1C73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42C64" w:rsidRPr="004B1C73" w:rsidTr="003C150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42C64" w:rsidRPr="004B1C73" w:rsidTr="003C150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42C64" w:rsidRPr="004B1C73" w:rsidTr="003C150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4" w:rsidRPr="004B1C73" w:rsidRDefault="00542C64" w:rsidP="003C1506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42C64" w:rsidRPr="004B1C73" w:rsidTr="003C150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4" w:rsidRPr="004B1C73" w:rsidRDefault="00542C64" w:rsidP="003C1506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42C64" w:rsidRPr="004B1C73" w:rsidTr="003C150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4" w:rsidRPr="004B1C73" w:rsidRDefault="00542C64" w:rsidP="003C1506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42C64" w:rsidRPr="004B1C73" w:rsidTr="003C150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4" w:rsidRPr="004B1C73" w:rsidRDefault="00542C64" w:rsidP="003C1506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42C64" w:rsidRPr="004B1C73" w:rsidTr="003C150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4" w:rsidRPr="004B1C73" w:rsidRDefault="00542C64" w:rsidP="003C1506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B1C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42C64" w:rsidRPr="004B1C73" w:rsidTr="003C150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2C64" w:rsidRPr="004B1C73" w:rsidRDefault="00AB5AEE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2C64" w:rsidRPr="004B1C73" w:rsidRDefault="00AB5AEE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2C64" w:rsidRPr="004B1C73" w:rsidRDefault="00542C64" w:rsidP="003C15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B1C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0B4FE8" w:rsidRPr="004B1C73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0B4FE8" w:rsidRPr="004B1C73" w:rsidRDefault="00DE3D89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4B1C73">
        <w:rPr>
          <w:rFonts w:ascii="Palatino Linotype" w:hAnsi="Palatino Linotype" w:cs="Times New Roman"/>
          <w:bCs/>
        </w:rPr>
        <w:t>La Comisión de Ordenamiento Territorial,</w:t>
      </w:r>
      <w:r w:rsidRPr="004B1C73">
        <w:rPr>
          <w:rFonts w:ascii="Palatino Linotype" w:hAnsi="Palatino Linotype" w:cs="Times New Roman"/>
          <w:b/>
          <w:bCs/>
        </w:rPr>
        <w:t xml:space="preserve"> resolvió:</w:t>
      </w:r>
    </w:p>
    <w:p w:rsidR="000B4FE8" w:rsidRPr="004B1C73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DE3D89" w:rsidRPr="004B1C73" w:rsidRDefault="00DE3D89" w:rsidP="00DE3D89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 xml:space="preserve">a) Insistir a la Secretaria General de Coordinación Territorial y Participación Ciudadana, que en el plazo de 15 días, remita la información solicitada en el </w:t>
      </w:r>
      <w:r w:rsidRPr="004B1C73">
        <w:rPr>
          <w:rFonts w:ascii="Palatino Linotype" w:hAnsi="Palatino Linotype" w:cs="Times New Roman"/>
          <w:bCs/>
        </w:rPr>
        <w:lastRenderedPageBreak/>
        <w:t xml:space="preserve">Resolución No. 023-COT-2020 de la Comisión de Ordenamiento Territorial, aprobada en la sesión No. 027 - ordinaria de 07 de agosto de 2020.  </w:t>
      </w:r>
    </w:p>
    <w:p w:rsidR="00DE3D89" w:rsidRPr="004B1C73" w:rsidRDefault="00DE3D89" w:rsidP="00DE3D89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DE3D89" w:rsidRPr="004B1C73" w:rsidRDefault="00DE3D89" w:rsidP="00DE3D89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B1C73">
        <w:rPr>
          <w:rFonts w:ascii="Palatino Linotype" w:hAnsi="Palatino Linotype" w:cs="Times New Roman"/>
          <w:bCs/>
        </w:rPr>
        <w:t>b) Presente  un documento en el que conste  la caracterización de los Asentamientos Humanos de Hecho y Consolidados que tienen títulos de crédito pendientes de pago por incumplimiento de los plazos para ejecución de obras; y, elabore una hoja de ruta que contenga las entidades responsables, acciones a desarrollarse, tiempo y el trámite que deba realizar la comunidad.</w:t>
      </w:r>
    </w:p>
    <w:p w:rsidR="00A2344B" w:rsidRPr="004B1C73" w:rsidRDefault="00A2344B" w:rsidP="002768BF">
      <w:pPr>
        <w:jc w:val="both"/>
        <w:rPr>
          <w:rFonts w:ascii="Palatino Linotype" w:hAnsi="Palatino Linotype" w:cs="Arial"/>
          <w:color w:val="000000"/>
        </w:rPr>
      </w:pPr>
    </w:p>
    <w:p w:rsidR="006A37E9" w:rsidRPr="004B1C73" w:rsidRDefault="006A37E9" w:rsidP="002768BF">
      <w:pPr>
        <w:jc w:val="both"/>
        <w:rPr>
          <w:rFonts w:ascii="Palatino Linotype" w:hAnsi="Palatino Linotype"/>
        </w:rPr>
      </w:pPr>
      <w:r w:rsidRPr="004B1C73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4B1C73">
        <w:rPr>
          <w:rFonts w:ascii="Palatino Linotype" w:hAnsi="Palatino Linotype" w:cs="Arial"/>
        </w:rPr>
        <w:t xml:space="preserve">sesión siendo las </w:t>
      </w:r>
      <w:r w:rsidR="001F36B2" w:rsidRPr="004B1C73">
        <w:rPr>
          <w:rFonts w:ascii="Palatino Linotype" w:hAnsi="Palatino Linotype" w:cs="Arial"/>
        </w:rPr>
        <w:t>1</w:t>
      </w:r>
      <w:r w:rsidR="00A2344B" w:rsidRPr="004B1C73">
        <w:rPr>
          <w:rFonts w:ascii="Palatino Linotype" w:hAnsi="Palatino Linotype" w:cs="Arial"/>
        </w:rPr>
        <w:t>1</w:t>
      </w:r>
      <w:r w:rsidR="007A3B54" w:rsidRPr="004B1C73">
        <w:rPr>
          <w:rFonts w:ascii="Palatino Linotype" w:hAnsi="Palatino Linotype"/>
        </w:rPr>
        <w:t>h</w:t>
      </w:r>
      <w:r w:rsidR="00A2344B" w:rsidRPr="004B1C73">
        <w:rPr>
          <w:rFonts w:ascii="Palatino Linotype" w:hAnsi="Palatino Linotype"/>
        </w:rPr>
        <w:t>48</w:t>
      </w:r>
      <w:r w:rsidRPr="004B1C73">
        <w:rPr>
          <w:rFonts w:ascii="Palatino Linotype" w:hAnsi="Palatino Linotype" w:cs="Arial"/>
        </w:rPr>
        <w:t>.</w:t>
      </w:r>
    </w:p>
    <w:p w:rsidR="006A37E9" w:rsidRPr="004B1C7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B1C73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B1C7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4B1C7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B1C7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B1C7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A2344B">
            <w:pPr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B1C73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bookmarkStart w:id="0" w:name="_GoBack"/>
            <w:bookmarkEnd w:id="0"/>
            <w:r w:rsidRPr="004B1C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B1C73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4B1C73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4B1C73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4B1C7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4B1C7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:rsidR="006A37E9" w:rsidRPr="004B1C73" w:rsidRDefault="006A37E9" w:rsidP="002768BF">
      <w:pPr>
        <w:spacing w:after="0"/>
        <w:jc w:val="both"/>
        <w:rPr>
          <w:rFonts w:ascii="Palatino Linotype" w:hAnsi="Palatino Linotype" w:cs="Arial"/>
        </w:rPr>
      </w:pPr>
      <w:r w:rsidRPr="004B1C73">
        <w:rPr>
          <w:rFonts w:ascii="Palatino Linotype" w:hAnsi="Palatino Linotype" w:cs="Arial"/>
        </w:rPr>
        <w:t xml:space="preserve">Para constancia firman la </w:t>
      </w:r>
      <w:proofErr w:type="spellStart"/>
      <w:r w:rsidRPr="004B1C73">
        <w:rPr>
          <w:rFonts w:ascii="Palatino Linotype" w:hAnsi="Palatino Linotype" w:cs="Arial"/>
        </w:rPr>
        <w:t>Mgs</w:t>
      </w:r>
      <w:proofErr w:type="spellEnd"/>
      <w:r w:rsidRPr="004B1C73">
        <w:rPr>
          <w:rFonts w:ascii="Palatino Linotype" w:hAnsi="Palatino Linotype" w:cs="Arial"/>
        </w:rPr>
        <w:t xml:space="preserve">. </w:t>
      </w:r>
      <w:r w:rsidRPr="004B1C73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4B1C73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4B1C73">
        <w:rPr>
          <w:rFonts w:ascii="Palatino Linotype" w:hAnsi="Palatino Linotype" w:cs="Arial"/>
        </w:rPr>
        <w:t>Pasuy</w:t>
      </w:r>
      <w:proofErr w:type="spellEnd"/>
      <w:r w:rsidRPr="004B1C73">
        <w:rPr>
          <w:rFonts w:ascii="Palatino Linotype" w:hAnsi="Palatino Linotype" w:cs="Arial"/>
        </w:rPr>
        <w:t>, Secretaria General del Concejo Metropolitano de Quito (E).</w:t>
      </w:r>
    </w:p>
    <w:p w:rsidR="006A37E9" w:rsidRPr="004B1C73" w:rsidRDefault="006A37E9" w:rsidP="002768BF">
      <w:pPr>
        <w:jc w:val="both"/>
        <w:rPr>
          <w:rFonts w:ascii="Palatino Linotype" w:hAnsi="Palatino Linotype" w:cs="Arial"/>
        </w:rPr>
      </w:pPr>
    </w:p>
    <w:p w:rsidR="006A37E9" w:rsidRPr="004B1C73" w:rsidRDefault="006A37E9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4B1C73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4B1C73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</w:rPr>
            </w:pPr>
            <w:proofErr w:type="spellStart"/>
            <w:r w:rsidRPr="004B1C73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4B1C73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4B1C73" w:rsidRDefault="006A37E9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4B1C73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4B1C7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B1C73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4B1C73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4B1C7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B1C73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4B1C7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B1C73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4B1C7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B1C73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B1C7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4B1C7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B1C7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B1C73" w:rsidRDefault="002E250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B1C7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B1C7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B1C73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4B1C73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B1C7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B1C73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4B1C73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</w:p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B1C73" w:rsidRDefault="00A2344B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B1C7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4B1C73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4B1C7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B1C73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4B1C7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B1C7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B1C73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B1C73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B1C73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4B1C7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4B1C7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4B1C7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lastRenderedPageBreak/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4B1C7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4B1C73" w:rsidRDefault="0076402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4B6209"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</w:t>
            </w:r>
            <w:r w:rsidR="00A2344B"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4B1C7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A2344B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B1C7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2020-12-22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4B1C7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4B1C73" w:rsidRDefault="006A37E9" w:rsidP="002768BF">
      <w:pPr>
        <w:jc w:val="both"/>
        <w:rPr>
          <w:rFonts w:ascii="Palatino Linotype" w:hAnsi="Palatino Linotype"/>
          <w:color w:val="000000" w:themeColor="text1"/>
        </w:rPr>
      </w:pPr>
    </w:p>
    <w:p w:rsidR="006A37E9" w:rsidRPr="004B1C73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4B1C73" w:rsidRDefault="006A37E9" w:rsidP="002768BF">
      <w:pPr>
        <w:jc w:val="both"/>
        <w:rPr>
          <w:rFonts w:ascii="Palatino Linotype" w:hAnsi="Palatino Linotype"/>
        </w:rPr>
      </w:pPr>
    </w:p>
    <w:p w:rsidR="006A37E9" w:rsidRPr="004B1C73" w:rsidRDefault="006A37E9" w:rsidP="002768BF">
      <w:pPr>
        <w:jc w:val="both"/>
        <w:rPr>
          <w:rFonts w:ascii="Palatino Linotype" w:hAnsi="Palatino Linotype"/>
        </w:rPr>
      </w:pPr>
    </w:p>
    <w:p w:rsidR="007C608C" w:rsidRPr="004B1C73" w:rsidRDefault="007C608C" w:rsidP="002768BF">
      <w:pPr>
        <w:jc w:val="both"/>
        <w:rPr>
          <w:rFonts w:ascii="Palatino Linotype" w:hAnsi="Palatino Linotype"/>
        </w:rPr>
      </w:pPr>
    </w:p>
    <w:sectPr w:rsidR="007C608C" w:rsidRPr="004B1C73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068"/>
    <w:multiLevelType w:val="hybridMultilevel"/>
    <w:tmpl w:val="2A6CF0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3EC9"/>
    <w:multiLevelType w:val="hybridMultilevel"/>
    <w:tmpl w:val="5BFE8E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4"/>
  </w:num>
  <w:num w:numId="5">
    <w:abstractNumId w:val="0"/>
  </w:num>
  <w:num w:numId="6">
    <w:abstractNumId w:val="22"/>
  </w:num>
  <w:num w:numId="7">
    <w:abstractNumId w:val="26"/>
  </w:num>
  <w:num w:numId="8">
    <w:abstractNumId w:val="16"/>
  </w:num>
  <w:num w:numId="9">
    <w:abstractNumId w:val="2"/>
  </w:num>
  <w:num w:numId="10">
    <w:abstractNumId w:val="25"/>
  </w:num>
  <w:num w:numId="11">
    <w:abstractNumId w:val="20"/>
  </w:num>
  <w:num w:numId="12">
    <w:abstractNumId w:val="1"/>
  </w:num>
  <w:num w:numId="13">
    <w:abstractNumId w:val="23"/>
  </w:num>
  <w:num w:numId="14">
    <w:abstractNumId w:val="21"/>
  </w:num>
  <w:num w:numId="15">
    <w:abstractNumId w:val="13"/>
  </w:num>
  <w:num w:numId="16">
    <w:abstractNumId w:val="3"/>
  </w:num>
  <w:num w:numId="17">
    <w:abstractNumId w:val="10"/>
  </w:num>
  <w:num w:numId="18">
    <w:abstractNumId w:val="14"/>
  </w:num>
  <w:num w:numId="19">
    <w:abstractNumId w:val="7"/>
  </w:num>
  <w:num w:numId="20">
    <w:abstractNumId w:val="9"/>
  </w:num>
  <w:num w:numId="21">
    <w:abstractNumId w:val="18"/>
  </w:num>
  <w:num w:numId="22">
    <w:abstractNumId w:val="8"/>
  </w:num>
  <w:num w:numId="23">
    <w:abstractNumId w:val="11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21ADB"/>
    <w:rsid w:val="00033166"/>
    <w:rsid w:val="00042920"/>
    <w:rsid w:val="00043377"/>
    <w:rsid w:val="00045F46"/>
    <w:rsid w:val="00062497"/>
    <w:rsid w:val="00090B3C"/>
    <w:rsid w:val="000A4AE2"/>
    <w:rsid w:val="000B4FE8"/>
    <w:rsid w:val="000B6CF4"/>
    <w:rsid w:val="000C1E33"/>
    <w:rsid w:val="000D628C"/>
    <w:rsid w:val="000E237F"/>
    <w:rsid w:val="000F2E4A"/>
    <w:rsid w:val="00114430"/>
    <w:rsid w:val="00120558"/>
    <w:rsid w:val="0013602D"/>
    <w:rsid w:val="00157851"/>
    <w:rsid w:val="00162A09"/>
    <w:rsid w:val="0017586D"/>
    <w:rsid w:val="00183E66"/>
    <w:rsid w:val="001933B7"/>
    <w:rsid w:val="001A1811"/>
    <w:rsid w:val="001A5F4B"/>
    <w:rsid w:val="001B028D"/>
    <w:rsid w:val="001C4C5B"/>
    <w:rsid w:val="001C618A"/>
    <w:rsid w:val="001D2EE2"/>
    <w:rsid w:val="001D36FE"/>
    <w:rsid w:val="001F0959"/>
    <w:rsid w:val="001F0EAA"/>
    <w:rsid w:val="001F16DE"/>
    <w:rsid w:val="001F36B2"/>
    <w:rsid w:val="001F58F2"/>
    <w:rsid w:val="00205077"/>
    <w:rsid w:val="0020595C"/>
    <w:rsid w:val="00207891"/>
    <w:rsid w:val="00215DEF"/>
    <w:rsid w:val="0022591B"/>
    <w:rsid w:val="00231BDD"/>
    <w:rsid w:val="00246ADF"/>
    <w:rsid w:val="002721C4"/>
    <w:rsid w:val="002768BF"/>
    <w:rsid w:val="002776A5"/>
    <w:rsid w:val="00285F42"/>
    <w:rsid w:val="002A1D4B"/>
    <w:rsid w:val="002A2DF7"/>
    <w:rsid w:val="002A2F4C"/>
    <w:rsid w:val="002B21C2"/>
    <w:rsid w:val="002B3094"/>
    <w:rsid w:val="002B5BF1"/>
    <w:rsid w:val="002B6F61"/>
    <w:rsid w:val="002D54AA"/>
    <w:rsid w:val="002E2500"/>
    <w:rsid w:val="002E31A0"/>
    <w:rsid w:val="002F2CD6"/>
    <w:rsid w:val="00302408"/>
    <w:rsid w:val="00302985"/>
    <w:rsid w:val="00324894"/>
    <w:rsid w:val="00331A5F"/>
    <w:rsid w:val="00337E9A"/>
    <w:rsid w:val="003474D4"/>
    <w:rsid w:val="00353AEE"/>
    <w:rsid w:val="00364794"/>
    <w:rsid w:val="003716A8"/>
    <w:rsid w:val="0037674F"/>
    <w:rsid w:val="0038365A"/>
    <w:rsid w:val="00383B8E"/>
    <w:rsid w:val="0039151E"/>
    <w:rsid w:val="003A63CC"/>
    <w:rsid w:val="003C3E41"/>
    <w:rsid w:val="003C7511"/>
    <w:rsid w:val="003D36D4"/>
    <w:rsid w:val="003D3CAC"/>
    <w:rsid w:val="003E181D"/>
    <w:rsid w:val="003E7235"/>
    <w:rsid w:val="003F094C"/>
    <w:rsid w:val="003F4BA4"/>
    <w:rsid w:val="00400B12"/>
    <w:rsid w:val="00401D1C"/>
    <w:rsid w:val="0042617E"/>
    <w:rsid w:val="00441DED"/>
    <w:rsid w:val="00453AB7"/>
    <w:rsid w:val="004839AD"/>
    <w:rsid w:val="00484CFD"/>
    <w:rsid w:val="00491C89"/>
    <w:rsid w:val="004A1319"/>
    <w:rsid w:val="004A5C95"/>
    <w:rsid w:val="004B1C73"/>
    <w:rsid w:val="004B6209"/>
    <w:rsid w:val="004C3DD5"/>
    <w:rsid w:val="004E2566"/>
    <w:rsid w:val="004E5060"/>
    <w:rsid w:val="004E6D54"/>
    <w:rsid w:val="004F158B"/>
    <w:rsid w:val="00500654"/>
    <w:rsid w:val="00505137"/>
    <w:rsid w:val="00514A54"/>
    <w:rsid w:val="00515B0F"/>
    <w:rsid w:val="0052335E"/>
    <w:rsid w:val="00534123"/>
    <w:rsid w:val="00542C64"/>
    <w:rsid w:val="00565CD9"/>
    <w:rsid w:val="00584E97"/>
    <w:rsid w:val="00596A75"/>
    <w:rsid w:val="0059792B"/>
    <w:rsid w:val="005A78EA"/>
    <w:rsid w:val="005C0295"/>
    <w:rsid w:val="005D02CD"/>
    <w:rsid w:val="005D082F"/>
    <w:rsid w:val="005D6476"/>
    <w:rsid w:val="005F2E7F"/>
    <w:rsid w:val="00616DCD"/>
    <w:rsid w:val="0062158A"/>
    <w:rsid w:val="006326DD"/>
    <w:rsid w:val="006478D8"/>
    <w:rsid w:val="006531B1"/>
    <w:rsid w:val="0065353E"/>
    <w:rsid w:val="00653743"/>
    <w:rsid w:val="006759F4"/>
    <w:rsid w:val="00676246"/>
    <w:rsid w:val="006770E5"/>
    <w:rsid w:val="00682401"/>
    <w:rsid w:val="006A37E9"/>
    <w:rsid w:val="006B201E"/>
    <w:rsid w:val="006D1F0C"/>
    <w:rsid w:val="006E21F2"/>
    <w:rsid w:val="006F21AC"/>
    <w:rsid w:val="007075BB"/>
    <w:rsid w:val="00726251"/>
    <w:rsid w:val="007360DD"/>
    <w:rsid w:val="00741668"/>
    <w:rsid w:val="00746999"/>
    <w:rsid w:val="00746B42"/>
    <w:rsid w:val="007638C8"/>
    <w:rsid w:val="0076402A"/>
    <w:rsid w:val="00774B2B"/>
    <w:rsid w:val="00783167"/>
    <w:rsid w:val="00790F38"/>
    <w:rsid w:val="007966D6"/>
    <w:rsid w:val="0079726A"/>
    <w:rsid w:val="007A01C3"/>
    <w:rsid w:val="007A3B54"/>
    <w:rsid w:val="007A69C3"/>
    <w:rsid w:val="007B550A"/>
    <w:rsid w:val="007C36CC"/>
    <w:rsid w:val="007C608C"/>
    <w:rsid w:val="007E6499"/>
    <w:rsid w:val="00803B30"/>
    <w:rsid w:val="0083149B"/>
    <w:rsid w:val="0083599D"/>
    <w:rsid w:val="008361C0"/>
    <w:rsid w:val="0084647B"/>
    <w:rsid w:val="00861584"/>
    <w:rsid w:val="00875DFB"/>
    <w:rsid w:val="00883F8A"/>
    <w:rsid w:val="0089458A"/>
    <w:rsid w:val="008B72DB"/>
    <w:rsid w:val="008C0ECB"/>
    <w:rsid w:val="008C4982"/>
    <w:rsid w:val="008D02D3"/>
    <w:rsid w:val="008E0C34"/>
    <w:rsid w:val="008F2352"/>
    <w:rsid w:val="00907F44"/>
    <w:rsid w:val="00911F8F"/>
    <w:rsid w:val="009161FD"/>
    <w:rsid w:val="00922F8C"/>
    <w:rsid w:val="0093077D"/>
    <w:rsid w:val="00932172"/>
    <w:rsid w:val="00934873"/>
    <w:rsid w:val="00943B4C"/>
    <w:rsid w:val="00945413"/>
    <w:rsid w:val="00954BFA"/>
    <w:rsid w:val="00975821"/>
    <w:rsid w:val="00976305"/>
    <w:rsid w:val="00977FBA"/>
    <w:rsid w:val="00981DBC"/>
    <w:rsid w:val="009829F8"/>
    <w:rsid w:val="00984223"/>
    <w:rsid w:val="00984335"/>
    <w:rsid w:val="009927BC"/>
    <w:rsid w:val="009A7EA8"/>
    <w:rsid w:val="009B098C"/>
    <w:rsid w:val="009C2A53"/>
    <w:rsid w:val="009C4605"/>
    <w:rsid w:val="009D5E0E"/>
    <w:rsid w:val="009E052F"/>
    <w:rsid w:val="009E2608"/>
    <w:rsid w:val="009E4E94"/>
    <w:rsid w:val="009F7123"/>
    <w:rsid w:val="009F7D15"/>
    <w:rsid w:val="00A160D5"/>
    <w:rsid w:val="00A1742F"/>
    <w:rsid w:val="00A2344B"/>
    <w:rsid w:val="00A239F3"/>
    <w:rsid w:val="00A32B3B"/>
    <w:rsid w:val="00A465FD"/>
    <w:rsid w:val="00A52AFC"/>
    <w:rsid w:val="00A741AD"/>
    <w:rsid w:val="00A8165A"/>
    <w:rsid w:val="00A95DF2"/>
    <w:rsid w:val="00A960AA"/>
    <w:rsid w:val="00AA5FAD"/>
    <w:rsid w:val="00AB4D8D"/>
    <w:rsid w:val="00AB5AEE"/>
    <w:rsid w:val="00AD6F92"/>
    <w:rsid w:val="00AE5B21"/>
    <w:rsid w:val="00B04ECD"/>
    <w:rsid w:val="00B257CD"/>
    <w:rsid w:val="00B25D73"/>
    <w:rsid w:val="00B3742F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1836"/>
    <w:rsid w:val="00BE503B"/>
    <w:rsid w:val="00BE7B3D"/>
    <w:rsid w:val="00BF6247"/>
    <w:rsid w:val="00C03B8D"/>
    <w:rsid w:val="00C05BE2"/>
    <w:rsid w:val="00C06C24"/>
    <w:rsid w:val="00C1202D"/>
    <w:rsid w:val="00C229B5"/>
    <w:rsid w:val="00C25150"/>
    <w:rsid w:val="00C42C36"/>
    <w:rsid w:val="00C51903"/>
    <w:rsid w:val="00C52142"/>
    <w:rsid w:val="00C5663C"/>
    <w:rsid w:val="00C5782E"/>
    <w:rsid w:val="00C66ACD"/>
    <w:rsid w:val="00C813A2"/>
    <w:rsid w:val="00C867CC"/>
    <w:rsid w:val="00CA5FC4"/>
    <w:rsid w:val="00CA68A6"/>
    <w:rsid w:val="00CB1F01"/>
    <w:rsid w:val="00CB7ED9"/>
    <w:rsid w:val="00CC37B8"/>
    <w:rsid w:val="00CD13AE"/>
    <w:rsid w:val="00D06B1E"/>
    <w:rsid w:val="00D3017B"/>
    <w:rsid w:val="00D34B31"/>
    <w:rsid w:val="00D42030"/>
    <w:rsid w:val="00D47B69"/>
    <w:rsid w:val="00D5034A"/>
    <w:rsid w:val="00D62E90"/>
    <w:rsid w:val="00D63560"/>
    <w:rsid w:val="00D66EB6"/>
    <w:rsid w:val="00D83740"/>
    <w:rsid w:val="00D940F8"/>
    <w:rsid w:val="00D96F24"/>
    <w:rsid w:val="00DA6BB3"/>
    <w:rsid w:val="00DB23C3"/>
    <w:rsid w:val="00DB6C4B"/>
    <w:rsid w:val="00DC6771"/>
    <w:rsid w:val="00DD6933"/>
    <w:rsid w:val="00DE3D89"/>
    <w:rsid w:val="00DF1CE9"/>
    <w:rsid w:val="00E201BB"/>
    <w:rsid w:val="00E2179B"/>
    <w:rsid w:val="00E3428C"/>
    <w:rsid w:val="00E47C0F"/>
    <w:rsid w:val="00E51721"/>
    <w:rsid w:val="00E5543D"/>
    <w:rsid w:val="00E55536"/>
    <w:rsid w:val="00E602B4"/>
    <w:rsid w:val="00E7365D"/>
    <w:rsid w:val="00E81D09"/>
    <w:rsid w:val="00E869A4"/>
    <w:rsid w:val="00E94A0E"/>
    <w:rsid w:val="00EC108F"/>
    <w:rsid w:val="00ED3395"/>
    <w:rsid w:val="00EE4FBF"/>
    <w:rsid w:val="00EE54C5"/>
    <w:rsid w:val="00EE5BAB"/>
    <w:rsid w:val="00EE7C94"/>
    <w:rsid w:val="00F00DF5"/>
    <w:rsid w:val="00F01C82"/>
    <w:rsid w:val="00F02934"/>
    <w:rsid w:val="00F1003F"/>
    <w:rsid w:val="00F2236E"/>
    <w:rsid w:val="00F22A86"/>
    <w:rsid w:val="00F24021"/>
    <w:rsid w:val="00F323A5"/>
    <w:rsid w:val="00F441E1"/>
    <w:rsid w:val="00F52B9C"/>
    <w:rsid w:val="00F6188F"/>
    <w:rsid w:val="00F81028"/>
    <w:rsid w:val="00F86318"/>
    <w:rsid w:val="00F9252D"/>
    <w:rsid w:val="00F9486A"/>
    <w:rsid w:val="00FA0312"/>
    <w:rsid w:val="00FB1DD9"/>
    <w:rsid w:val="00FC0FDB"/>
    <w:rsid w:val="00FC66BB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D6749-468B-4851-B834-152529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13</cp:revision>
  <dcterms:created xsi:type="dcterms:W3CDTF">2021-01-04T21:09:00Z</dcterms:created>
  <dcterms:modified xsi:type="dcterms:W3CDTF">2021-01-04T21:45:00Z</dcterms:modified>
</cp:coreProperties>
</file>