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26B3" w14:textId="77777777" w:rsidR="00754F12" w:rsidRPr="0072591E" w:rsidRDefault="00754F12" w:rsidP="00754F12">
      <w:pPr>
        <w:tabs>
          <w:tab w:val="left" w:pos="7513"/>
        </w:tabs>
        <w:spacing w:after="240" w:line="276" w:lineRule="auto"/>
        <w:jc w:val="center"/>
        <w:rPr>
          <w:b/>
          <w:sz w:val="22"/>
          <w:szCs w:val="22"/>
        </w:rPr>
      </w:pPr>
      <w:r w:rsidRPr="0072591E">
        <w:rPr>
          <w:b/>
          <w:sz w:val="22"/>
          <w:szCs w:val="22"/>
        </w:rPr>
        <w:t>EXPOSICIÓN DE MOTIVOS</w:t>
      </w:r>
    </w:p>
    <w:p w14:paraId="67D8650F" w14:textId="77777777" w:rsidR="00754F12" w:rsidRPr="0072591E" w:rsidRDefault="00754F12" w:rsidP="00754F12">
      <w:pPr>
        <w:spacing w:after="240" w:line="276" w:lineRule="auto"/>
        <w:jc w:val="both"/>
        <w:rPr>
          <w:b/>
          <w:sz w:val="22"/>
          <w:szCs w:val="22"/>
        </w:rPr>
      </w:pPr>
      <w:r w:rsidRPr="0072591E">
        <w:rPr>
          <w:sz w:val="22"/>
          <w:szCs w:val="22"/>
        </w:rPr>
        <w:t>La Constitución de la República del Ecuador, en su artículo 30, garantiza a las personas el “</w:t>
      </w:r>
      <w:r w:rsidRPr="0072591E">
        <w:rPr>
          <w:i/>
          <w:sz w:val="22"/>
          <w:szCs w:val="22"/>
        </w:rPr>
        <w:t>derecho a un hábitat seguro y saludable, y a una vivienda adecuada y digna, con independencia de su situación social y económica</w:t>
      </w:r>
      <w:r w:rsidRPr="0072591E">
        <w:rPr>
          <w:sz w:val="22"/>
          <w:szCs w:val="22"/>
        </w:rPr>
        <w:t>”.</w:t>
      </w:r>
    </w:p>
    <w:p w14:paraId="73A9EDF4" w14:textId="77777777" w:rsidR="00754F12" w:rsidRPr="009F680A" w:rsidRDefault="00754F12" w:rsidP="009F680A">
      <w:pPr>
        <w:spacing w:after="240" w:line="276" w:lineRule="auto"/>
        <w:jc w:val="both"/>
        <w:rPr>
          <w:rFonts w:eastAsia="Calibri"/>
          <w:sz w:val="22"/>
          <w:szCs w:val="22"/>
          <w:lang w:val="es-EC" w:eastAsia="en-US"/>
        </w:rPr>
      </w:pPr>
      <w:r w:rsidRPr="0072591E">
        <w:rPr>
          <w:sz w:val="22"/>
          <w:szCs w:val="22"/>
        </w:rPr>
        <w:t xml:space="preserve">La Administración Municipal, a través de la Unidad Especial “Regula tu Barrio”, gestiona procesos tendientes a regularizar aquellos asentamientos humanos de hecho y consolidados que se </w:t>
      </w:r>
      <w:r w:rsidRPr="009F680A">
        <w:rPr>
          <w:rFonts w:eastAsia="Calibri"/>
          <w:sz w:val="22"/>
          <w:szCs w:val="22"/>
          <w:lang w:val="es-EC" w:eastAsia="en-US"/>
        </w:rPr>
        <w:t xml:space="preserve">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91A8CFF" w14:textId="77777777" w:rsidR="00754F12" w:rsidRPr="009F680A" w:rsidRDefault="002164EC" w:rsidP="009F680A">
      <w:pPr>
        <w:spacing w:after="240" w:line="276" w:lineRule="auto"/>
        <w:jc w:val="both"/>
        <w:rPr>
          <w:rFonts w:eastAsia="Calibri"/>
          <w:sz w:val="22"/>
          <w:szCs w:val="22"/>
          <w:lang w:val="es-EC" w:eastAsia="en-US"/>
        </w:rPr>
      </w:pPr>
      <w:r w:rsidRPr="009F680A">
        <w:rPr>
          <w:rFonts w:eastAsia="Calibri"/>
          <w:sz w:val="22"/>
          <w:szCs w:val="22"/>
          <w:lang w:val="es-EC" w:eastAsia="en-US"/>
        </w:rPr>
        <w:t>El asentamiento humano de hecho y consolidado de interés s</w:t>
      </w:r>
      <w:r w:rsidR="00754F12" w:rsidRPr="009F680A">
        <w:rPr>
          <w:rFonts w:eastAsia="Calibri"/>
          <w:sz w:val="22"/>
          <w:szCs w:val="22"/>
          <w:lang w:val="es-EC" w:eastAsia="en-US"/>
        </w:rPr>
        <w:t>ocial denominado “</w:t>
      </w:r>
      <w:r w:rsidR="003B7877" w:rsidRPr="009F680A">
        <w:rPr>
          <w:rFonts w:eastAsia="Calibri"/>
          <w:sz w:val="22"/>
          <w:szCs w:val="22"/>
          <w:lang w:val="es-EC" w:eastAsia="en-US"/>
        </w:rPr>
        <w:t>El Blanqueado La Balvina</w:t>
      </w:r>
      <w:r w:rsidR="00754F12" w:rsidRPr="009F680A">
        <w:rPr>
          <w:rFonts w:eastAsia="Calibri"/>
          <w:sz w:val="22"/>
          <w:szCs w:val="22"/>
          <w:lang w:val="es-EC" w:eastAsia="en-US"/>
        </w:rPr>
        <w:t xml:space="preserve">”,  ubicado en la parroquia Quitumbe, tiene una consolidación del </w:t>
      </w:r>
      <w:r w:rsidR="003B7877" w:rsidRPr="009F680A">
        <w:rPr>
          <w:rFonts w:eastAsia="Calibri"/>
          <w:sz w:val="22"/>
          <w:szCs w:val="22"/>
          <w:lang w:val="es-EC" w:eastAsia="en-US"/>
        </w:rPr>
        <w:t>91,36</w:t>
      </w:r>
      <w:r w:rsidR="00754F12" w:rsidRPr="009F680A">
        <w:rPr>
          <w:rFonts w:eastAsia="Calibri"/>
          <w:sz w:val="22"/>
          <w:szCs w:val="22"/>
          <w:lang w:val="es-EC" w:eastAsia="en-US"/>
        </w:rPr>
        <w:t xml:space="preserve">%; al inicio del proceso </w:t>
      </w:r>
      <w:r w:rsidR="003B7877" w:rsidRPr="009F680A">
        <w:rPr>
          <w:rFonts w:eastAsia="Calibri"/>
          <w:sz w:val="22"/>
          <w:szCs w:val="22"/>
          <w:lang w:val="es-EC" w:eastAsia="en-US"/>
        </w:rPr>
        <w:t>de regularización contaba con 51</w:t>
      </w:r>
      <w:r w:rsidR="00754F12" w:rsidRPr="009F680A">
        <w:rPr>
          <w:rFonts w:eastAsia="Calibri"/>
          <w:sz w:val="22"/>
          <w:szCs w:val="22"/>
          <w:lang w:val="es-EC" w:eastAsia="en-US"/>
        </w:rPr>
        <w:t xml:space="preserve"> años de existencia; sin embargo al momento de la sanción de la presente ordenanza el asentamiento cuent</w:t>
      </w:r>
      <w:r w:rsidR="003B7877" w:rsidRPr="009F680A">
        <w:rPr>
          <w:rFonts w:eastAsia="Calibri"/>
          <w:sz w:val="22"/>
          <w:szCs w:val="22"/>
          <w:lang w:val="es-EC" w:eastAsia="en-US"/>
        </w:rPr>
        <w:t>a con 53 años de asentamiento, 81 lotes a fraccionarse y 324</w:t>
      </w:r>
      <w:r w:rsidR="00754F12" w:rsidRPr="009F680A">
        <w:rPr>
          <w:rFonts w:eastAsia="Calibri"/>
          <w:sz w:val="22"/>
          <w:szCs w:val="22"/>
          <w:lang w:val="es-EC" w:eastAsia="en-US"/>
        </w:rPr>
        <w:t xml:space="preserve"> beneficiarios. </w:t>
      </w:r>
    </w:p>
    <w:p w14:paraId="6A9FE714" w14:textId="77777777" w:rsidR="009F680A" w:rsidRDefault="002164EC" w:rsidP="009F680A">
      <w:pPr>
        <w:pStyle w:val="Cuadrculamedia2"/>
        <w:spacing w:line="276" w:lineRule="auto"/>
        <w:jc w:val="both"/>
        <w:rPr>
          <w:rFonts w:ascii="Times New Roman" w:hAnsi="Times New Roman"/>
        </w:rPr>
      </w:pPr>
      <w:r w:rsidRPr="009F680A">
        <w:rPr>
          <w:rFonts w:ascii="Times New Roman" w:hAnsi="Times New Roman"/>
        </w:rPr>
        <w:t>Dicho asentamiento humano de hecho y consolidado de interés s</w:t>
      </w:r>
      <w:r w:rsidR="00754F12" w:rsidRPr="009F680A">
        <w:rPr>
          <w:rFonts w:ascii="Times New Roman" w:hAnsi="Times New Roman"/>
        </w:rPr>
        <w:t>ocial</w:t>
      </w:r>
      <w:r w:rsidR="00C3091E" w:rsidRPr="009F680A">
        <w:rPr>
          <w:rFonts w:ascii="Times New Roman" w:hAnsi="Times New Roman"/>
        </w:rPr>
        <w:t xml:space="preserve"> fue reconocido mediante Ordenanza No. </w:t>
      </w:r>
      <w:r w:rsidR="00607779" w:rsidRPr="009F680A">
        <w:rPr>
          <w:rFonts w:ascii="Times New Roman" w:hAnsi="Times New Roman"/>
        </w:rPr>
        <w:t>004, sancionada el 8 de enero de 2011, que aprueba la Urbanización de Interés Social y Desarrollo Progresivo a favor de los copropietarios de los inmuebles en los que se encuentra asentado el barrio El Blanqueado La Balvina</w:t>
      </w:r>
      <w:r w:rsidR="009F680A" w:rsidRPr="009F680A">
        <w:rPr>
          <w:rFonts w:ascii="Times New Roman" w:hAnsi="Times New Roman"/>
        </w:rPr>
        <w:t>. M</w:t>
      </w:r>
      <w:r w:rsidR="00607779" w:rsidRPr="009F680A">
        <w:rPr>
          <w:rFonts w:ascii="Times New Roman" w:hAnsi="Times New Roman"/>
        </w:rPr>
        <w:t xml:space="preserve">ediante Ordenanza </w:t>
      </w:r>
      <w:r w:rsidR="00E9650C" w:rsidRPr="009F680A">
        <w:rPr>
          <w:rFonts w:ascii="Times New Roman" w:hAnsi="Times New Roman"/>
        </w:rPr>
        <w:t>0</w:t>
      </w:r>
      <w:r w:rsidR="00607779" w:rsidRPr="009F680A">
        <w:rPr>
          <w:rFonts w:ascii="Times New Roman" w:hAnsi="Times New Roman"/>
        </w:rPr>
        <w:t>183</w:t>
      </w:r>
      <w:r w:rsidR="00E9650C" w:rsidRPr="009F680A">
        <w:rPr>
          <w:rFonts w:ascii="Times New Roman" w:hAnsi="Times New Roman"/>
        </w:rPr>
        <w:t xml:space="preserve">, sancionada el 23 de febrero de 2012 y protocolizada el 09 de  abril de 2012, ante el doctor Líder Moreta Gavilanes, Notario Cuarto encargado del Cantón Quito, se expide la Ordenanza Reformatoria a la Ordenanza No. 004, sancionada el 8 de enero </w:t>
      </w:r>
      <w:r w:rsidR="00B00E17">
        <w:rPr>
          <w:rFonts w:ascii="Times New Roman" w:hAnsi="Times New Roman"/>
        </w:rPr>
        <w:t>de 2011.</w:t>
      </w:r>
      <w:r w:rsidR="00E9650C" w:rsidRPr="009F680A">
        <w:rPr>
          <w:rFonts w:ascii="Times New Roman" w:hAnsi="Times New Roman"/>
        </w:rPr>
        <w:t xml:space="preserve"> </w:t>
      </w:r>
      <w:r w:rsidR="00B00E17">
        <w:rPr>
          <w:rFonts w:ascii="Times New Roman" w:hAnsi="Times New Roman"/>
        </w:rPr>
        <w:t>S</w:t>
      </w:r>
      <w:r w:rsidR="009F680A" w:rsidRPr="009F680A">
        <w:rPr>
          <w:rFonts w:ascii="Times New Roman" w:hAnsi="Times New Roman"/>
        </w:rPr>
        <w:t>in embargo</w:t>
      </w:r>
      <w:r w:rsidR="00B00E17">
        <w:rPr>
          <w:rFonts w:ascii="Times New Roman" w:hAnsi="Times New Roman"/>
        </w:rPr>
        <w:t>,</w:t>
      </w:r>
      <w:r w:rsidR="009F680A" w:rsidRPr="009F680A">
        <w:rPr>
          <w:rFonts w:ascii="Times New Roman" w:hAnsi="Times New Roman"/>
        </w:rPr>
        <w:t xml:space="preserve"> es necesario sustituir </w:t>
      </w:r>
      <w:r w:rsidR="009F680A">
        <w:rPr>
          <w:rFonts w:ascii="Times New Roman" w:hAnsi="Times New Roman"/>
        </w:rPr>
        <w:t>la</w:t>
      </w:r>
      <w:r w:rsidR="001E628B">
        <w:rPr>
          <w:rFonts w:ascii="Times New Roman" w:hAnsi="Times New Roman"/>
        </w:rPr>
        <w:t>s</w:t>
      </w:r>
      <w:r w:rsidR="009F680A">
        <w:rPr>
          <w:rFonts w:ascii="Times New Roman" w:hAnsi="Times New Roman"/>
        </w:rPr>
        <w:t xml:space="preserve"> mencionadas </w:t>
      </w:r>
      <w:r w:rsidR="009F680A" w:rsidRPr="009F680A">
        <w:rPr>
          <w:rFonts w:ascii="Times New Roman" w:hAnsi="Times New Roman"/>
        </w:rPr>
        <w:t xml:space="preserve">ordenanzas </w:t>
      </w:r>
      <w:r w:rsidR="006E685D" w:rsidRPr="00ED0BF6">
        <w:rPr>
          <w:rFonts w:ascii="Times New Roman" w:hAnsi="Times New Roman"/>
        </w:rPr>
        <w:t>con el fin de rectificar las áreas de los lotes fraccionados y justificar la propiedad con los títulos que respaldan la tenencia legal de la tierra de quienes conforman el asentamiento humano, por otro lado,</w:t>
      </w:r>
      <w:r w:rsidR="006E685D">
        <w:rPr>
          <w:rFonts w:ascii="Times New Roman" w:hAnsi="Times New Roman"/>
          <w:color w:val="FF0000"/>
        </w:rPr>
        <w:t xml:space="preserve">  </w:t>
      </w:r>
      <w:r w:rsidR="006E685D">
        <w:rPr>
          <w:rFonts w:ascii="Times New Roman" w:hAnsi="Times New Roman"/>
        </w:rPr>
        <w:t xml:space="preserve">el contenido de </w:t>
      </w:r>
      <w:r w:rsidR="006E685D" w:rsidRPr="00B25482">
        <w:rPr>
          <w:rFonts w:ascii="Times New Roman" w:hAnsi="Times New Roman"/>
        </w:rPr>
        <w:t>la mayoría de artículos constantes en la</w:t>
      </w:r>
      <w:r w:rsidR="006E685D">
        <w:rPr>
          <w:rFonts w:ascii="Times New Roman" w:hAnsi="Times New Roman"/>
        </w:rPr>
        <w:t>s mencionadas</w:t>
      </w:r>
      <w:r w:rsidR="006E685D" w:rsidRPr="00B25482">
        <w:rPr>
          <w:rFonts w:ascii="Times New Roman" w:hAnsi="Times New Roman"/>
        </w:rPr>
        <w:t xml:space="preserve"> Ordenanza</w:t>
      </w:r>
      <w:r w:rsidR="006E685D">
        <w:rPr>
          <w:rFonts w:ascii="Times New Roman" w:hAnsi="Times New Roman"/>
        </w:rPr>
        <w:t xml:space="preserve">s </w:t>
      </w:r>
      <w:r w:rsidR="006E685D" w:rsidRPr="00B25482">
        <w:rPr>
          <w:rFonts w:ascii="Times New Roman" w:hAnsi="Times New Roman"/>
          <w:lang w:val="es-ES_tradnl"/>
        </w:rPr>
        <w:t>ha sido modificado</w:t>
      </w:r>
      <w:r w:rsidR="006E685D">
        <w:rPr>
          <w:rFonts w:ascii="Times New Roman" w:hAnsi="Times New Roman"/>
          <w:lang w:val="es-ES_tradnl"/>
        </w:rPr>
        <w:t>,</w:t>
      </w:r>
      <w:r w:rsidR="006E685D" w:rsidRPr="00B25482">
        <w:rPr>
          <w:rFonts w:ascii="Times New Roman" w:hAnsi="Times New Roman"/>
          <w:lang w:val="es-ES_tradnl"/>
        </w:rPr>
        <w:t xml:space="preserve"> perfeccionando de esta manera los procesos integrales de regularización, por consiguiente</w:t>
      </w:r>
      <w:r w:rsidR="006E685D">
        <w:rPr>
          <w:rFonts w:ascii="Times New Roman" w:hAnsi="Times New Roman"/>
          <w:lang w:val="es-ES_tradnl"/>
        </w:rPr>
        <w:t>,</w:t>
      </w:r>
      <w:r w:rsidR="006E685D" w:rsidRPr="00B25482">
        <w:rPr>
          <w:rFonts w:ascii="Times New Roman" w:hAnsi="Times New Roman"/>
          <w:lang w:val="es-ES_tradnl"/>
        </w:rPr>
        <w:t xml:space="preserve"> es </w:t>
      </w:r>
      <w:proofErr w:type="spellStart"/>
      <w:r w:rsidR="006E685D">
        <w:rPr>
          <w:rFonts w:ascii="Times New Roman" w:hAnsi="Times New Roman"/>
          <w:lang w:val="es-ES_tradnl"/>
        </w:rPr>
        <w:t>im</w:t>
      </w:r>
      <w:proofErr w:type="spellEnd"/>
      <w:r w:rsidR="006E685D" w:rsidRPr="00B25482">
        <w:rPr>
          <w:rFonts w:ascii="Times New Roman" w:hAnsi="Times New Roman"/>
        </w:rPr>
        <w:t>prescindible incluir nuevos</w:t>
      </w:r>
      <w:r w:rsidR="006E685D">
        <w:rPr>
          <w:rFonts w:ascii="Times New Roman" w:hAnsi="Times New Roman"/>
        </w:rPr>
        <w:t xml:space="preserve"> artículos que cont</w:t>
      </w:r>
      <w:r w:rsidR="006E685D" w:rsidRPr="00B25482">
        <w:rPr>
          <w:rFonts w:ascii="Times New Roman" w:hAnsi="Times New Roman"/>
        </w:rPr>
        <w:t>en</w:t>
      </w:r>
      <w:r w:rsidR="006E685D">
        <w:rPr>
          <w:rFonts w:ascii="Times New Roman" w:hAnsi="Times New Roman"/>
        </w:rPr>
        <w:t>ga</w:t>
      </w:r>
      <w:r w:rsidR="006E685D" w:rsidRPr="00B25482">
        <w:rPr>
          <w:rFonts w:ascii="Times New Roman" w:hAnsi="Times New Roman"/>
        </w:rPr>
        <w:t xml:space="preserve">n disposiciones legales que van en beneficio de la </w:t>
      </w:r>
      <w:commentRangeStart w:id="0"/>
      <w:r w:rsidR="006E685D" w:rsidRPr="00B25482">
        <w:rPr>
          <w:rFonts w:ascii="Times New Roman" w:hAnsi="Times New Roman"/>
        </w:rPr>
        <w:t>comunidad</w:t>
      </w:r>
      <w:commentRangeEnd w:id="0"/>
      <w:r w:rsidR="006E685D">
        <w:rPr>
          <w:rStyle w:val="Refdecomentario"/>
          <w:rFonts w:ascii="Times New Roman" w:eastAsia="Times New Roman" w:hAnsi="Times New Roman"/>
          <w:lang w:val="es-ES" w:eastAsia="es-ES"/>
        </w:rPr>
        <w:commentReference w:id="0"/>
      </w:r>
      <w:r w:rsidR="009F680A" w:rsidRPr="009F680A">
        <w:rPr>
          <w:rFonts w:ascii="Times New Roman" w:hAnsi="Times New Roman"/>
        </w:rPr>
        <w:t>.</w:t>
      </w:r>
      <w:r w:rsidR="009F680A">
        <w:t xml:space="preserve"> </w:t>
      </w:r>
      <w:r w:rsidR="009F680A">
        <w:rPr>
          <w:rFonts w:ascii="Times New Roman" w:hAnsi="Times New Roman"/>
        </w:rPr>
        <w:t xml:space="preserve"> P</w:t>
      </w:r>
      <w:r w:rsidR="009F680A" w:rsidRPr="00B25482">
        <w:rPr>
          <w:rFonts w:ascii="Times New Roman" w:hAnsi="Times New Roman"/>
        </w:rPr>
        <w:t>or lo tan</w:t>
      </w:r>
      <w:r w:rsidR="00425B2A">
        <w:rPr>
          <w:rFonts w:ascii="Times New Roman" w:hAnsi="Times New Roman"/>
        </w:rPr>
        <w:t>to, la Unidad Especial “Regula t</w:t>
      </w:r>
      <w:r w:rsidR="009F680A" w:rsidRPr="00B25482">
        <w:rPr>
          <w:rFonts w:ascii="Times New Roman" w:hAnsi="Times New Roman"/>
        </w:rPr>
        <w:t>u Barrio”</w:t>
      </w:r>
      <w:r w:rsidR="009F680A">
        <w:rPr>
          <w:rFonts w:ascii="Times New Roman" w:hAnsi="Times New Roman"/>
        </w:rPr>
        <w:t>,</w:t>
      </w:r>
      <w:r w:rsidR="009F680A" w:rsidRPr="00B25482">
        <w:rPr>
          <w:rFonts w:ascii="Times New Roman" w:hAnsi="Times New Roman"/>
        </w:rPr>
        <w:t xml:space="preserve"> realizó el proceso de regularización y sustitu</w:t>
      </w:r>
      <w:r w:rsidR="009F680A">
        <w:rPr>
          <w:rFonts w:ascii="Times New Roman" w:hAnsi="Times New Roman"/>
        </w:rPr>
        <w:t>ción</w:t>
      </w:r>
      <w:r w:rsidR="009F680A" w:rsidRPr="00B25482">
        <w:rPr>
          <w:rFonts w:ascii="Times New Roman" w:hAnsi="Times New Roman"/>
        </w:rPr>
        <w:t xml:space="preserve"> </w:t>
      </w:r>
      <w:r w:rsidR="009F680A">
        <w:rPr>
          <w:rFonts w:ascii="Times New Roman" w:hAnsi="Times New Roman"/>
        </w:rPr>
        <w:t xml:space="preserve">de </w:t>
      </w:r>
      <w:r w:rsidR="009F680A" w:rsidRPr="00B25482">
        <w:rPr>
          <w:rFonts w:ascii="Times New Roman" w:hAnsi="Times New Roman"/>
        </w:rPr>
        <w:t>dicha Ordenanza, a fin de permitir que los legítimos copropietarios cuenten con el título de dominio que garantice el ejercicio del derecho a la vivienda, adecuada y digna, conforme lo prevé la Constitución del Ecuador.</w:t>
      </w:r>
    </w:p>
    <w:p w14:paraId="1370DF4F" w14:textId="77777777" w:rsidR="009F680A" w:rsidRDefault="009F680A" w:rsidP="009F680A">
      <w:pPr>
        <w:pStyle w:val="Cuadrculamedia2"/>
        <w:spacing w:line="276" w:lineRule="auto"/>
        <w:jc w:val="both"/>
        <w:rPr>
          <w:rFonts w:ascii="Times New Roman" w:hAnsi="Times New Roman"/>
        </w:rPr>
      </w:pPr>
    </w:p>
    <w:p w14:paraId="6C338288" w14:textId="77777777" w:rsidR="00754F12" w:rsidRPr="009F680A" w:rsidRDefault="00754F12" w:rsidP="009F680A">
      <w:pPr>
        <w:pStyle w:val="Cuadrculamedia2"/>
        <w:spacing w:line="276" w:lineRule="auto"/>
        <w:jc w:val="both"/>
        <w:rPr>
          <w:rFonts w:ascii="Times New Roman" w:hAnsi="Times New Roman"/>
        </w:rPr>
      </w:pPr>
      <w:r w:rsidRPr="009F680A">
        <w:rPr>
          <w:rFonts w:ascii="Times New Roman" w:hAnsi="Times New Roman"/>
        </w:rPr>
        <w:t xml:space="preserve">En este sentido, la presente ordenanza </w:t>
      </w:r>
      <w:r w:rsidR="00425B2A">
        <w:rPr>
          <w:rFonts w:ascii="Times New Roman" w:hAnsi="Times New Roman"/>
        </w:rPr>
        <w:t xml:space="preserve">sustitutiva </w:t>
      </w:r>
      <w:r w:rsidRPr="009F680A">
        <w:rPr>
          <w:rFonts w:ascii="Times New Roman" w:hAnsi="Times New Roman"/>
        </w:rPr>
        <w:t xml:space="preserve">contiene la normativa </w:t>
      </w:r>
      <w:r w:rsidR="003B7877" w:rsidRPr="009F680A">
        <w:rPr>
          <w:rFonts w:ascii="Times New Roman" w:hAnsi="Times New Roman"/>
        </w:rPr>
        <w:t>tendiente al fraccionamiento de los</w:t>
      </w:r>
      <w:r w:rsidRPr="009F680A">
        <w:rPr>
          <w:rFonts w:ascii="Times New Roman" w:hAnsi="Times New Roman"/>
        </w:rPr>
        <w:t xml:space="preserve"> predi</w:t>
      </w:r>
      <w:r w:rsidR="002164EC" w:rsidRPr="009F680A">
        <w:rPr>
          <w:rFonts w:ascii="Times New Roman" w:hAnsi="Times New Roman"/>
        </w:rPr>
        <w:t>o</w:t>
      </w:r>
      <w:r w:rsidR="003B7877" w:rsidRPr="009F680A">
        <w:rPr>
          <w:rFonts w:ascii="Times New Roman" w:hAnsi="Times New Roman"/>
        </w:rPr>
        <w:t>s sobre los</w:t>
      </w:r>
      <w:r w:rsidR="002164EC" w:rsidRPr="009F680A">
        <w:rPr>
          <w:rFonts w:ascii="Times New Roman" w:hAnsi="Times New Roman"/>
        </w:rPr>
        <w:t xml:space="preserve"> que se encuentra el asentamiento humano de hecho y c</w:t>
      </w:r>
      <w:r w:rsidRPr="009F680A">
        <w:rPr>
          <w:rFonts w:ascii="Times New Roman" w:hAnsi="Times New Roman"/>
        </w:rPr>
        <w:t>onsolid</w:t>
      </w:r>
      <w:r w:rsidR="002164EC" w:rsidRPr="009F680A">
        <w:rPr>
          <w:rFonts w:ascii="Times New Roman" w:hAnsi="Times New Roman"/>
        </w:rPr>
        <w:t>ado de interés s</w:t>
      </w:r>
      <w:r w:rsidRPr="009F680A">
        <w:rPr>
          <w:rFonts w:ascii="Times New Roman" w:hAnsi="Times New Roman"/>
        </w:rPr>
        <w:t>ocial denominado “</w:t>
      </w:r>
      <w:r w:rsidR="003B7877" w:rsidRPr="009F680A">
        <w:rPr>
          <w:rFonts w:ascii="Times New Roman" w:hAnsi="Times New Roman"/>
        </w:rPr>
        <w:t>El Blanqueado La Balvina</w:t>
      </w:r>
      <w:r w:rsidRPr="009F680A">
        <w:rPr>
          <w:rFonts w:ascii="Times New Roman" w:hAnsi="Times New Roman"/>
        </w:rPr>
        <w:t>”,  a fin de garantizar a los beneficiarios el ejercicio de su derecho a la vivienda y el acceso a servicios básicos de calidad.</w:t>
      </w:r>
    </w:p>
    <w:p w14:paraId="0F239B63" w14:textId="77777777" w:rsidR="002B31AE" w:rsidRPr="0072591E" w:rsidRDefault="002B31AE" w:rsidP="00754F12">
      <w:pPr>
        <w:spacing w:after="240" w:line="276" w:lineRule="auto"/>
        <w:jc w:val="both"/>
        <w:rPr>
          <w:sz w:val="22"/>
          <w:szCs w:val="22"/>
        </w:rPr>
        <w:sectPr w:rsidR="002B31AE" w:rsidRPr="0072591E" w:rsidSect="002B31AE">
          <w:headerReference w:type="even" r:id="rId10"/>
          <w:headerReference w:type="default" r:id="rId11"/>
          <w:footerReference w:type="even" r:id="rId12"/>
          <w:footerReference w:type="default" r:id="rId13"/>
          <w:headerReference w:type="first" r:id="rId14"/>
          <w:footerReference w:type="first" r:id="rId15"/>
          <w:pgSz w:w="11906" w:h="16838"/>
          <w:pgMar w:top="3402" w:right="1416" w:bottom="567" w:left="1701" w:header="709" w:footer="70" w:gutter="0"/>
          <w:cols w:space="708"/>
          <w:docGrid w:linePitch="360"/>
        </w:sectPr>
      </w:pPr>
    </w:p>
    <w:p w14:paraId="640CE1BB" w14:textId="77777777" w:rsidR="00754F12" w:rsidRPr="0072591E" w:rsidRDefault="00754F12" w:rsidP="002B31AE">
      <w:pPr>
        <w:spacing w:after="240" w:line="276" w:lineRule="auto"/>
        <w:jc w:val="center"/>
        <w:rPr>
          <w:b/>
          <w:sz w:val="22"/>
          <w:szCs w:val="22"/>
        </w:rPr>
      </w:pPr>
      <w:r w:rsidRPr="0072591E">
        <w:rPr>
          <w:b/>
          <w:sz w:val="22"/>
          <w:szCs w:val="22"/>
        </w:rPr>
        <w:t>EL CONCEJO METROPOLITANO DE QUITO</w:t>
      </w:r>
    </w:p>
    <w:p w14:paraId="5D3CA8AF" w14:textId="77777777" w:rsidR="002B31AE" w:rsidRDefault="002B31AE" w:rsidP="002B31AE">
      <w:pPr>
        <w:jc w:val="both"/>
        <w:rPr>
          <w:sz w:val="22"/>
          <w:szCs w:val="22"/>
        </w:rPr>
      </w:pPr>
      <w:r w:rsidRPr="0072591E">
        <w:rPr>
          <w:sz w:val="22"/>
          <w:szCs w:val="22"/>
        </w:rPr>
        <w:t xml:space="preserve">Visto el Informe </w:t>
      </w:r>
      <w:r w:rsidRPr="006E685D">
        <w:rPr>
          <w:sz w:val="22"/>
          <w:szCs w:val="22"/>
        </w:rPr>
        <w:t>No. XX de fecha XX de XX de XX</w:t>
      </w:r>
      <w:r w:rsidRPr="0072591E">
        <w:rPr>
          <w:sz w:val="22"/>
          <w:szCs w:val="22"/>
        </w:rPr>
        <w:t xml:space="preserve"> de la Comisión de Ordenamiento Territorial.</w:t>
      </w:r>
    </w:p>
    <w:p w14:paraId="7B203509" w14:textId="77777777" w:rsidR="00BB05EC" w:rsidRDefault="00BB05EC" w:rsidP="002B31AE">
      <w:pPr>
        <w:jc w:val="both"/>
        <w:rPr>
          <w:sz w:val="22"/>
          <w:szCs w:val="22"/>
        </w:rPr>
      </w:pPr>
    </w:p>
    <w:p w14:paraId="1D9F96F4" w14:textId="77777777" w:rsidR="00BB05EC" w:rsidRPr="0072591E" w:rsidRDefault="006E685D" w:rsidP="002B31AE">
      <w:pPr>
        <w:jc w:val="both"/>
        <w:rPr>
          <w:color w:val="FF0000"/>
          <w:sz w:val="22"/>
          <w:szCs w:val="22"/>
        </w:rPr>
      </w:pPr>
      <w:r>
        <w:rPr>
          <w:rStyle w:val="Refdecomentario"/>
        </w:rPr>
        <w:commentReference w:id="1"/>
      </w:r>
    </w:p>
    <w:p w14:paraId="0E6ECBB6" w14:textId="77777777" w:rsidR="00754F12" w:rsidRPr="0072591E" w:rsidRDefault="00754F12" w:rsidP="00754F12">
      <w:pPr>
        <w:pStyle w:val="Ttulo1"/>
        <w:jc w:val="center"/>
        <w:rPr>
          <w:rFonts w:ascii="Times New Roman" w:hAnsi="Times New Roman"/>
          <w:color w:val="auto"/>
          <w:sz w:val="22"/>
          <w:szCs w:val="22"/>
        </w:rPr>
      </w:pPr>
      <w:r w:rsidRPr="0072591E">
        <w:rPr>
          <w:rFonts w:ascii="Times New Roman" w:hAnsi="Times New Roman"/>
          <w:color w:val="auto"/>
          <w:sz w:val="22"/>
          <w:szCs w:val="22"/>
        </w:rPr>
        <w:t>CONSIDERANDO:</w:t>
      </w:r>
    </w:p>
    <w:p w14:paraId="4B89BA04" w14:textId="77777777" w:rsidR="00754F12" w:rsidRPr="0072591E" w:rsidRDefault="00754F12" w:rsidP="00754F12">
      <w:pPr>
        <w:rPr>
          <w:sz w:val="22"/>
          <w:szCs w:val="22"/>
        </w:rPr>
      </w:pPr>
    </w:p>
    <w:p w14:paraId="7DB20E6E" w14:textId="77777777" w:rsidR="00754F12" w:rsidRPr="0072591E" w:rsidRDefault="00754F12" w:rsidP="00754F12">
      <w:pPr>
        <w:pStyle w:val="Cuadrculamedia2"/>
        <w:spacing w:after="240" w:line="276" w:lineRule="auto"/>
        <w:ind w:left="709" w:hanging="709"/>
        <w:jc w:val="both"/>
        <w:rPr>
          <w:rFonts w:ascii="Times New Roman" w:hAnsi="Times New Roman"/>
        </w:rPr>
      </w:pPr>
      <w:r w:rsidRPr="0072591E">
        <w:rPr>
          <w:rFonts w:ascii="Times New Roman" w:hAnsi="Times New Roman"/>
          <w:b/>
        </w:rPr>
        <w:t xml:space="preserve">Que, </w:t>
      </w:r>
      <w:r w:rsidRPr="0072591E">
        <w:rPr>
          <w:rFonts w:ascii="Times New Roman" w:hAnsi="Times New Roman"/>
          <w:b/>
        </w:rPr>
        <w:tab/>
      </w:r>
      <w:r w:rsidRPr="0072591E">
        <w:rPr>
          <w:rFonts w:ascii="Times New Roman" w:hAnsi="Times New Roman"/>
        </w:rPr>
        <w:t>el artículo 30 de la Constitución de la República del Ecuador (en adelante “Constitución”) establece que: “</w:t>
      </w:r>
      <w:r w:rsidRPr="0072591E">
        <w:rPr>
          <w:rFonts w:ascii="Times New Roman" w:hAnsi="Times New Roman"/>
          <w:i/>
        </w:rPr>
        <w:t>Las personas tienen derecho a un hábitat seguro y saludable, y a una vivienda adecuada y digna, con independencia de su situación social y económica.</w:t>
      </w:r>
      <w:r w:rsidRPr="0072591E">
        <w:rPr>
          <w:rFonts w:ascii="Times New Roman" w:hAnsi="Times New Roman"/>
        </w:rPr>
        <w:t>”;</w:t>
      </w:r>
    </w:p>
    <w:p w14:paraId="32E09024" w14:textId="77777777" w:rsidR="00754F12" w:rsidRPr="0072591E" w:rsidRDefault="00754F12" w:rsidP="00754F12">
      <w:pPr>
        <w:pStyle w:val="Cuadrculamedia2"/>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el artículo 31 de la Constitución expresa que: “</w:t>
      </w:r>
      <w:r w:rsidRPr="0072591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72591E">
        <w:rPr>
          <w:rFonts w:ascii="Times New Roman" w:hAnsi="Times New Roman"/>
          <w:bCs/>
        </w:rPr>
        <w:t xml:space="preserve">”; </w:t>
      </w:r>
    </w:p>
    <w:p w14:paraId="6C068A6B" w14:textId="77777777" w:rsidR="00754F12" w:rsidRPr="0072591E" w:rsidRDefault="00754F12" w:rsidP="00754F12">
      <w:pPr>
        <w:pStyle w:val="Cuadrculamedia2"/>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rPr>
        <w:t>el artículo 240 de la Constitución establece que: “</w:t>
      </w:r>
      <w:r w:rsidRPr="0072591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72591E">
        <w:rPr>
          <w:rFonts w:ascii="Times New Roman" w:hAnsi="Times New Roman"/>
        </w:rPr>
        <w:t>”;</w:t>
      </w:r>
    </w:p>
    <w:p w14:paraId="51F926CD" w14:textId="77777777" w:rsidR="00754F12" w:rsidRPr="0072591E" w:rsidRDefault="00754F12" w:rsidP="00754F12">
      <w:pPr>
        <w:pStyle w:val="Cuadrculamedia2"/>
        <w:spacing w:after="240" w:line="276" w:lineRule="auto"/>
        <w:ind w:left="709" w:hanging="709"/>
        <w:jc w:val="both"/>
        <w:rPr>
          <w:rFonts w:ascii="Times New Roman" w:hAnsi="Times New Roman"/>
          <w:i/>
        </w:rPr>
      </w:pPr>
      <w:r w:rsidRPr="0072591E">
        <w:rPr>
          <w:rFonts w:ascii="Times New Roman" w:hAnsi="Times New Roman"/>
          <w:b/>
        </w:rPr>
        <w:t>Que,</w:t>
      </w:r>
      <w:r w:rsidRPr="0072591E">
        <w:rPr>
          <w:rFonts w:ascii="Times New Roman" w:hAnsi="Times New Roman"/>
        </w:rPr>
        <w:tab/>
        <w:t>el artículo 266 de la Constitución establece que</w:t>
      </w:r>
      <w:r w:rsidRPr="0072591E">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E527118" w14:textId="77777777" w:rsidR="00754F12" w:rsidRPr="0072591E" w:rsidRDefault="00754F12" w:rsidP="00754F12">
      <w:pPr>
        <w:pStyle w:val="Cuadrculamedia2"/>
        <w:spacing w:after="240" w:line="276" w:lineRule="auto"/>
        <w:ind w:left="709" w:hanging="1"/>
        <w:jc w:val="both"/>
        <w:rPr>
          <w:rFonts w:ascii="Times New Roman" w:hAnsi="Times New Roman"/>
        </w:rPr>
      </w:pPr>
      <w:r w:rsidRPr="0072591E">
        <w:rPr>
          <w:rFonts w:ascii="Times New Roman" w:hAnsi="Times New Roman"/>
          <w:i/>
        </w:rPr>
        <w:t>En el ámbito de sus competencias y territorio, y en uso de sus facultades, expedirán ordenanzas distritales.”</w:t>
      </w:r>
    </w:p>
    <w:p w14:paraId="1BC991C5" w14:textId="77777777" w:rsidR="00754F12" w:rsidRPr="0072591E" w:rsidRDefault="00754F12" w:rsidP="00754F12">
      <w:pPr>
        <w:pStyle w:val="Cuadrculamedia2"/>
        <w:spacing w:after="240" w:line="276" w:lineRule="auto"/>
        <w:ind w:left="709" w:hanging="709"/>
        <w:jc w:val="both"/>
        <w:rPr>
          <w:rFonts w:ascii="Times New Roman" w:hAnsi="Times New Roman"/>
          <w:i/>
        </w:rPr>
      </w:pPr>
      <w:r w:rsidRPr="0072591E">
        <w:rPr>
          <w:rFonts w:ascii="Times New Roman" w:hAnsi="Times New Roman"/>
          <w:b/>
          <w:bCs/>
        </w:rPr>
        <w:t>Que,</w:t>
      </w:r>
      <w:r w:rsidRPr="0072591E">
        <w:rPr>
          <w:rFonts w:ascii="Times New Roman" w:hAnsi="Times New Roman"/>
        </w:rPr>
        <w:tab/>
      </w:r>
      <w:r w:rsidRPr="0072591E">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72591E">
        <w:rPr>
          <w:rFonts w:ascii="Times New Roman" w:hAnsi="Times New Roman"/>
          <w:bCs/>
          <w:i/>
        </w:rPr>
        <w:t>“</w:t>
      </w:r>
      <w:r w:rsidRPr="0072591E">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EE9E332" w14:textId="77777777" w:rsidR="00754F12" w:rsidRPr="0072591E" w:rsidRDefault="00754F12" w:rsidP="00754F12">
      <w:pPr>
        <w:pStyle w:val="Cuadrculamedia2"/>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los literales a), y x) d</w:t>
      </w:r>
      <w:r w:rsidRPr="0072591E">
        <w:rPr>
          <w:rFonts w:ascii="Times New Roman" w:hAnsi="Times New Roman"/>
        </w:rPr>
        <w:t xml:space="preserve">el artículo 87 del COOTAD, establece que las funciones del Concejo Metropolitano, entre otras, son: </w:t>
      </w:r>
      <w:r w:rsidRPr="0072591E">
        <w:rPr>
          <w:rFonts w:ascii="Times New Roman" w:hAnsi="Times New Roman"/>
          <w:i/>
          <w:iCs/>
        </w:rPr>
        <w:t>“</w:t>
      </w:r>
      <w:r w:rsidRPr="0072591E">
        <w:rPr>
          <w:rFonts w:ascii="Times New Roman" w:hAnsi="Times New Roman"/>
          <w:i/>
        </w:rPr>
        <w:t>a) Ejercer la facultad normativa en las materias de competencia del gobierno autónomo descentralizado metropolitano, mediante la expedición de ordenanzas metropolitanas, acuerdos y resoluciones;</w:t>
      </w:r>
      <w:r w:rsidRPr="0072591E">
        <w:rPr>
          <w:rFonts w:ascii="Times New Roman" w:hAnsi="Times New Roman"/>
          <w:i/>
          <w:iCs/>
        </w:rPr>
        <w:t xml:space="preserve"> (…) x) </w:t>
      </w:r>
      <w:r w:rsidRPr="0072591E">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72591E">
        <w:rPr>
          <w:rFonts w:ascii="Times New Roman" w:hAnsi="Times New Roman"/>
          <w:i/>
          <w:iCs/>
        </w:rPr>
        <w:t xml:space="preserve">;  </w:t>
      </w:r>
    </w:p>
    <w:p w14:paraId="0DBDCA96" w14:textId="77777777" w:rsidR="00754F12" w:rsidRPr="0072591E" w:rsidRDefault="00754F12" w:rsidP="00754F12">
      <w:pPr>
        <w:pStyle w:val="Cuadrculamedia2"/>
        <w:spacing w:after="240" w:line="276" w:lineRule="auto"/>
        <w:ind w:left="709" w:hanging="709"/>
        <w:jc w:val="both"/>
        <w:rPr>
          <w:rFonts w:ascii="Times New Roman" w:hAnsi="Times New Roman"/>
        </w:rPr>
      </w:pPr>
      <w:r w:rsidRPr="0072591E">
        <w:rPr>
          <w:rFonts w:ascii="Times New Roman" w:hAnsi="Times New Roman"/>
          <w:b/>
          <w:bCs/>
        </w:rPr>
        <w:t xml:space="preserve">Que,  </w:t>
      </w:r>
      <w:r w:rsidRPr="0072591E">
        <w:rPr>
          <w:rFonts w:ascii="Times New Roman" w:hAnsi="Times New Roman"/>
        </w:rPr>
        <w:t>el artículo 322 del COOTAD establece el procedimiento para la aprobación de las ordenanzas municipales;</w:t>
      </w:r>
    </w:p>
    <w:p w14:paraId="451192AA" w14:textId="77777777" w:rsidR="00754F12" w:rsidRPr="0072591E" w:rsidRDefault="00754F12" w:rsidP="00754F12">
      <w:pPr>
        <w:pStyle w:val="Cuadrculamedia2"/>
        <w:spacing w:after="240" w:line="276" w:lineRule="auto"/>
        <w:ind w:left="709" w:hanging="709"/>
        <w:jc w:val="both"/>
        <w:rPr>
          <w:rFonts w:ascii="Times New Roman" w:hAnsi="Times New Roman"/>
          <w:b/>
          <w:bCs/>
        </w:rPr>
      </w:pPr>
      <w:r w:rsidRPr="0072591E">
        <w:rPr>
          <w:rFonts w:ascii="Times New Roman" w:hAnsi="Times New Roman"/>
          <w:b/>
          <w:bCs/>
        </w:rPr>
        <w:t xml:space="preserve">Que,    </w:t>
      </w:r>
      <w:r w:rsidRPr="0072591E">
        <w:rPr>
          <w:rFonts w:ascii="Times New Roman" w:hAnsi="Times New Roman"/>
          <w:bCs/>
        </w:rPr>
        <w:t>el artículo 486 del COOTAD reformado establece que: “</w:t>
      </w:r>
      <w:r w:rsidRPr="0072591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72591E">
        <w:rPr>
          <w:rFonts w:ascii="Times New Roman" w:hAnsi="Times New Roman"/>
          <w:bCs/>
          <w:lang w:val="es-ES_tradnl"/>
        </w:rPr>
        <w:t>”</w:t>
      </w:r>
      <w:r w:rsidRPr="0072591E">
        <w:rPr>
          <w:rFonts w:ascii="Times New Roman" w:hAnsi="Times New Roman"/>
          <w:bCs/>
        </w:rPr>
        <w:t>;</w:t>
      </w:r>
    </w:p>
    <w:p w14:paraId="4E346A1C" w14:textId="77777777" w:rsidR="00754F12" w:rsidRPr="0072591E" w:rsidRDefault="00754F12" w:rsidP="00754F12">
      <w:pPr>
        <w:pStyle w:val="Cuadrculamedia2"/>
        <w:spacing w:before="240"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la Disposición Transitoria Décima Cuarta del COOTAD, señala: “</w:t>
      </w:r>
      <w:r w:rsidRPr="0072591E">
        <w:rPr>
          <w:rFonts w:ascii="Times New Roman" w:hAnsi="Times New Roman"/>
          <w:bCs/>
          <w:i/>
        </w:rPr>
        <w:t xml:space="preserve">(…) </w:t>
      </w:r>
      <w:r w:rsidRPr="0072591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72591E">
        <w:rPr>
          <w:rFonts w:ascii="Times New Roman" w:hAnsi="Times New Roman"/>
        </w:rPr>
        <w:t>.”;</w:t>
      </w:r>
    </w:p>
    <w:p w14:paraId="4BD792A8" w14:textId="77777777" w:rsidR="00754F12" w:rsidRPr="0072591E" w:rsidRDefault="00754F12" w:rsidP="00754F12">
      <w:pPr>
        <w:pStyle w:val="Cuadrculamedia2"/>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82212BF" w14:textId="77777777" w:rsidR="00754F12" w:rsidRPr="0072591E" w:rsidRDefault="00754F12" w:rsidP="00754F12">
      <w:pPr>
        <w:pStyle w:val="Cuadrculamedia2"/>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E35E973" w14:textId="77777777" w:rsidR="00754F12" w:rsidRPr="0072591E" w:rsidRDefault="00754F12" w:rsidP="00754F12">
      <w:pPr>
        <w:pStyle w:val="Cuadrculamedia2"/>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549C63B" w14:textId="77777777" w:rsidR="00754F12" w:rsidRPr="0072591E" w:rsidRDefault="00754F12" w:rsidP="00754F12">
      <w:pPr>
        <w:spacing w:after="240" w:line="276" w:lineRule="auto"/>
        <w:ind w:left="705" w:hanging="705"/>
        <w:jc w:val="both"/>
        <w:rPr>
          <w:bCs/>
          <w:sz w:val="22"/>
          <w:szCs w:val="22"/>
        </w:rPr>
      </w:pPr>
      <w:r w:rsidRPr="0072591E">
        <w:rPr>
          <w:b/>
          <w:bCs/>
          <w:sz w:val="22"/>
          <w:szCs w:val="22"/>
        </w:rPr>
        <w:t xml:space="preserve">Que,   </w:t>
      </w:r>
      <w:r w:rsidRPr="0072591E">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6A469D06" w14:textId="77777777" w:rsidR="00754F12" w:rsidRPr="0072591E" w:rsidRDefault="00754F12" w:rsidP="00754F12">
      <w:pPr>
        <w:pStyle w:val="Textoindependienteprimerasangra2"/>
        <w:ind w:left="709" w:hanging="709"/>
        <w:jc w:val="both"/>
        <w:rPr>
          <w:bCs/>
          <w:sz w:val="22"/>
          <w:szCs w:val="22"/>
        </w:rPr>
      </w:pPr>
      <w:r w:rsidRPr="0072591E">
        <w:rPr>
          <w:b/>
          <w:bCs/>
          <w:sz w:val="22"/>
          <w:szCs w:val="22"/>
        </w:rPr>
        <w:t xml:space="preserve">Que,  </w:t>
      </w:r>
      <w:r w:rsidRPr="0072591E">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3202D5FC" w14:textId="77777777" w:rsidR="00754F12" w:rsidRPr="0072591E" w:rsidRDefault="00754F12" w:rsidP="00754F12">
      <w:pPr>
        <w:pStyle w:val="Textoindependienteprimerasangra2"/>
        <w:ind w:left="709" w:hanging="709"/>
        <w:jc w:val="both"/>
        <w:rPr>
          <w:bCs/>
          <w:sz w:val="22"/>
          <w:szCs w:val="22"/>
        </w:rPr>
      </w:pPr>
    </w:p>
    <w:p w14:paraId="31D7E01E" w14:textId="77777777" w:rsidR="00754F12" w:rsidRDefault="00754F12" w:rsidP="00754F12">
      <w:pPr>
        <w:pStyle w:val="Textoindependienteprimerasangra2"/>
        <w:ind w:left="709" w:hanging="709"/>
        <w:jc w:val="both"/>
        <w:rPr>
          <w:bCs/>
          <w:sz w:val="22"/>
          <w:szCs w:val="22"/>
        </w:rPr>
      </w:pPr>
      <w:r w:rsidRPr="0072591E">
        <w:rPr>
          <w:b/>
          <w:bCs/>
          <w:sz w:val="22"/>
          <w:szCs w:val="22"/>
        </w:rPr>
        <w:t xml:space="preserve">Que,  </w:t>
      </w:r>
      <w:r w:rsidR="00DF4E22" w:rsidRPr="0072591E">
        <w:rPr>
          <w:b/>
          <w:bCs/>
          <w:sz w:val="22"/>
          <w:szCs w:val="22"/>
        </w:rPr>
        <w:t xml:space="preserve">  </w:t>
      </w:r>
      <w:r w:rsidRPr="0072591E">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41BDA1E2" w14:textId="77777777" w:rsidR="003B7877" w:rsidRPr="0072591E" w:rsidRDefault="003B7877" w:rsidP="00754F12">
      <w:pPr>
        <w:pStyle w:val="Textoindependienteprimerasangra2"/>
        <w:ind w:left="709" w:hanging="709"/>
        <w:jc w:val="both"/>
        <w:rPr>
          <w:bCs/>
          <w:sz w:val="22"/>
          <w:szCs w:val="22"/>
        </w:rPr>
      </w:pPr>
    </w:p>
    <w:p w14:paraId="22F843C7" w14:textId="77777777" w:rsidR="00754F12" w:rsidRPr="0072591E" w:rsidRDefault="00754F12" w:rsidP="00754F12">
      <w:pPr>
        <w:spacing w:after="240" w:line="276" w:lineRule="auto"/>
        <w:ind w:left="705" w:hanging="705"/>
        <w:jc w:val="both"/>
        <w:rPr>
          <w:b/>
          <w:bCs/>
          <w:i/>
          <w:sz w:val="22"/>
          <w:szCs w:val="22"/>
        </w:rPr>
      </w:pPr>
      <w:r w:rsidRPr="0072591E">
        <w:rPr>
          <w:b/>
          <w:bCs/>
          <w:sz w:val="22"/>
          <w:szCs w:val="22"/>
        </w:rPr>
        <w:t>Que,</w:t>
      </w:r>
      <w:r w:rsidRPr="0072591E">
        <w:rPr>
          <w:b/>
          <w:bCs/>
          <w:sz w:val="22"/>
          <w:szCs w:val="22"/>
        </w:rPr>
        <w:tab/>
      </w:r>
      <w:r w:rsidRPr="0072591E">
        <w:rPr>
          <w:bCs/>
          <w:sz w:val="22"/>
          <w:szCs w:val="22"/>
        </w:rPr>
        <w:t>el artículo IV.7.45 de la Ordenanza No. 001 de 29 de marzo de 2019 en su parte pertinente de la excepción de las áreas verdes dispone: “</w:t>
      </w:r>
      <w:r w:rsidRPr="0072591E">
        <w:rPr>
          <w:bCs/>
          <w:i/>
          <w:sz w:val="22"/>
          <w:szCs w:val="22"/>
        </w:rPr>
        <w:t>(…) El faltante de áreas verdes será compensado pecuniariamente con excepción de los asentamientos declarados de interés social.”;</w:t>
      </w:r>
      <w:r w:rsidRPr="0072591E">
        <w:rPr>
          <w:b/>
          <w:bCs/>
          <w:i/>
          <w:sz w:val="22"/>
          <w:szCs w:val="22"/>
        </w:rPr>
        <w:t xml:space="preserve"> </w:t>
      </w:r>
    </w:p>
    <w:p w14:paraId="294CF99E" w14:textId="77777777" w:rsidR="00754F12" w:rsidRPr="0072591E" w:rsidRDefault="00754F12" w:rsidP="00754F12">
      <w:pPr>
        <w:spacing w:after="240" w:line="276" w:lineRule="auto"/>
        <w:ind w:left="705" w:hanging="705"/>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 xml:space="preserve">la Ordenanza No. 001 de 29 de marzo de 2019, determina en su disposición derogatoria lo siguiente: </w:t>
      </w:r>
      <w:r w:rsidRPr="0072591E">
        <w:rPr>
          <w:bCs/>
          <w:i/>
          <w:sz w:val="22"/>
          <w:szCs w:val="22"/>
        </w:rPr>
        <w:t>“Deróguense todas las Ordenanzas que se detallan en el cuadro adjunto (Anexo Derogatorias), con excepción de sus disposiciones de carácter transitorio hasta la verificación del efectivo cumplimiento de las mismas;</w:t>
      </w:r>
      <w:r w:rsidRPr="0072591E">
        <w:rPr>
          <w:bCs/>
          <w:i/>
          <w:sz w:val="22"/>
          <w:szCs w:val="22"/>
          <w:lang w:val="es-ES_tradnl"/>
        </w:rPr>
        <w:t xml:space="preserve"> (…)</w:t>
      </w:r>
      <w:r w:rsidRPr="0072591E">
        <w:rPr>
          <w:bCs/>
          <w:sz w:val="22"/>
          <w:szCs w:val="22"/>
          <w:lang w:val="es-ES_tradnl"/>
        </w:rPr>
        <w:t>”</w:t>
      </w:r>
      <w:r w:rsidRPr="0072591E">
        <w:rPr>
          <w:bCs/>
          <w:sz w:val="22"/>
          <w:szCs w:val="22"/>
        </w:rPr>
        <w:t>;</w:t>
      </w:r>
    </w:p>
    <w:p w14:paraId="0910F174" w14:textId="77777777" w:rsidR="00754F12" w:rsidRDefault="00754F12" w:rsidP="00754F12">
      <w:pPr>
        <w:pStyle w:val="Cuadrculamedia2"/>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Cs/>
        </w:rPr>
        <w:t xml:space="preserve">  </w:t>
      </w:r>
      <w:r w:rsidR="00DF4E22" w:rsidRPr="0072591E">
        <w:rPr>
          <w:rFonts w:ascii="Times New Roman" w:hAnsi="Times New Roman"/>
          <w:bCs/>
        </w:rPr>
        <w:t xml:space="preserve">  </w:t>
      </w:r>
      <w:r w:rsidRPr="0072591E">
        <w:rPr>
          <w:rFonts w:ascii="Times New Roman" w:hAnsi="Times New Roman"/>
          <w:bCs/>
        </w:rPr>
        <w:t>En concordancia con el considerando precedente,</w:t>
      </w:r>
      <w:r w:rsidRPr="0072591E">
        <w:rPr>
          <w:rFonts w:ascii="Times New Roman" w:hAnsi="Times New Roman"/>
          <w:b/>
          <w:bCs/>
        </w:rPr>
        <w:t xml:space="preserve"> </w:t>
      </w:r>
      <w:r w:rsidRPr="0072591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6A0B9474" w14:textId="77777777" w:rsidR="00B00E17" w:rsidRDefault="00375E80" w:rsidP="00754F12">
      <w:pPr>
        <w:pStyle w:val="Cuadrculamedia2"/>
        <w:spacing w:after="240" w:line="276" w:lineRule="auto"/>
        <w:ind w:left="709" w:hanging="709"/>
        <w:jc w:val="both"/>
        <w:rPr>
          <w:rFonts w:ascii="Times New Roman" w:hAnsi="Times New Roman"/>
        </w:rPr>
      </w:pPr>
      <w:r>
        <w:rPr>
          <w:rFonts w:ascii="Times New Roman" w:hAnsi="Times New Roman"/>
          <w:b/>
          <w:bCs/>
        </w:rPr>
        <w:t xml:space="preserve">Que, </w:t>
      </w:r>
      <w:r>
        <w:rPr>
          <w:rFonts w:ascii="Times New Roman" w:hAnsi="Times New Roman"/>
          <w:b/>
          <w:bCs/>
        </w:rPr>
        <w:tab/>
      </w:r>
      <w:r w:rsidR="00B00E17" w:rsidRPr="009F680A">
        <w:rPr>
          <w:rFonts w:ascii="Times New Roman" w:hAnsi="Times New Roman"/>
        </w:rPr>
        <w:t>mediante Ordenanza No. 004, sanciona</w:t>
      </w:r>
      <w:r w:rsidR="00B00E17">
        <w:rPr>
          <w:rFonts w:ascii="Times New Roman" w:hAnsi="Times New Roman"/>
        </w:rPr>
        <w:t>da el 8 de enero de 2011, se</w:t>
      </w:r>
      <w:r w:rsidR="00B00E17" w:rsidRPr="009F680A">
        <w:rPr>
          <w:rFonts w:ascii="Times New Roman" w:hAnsi="Times New Roman"/>
        </w:rPr>
        <w:t xml:space="preserve"> aprueba la Urbanización de Interés Social y Desarrollo Progresivo a favor de los copropietarios de los inmuebles en los que se encuentra asentado el barrio El Blanqueado La Balvina. </w:t>
      </w:r>
    </w:p>
    <w:p w14:paraId="594B1183" w14:textId="77777777" w:rsidR="00375E80" w:rsidRPr="0072591E" w:rsidRDefault="00B00E17" w:rsidP="00754F12">
      <w:pPr>
        <w:pStyle w:val="Cuadrculamedia2"/>
        <w:spacing w:after="240" w:line="276" w:lineRule="auto"/>
        <w:ind w:left="709" w:hanging="709"/>
        <w:jc w:val="both"/>
        <w:rPr>
          <w:rFonts w:ascii="Times New Roman" w:hAnsi="Times New Roman"/>
          <w:bCs/>
        </w:rPr>
      </w:pPr>
      <w:r>
        <w:rPr>
          <w:rFonts w:ascii="Times New Roman" w:hAnsi="Times New Roman"/>
          <w:b/>
          <w:bCs/>
        </w:rPr>
        <w:t xml:space="preserve">Que, </w:t>
      </w:r>
      <w:r>
        <w:rPr>
          <w:rFonts w:ascii="Times New Roman" w:hAnsi="Times New Roman"/>
          <w:b/>
          <w:bCs/>
        </w:rPr>
        <w:tab/>
      </w:r>
      <w:r w:rsidRPr="00B00E17">
        <w:rPr>
          <w:rFonts w:ascii="Times New Roman" w:hAnsi="Times New Roman"/>
          <w:bCs/>
        </w:rPr>
        <w:t>m</w:t>
      </w:r>
      <w:r w:rsidRPr="009F680A">
        <w:rPr>
          <w:rFonts w:ascii="Times New Roman" w:hAnsi="Times New Roman"/>
        </w:rPr>
        <w:t>ediante Ordenanza 0183, sancionada el 23 de febrero de 2012 y protocolizada el 09 de  abril de 2012, ante el doctor Líder Moreta Gavilanes, Notario Cuarto encargado del Cantón Quito, se expide la Ordenanza Reformatoria a la Ordenanza No. 004, sancionada el 8 de enero de 2011</w:t>
      </w:r>
      <w:r>
        <w:rPr>
          <w:rFonts w:ascii="Times New Roman" w:hAnsi="Times New Roman"/>
        </w:rPr>
        <w:t>.</w:t>
      </w:r>
    </w:p>
    <w:p w14:paraId="2FEBB398" w14:textId="77777777" w:rsidR="00754F12" w:rsidRPr="0072591E" w:rsidRDefault="00754F12" w:rsidP="00754F12">
      <w:pPr>
        <w:pStyle w:val="Cuadrculamedia2"/>
        <w:spacing w:after="240" w:line="276" w:lineRule="auto"/>
        <w:ind w:left="709" w:hanging="709"/>
        <w:jc w:val="both"/>
        <w:rPr>
          <w:rFonts w:ascii="Times New Roman" w:hAnsi="Times New Roman"/>
        </w:rPr>
      </w:pPr>
      <w:r w:rsidRPr="0072591E">
        <w:rPr>
          <w:rFonts w:ascii="Times New Roman" w:hAnsi="Times New Roman"/>
          <w:b/>
          <w:bCs/>
        </w:rPr>
        <w:t xml:space="preserve">Que, </w:t>
      </w:r>
      <w:r w:rsidRPr="0072591E">
        <w:rPr>
          <w:rFonts w:ascii="Times New Roman" w:hAnsi="Times New Roman"/>
          <w:b/>
          <w:bCs/>
        </w:rPr>
        <w:tab/>
      </w:r>
      <w:r w:rsidRPr="0072591E">
        <w:rPr>
          <w:rFonts w:ascii="Times New Roman" w:hAnsi="Times New Roman"/>
          <w:bCs/>
        </w:rPr>
        <w:t xml:space="preserve">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0055A25E" w14:textId="77777777" w:rsidR="00754F12" w:rsidRDefault="00754F12" w:rsidP="00754F12">
      <w:pPr>
        <w:spacing w:after="240" w:line="276" w:lineRule="auto"/>
        <w:ind w:left="705" w:hanging="705"/>
        <w:jc w:val="both"/>
        <w:rPr>
          <w:sz w:val="22"/>
          <w:szCs w:val="22"/>
        </w:rPr>
      </w:pPr>
      <w:r w:rsidRPr="0072591E">
        <w:rPr>
          <w:b/>
          <w:bCs/>
          <w:sz w:val="22"/>
          <w:szCs w:val="22"/>
        </w:rPr>
        <w:t>Que,</w:t>
      </w:r>
      <w:r w:rsidRPr="0072591E">
        <w:rPr>
          <w:sz w:val="22"/>
          <w:szCs w:val="22"/>
        </w:rPr>
        <w:tab/>
      </w:r>
      <w:r w:rsidRPr="0072591E">
        <w:rPr>
          <w:sz w:val="22"/>
          <w:szCs w:val="22"/>
        </w:rPr>
        <w:tab/>
        <w:t>la Mesa Institu</w:t>
      </w:r>
      <w:r w:rsidR="003B7877">
        <w:rPr>
          <w:sz w:val="22"/>
          <w:szCs w:val="22"/>
        </w:rPr>
        <w:t>cional de Trabajo, reunida el 27</w:t>
      </w:r>
      <w:r w:rsidR="00DF4E22" w:rsidRPr="0072591E">
        <w:rPr>
          <w:sz w:val="22"/>
          <w:szCs w:val="22"/>
        </w:rPr>
        <w:t xml:space="preserve"> de </w:t>
      </w:r>
      <w:r w:rsidR="003B7877">
        <w:rPr>
          <w:sz w:val="22"/>
          <w:szCs w:val="22"/>
        </w:rPr>
        <w:t>agosto</w:t>
      </w:r>
      <w:r w:rsidR="00DF4E22" w:rsidRPr="0072591E">
        <w:rPr>
          <w:sz w:val="22"/>
          <w:szCs w:val="22"/>
        </w:rPr>
        <w:t xml:space="preserve"> de 2018</w:t>
      </w:r>
      <w:r w:rsidRPr="0072591E">
        <w:rPr>
          <w:sz w:val="22"/>
          <w:szCs w:val="22"/>
        </w:rPr>
        <w:t xml:space="preserve"> en la Administración Zonal </w:t>
      </w:r>
      <w:r w:rsidR="00DF4E22" w:rsidRPr="0072591E">
        <w:rPr>
          <w:sz w:val="22"/>
          <w:szCs w:val="22"/>
        </w:rPr>
        <w:t>Quitumbe</w:t>
      </w:r>
      <w:r w:rsidRPr="0072591E">
        <w:rPr>
          <w:sz w:val="22"/>
          <w:szCs w:val="22"/>
        </w:rPr>
        <w:t xml:space="preserve">, integrada por: </w:t>
      </w:r>
      <w:r w:rsidR="00DF4E22" w:rsidRPr="0072591E">
        <w:rPr>
          <w:sz w:val="22"/>
          <w:szCs w:val="22"/>
        </w:rPr>
        <w:t xml:space="preserve">Alfonso Muñoz, Administrador Zonal Quitumbe; Lcdo. Pablo Melo O., Coordinador UERB-Q; Arq. Elizabeth Ortiz, Delegada de la Secretaría de Territorio, Hábitat y Vivienda; Arq. María Belén Cueva de la Dirección Metropolitana de Catastro, Ing. Luis Albán, Delegado de la Dirección Metropolitana de Gestión de Riesgos; </w:t>
      </w:r>
      <w:r w:rsidR="003B7877" w:rsidRPr="0072591E">
        <w:rPr>
          <w:sz w:val="22"/>
          <w:szCs w:val="22"/>
        </w:rPr>
        <w:t xml:space="preserve">Ing. </w:t>
      </w:r>
      <w:r w:rsidR="003B7877">
        <w:rPr>
          <w:sz w:val="22"/>
          <w:szCs w:val="22"/>
        </w:rPr>
        <w:t>Elizabeth Carrión, Delegada</w:t>
      </w:r>
      <w:r w:rsidR="003B7877" w:rsidRPr="0072591E">
        <w:rPr>
          <w:sz w:val="22"/>
          <w:szCs w:val="22"/>
        </w:rPr>
        <w:t xml:space="preserve"> de la Dirección Metropolitana de Gestión de Riesgos; </w:t>
      </w:r>
      <w:r w:rsidR="003B7877">
        <w:rPr>
          <w:sz w:val="22"/>
          <w:szCs w:val="22"/>
        </w:rPr>
        <w:t>Ing. Santiago Manosalvas</w:t>
      </w:r>
      <w:r w:rsidR="00DF4E22" w:rsidRPr="0072591E">
        <w:rPr>
          <w:sz w:val="22"/>
          <w:szCs w:val="22"/>
        </w:rPr>
        <w:t>, Dirección de Gestión de Territorio</w:t>
      </w:r>
      <w:r w:rsidR="003B7877">
        <w:rPr>
          <w:sz w:val="22"/>
          <w:szCs w:val="22"/>
        </w:rPr>
        <w:t xml:space="preserve"> Delegado</w:t>
      </w:r>
      <w:r w:rsidR="00DF4E22" w:rsidRPr="0072591E">
        <w:rPr>
          <w:sz w:val="22"/>
          <w:szCs w:val="22"/>
        </w:rPr>
        <w:t>; Abg. Ángel Viteri, Dirección de Asesoría Jurídica Zonal Quitumbe; Arq. Miguel Hidalgo, Responsable Técnico; Abg. Sofía Reyna, Responsable Legal; Lcda. Gianyna Rosero, Responsable Socio-Organizativa, de la Unidad Especial Regula Tu Barrio Quitumbe</w:t>
      </w:r>
      <w:r w:rsidRPr="0072591E">
        <w:rPr>
          <w:sz w:val="22"/>
          <w:szCs w:val="22"/>
        </w:rPr>
        <w:t xml:space="preserve">; aprobaron  el Informe Socio Organizativo </w:t>
      </w:r>
      <w:r w:rsidR="00376A31">
        <w:rPr>
          <w:sz w:val="22"/>
          <w:szCs w:val="22"/>
        </w:rPr>
        <w:t>Legal y Técnico Nº 002-UERB-Q-SOLT-2018, de 20</w:t>
      </w:r>
      <w:r w:rsidRPr="0072591E">
        <w:rPr>
          <w:sz w:val="22"/>
          <w:szCs w:val="22"/>
        </w:rPr>
        <w:t xml:space="preserve"> de </w:t>
      </w:r>
      <w:r w:rsidR="00376A31">
        <w:rPr>
          <w:sz w:val="22"/>
          <w:szCs w:val="22"/>
        </w:rPr>
        <w:t>agosto</w:t>
      </w:r>
      <w:r w:rsidR="00E564E2" w:rsidRPr="0072591E">
        <w:rPr>
          <w:sz w:val="22"/>
          <w:szCs w:val="22"/>
        </w:rPr>
        <w:t xml:space="preserve"> de 2018</w:t>
      </w:r>
      <w:r w:rsidRPr="0072591E">
        <w:rPr>
          <w:sz w:val="22"/>
          <w:szCs w:val="22"/>
        </w:rPr>
        <w:t xml:space="preserve">, habilitante de la Ordenanza de Reconocimiento del Asentamiento Humano de Hecho y Consolidado de </w:t>
      </w:r>
      <w:r w:rsidRPr="001E1F03">
        <w:rPr>
          <w:sz w:val="22"/>
          <w:szCs w:val="22"/>
        </w:rPr>
        <w:t>Interés Social, denominado: “</w:t>
      </w:r>
      <w:r w:rsidR="00BB6FF6">
        <w:rPr>
          <w:sz w:val="22"/>
          <w:szCs w:val="22"/>
        </w:rPr>
        <w:t>El Blanqueado La Balvina</w:t>
      </w:r>
      <w:r w:rsidRPr="001E1F03">
        <w:rPr>
          <w:sz w:val="22"/>
          <w:szCs w:val="22"/>
        </w:rPr>
        <w:t>”,  a favor de sus copropietarios.</w:t>
      </w:r>
    </w:p>
    <w:p w14:paraId="7042A2F2" w14:textId="77777777" w:rsidR="0010148D" w:rsidRPr="001E1F03" w:rsidRDefault="00754F12" w:rsidP="006E685D">
      <w:pPr>
        <w:tabs>
          <w:tab w:val="left" w:pos="709"/>
        </w:tabs>
        <w:spacing w:after="240" w:line="276" w:lineRule="auto"/>
        <w:ind w:left="700" w:hanging="700"/>
        <w:jc w:val="both"/>
        <w:rPr>
          <w:sz w:val="22"/>
          <w:szCs w:val="22"/>
        </w:rPr>
      </w:pPr>
      <w:r w:rsidRPr="001E1F03">
        <w:rPr>
          <w:b/>
          <w:bCs/>
          <w:sz w:val="22"/>
          <w:szCs w:val="22"/>
        </w:rPr>
        <w:t xml:space="preserve">Que, </w:t>
      </w:r>
      <w:r w:rsidRPr="001E1F03">
        <w:rPr>
          <w:b/>
          <w:bCs/>
          <w:sz w:val="22"/>
          <w:szCs w:val="22"/>
        </w:rPr>
        <w:tab/>
      </w:r>
      <w:r w:rsidRPr="001E1F03">
        <w:rPr>
          <w:sz w:val="22"/>
          <w:szCs w:val="22"/>
        </w:rPr>
        <w:t xml:space="preserve">el informe de la Dirección Metropolitana de Gestión de </w:t>
      </w:r>
      <w:r w:rsidRPr="001E1F03">
        <w:rPr>
          <w:color w:val="000000"/>
          <w:sz w:val="22"/>
          <w:szCs w:val="22"/>
          <w:shd w:val="clear" w:color="auto" w:fill="FFFFFF"/>
        </w:rPr>
        <w:t xml:space="preserve">Riesgos </w:t>
      </w:r>
      <w:r w:rsidRPr="003A02D8">
        <w:rPr>
          <w:color w:val="000000"/>
          <w:sz w:val="22"/>
          <w:szCs w:val="22"/>
        </w:rPr>
        <w:t xml:space="preserve">No. </w:t>
      </w:r>
      <w:r w:rsidR="00BB6FF6" w:rsidRPr="003A02D8">
        <w:rPr>
          <w:color w:val="000000"/>
          <w:sz w:val="22"/>
          <w:szCs w:val="22"/>
        </w:rPr>
        <w:t>103</w:t>
      </w:r>
      <w:r w:rsidR="0010148D" w:rsidRPr="003A02D8">
        <w:rPr>
          <w:color w:val="000000"/>
          <w:sz w:val="22"/>
          <w:szCs w:val="22"/>
        </w:rPr>
        <w:t xml:space="preserve">-AT-DMGR-2018,      </w:t>
      </w:r>
      <w:r w:rsidR="001E1F03" w:rsidRPr="003A02D8">
        <w:rPr>
          <w:color w:val="000000"/>
          <w:sz w:val="22"/>
          <w:szCs w:val="22"/>
        </w:rPr>
        <w:t xml:space="preserve">de </w:t>
      </w:r>
      <w:r w:rsidR="00BB6FF6" w:rsidRPr="003A02D8">
        <w:rPr>
          <w:color w:val="000000"/>
          <w:sz w:val="22"/>
          <w:szCs w:val="22"/>
        </w:rPr>
        <w:t>fecha 25</w:t>
      </w:r>
      <w:r w:rsidRPr="003A02D8">
        <w:rPr>
          <w:color w:val="000000"/>
          <w:sz w:val="22"/>
          <w:szCs w:val="22"/>
        </w:rPr>
        <w:t xml:space="preserve"> de </w:t>
      </w:r>
      <w:r w:rsidR="00BB6FF6" w:rsidRPr="003A02D8">
        <w:rPr>
          <w:color w:val="000000"/>
          <w:sz w:val="22"/>
          <w:szCs w:val="22"/>
        </w:rPr>
        <w:t>abril</w:t>
      </w:r>
      <w:r w:rsidR="0010148D" w:rsidRPr="003A02D8">
        <w:rPr>
          <w:color w:val="000000"/>
          <w:sz w:val="22"/>
          <w:szCs w:val="22"/>
        </w:rPr>
        <w:t xml:space="preserve"> de 2018</w:t>
      </w:r>
      <w:r w:rsidRPr="003A02D8">
        <w:rPr>
          <w:color w:val="000000"/>
          <w:sz w:val="22"/>
          <w:szCs w:val="22"/>
        </w:rPr>
        <w:t xml:space="preserve">, </w:t>
      </w:r>
      <w:r w:rsidR="00AE076A" w:rsidRPr="003A02D8">
        <w:rPr>
          <w:color w:val="000000"/>
          <w:sz w:val="22"/>
          <w:szCs w:val="22"/>
        </w:rPr>
        <w:t>califica el nivel de riesgo por movimientos en masa de</w:t>
      </w:r>
      <w:r w:rsidRPr="001E1F03">
        <w:rPr>
          <w:sz w:val="22"/>
          <w:szCs w:val="22"/>
        </w:rPr>
        <w:t xml:space="preserve"> </w:t>
      </w:r>
      <w:r w:rsidR="0010148D" w:rsidRPr="001E1F03">
        <w:rPr>
          <w:sz w:val="22"/>
          <w:szCs w:val="22"/>
        </w:rPr>
        <w:t>el AHHYC “</w:t>
      </w:r>
      <w:r w:rsidR="00BB6FF6">
        <w:rPr>
          <w:sz w:val="22"/>
          <w:szCs w:val="22"/>
        </w:rPr>
        <w:t>El Blanqueado La Balvina</w:t>
      </w:r>
      <w:r w:rsidR="0010148D" w:rsidRPr="001E1F03">
        <w:rPr>
          <w:sz w:val="22"/>
          <w:szCs w:val="22"/>
        </w:rPr>
        <w:t xml:space="preserve">” en general presenta un </w:t>
      </w:r>
      <w:r w:rsidR="001E1F03" w:rsidRPr="001E1F03">
        <w:rPr>
          <w:sz w:val="22"/>
          <w:szCs w:val="22"/>
        </w:rPr>
        <w:t xml:space="preserve"> </w:t>
      </w:r>
      <w:r w:rsidR="0010148D" w:rsidRPr="001E1F03">
        <w:rPr>
          <w:i/>
          <w:iCs/>
          <w:sz w:val="22"/>
          <w:szCs w:val="22"/>
          <w:u w:val="single"/>
        </w:rPr>
        <w:t xml:space="preserve">Riesgo </w:t>
      </w:r>
      <w:r w:rsidR="00CE2036">
        <w:rPr>
          <w:i/>
          <w:iCs/>
          <w:sz w:val="22"/>
          <w:szCs w:val="22"/>
          <w:u w:val="single"/>
        </w:rPr>
        <w:t>Bajo</w:t>
      </w:r>
      <w:r w:rsidR="0010148D" w:rsidRPr="001E1F03">
        <w:rPr>
          <w:i/>
          <w:iCs/>
          <w:sz w:val="22"/>
          <w:szCs w:val="22"/>
          <w:u w:val="single"/>
        </w:rPr>
        <w:t xml:space="preserve"> Mitigable</w:t>
      </w:r>
      <w:r w:rsidR="0010148D" w:rsidRPr="001E1F03">
        <w:rPr>
          <w:i/>
          <w:iCs/>
          <w:sz w:val="22"/>
          <w:szCs w:val="22"/>
        </w:rPr>
        <w:t xml:space="preserve"> </w:t>
      </w:r>
      <w:r w:rsidR="0010148D" w:rsidRPr="001E1F03">
        <w:rPr>
          <w:sz w:val="22"/>
          <w:szCs w:val="22"/>
        </w:rPr>
        <w:t xml:space="preserve">frente a </w:t>
      </w:r>
      <w:r w:rsidR="00CE2036">
        <w:rPr>
          <w:sz w:val="22"/>
          <w:szCs w:val="22"/>
        </w:rPr>
        <w:t>movimientos de remoción en masa. Esto debido a que no se observaron condiciones físicas en el terreno que representen amenaza, ni tampoco condiciones de exposición, para que ocurran movimientos en masa que puedan ocasionar daños o pérdidas.</w:t>
      </w:r>
    </w:p>
    <w:p w14:paraId="477223F6" w14:textId="77777777" w:rsidR="000E303D" w:rsidRPr="0072591E" w:rsidRDefault="00754F12" w:rsidP="00BB05EC">
      <w:pPr>
        <w:spacing w:after="240" w:line="276" w:lineRule="auto"/>
        <w:ind w:left="700" w:hanging="700"/>
        <w:jc w:val="both"/>
        <w:rPr>
          <w:sz w:val="22"/>
          <w:szCs w:val="22"/>
        </w:rPr>
      </w:pPr>
      <w:r w:rsidRPr="008D1ACE">
        <w:rPr>
          <w:b/>
          <w:bCs/>
          <w:sz w:val="22"/>
          <w:szCs w:val="22"/>
        </w:rPr>
        <w:t xml:space="preserve">Que, </w:t>
      </w:r>
      <w:r w:rsidRPr="008D1ACE">
        <w:rPr>
          <w:b/>
          <w:bCs/>
          <w:sz w:val="22"/>
          <w:szCs w:val="22"/>
        </w:rPr>
        <w:tab/>
      </w:r>
      <w:r w:rsidRPr="008D1ACE">
        <w:rPr>
          <w:bCs/>
          <w:sz w:val="22"/>
          <w:szCs w:val="22"/>
        </w:rPr>
        <w:t>mediante</w:t>
      </w:r>
      <w:r w:rsidRPr="008D1ACE">
        <w:rPr>
          <w:b/>
          <w:bCs/>
          <w:sz w:val="22"/>
          <w:szCs w:val="22"/>
        </w:rPr>
        <w:t xml:space="preserve"> </w:t>
      </w:r>
      <w:r w:rsidRPr="008D1ACE">
        <w:rPr>
          <w:sz w:val="22"/>
          <w:szCs w:val="22"/>
        </w:rPr>
        <w:t>O</w:t>
      </w:r>
      <w:r w:rsidR="0010148D" w:rsidRPr="008D1ACE">
        <w:rPr>
          <w:sz w:val="22"/>
          <w:szCs w:val="22"/>
        </w:rPr>
        <w:t>ficio Nro. GADDMQ-SGSG-DMGR-2020</w:t>
      </w:r>
      <w:r w:rsidRPr="008D1ACE">
        <w:rPr>
          <w:sz w:val="22"/>
          <w:szCs w:val="22"/>
        </w:rPr>
        <w:t>-0</w:t>
      </w:r>
      <w:r w:rsidR="003E13FF" w:rsidRPr="008D1ACE">
        <w:rPr>
          <w:sz w:val="22"/>
          <w:szCs w:val="22"/>
        </w:rPr>
        <w:t>0</w:t>
      </w:r>
      <w:r w:rsidR="00CE2036">
        <w:rPr>
          <w:sz w:val="22"/>
          <w:szCs w:val="22"/>
        </w:rPr>
        <w:t>46</w:t>
      </w:r>
      <w:r w:rsidR="0010148D" w:rsidRPr="008D1ACE">
        <w:rPr>
          <w:sz w:val="22"/>
          <w:szCs w:val="22"/>
        </w:rPr>
        <w:t>-OF, de fecha 16</w:t>
      </w:r>
      <w:r w:rsidRPr="008D1ACE">
        <w:rPr>
          <w:sz w:val="22"/>
          <w:szCs w:val="22"/>
        </w:rPr>
        <w:t xml:space="preserve"> de </w:t>
      </w:r>
      <w:r w:rsidR="0010148D" w:rsidRPr="008D1ACE">
        <w:rPr>
          <w:sz w:val="22"/>
          <w:szCs w:val="22"/>
        </w:rPr>
        <w:t>enero de 2020</w:t>
      </w:r>
      <w:r w:rsidRPr="008D1ACE">
        <w:rPr>
          <w:sz w:val="22"/>
          <w:szCs w:val="22"/>
        </w:rPr>
        <w:t>, emitido por el Director Metropolitano de Gestión de Riesgos, de la Secretaría General d</w:t>
      </w:r>
      <w:r w:rsidR="0010148D" w:rsidRPr="008D1ACE">
        <w:rPr>
          <w:sz w:val="22"/>
          <w:szCs w:val="22"/>
        </w:rPr>
        <w:t xml:space="preserve">e Seguridad y Gobernabilidad </w:t>
      </w:r>
      <w:r w:rsidR="00AE076A" w:rsidRPr="008D1ACE">
        <w:rPr>
          <w:sz w:val="22"/>
          <w:szCs w:val="22"/>
        </w:rPr>
        <w:t>en el que considerando que la calificación del riesgo frente a movimi</w:t>
      </w:r>
      <w:r w:rsidR="001D35E2" w:rsidRPr="008D1ACE">
        <w:rPr>
          <w:sz w:val="22"/>
          <w:szCs w:val="22"/>
        </w:rPr>
        <w:t>e</w:t>
      </w:r>
      <w:r w:rsidR="00AE076A" w:rsidRPr="008D1ACE">
        <w:rPr>
          <w:sz w:val="22"/>
          <w:szCs w:val="22"/>
        </w:rPr>
        <w:t>ntos en masa</w:t>
      </w:r>
      <w:r w:rsidR="001D35E2" w:rsidRPr="008D1ACE">
        <w:rPr>
          <w:sz w:val="22"/>
          <w:szCs w:val="22"/>
        </w:rPr>
        <w:t xml:space="preserve"> es aquella que debe ser considerada en los procesos de legalización o regularización de la tenencia de tierra, la Dirección Metropolitana de Gestión de Riesgos se </w:t>
      </w:r>
      <w:r w:rsidR="00CE2036">
        <w:rPr>
          <w:sz w:val="22"/>
          <w:szCs w:val="22"/>
          <w:lang w:val="es-EC"/>
        </w:rPr>
        <w:t>ratifica en la calificación de riesgos indicando que el AHHYC “El Blanqueado La Balvina” en general presenta un Riesgo Bajo Mitigable frente a movimientos de remoción en masa, debido a que no se observaron condiciones físicas en el terreno que representen amenaza, ni tampoco condiciones de exposición, para que ocurran movimientos en masa que puedan ocasionar daños o pérdidas.</w:t>
      </w:r>
      <w:r w:rsidR="00BB05EC">
        <w:rPr>
          <w:bCs/>
          <w:sz w:val="22"/>
          <w:szCs w:val="22"/>
        </w:rPr>
        <w:t xml:space="preserve"> </w:t>
      </w:r>
    </w:p>
    <w:p w14:paraId="00DA7AF3" w14:textId="77777777" w:rsidR="00754F12" w:rsidRPr="0072591E" w:rsidRDefault="00754F12" w:rsidP="00754F12">
      <w:pPr>
        <w:pStyle w:val="NormalWeb"/>
        <w:shd w:val="clear" w:color="auto" w:fill="FFFFFF"/>
        <w:spacing w:line="276" w:lineRule="auto"/>
        <w:ind w:left="700" w:hanging="700"/>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mediante decisión de la Comisión de Ordenamiento Territorial en sesión Ordinaria No. 014, de 10 de enero de 2020, se solicita la elaboración de un alcance al Informe Técnico contenido en el Informe</w:t>
      </w:r>
      <w:r w:rsidR="008D1ACE">
        <w:rPr>
          <w:bCs/>
          <w:sz w:val="22"/>
          <w:szCs w:val="22"/>
        </w:rPr>
        <w:t xml:space="preserve"> No. </w:t>
      </w:r>
      <w:r w:rsidR="00CE2036">
        <w:rPr>
          <w:sz w:val="22"/>
          <w:szCs w:val="22"/>
        </w:rPr>
        <w:t>002</w:t>
      </w:r>
      <w:r w:rsidRPr="0072591E">
        <w:rPr>
          <w:sz w:val="22"/>
          <w:szCs w:val="22"/>
        </w:rPr>
        <w:t>-UERB-</w:t>
      </w:r>
      <w:r w:rsidR="0010148D" w:rsidRPr="0072591E">
        <w:rPr>
          <w:sz w:val="22"/>
          <w:szCs w:val="22"/>
        </w:rPr>
        <w:t xml:space="preserve">Q-SOLT-2018, de </w:t>
      </w:r>
      <w:r w:rsidR="00CE2036">
        <w:rPr>
          <w:sz w:val="22"/>
          <w:szCs w:val="22"/>
        </w:rPr>
        <w:t>20</w:t>
      </w:r>
      <w:r w:rsidR="008D1ACE">
        <w:rPr>
          <w:sz w:val="22"/>
          <w:szCs w:val="22"/>
        </w:rPr>
        <w:t xml:space="preserve"> de </w:t>
      </w:r>
      <w:r w:rsidR="00CE2036">
        <w:rPr>
          <w:sz w:val="22"/>
          <w:szCs w:val="22"/>
        </w:rPr>
        <w:t>agosto</w:t>
      </w:r>
      <w:r w:rsidR="0010148D" w:rsidRPr="0072591E">
        <w:rPr>
          <w:sz w:val="22"/>
          <w:szCs w:val="22"/>
        </w:rPr>
        <w:t xml:space="preserve"> de 2018</w:t>
      </w:r>
      <w:r w:rsidRPr="0072591E">
        <w:rPr>
          <w:sz w:val="22"/>
          <w:szCs w:val="22"/>
        </w:rPr>
        <w:t>,</w:t>
      </w:r>
      <w:r w:rsidRPr="0072591E">
        <w:rPr>
          <w:bCs/>
          <w:sz w:val="22"/>
          <w:szCs w:val="22"/>
        </w:rPr>
        <w:t xml:space="preserve"> para que se determinen todos los lotes inferiores a la zonificación propuesta como lotes por excepción;</w:t>
      </w:r>
    </w:p>
    <w:p w14:paraId="58AB62F0" w14:textId="77777777" w:rsidR="00754F12" w:rsidRDefault="00754F12" w:rsidP="00754F12">
      <w:pPr>
        <w:pStyle w:val="NormalWeb"/>
        <w:shd w:val="clear" w:color="auto" w:fill="FFFFFF"/>
        <w:spacing w:line="276" w:lineRule="auto"/>
        <w:ind w:left="700" w:hanging="700"/>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 xml:space="preserve">mediante </w:t>
      </w:r>
      <w:r w:rsidR="00CE2036">
        <w:rPr>
          <w:sz w:val="22"/>
          <w:szCs w:val="22"/>
        </w:rPr>
        <w:t xml:space="preserve"> Informe Técnico s/n de 18 de febrero</w:t>
      </w:r>
      <w:r w:rsidRPr="0072591E">
        <w:rPr>
          <w:sz w:val="22"/>
          <w:szCs w:val="22"/>
        </w:rPr>
        <w:t xml:space="preserve"> de 2020, emitido por el Responsable Técnico de la UERB </w:t>
      </w:r>
      <w:r w:rsidR="00EF6078" w:rsidRPr="0072591E">
        <w:rPr>
          <w:sz w:val="22"/>
          <w:szCs w:val="22"/>
        </w:rPr>
        <w:t>Quitumbe</w:t>
      </w:r>
      <w:r w:rsidRPr="0072591E">
        <w:rPr>
          <w:sz w:val="22"/>
          <w:szCs w:val="22"/>
        </w:rPr>
        <w:t xml:space="preserve">, se realiza un alcance del Informe Técnico contenido en el Informe </w:t>
      </w:r>
      <w:r w:rsidR="00CE2036">
        <w:rPr>
          <w:bCs/>
          <w:sz w:val="22"/>
          <w:szCs w:val="22"/>
        </w:rPr>
        <w:t xml:space="preserve">No. </w:t>
      </w:r>
      <w:r w:rsidR="00A03E59">
        <w:rPr>
          <w:sz w:val="22"/>
          <w:szCs w:val="22"/>
        </w:rPr>
        <w:t>00</w:t>
      </w:r>
      <w:r w:rsidR="00CE2036">
        <w:rPr>
          <w:sz w:val="22"/>
          <w:szCs w:val="22"/>
        </w:rPr>
        <w:t>2</w:t>
      </w:r>
      <w:r w:rsidR="008D1ACE">
        <w:rPr>
          <w:sz w:val="22"/>
          <w:szCs w:val="22"/>
        </w:rPr>
        <w:t>-UERB-Q-SOLT-2018</w:t>
      </w:r>
      <w:r w:rsidR="00CE2036">
        <w:rPr>
          <w:sz w:val="22"/>
          <w:szCs w:val="22"/>
        </w:rPr>
        <w:t>, de 20</w:t>
      </w:r>
      <w:r w:rsidR="00EF6078" w:rsidRPr="0072591E">
        <w:rPr>
          <w:sz w:val="22"/>
          <w:szCs w:val="22"/>
        </w:rPr>
        <w:t xml:space="preserve"> de </w:t>
      </w:r>
      <w:r w:rsidR="00CE2036">
        <w:rPr>
          <w:sz w:val="22"/>
          <w:szCs w:val="22"/>
        </w:rPr>
        <w:t>agosto</w:t>
      </w:r>
      <w:r w:rsidR="00EF6078" w:rsidRPr="0072591E">
        <w:rPr>
          <w:sz w:val="22"/>
          <w:szCs w:val="22"/>
        </w:rPr>
        <w:t xml:space="preserve"> del 2018</w:t>
      </w:r>
      <w:r w:rsidRPr="0072591E">
        <w:rPr>
          <w:sz w:val="22"/>
          <w:szCs w:val="22"/>
        </w:rPr>
        <w:t xml:space="preserve">, conforme al Artículo </w:t>
      </w:r>
      <w:r w:rsidRPr="0072591E">
        <w:rPr>
          <w:bCs/>
          <w:sz w:val="22"/>
          <w:szCs w:val="22"/>
        </w:rPr>
        <w:t>IV.7.43 de la Ordenanza No. 001 de 29 de marzo de 2019, se determinan  los lotes por excepción a todos aquellos lotes que tengan una superficie inferior a la zonificación propuesta.</w:t>
      </w:r>
    </w:p>
    <w:p w14:paraId="41FF86E7" w14:textId="77777777" w:rsidR="004D7215" w:rsidRPr="0072591E" w:rsidRDefault="004D7215" w:rsidP="00754F12">
      <w:pPr>
        <w:pStyle w:val="NormalWeb"/>
        <w:shd w:val="clear" w:color="auto" w:fill="FFFFFF"/>
        <w:spacing w:line="276" w:lineRule="auto"/>
        <w:ind w:left="700" w:hanging="700"/>
        <w:jc w:val="both"/>
        <w:rPr>
          <w:bCs/>
          <w:sz w:val="22"/>
          <w:szCs w:val="22"/>
        </w:rPr>
      </w:pPr>
      <w:r w:rsidRPr="00485ACC">
        <w:rPr>
          <w:b/>
          <w:bCs/>
          <w:sz w:val="22"/>
          <w:szCs w:val="22"/>
        </w:rPr>
        <w:t xml:space="preserve">Que, </w:t>
      </w:r>
      <w:r w:rsidRPr="00485ACC">
        <w:rPr>
          <w:b/>
          <w:bCs/>
          <w:sz w:val="22"/>
          <w:szCs w:val="22"/>
        </w:rPr>
        <w:tab/>
      </w:r>
      <w:r>
        <w:rPr>
          <w:sz w:val="22"/>
          <w:szCs w:val="22"/>
        </w:rPr>
        <w:t xml:space="preserve">mediante </w:t>
      </w:r>
      <w:r w:rsidRPr="004D7215">
        <w:rPr>
          <w:rFonts w:eastAsia="Calibri"/>
          <w:sz w:val="22"/>
          <w:szCs w:val="22"/>
          <w:lang w:eastAsia="en-US"/>
        </w:rPr>
        <w:t>Memorando Nro. STHV-DMPPS-2020-0314-M de 31 de julio de 2020,  la   Secretaría de Territorio, Hábitat y Vivienda, indica que: “</w:t>
      </w:r>
      <w:r w:rsidRPr="004D7215">
        <w:rPr>
          <w:rFonts w:eastAsia="Calibri"/>
          <w:i/>
          <w:iCs/>
          <w:sz w:val="22"/>
          <w:szCs w:val="22"/>
          <w:lang w:eastAsia="en-US"/>
        </w:rPr>
        <w:t>Con la información señalada y recomendaciones analizadas y en función de la documentación presentada del asentamiento, la DMPPS considera factible el cambio de la forma de ocupación y edificabilidad (zonificación) para todos los macro lotes que corresponden al Asentamiento Humano de Hecho y Consolidado de Interés Social “EL BLANQUEADO LA BALVINA”, a fin de que se continúe con el proceso de regularización respectiva.”</w:t>
      </w:r>
      <w:r w:rsidRPr="004D7215">
        <w:rPr>
          <w:rFonts w:eastAsia="Calibri"/>
          <w:sz w:val="22"/>
          <w:szCs w:val="22"/>
          <w:lang w:eastAsia="en-US"/>
        </w:rPr>
        <w:t>, y en alcance al memorando en mención, mediante Oficio Nro. STHV-DMPPS-2020-0411-O de 03 de agosto de 2020, en donde,</w:t>
      </w:r>
      <w:r w:rsidRPr="004D7215">
        <w:rPr>
          <w:rFonts w:eastAsia="Calibri"/>
          <w:b/>
          <w:bCs/>
          <w:sz w:val="22"/>
          <w:szCs w:val="22"/>
          <w:lang w:eastAsia="en-US"/>
        </w:rPr>
        <w:t xml:space="preserve"> “</w:t>
      </w:r>
      <w:r w:rsidRPr="004D7215">
        <w:rPr>
          <w:rFonts w:eastAsia="Calibri"/>
          <w:i/>
          <w:iCs/>
          <w:sz w:val="22"/>
          <w:szCs w:val="22"/>
          <w:lang w:eastAsia="en-US"/>
        </w:rPr>
        <w:t xml:space="preserve">Con la información señalada la DMPPS ratifica como factible el cambio de la forma de ocupación y edificabilidad (zonificación) del Asentamiento Humano de Hecho y Consolidado de Interés Social “EL BLANQUEADO LA BALVINA”, a fin de que se continúe con el proceso de regularización </w:t>
      </w:r>
      <w:commentRangeStart w:id="2"/>
      <w:r w:rsidRPr="004D7215">
        <w:rPr>
          <w:rFonts w:eastAsia="Calibri"/>
          <w:i/>
          <w:iCs/>
          <w:sz w:val="22"/>
          <w:szCs w:val="22"/>
          <w:lang w:eastAsia="en-US"/>
        </w:rPr>
        <w:t>respectiva</w:t>
      </w:r>
      <w:commentRangeEnd w:id="2"/>
      <w:r>
        <w:rPr>
          <w:rStyle w:val="Refdecomentario"/>
          <w:lang w:val="es-ES" w:eastAsia="es-ES"/>
        </w:rPr>
        <w:commentReference w:id="2"/>
      </w:r>
      <w:r w:rsidRPr="004D7215">
        <w:rPr>
          <w:rFonts w:eastAsia="Calibri"/>
          <w:i/>
          <w:iCs/>
          <w:sz w:val="22"/>
          <w:szCs w:val="22"/>
          <w:lang w:eastAsia="en-US"/>
        </w:rPr>
        <w:t>.”</w:t>
      </w:r>
    </w:p>
    <w:p w14:paraId="02E71893" w14:textId="77777777" w:rsidR="00EF6078" w:rsidRPr="0072591E" w:rsidRDefault="00754F12" w:rsidP="00F108B7">
      <w:pPr>
        <w:spacing w:after="240" w:line="276" w:lineRule="auto"/>
        <w:jc w:val="both"/>
        <w:rPr>
          <w:b/>
          <w:sz w:val="22"/>
          <w:szCs w:val="22"/>
        </w:rPr>
      </w:pPr>
      <w:r w:rsidRPr="0072591E">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6A66BE8" w14:textId="77777777" w:rsidR="00F108B7" w:rsidRPr="0072591E" w:rsidRDefault="00F108B7" w:rsidP="00F108B7">
      <w:pPr>
        <w:spacing w:after="240" w:line="276" w:lineRule="auto"/>
        <w:jc w:val="both"/>
        <w:rPr>
          <w:b/>
          <w:sz w:val="22"/>
          <w:szCs w:val="22"/>
        </w:rPr>
      </w:pPr>
    </w:p>
    <w:p w14:paraId="69869F70" w14:textId="77777777" w:rsidR="00754F12" w:rsidRPr="0072591E" w:rsidRDefault="00754F12" w:rsidP="00EF6078">
      <w:pPr>
        <w:pStyle w:val="Ttulo1"/>
        <w:spacing w:before="0"/>
        <w:jc w:val="center"/>
        <w:rPr>
          <w:rFonts w:ascii="Times New Roman" w:hAnsi="Times New Roman"/>
          <w:color w:val="auto"/>
          <w:sz w:val="22"/>
          <w:szCs w:val="22"/>
        </w:rPr>
      </w:pPr>
      <w:r w:rsidRPr="0072591E">
        <w:rPr>
          <w:rFonts w:ascii="Times New Roman" w:hAnsi="Times New Roman"/>
          <w:color w:val="auto"/>
          <w:sz w:val="22"/>
          <w:szCs w:val="22"/>
        </w:rPr>
        <w:t>EXPIDE LA SIGUIENTE:</w:t>
      </w:r>
    </w:p>
    <w:p w14:paraId="6C9F7BB4" w14:textId="77777777" w:rsidR="00F108B7" w:rsidRPr="0072591E" w:rsidRDefault="00F108B7" w:rsidP="00F108B7">
      <w:pPr>
        <w:rPr>
          <w:sz w:val="22"/>
          <w:szCs w:val="22"/>
        </w:rPr>
      </w:pPr>
    </w:p>
    <w:p w14:paraId="3D59976F" w14:textId="77777777" w:rsidR="00754F12" w:rsidRPr="0072591E" w:rsidRDefault="00754F12" w:rsidP="00754F12">
      <w:pPr>
        <w:pStyle w:val="Ttulo7"/>
        <w:spacing w:before="0" w:after="240" w:line="276" w:lineRule="auto"/>
        <w:jc w:val="center"/>
        <w:rPr>
          <w:rFonts w:ascii="Times New Roman" w:hAnsi="Times New Roman"/>
          <w:sz w:val="22"/>
          <w:szCs w:val="22"/>
        </w:rPr>
      </w:pPr>
      <w:r w:rsidRPr="0072591E">
        <w:rPr>
          <w:rFonts w:ascii="Times New Roman" w:hAnsi="Times New Roman"/>
          <w:b/>
          <w:bCs/>
          <w:sz w:val="22"/>
          <w:szCs w:val="22"/>
        </w:rPr>
        <w:t xml:space="preserve">ORDENANZA </w:t>
      </w:r>
      <w:r w:rsidR="0038110F">
        <w:rPr>
          <w:rFonts w:ascii="Times New Roman" w:hAnsi="Times New Roman"/>
          <w:b/>
          <w:bCs/>
          <w:sz w:val="22"/>
          <w:szCs w:val="22"/>
        </w:rPr>
        <w:t xml:space="preserve">SUSTITUTIVA DE LA ORDENANZA </w:t>
      </w:r>
      <w:r w:rsidR="0038110F" w:rsidRPr="0038110F">
        <w:rPr>
          <w:rFonts w:ascii="Times New Roman" w:hAnsi="Times New Roman"/>
          <w:b/>
          <w:sz w:val="22"/>
          <w:szCs w:val="22"/>
        </w:rPr>
        <w:t>NO. 004</w:t>
      </w:r>
      <w:r w:rsidR="00DD03C9">
        <w:rPr>
          <w:rFonts w:ascii="Times New Roman" w:hAnsi="Times New Roman"/>
          <w:b/>
          <w:sz w:val="22"/>
          <w:szCs w:val="22"/>
        </w:rPr>
        <w:t xml:space="preserve"> </w:t>
      </w:r>
      <w:r w:rsidR="00DD03C9" w:rsidRPr="0038110F">
        <w:rPr>
          <w:rFonts w:ascii="Times New Roman" w:hAnsi="Times New Roman"/>
          <w:b/>
          <w:sz w:val="22"/>
          <w:szCs w:val="22"/>
        </w:rPr>
        <w:t>SANCIONADA EL 8 DE ENERO DE 2011</w:t>
      </w:r>
      <w:r w:rsidR="0038110F" w:rsidRPr="0038110F">
        <w:rPr>
          <w:rFonts w:ascii="Times New Roman" w:hAnsi="Times New Roman"/>
          <w:b/>
          <w:sz w:val="22"/>
          <w:szCs w:val="22"/>
        </w:rPr>
        <w:t xml:space="preserve"> </w:t>
      </w:r>
      <w:r w:rsidR="000E26DF">
        <w:rPr>
          <w:rFonts w:ascii="Times New Roman" w:hAnsi="Times New Roman"/>
          <w:b/>
          <w:sz w:val="22"/>
          <w:szCs w:val="22"/>
        </w:rPr>
        <w:t>Y</w:t>
      </w:r>
      <w:r w:rsidR="0038110F" w:rsidRPr="0038110F">
        <w:rPr>
          <w:rFonts w:ascii="Times New Roman" w:hAnsi="Times New Roman"/>
          <w:b/>
          <w:sz w:val="22"/>
          <w:szCs w:val="22"/>
        </w:rPr>
        <w:t xml:space="preserve"> </w:t>
      </w:r>
      <w:r w:rsidR="000E26DF">
        <w:rPr>
          <w:rFonts w:ascii="Times New Roman" w:hAnsi="Times New Roman"/>
          <w:b/>
          <w:sz w:val="22"/>
          <w:szCs w:val="22"/>
        </w:rPr>
        <w:t>ORDENANZA</w:t>
      </w:r>
      <w:r w:rsidR="00DD03C9">
        <w:rPr>
          <w:rFonts w:ascii="Times New Roman" w:hAnsi="Times New Roman"/>
          <w:b/>
          <w:sz w:val="22"/>
          <w:szCs w:val="22"/>
        </w:rPr>
        <w:t xml:space="preserve"> REFORMATORIA</w:t>
      </w:r>
      <w:r w:rsidR="000E26DF">
        <w:rPr>
          <w:rFonts w:ascii="Times New Roman" w:hAnsi="Times New Roman"/>
          <w:b/>
          <w:sz w:val="22"/>
          <w:szCs w:val="22"/>
        </w:rPr>
        <w:t xml:space="preserve"> NO. </w:t>
      </w:r>
      <w:r w:rsidR="0038110F" w:rsidRPr="0038110F">
        <w:rPr>
          <w:rFonts w:ascii="Times New Roman" w:hAnsi="Times New Roman"/>
          <w:b/>
          <w:sz w:val="22"/>
          <w:szCs w:val="22"/>
        </w:rPr>
        <w:t xml:space="preserve">0183, </w:t>
      </w:r>
      <w:r w:rsidR="000E26DF" w:rsidRPr="0038110F">
        <w:rPr>
          <w:rFonts w:ascii="Times New Roman" w:hAnsi="Times New Roman"/>
          <w:b/>
          <w:sz w:val="22"/>
          <w:szCs w:val="22"/>
        </w:rPr>
        <w:t>SANCIONADA</w:t>
      </w:r>
      <w:r w:rsidR="000E26DF">
        <w:rPr>
          <w:rFonts w:ascii="Times New Roman" w:hAnsi="Times New Roman"/>
          <w:b/>
          <w:sz w:val="22"/>
          <w:szCs w:val="22"/>
        </w:rPr>
        <w:t xml:space="preserve"> </w:t>
      </w:r>
      <w:r w:rsidR="0038110F" w:rsidRPr="0038110F">
        <w:rPr>
          <w:rFonts w:ascii="Times New Roman" w:hAnsi="Times New Roman"/>
          <w:b/>
          <w:sz w:val="22"/>
          <w:szCs w:val="22"/>
        </w:rPr>
        <w:t>EL 23 DE FEBRERO DE 2012</w:t>
      </w:r>
      <w:r w:rsidR="0038110F">
        <w:rPr>
          <w:rFonts w:ascii="Times New Roman" w:hAnsi="Times New Roman"/>
          <w:b/>
          <w:sz w:val="22"/>
          <w:szCs w:val="22"/>
        </w:rPr>
        <w:t xml:space="preserve">, </w:t>
      </w:r>
      <w:r w:rsidRPr="0072591E">
        <w:rPr>
          <w:rFonts w:ascii="Times New Roman" w:hAnsi="Times New Roman"/>
          <w:b/>
          <w:bCs/>
          <w:sz w:val="22"/>
          <w:szCs w:val="22"/>
        </w:rPr>
        <w:t>QUE APRUEBA EL P</w:t>
      </w:r>
      <w:r w:rsidR="00320937">
        <w:rPr>
          <w:rFonts w:ascii="Times New Roman" w:hAnsi="Times New Roman"/>
          <w:b/>
          <w:bCs/>
          <w:sz w:val="22"/>
          <w:szCs w:val="22"/>
        </w:rPr>
        <w:t>ROCESO INTEGRAL DE REGULARIZACIÓ</w:t>
      </w:r>
      <w:r w:rsidRPr="0072591E">
        <w:rPr>
          <w:rFonts w:ascii="Times New Roman" w:hAnsi="Times New Roman"/>
          <w:b/>
          <w:bCs/>
          <w:sz w:val="22"/>
          <w:szCs w:val="22"/>
        </w:rPr>
        <w:t xml:space="preserve">N DEL ASENTAMIENTO HUMANO DE HECHO Y CONSOLIDADO DE INTERÉS SOCIAL DENOMINADO </w:t>
      </w:r>
      <w:r w:rsidRPr="0072591E">
        <w:rPr>
          <w:rFonts w:ascii="Times New Roman" w:hAnsi="Times New Roman"/>
          <w:sz w:val="22"/>
          <w:szCs w:val="22"/>
        </w:rPr>
        <w:t>“</w:t>
      </w:r>
      <w:r w:rsidR="00CE2036">
        <w:rPr>
          <w:rFonts w:ascii="Times New Roman" w:hAnsi="Times New Roman"/>
          <w:b/>
          <w:sz w:val="22"/>
          <w:szCs w:val="22"/>
        </w:rPr>
        <w:t>EL BLANQUEADO LA BALVINA</w:t>
      </w:r>
      <w:commentRangeStart w:id="3"/>
      <w:r w:rsidRPr="004B1CAD">
        <w:rPr>
          <w:rFonts w:ascii="Times New Roman" w:hAnsi="Times New Roman"/>
          <w:b/>
          <w:sz w:val="22"/>
          <w:szCs w:val="22"/>
        </w:rPr>
        <w:t>”</w:t>
      </w:r>
      <w:r w:rsidR="00DD03C9" w:rsidRPr="004B1CAD">
        <w:rPr>
          <w:rFonts w:ascii="Times New Roman" w:hAnsi="Times New Roman"/>
          <w:b/>
          <w:sz w:val="22"/>
          <w:szCs w:val="22"/>
        </w:rPr>
        <w:t>, A FAVOR DE SUS COPROPIETARIOS</w:t>
      </w:r>
      <w:commentRangeEnd w:id="3"/>
      <w:r w:rsidR="00E40CD7">
        <w:rPr>
          <w:rStyle w:val="Refdecomentario"/>
          <w:rFonts w:ascii="Times New Roman" w:hAnsi="Times New Roman"/>
        </w:rPr>
        <w:commentReference w:id="3"/>
      </w:r>
    </w:p>
    <w:p w14:paraId="31135EA8" w14:textId="77777777" w:rsidR="00F108B7" w:rsidRPr="0072591E" w:rsidRDefault="00F108B7" w:rsidP="00F108B7">
      <w:pPr>
        <w:rPr>
          <w:sz w:val="22"/>
          <w:szCs w:val="22"/>
        </w:rPr>
      </w:pPr>
    </w:p>
    <w:p w14:paraId="4F232AFF" w14:textId="77777777" w:rsidR="00754F12" w:rsidRPr="0072591E" w:rsidRDefault="00320937" w:rsidP="00754F12">
      <w:pPr>
        <w:pStyle w:val="Ttulo7"/>
        <w:spacing w:before="0" w:after="240" w:line="276" w:lineRule="auto"/>
        <w:jc w:val="both"/>
        <w:rPr>
          <w:rFonts w:ascii="Times New Roman" w:hAnsi="Times New Roman"/>
          <w:sz w:val="22"/>
          <w:szCs w:val="22"/>
        </w:rPr>
      </w:pPr>
      <w:r>
        <w:rPr>
          <w:rFonts w:ascii="Times New Roman" w:hAnsi="Times New Roman"/>
          <w:b/>
          <w:sz w:val="22"/>
          <w:szCs w:val="22"/>
        </w:rPr>
        <w:t>Artí</w:t>
      </w:r>
      <w:r w:rsidR="00754F12" w:rsidRPr="0072591E">
        <w:rPr>
          <w:rFonts w:ascii="Times New Roman" w:hAnsi="Times New Roman"/>
          <w:b/>
          <w:sz w:val="22"/>
          <w:szCs w:val="22"/>
        </w:rPr>
        <w:t>culo 1.- Objeto.-</w:t>
      </w:r>
      <w:r w:rsidR="00C94ADC">
        <w:rPr>
          <w:rFonts w:ascii="Times New Roman" w:hAnsi="Times New Roman"/>
          <w:sz w:val="22"/>
          <w:szCs w:val="22"/>
        </w:rPr>
        <w:t xml:space="preserve"> </w:t>
      </w:r>
      <w:r w:rsidR="00754F12" w:rsidRPr="0072591E">
        <w:rPr>
          <w:rFonts w:ascii="Times New Roman" w:hAnsi="Times New Roman"/>
          <w:sz w:val="22"/>
          <w:szCs w:val="22"/>
        </w:rPr>
        <w:t>La presente ordenanza tiene por objeto reconocer y aprobar el fraccionamiento de</w:t>
      </w:r>
      <w:r w:rsidR="00CE2036">
        <w:rPr>
          <w:rFonts w:ascii="Times New Roman" w:hAnsi="Times New Roman"/>
          <w:sz w:val="22"/>
          <w:szCs w:val="22"/>
        </w:rPr>
        <w:t xml:space="preserve"> </w:t>
      </w:r>
      <w:r w:rsidR="00754F12" w:rsidRPr="0072591E">
        <w:rPr>
          <w:rFonts w:ascii="Times New Roman" w:hAnsi="Times New Roman"/>
          <w:sz w:val="22"/>
          <w:szCs w:val="22"/>
        </w:rPr>
        <w:t>l</w:t>
      </w:r>
      <w:r w:rsidR="00CE2036">
        <w:rPr>
          <w:rFonts w:ascii="Times New Roman" w:hAnsi="Times New Roman"/>
          <w:sz w:val="22"/>
          <w:szCs w:val="22"/>
        </w:rPr>
        <w:t>os</w:t>
      </w:r>
      <w:r w:rsidR="00754F12" w:rsidRPr="0072591E">
        <w:rPr>
          <w:rFonts w:ascii="Times New Roman" w:hAnsi="Times New Roman"/>
          <w:sz w:val="22"/>
          <w:szCs w:val="22"/>
        </w:rPr>
        <w:t xml:space="preserve"> predio</w:t>
      </w:r>
      <w:r w:rsidR="00CE2036">
        <w:rPr>
          <w:rFonts w:ascii="Times New Roman" w:hAnsi="Times New Roman"/>
          <w:sz w:val="22"/>
          <w:szCs w:val="22"/>
        </w:rPr>
        <w:t>s</w:t>
      </w:r>
      <w:r w:rsidR="00754F12" w:rsidRPr="0072591E">
        <w:rPr>
          <w:rFonts w:ascii="Times New Roman" w:hAnsi="Times New Roman"/>
          <w:sz w:val="22"/>
          <w:szCs w:val="22"/>
        </w:rPr>
        <w:t xml:space="preserve"> </w:t>
      </w:r>
      <w:r w:rsidR="00011CDC">
        <w:rPr>
          <w:rFonts w:ascii="Times New Roman" w:hAnsi="Times New Roman"/>
          <w:sz w:val="22"/>
          <w:szCs w:val="22"/>
        </w:rPr>
        <w:t>3672764; 3672718; 3672726; 3672727; 3672728; 3672730; 3672736; 3672737; 3672754; 3672755; 3672756; 3672760; 3672761 y 3672762</w:t>
      </w:r>
      <w:r w:rsidR="00754F12" w:rsidRPr="0072591E">
        <w:rPr>
          <w:rFonts w:ascii="Times New Roman" w:hAnsi="Times New Roman"/>
          <w:sz w:val="22"/>
          <w:szCs w:val="22"/>
        </w:rPr>
        <w:t xml:space="preserve">, </w:t>
      </w:r>
      <w:r w:rsidR="00482A42">
        <w:rPr>
          <w:rFonts w:ascii="Times New Roman" w:hAnsi="Times New Roman"/>
          <w:sz w:val="22"/>
          <w:szCs w:val="22"/>
        </w:rPr>
        <w:t>las calles, los</w:t>
      </w:r>
      <w:r w:rsidR="00C94ADC">
        <w:rPr>
          <w:rFonts w:ascii="Times New Roman" w:hAnsi="Times New Roman"/>
          <w:sz w:val="22"/>
          <w:szCs w:val="22"/>
        </w:rPr>
        <w:t xml:space="preserve"> </w:t>
      </w:r>
      <w:r w:rsidR="00482A42">
        <w:rPr>
          <w:rFonts w:ascii="Times New Roman" w:hAnsi="Times New Roman"/>
          <w:sz w:val="22"/>
          <w:szCs w:val="22"/>
        </w:rPr>
        <w:t>pasajes</w:t>
      </w:r>
      <w:r w:rsidR="00754F12" w:rsidRPr="0072591E">
        <w:rPr>
          <w:rFonts w:ascii="Times New Roman" w:hAnsi="Times New Roman"/>
          <w:sz w:val="22"/>
          <w:szCs w:val="22"/>
        </w:rPr>
        <w:t xml:space="preserve"> y modificar la </w:t>
      </w:r>
      <w:r w:rsidR="001D35E2">
        <w:rPr>
          <w:rFonts w:ascii="Times New Roman" w:hAnsi="Times New Roman"/>
          <w:sz w:val="22"/>
          <w:szCs w:val="22"/>
        </w:rPr>
        <w:t>zonificación sobre la que se encuentra el asentamiento humano de hecho y consolidado de interés s</w:t>
      </w:r>
      <w:r w:rsidR="00754F12" w:rsidRPr="0072591E">
        <w:rPr>
          <w:rFonts w:ascii="Times New Roman" w:hAnsi="Times New Roman"/>
          <w:sz w:val="22"/>
          <w:szCs w:val="22"/>
        </w:rPr>
        <w:t>ocial denominado “</w:t>
      </w:r>
      <w:r w:rsidR="00C94ADC">
        <w:rPr>
          <w:rFonts w:ascii="Times New Roman" w:hAnsi="Times New Roman"/>
          <w:sz w:val="22"/>
          <w:szCs w:val="22"/>
        </w:rPr>
        <w:t>El Blanqueado La Balvina</w:t>
      </w:r>
      <w:r w:rsidR="00754F12" w:rsidRPr="0072591E">
        <w:rPr>
          <w:rFonts w:ascii="Times New Roman" w:hAnsi="Times New Roman"/>
          <w:sz w:val="22"/>
          <w:szCs w:val="22"/>
        </w:rPr>
        <w:t>”, a favor de sus copropietarios.</w:t>
      </w:r>
    </w:p>
    <w:p w14:paraId="13355BEB" w14:textId="77777777" w:rsidR="00754F12" w:rsidRPr="0072591E" w:rsidRDefault="00754F12" w:rsidP="00754F12">
      <w:pPr>
        <w:pStyle w:val="Textoindependiente"/>
        <w:spacing w:line="276" w:lineRule="auto"/>
        <w:jc w:val="both"/>
        <w:rPr>
          <w:sz w:val="22"/>
          <w:szCs w:val="22"/>
        </w:rPr>
      </w:pPr>
      <w:r w:rsidRPr="0072591E">
        <w:rPr>
          <w:b/>
          <w:sz w:val="22"/>
          <w:szCs w:val="22"/>
        </w:rPr>
        <w:t>Artículo 2.-</w:t>
      </w:r>
      <w:r w:rsidRPr="0072591E">
        <w:rPr>
          <w:sz w:val="22"/>
          <w:szCs w:val="22"/>
        </w:rPr>
        <w:t xml:space="preserve"> </w:t>
      </w:r>
      <w:r w:rsidRPr="0072591E">
        <w:rPr>
          <w:b/>
          <w:sz w:val="22"/>
          <w:szCs w:val="22"/>
        </w:rPr>
        <w:t>De los planos y documentos presentados.-</w:t>
      </w:r>
      <w:r w:rsidRPr="0072591E">
        <w:rPr>
          <w:sz w:val="22"/>
          <w:szCs w:val="22"/>
        </w:rPr>
        <w:t xml:space="preserve"> Los planos y documentos presentados para la aprobación del presente acto normativo son de exclusiva responsabilidad del proyectis</w:t>
      </w:r>
      <w:r w:rsidR="001D35E2">
        <w:rPr>
          <w:sz w:val="22"/>
          <w:szCs w:val="22"/>
        </w:rPr>
        <w:t>ta y de los copropietarios del asentamiento humano de hecho y consolidado de interés s</w:t>
      </w:r>
      <w:r w:rsidRPr="0072591E">
        <w:rPr>
          <w:sz w:val="22"/>
          <w:szCs w:val="22"/>
        </w:rPr>
        <w:t>ocial denominado “</w:t>
      </w:r>
      <w:r w:rsidR="00C94ADC">
        <w:rPr>
          <w:sz w:val="22"/>
          <w:szCs w:val="22"/>
        </w:rPr>
        <w:t>El Blanqueado La Balvina</w:t>
      </w:r>
      <w:r w:rsidRPr="0072591E">
        <w:rPr>
          <w:sz w:val="22"/>
          <w:szCs w:val="22"/>
        </w:rPr>
        <w:t>”, ubicado e</w:t>
      </w:r>
      <w:r w:rsidR="001D35E2">
        <w:rPr>
          <w:sz w:val="22"/>
          <w:szCs w:val="22"/>
        </w:rPr>
        <w:t>n la parroquia</w:t>
      </w:r>
      <w:r w:rsidR="00EF6078" w:rsidRPr="0072591E">
        <w:rPr>
          <w:sz w:val="22"/>
          <w:szCs w:val="22"/>
        </w:rPr>
        <w:t xml:space="preserve"> Quitumbe</w:t>
      </w:r>
      <w:r w:rsidRPr="0072591E">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011413B4" w14:textId="77777777" w:rsidR="00754F12" w:rsidRPr="0072591E" w:rsidRDefault="00754F12" w:rsidP="00754F12">
      <w:pPr>
        <w:pStyle w:val="Textoindependiente"/>
        <w:spacing w:line="276" w:lineRule="auto"/>
        <w:jc w:val="both"/>
        <w:rPr>
          <w:sz w:val="22"/>
          <w:szCs w:val="22"/>
        </w:rPr>
      </w:pPr>
      <w:r w:rsidRPr="0072591E">
        <w:rPr>
          <w:sz w:val="22"/>
          <w:szCs w:val="22"/>
        </w:rPr>
        <w:t>En caso de comprobarse ocultación o falsedad en planos, datos, documentos, o de existir reclamos de terceros afectados, será de exclusiva responsabilidad del técnico y de los copropietarios del predio.</w:t>
      </w:r>
    </w:p>
    <w:p w14:paraId="7A447EE2" w14:textId="77777777" w:rsidR="00754F12" w:rsidRPr="0072591E" w:rsidRDefault="00754F12" w:rsidP="00754F12">
      <w:pPr>
        <w:pStyle w:val="Textoindependiente"/>
        <w:spacing w:line="276" w:lineRule="auto"/>
        <w:jc w:val="both"/>
        <w:rPr>
          <w:sz w:val="22"/>
          <w:szCs w:val="22"/>
        </w:rPr>
      </w:pPr>
      <w:r w:rsidRPr="0072591E">
        <w:rPr>
          <w:sz w:val="22"/>
          <w:szCs w:val="22"/>
        </w:rPr>
        <w:t>Las dimensiones y superficies de los lotes son las determinadas en el plano aprobatorio que forma parte integrante de esta Ordenanza.</w:t>
      </w:r>
    </w:p>
    <w:p w14:paraId="30C4A189" w14:textId="77777777" w:rsidR="00754F12" w:rsidRPr="0072591E" w:rsidRDefault="001D35E2" w:rsidP="00754F12">
      <w:pPr>
        <w:pStyle w:val="Textoindependiente"/>
        <w:spacing w:line="276" w:lineRule="auto"/>
        <w:jc w:val="both"/>
        <w:rPr>
          <w:sz w:val="22"/>
          <w:szCs w:val="22"/>
        </w:rPr>
      </w:pPr>
      <w:r>
        <w:rPr>
          <w:sz w:val="22"/>
          <w:szCs w:val="22"/>
        </w:rPr>
        <w:t>Los copropietarios del asentamiento humano de hecho y consolidado de interés s</w:t>
      </w:r>
      <w:r w:rsidR="00754F12" w:rsidRPr="0072591E">
        <w:rPr>
          <w:sz w:val="22"/>
          <w:szCs w:val="22"/>
        </w:rPr>
        <w:t>ocial denominado “</w:t>
      </w:r>
      <w:r w:rsidR="00D41E69">
        <w:rPr>
          <w:sz w:val="22"/>
          <w:szCs w:val="22"/>
        </w:rPr>
        <w:t>El Blanqueado La Balvina</w:t>
      </w:r>
      <w:r w:rsidR="00754F12" w:rsidRPr="0072591E">
        <w:rPr>
          <w:sz w:val="22"/>
          <w:szCs w:val="22"/>
        </w:rPr>
        <w:t xml:space="preserve">”,  ubicado en la parroquia </w:t>
      </w:r>
      <w:r w:rsidR="00EF6078" w:rsidRPr="0072591E">
        <w:rPr>
          <w:sz w:val="22"/>
          <w:szCs w:val="22"/>
        </w:rPr>
        <w:t>Quitumbe</w:t>
      </w:r>
      <w:r w:rsidR="00754F12" w:rsidRPr="0072591E">
        <w:rPr>
          <w:sz w:val="22"/>
          <w:szCs w:val="22"/>
        </w:rPr>
        <w:t>, se comprometen a respetar las características d</w:t>
      </w:r>
      <w:r w:rsidR="00EF6078" w:rsidRPr="0072591E">
        <w:rPr>
          <w:sz w:val="22"/>
          <w:szCs w:val="22"/>
        </w:rPr>
        <w:t>e los lotes establecidas en el p</w:t>
      </w:r>
      <w:r w:rsidR="00754F12" w:rsidRPr="0072591E">
        <w:rPr>
          <w:sz w:val="22"/>
          <w:szCs w:val="22"/>
        </w:rPr>
        <w:t>lano y en este instrumento; por t</w:t>
      </w:r>
      <w:r>
        <w:rPr>
          <w:sz w:val="22"/>
          <w:szCs w:val="22"/>
        </w:rPr>
        <w:t xml:space="preserve">anto, no podrán fraccionarlos o </w:t>
      </w:r>
      <w:r w:rsidR="00754F12" w:rsidRPr="0072591E">
        <w:rPr>
          <w:sz w:val="22"/>
          <w:szCs w:val="22"/>
        </w:rPr>
        <w:t>dividirlos.</w:t>
      </w:r>
    </w:p>
    <w:p w14:paraId="0275C656" w14:textId="77777777" w:rsidR="00754F12" w:rsidRPr="0072591E" w:rsidRDefault="00754F12" w:rsidP="00754F12">
      <w:pPr>
        <w:pStyle w:val="Textoindependiente"/>
        <w:spacing w:line="276" w:lineRule="auto"/>
        <w:jc w:val="both"/>
        <w:rPr>
          <w:sz w:val="22"/>
          <w:szCs w:val="22"/>
        </w:rPr>
      </w:pPr>
      <w:r w:rsidRPr="0072591E">
        <w:rPr>
          <w:sz w:val="22"/>
          <w:szCs w:val="22"/>
        </w:rPr>
        <w:t xml:space="preserve">El incumplimiento de lo dispuesto en la presente Ordenanza y en la normativa metropolitana y nacional vigente al respecto, dará lugar a la imposición de las sanciones correspondientes. </w:t>
      </w:r>
    </w:p>
    <w:p w14:paraId="7B46823E" w14:textId="77777777" w:rsidR="00A06007" w:rsidRDefault="00754F12" w:rsidP="00A06007">
      <w:pPr>
        <w:pStyle w:val="Textoindependiente"/>
        <w:spacing w:line="276" w:lineRule="auto"/>
        <w:jc w:val="both"/>
        <w:rPr>
          <w:sz w:val="22"/>
          <w:szCs w:val="22"/>
        </w:rPr>
      </w:pPr>
      <w:r w:rsidRPr="0072591E">
        <w:rPr>
          <w:b/>
          <w:bCs/>
          <w:sz w:val="22"/>
          <w:szCs w:val="22"/>
        </w:rPr>
        <w:t xml:space="preserve">Artículo 3.- Declaratoria de Interés Social.- </w:t>
      </w:r>
      <w:r w:rsidR="001D35E2">
        <w:rPr>
          <w:sz w:val="22"/>
          <w:szCs w:val="22"/>
        </w:rPr>
        <w:t>Por las condiciones del asentamiento humano de hecho y c</w:t>
      </w:r>
      <w:r w:rsidRPr="0072591E">
        <w:rPr>
          <w:sz w:val="22"/>
          <w:szCs w:val="22"/>
        </w:rPr>
        <w:t>onsolidado, se lo aprueba considerándolo de Interés Social de confo</w:t>
      </w:r>
      <w:r w:rsidR="0055623A">
        <w:rPr>
          <w:sz w:val="22"/>
          <w:szCs w:val="22"/>
        </w:rPr>
        <w:t>rmidad con la normativa vigente</w:t>
      </w:r>
    </w:p>
    <w:p w14:paraId="5AFF7CC9" w14:textId="77777777" w:rsidR="00754F12" w:rsidRPr="0072591E" w:rsidRDefault="00754F12" w:rsidP="00754F12">
      <w:pPr>
        <w:pStyle w:val="Ttulo2"/>
        <w:spacing w:line="276" w:lineRule="auto"/>
        <w:jc w:val="both"/>
        <w:rPr>
          <w:rFonts w:ascii="Times New Roman" w:hAnsi="Times New Roman"/>
          <w:color w:val="auto"/>
          <w:sz w:val="22"/>
          <w:szCs w:val="22"/>
        </w:rPr>
      </w:pPr>
      <w:r w:rsidRPr="0072591E">
        <w:rPr>
          <w:rFonts w:ascii="Times New Roman" w:hAnsi="Times New Roman"/>
          <w:color w:val="auto"/>
          <w:sz w:val="22"/>
          <w:szCs w:val="22"/>
        </w:rPr>
        <w:t>Artículo 4.- Especificaciones técnicas.-</w:t>
      </w:r>
    </w:p>
    <w:p w14:paraId="166309F5" w14:textId="77777777" w:rsidR="00F108B7" w:rsidRPr="0072591E" w:rsidRDefault="00F108B7" w:rsidP="00F108B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201"/>
        <w:gridCol w:w="1903"/>
        <w:gridCol w:w="2504"/>
      </w:tblGrid>
      <w:tr w:rsidR="005A34BF" w:rsidRPr="0072591E" w14:paraId="21913435" w14:textId="77777777" w:rsidTr="003A02D8">
        <w:trPr>
          <w:trHeight w:val="245"/>
        </w:trPr>
        <w:tc>
          <w:tcPr>
            <w:tcW w:w="2104" w:type="dxa"/>
            <w:shd w:val="clear" w:color="auto" w:fill="auto"/>
          </w:tcPr>
          <w:p w14:paraId="7081B4CC" w14:textId="77777777" w:rsidR="005A34BF" w:rsidRPr="003A02D8" w:rsidRDefault="005A34BF" w:rsidP="003A02D8">
            <w:pPr>
              <w:spacing w:after="240" w:line="276" w:lineRule="auto"/>
              <w:contextualSpacing/>
              <w:jc w:val="both"/>
              <w:rPr>
                <w:b/>
                <w:bCs/>
                <w:sz w:val="22"/>
                <w:szCs w:val="22"/>
                <w:lang w:val="es-EC" w:eastAsia="en-US"/>
              </w:rPr>
            </w:pPr>
            <w:r w:rsidRPr="003A02D8">
              <w:rPr>
                <w:b/>
                <w:bCs/>
                <w:sz w:val="22"/>
                <w:szCs w:val="22"/>
                <w:lang w:val="es-EC" w:eastAsia="en-US"/>
              </w:rPr>
              <w:t>Predio Números:</w:t>
            </w:r>
          </w:p>
        </w:tc>
        <w:tc>
          <w:tcPr>
            <w:tcW w:w="6793" w:type="dxa"/>
            <w:gridSpan w:val="3"/>
            <w:shd w:val="clear" w:color="auto" w:fill="auto"/>
          </w:tcPr>
          <w:p w14:paraId="3B01EA2D" w14:textId="77777777" w:rsidR="005A34BF" w:rsidRPr="003A02D8" w:rsidRDefault="005A34BF" w:rsidP="003A02D8">
            <w:pPr>
              <w:spacing w:after="240" w:line="276" w:lineRule="auto"/>
              <w:contextualSpacing/>
              <w:jc w:val="both"/>
              <w:rPr>
                <w:sz w:val="22"/>
                <w:szCs w:val="22"/>
                <w:lang w:val="es-EC"/>
              </w:rPr>
            </w:pPr>
            <w:r w:rsidRPr="003A02D8">
              <w:rPr>
                <w:sz w:val="22"/>
                <w:szCs w:val="22"/>
                <w:lang w:val="es-EC"/>
              </w:rPr>
              <w:t>3672764/ 3672718/ 3672726/ 3672727/ 3672728/ 3672730/ 3672736/ 3672737/ 3672754/ 3672755/ 3672756/ 3672760/ 3672761/ 3672762</w:t>
            </w:r>
          </w:p>
          <w:p w14:paraId="538181C2" w14:textId="77777777" w:rsidR="005A34BF" w:rsidRPr="003A02D8" w:rsidRDefault="005A34BF" w:rsidP="003A02D8">
            <w:pPr>
              <w:spacing w:after="240" w:line="276" w:lineRule="auto"/>
              <w:contextualSpacing/>
              <w:jc w:val="both"/>
              <w:rPr>
                <w:sz w:val="22"/>
                <w:szCs w:val="22"/>
                <w:lang w:val="es-EC"/>
              </w:rPr>
            </w:pPr>
          </w:p>
          <w:p w14:paraId="2A5BDF45" w14:textId="77777777" w:rsidR="005A34BF" w:rsidRPr="003A02D8" w:rsidRDefault="000136E6" w:rsidP="003A02D8">
            <w:pPr>
              <w:spacing w:after="240" w:line="276" w:lineRule="auto"/>
              <w:contextualSpacing/>
              <w:jc w:val="both"/>
              <w:rPr>
                <w:sz w:val="22"/>
                <w:szCs w:val="22"/>
                <w:lang w:val="es-EC"/>
              </w:rPr>
            </w:pPr>
            <w:r>
              <w:rPr>
                <w:rStyle w:val="Refdecomentario"/>
              </w:rPr>
              <w:commentReference w:id="4"/>
            </w:r>
          </w:p>
        </w:tc>
      </w:tr>
      <w:tr w:rsidR="00011CDC" w:rsidRPr="0072591E" w14:paraId="64306E69" w14:textId="77777777" w:rsidTr="003A02D8">
        <w:trPr>
          <w:trHeight w:val="235"/>
        </w:trPr>
        <w:tc>
          <w:tcPr>
            <w:tcW w:w="2104" w:type="dxa"/>
            <w:shd w:val="clear" w:color="auto" w:fill="auto"/>
          </w:tcPr>
          <w:p w14:paraId="5A8C9C6F" w14:textId="77777777" w:rsidR="00011CDC" w:rsidRPr="003A02D8" w:rsidRDefault="00011CDC" w:rsidP="003A02D8">
            <w:pPr>
              <w:spacing w:after="240" w:line="276" w:lineRule="auto"/>
              <w:contextualSpacing/>
              <w:jc w:val="both"/>
              <w:rPr>
                <w:sz w:val="22"/>
                <w:szCs w:val="22"/>
                <w:lang w:val="es-EC"/>
              </w:rPr>
            </w:pPr>
            <w:r w:rsidRPr="003A02D8">
              <w:rPr>
                <w:b/>
                <w:sz w:val="22"/>
                <w:szCs w:val="22"/>
                <w:lang w:val="es-EC" w:eastAsia="en-US"/>
              </w:rPr>
              <w:t>Zonificación actual:</w:t>
            </w:r>
          </w:p>
        </w:tc>
        <w:tc>
          <w:tcPr>
            <w:tcW w:w="2264" w:type="dxa"/>
            <w:shd w:val="clear" w:color="auto" w:fill="auto"/>
          </w:tcPr>
          <w:p w14:paraId="5F5A3D97"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D5(D304-80)</w:t>
            </w:r>
          </w:p>
        </w:tc>
        <w:tc>
          <w:tcPr>
            <w:tcW w:w="1954" w:type="dxa"/>
            <w:shd w:val="clear" w:color="auto" w:fill="auto"/>
          </w:tcPr>
          <w:p w14:paraId="23F9BFF2"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D7(D408-70)</w:t>
            </w:r>
          </w:p>
        </w:tc>
        <w:tc>
          <w:tcPr>
            <w:tcW w:w="2575" w:type="dxa"/>
            <w:shd w:val="clear" w:color="auto" w:fill="auto"/>
          </w:tcPr>
          <w:p w14:paraId="3F456495"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A31 (PQ)</w:t>
            </w:r>
          </w:p>
        </w:tc>
      </w:tr>
      <w:tr w:rsidR="00011CDC" w:rsidRPr="0072591E" w14:paraId="3C043105" w14:textId="77777777" w:rsidTr="003A02D8">
        <w:trPr>
          <w:trHeight w:val="211"/>
        </w:trPr>
        <w:tc>
          <w:tcPr>
            <w:tcW w:w="2104" w:type="dxa"/>
            <w:shd w:val="clear" w:color="auto" w:fill="auto"/>
          </w:tcPr>
          <w:p w14:paraId="31089A85" w14:textId="77777777" w:rsidR="00011CDC" w:rsidRPr="003A02D8" w:rsidRDefault="00011CDC" w:rsidP="003A02D8">
            <w:pPr>
              <w:spacing w:after="240" w:line="276" w:lineRule="auto"/>
              <w:contextualSpacing/>
              <w:jc w:val="both"/>
              <w:rPr>
                <w:b/>
                <w:sz w:val="22"/>
                <w:szCs w:val="22"/>
                <w:lang w:val="es-EC" w:eastAsia="en-US"/>
              </w:rPr>
            </w:pPr>
            <w:r w:rsidRPr="003A02D8">
              <w:rPr>
                <w:b/>
                <w:sz w:val="22"/>
                <w:szCs w:val="22"/>
                <w:lang w:val="es-EC" w:eastAsia="en-US"/>
              </w:rPr>
              <w:t>Lote mínimo:</w:t>
            </w:r>
          </w:p>
        </w:tc>
        <w:tc>
          <w:tcPr>
            <w:tcW w:w="2264" w:type="dxa"/>
            <w:shd w:val="clear" w:color="auto" w:fill="auto"/>
          </w:tcPr>
          <w:p w14:paraId="321CBB21" w14:textId="77777777" w:rsidR="00011CDC" w:rsidRPr="003A02D8" w:rsidRDefault="00011CDC" w:rsidP="003A02D8">
            <w:pPr>
              <w:spacing w:after="240" w:line="276" w:lineRule="auto"/>
              <w:contextualSpacing/>
              <w:jc w:val="both"/>
              <w:rPr>
                <w:b/>
                <w:sz w:val="22"/>
                <w:szCs w:val="22"/>
                <w:lang w:val="es-EC" w:eastAsia="en-US"/>
              </w:rPr>
            </w:pPr>
            <w:r w:rsidRPr="003A02D8">
              <w:rPr>
                <w:color w:val="000000"/>
                <w:sz w:val="22"/>
                <w:szCs w:val="22"/>
                <w:lang w:val="es-EC"/>
              </w:rPr>
              <w:t>300 m2</w:t>
            </w:r>
          </w:p>
        </w:tc>
        <w:tc>
          <w:tcPr>
            <w:tcW w:w="1954" w:type="dxa"/>
            <w:shd w:val="clear" w:color="auto" w:fill="auto"/>
          </w:tcPr>
          <w:p w14:paraId="1343C086"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400 m2</w:t>
            </w:r>
          </w:p>
        </w:tc>
        <w:tc>
          <w:tcPr>
            <w:tcW w:w="2575" w:type="dxa"/>
            <w:shd w:val="clear" w:color="auto" w:fill="auto"/>
          </w:tcPr>
          <w:p w14:paraId="293D9EDC"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0 m2</w:t>
            </w:r>
          </w:p>
        </w:tc>
      </w:tr>
      <w:tr w:rsidR="00011CDC" w:rsidRPr="0072591E" w14:paraId="3EB77829" w14:textId="77777777" w:rsidTr="003A02D8">
        <w:trPr>
          <w:trHeight w:val="211"/>
        </w:trPr>
        <w:tc>
          <w:tcPr>
            <w:tcW w:w="2104" w:type="dxa"/>
            <w:shd w:val="clear" w:color="auto" w:fill="auto"/>
          </w:tcPr>
          <w:p w14:paraId="07D95128" w14:textId="77777777" w:rsidR="00011CDC" w:rsidRPr="003A02D8" w:rsidRDefault="00011CDC" w:rsidP="003A02D8">
            <w:pPr>
              <w:spacing w:after="240" w:line="276" w:lineRule="auto"/>
              <w:contextualSpacing/>
              <w:jc w:val="both"/>
              <w:rPr>
                <w:b/>
                <w:sz w:val="22"/>
                <w:szCs w:val="22"/>
                <w:lang w:val="es-EC" w:eastAsia="en-US"/>
              </w:rPr>
            </w:pPr>
            <w:r w:rsidRPr="003A02D8">
              <w:rPr>
                <w:b/>
                <w:sz w:val="22"/>
                <w:szCs w:val="22"/>
                <w:lang w:val="es-EC"/>
              </w:rPr>
              <w:t>Número de lotes:</w:t>
            </w:r>
          </w:p>
        </w:tc>
        <w:tc>
          <w:tcPr>
            <w:tcW w:w="6793" w:type="dxa"/>
            <w:gridSpan w:val="3"/>
            <w:shd w:val="clear" w:color="auto" w:fill="auto"/>
          </w:tcPr>
          <w:p w14:paraId="370B11D2"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81</w:t>
            </w:r>
          </w:p>
        </w:tc>
      </w:tr>
      <w:tr w:rsidR="00011CDC" w:rsidRPr="0072591E" w14:paraId="2AE37421" w14:textId="77777777" w:rsidTr="003A02D8">
        <w:trPr>
          <w:trHeight w:val="201"/>
        </w:trPr>
        <w:tc>
          <w:tcPr>
            <w:tcW w:w="2104" w:type="dxa"/>
            <w:shd w:val="clear" w:color="auto" w:fill="auto"/>
          </w:tcPr>
          <w:p w14:paraId="1F8992B1" w14:textId="77777777" w:rsidR="00011CDC" w:rsidRPr="003A02D8" w:rsidRDefault="00011CDC" w:rsidP="003A02D8">
            <w:pPr>
              <w:spacing w:after="240" w:line="276" w:lineRule="auto"/>
              <w:contextualSpacing/>
              <w:jc w:val="both"/>
              <w:rPr>
                <w:b/>
                <w:sz w:val="22"/>
                <w:szCs w:val="22"/>
                <w:lang w:val="es-EC" w:eastAsia="en-US"/>
              </w:rPr>
            </w:pPr>
            <w:r w:rsidRPr="003A02D8">
              <w:rPr>
                <w:b/>
                <w:sz w:val="22"/>
                <w:szCs w:val="22"/>
                <w:lang w:val="es-EC" w:eastAsia="en-US"/>
              </w:rPr>
              <w:t>Forma ocupación del suelo:</w:t>
            </w:r>
          </w:p>
        </w:tc>
        <w:tc>
          <w:tcPr>
            <w:tcW w:w="2264" w:type="dxa"/>
            <w:shd w:val="clear" w:color="auto" w:fill="auto"/>
          </w:tcPr>
          <w:p w14:paraId="7BCD42F3" w14:textId="77777777" w:rsidR="00011CDC" w:rsidRPr="003A02D8" w:rsidRDefault="00011CDC" w:rsidP="003A02D8">
            <w:pPr>
              <w:spacing w:after="240" w:line="276" w:lineRule="auto"/>
              <w:contextualSpacing/>
              <w:jc w:val="both"/>
              <w:rPr>
                <w:b/>
                <w:sz w:val="22"/>
                <w:szCs w:val="22"/>
                <w:lang w:val="es-EC" w:eastAsia="en-US"/>
              </w:rPr>
            </w:pPr>
            <w:r w:rsidRPr="003A02D8">
              <w:rPr>
                <w:color w:val="000000"/>
                <w:sz w:val="22"/>
                <w:szCs w:val="22"/>
                <w:lang w:val="es-EC"/>
              </w:rPr>
              <w:t>(D) Sobre línea de fábrica</w:t>
            </w:r>
          </w:p>
        </w:tc>
        <w:tc>
          <w:tcPr>
            <w:tcW w:w="1954" w:type="dxa"/>
            <w:shd w:val="clear" w:color="auto" w:fill="auto"/>
          </w:tcPr>
          <w:p w14:paraId="0C8E5C64" w14:textId="77777777" w:rsidR="00011CDC" w:rsidRPr="003A02D8" w:rsidRDefault="00011CDC" w:rsidP="003A02D8">
            <w:pPr>
              <w:spacing w:after="240" w:line="276" w:lineRule="auto"/>
              <w:contextualSpacing/>
              <w:jc w:val="both"/>
              <w:rPr>
                <w:b/>
                <w:sz w:val="22"/>
                <w:szCs w:val="22"/>
                <w:lang w:val="es-EC" w:eastAsia="en-US"/>
              </w:rPr>
            </w:pPr>
            <w:r w:rsidRPr="003A02D8">
              <w:rPr>
                <w:color w:val="000000"/>
                <w:sz w:val="22"/>
                <w:szCs w:val="22"/>
                <w:lang w:val="es-EC"/>
              </w:rPr>
              <w:t>(D) Sobre línea de fábrica</w:t>
            </w:r>
          </w:p>
        </w:tc>
        <w:tc>
          <w:tcPr>
            <w:tcW w:w="2575" w:type="dxa"/>
            <w:shd w:val="clear" w:color="auto" w:fill="auto"/>
          </w:tcPr>
          <w:p w14:paraId="4C7B2266"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(A) Aislada</w:t>
            </w:r>
          </w:p>
        </w:tc>
      </w:tr>
      <w:tr w:rsidR="00011CDC" w:rsidRPr="0072591E" w14:paraId="13982CF5" w14:textId="77777777" w:rsidTr="003A02D8">
        <w:trPr>
          <w:trHeight w:val="176"/>
        </w:trPr>
        <w:tc>
          <w:tcPr>
            <w:tcW w:w="2104" w:type="dxa"/>
            <w:shd w:val="clear" w:color="auto" w:fill="auto"/>
          </w:tcPr>
          <w:p w14:paraId="72EADDFE" w14:textId="77777777" w:rsidR="00011CDC" w:rsidRPr="003A02D8" w:rsidRDefault="00011CDC" w:rsidP="003A02D8">
            <w:pPr>
              <w:spacing w:after="240" w:line="276" w:lineRule="auto"/>
              <w:contextualSpacing/>
              <w:jc w:val="both"/>
              <w:rPr>
                <w:b/>
                <w:sz w:val="22"/>
                <w:szCs w:val="22"/>
                <w:lang w:val="es-EC" w:eastAsia="en-US"/>
              </w:rPr>
            </w:pPr>
            <w:r w:rsidRPr="003A02D8">
              <w:rPr>
                <w:b/>
                <w:sz w:val="22"/>
                <w:szCs w:val="22"/>
                <w:lang w:val="es-EC" w:eastAsia="en-US"/>
              </w:rPr>
              <w:t>Uso principal del suelo:</w:t>
            </w:r>
          </w:p>
        </w:tc>
        <w:tc>
          <w:tcPr>
            <w:tcW w:w="2264" w:type="dxa"/>
            <w:shd w:val="clear" w:color="auto" w:fill="auto"/>
          </w:tcPr>
          <w:p w14:paraId="37534878" w14:textId="77777777" w:rsidR="00011CDC" w:rsidRPr="003A02D8" w:rsidRDefault="00011CDC" w:rsidP="003A02D8">
            <w:pPr>
              <w:spacing w:after="240" w:line="276" w:lineRule="auto"/>
              <w:contextualSpacing/>
              <w:jc w:val="both"/>
              <w:rPr>
                <w:sz w:val="22"/>
                <w:szCs w:val="22"/>
                <w:lang w:val="es-EC"/>
              </w:rPr>
            </w:pPr>
            <w:r w:rsidRPr="003A02D8">
              <w:rPr>
                <w:color w:val="000000"/>
                <w:sz w:val="22"/>
                <w:szCs w:val="22"/>
                <w:lang w:val="es-EC"/>
              </w:rPr>
              <w:t>(RU3) Residencial Urbano 3</w:t>
            </w:r>
          </w:p>
        </w:tc>
        <w:tc>
          <w:tcPr>
            <w:tcW w:w="1954" w:type="dxa"/>
            <w:shd w:val="clear" w:color="auto" w:fill="auto"/>
          </w:tcPr>
          <w:p w14:paraId="110FEC5A" w14:textId="77777777" w:rsidR="00011CDC" w:rsidRPr="003A02D8" w:rsidRDefault="00011CDC" w:rsidP="003A02D8">
            <w:pPr>
              <w:spacing w:after="240" w:line="276" w:lineRule="auto"/>
              <w:contextualSpacing/>
              <w:jc w:val="both"/>
              <w:rPr>
                <w:sz w:val="22"/>
                <w:szCs w:val="22"/>
                <w:lang w:val="es-EC"/>
              </w:rPr>
            </w:pPr>
            <w:r w:rsidRPr="003A02D8">
              <w:rPr>
                <w:color w:val="000000"/>
                <w:sz w:val="22"/>
                <w:szCs w:val="22"/>
                <w:lang w:val="es-EC"/>
              </w:rPr>
              <w:t>(M) Múltiple</w:t>
            </w:r>
          </w:p>
        </w:tc>
        <w:tc>
          <w:tcPr>
            <w:tcW w:w="2575" w:type="dxa"/>
            <w:shd w:val="clear" w:color="auto" w:fill="auto"/>
          </w:tcPr>
          <w:p w14:paraId="2AEAFA7C" w14:textId="77777777" w:rsidR="00011CDC" w:rsidRPr="003A02D8" w:rsidRDefault="00011CDC" w:rsidP="003A02D8">
            <w:pPr>
              <w:spacing w:after="240" w:line="276" w:lineRule="auto"/>
              <w:contextualSpacing/>
              <w:jc w:val="both"/>
              <w:rPr>
                <w:color w:val="000000"/>
                <w:sz w:val="22"/>
                <w:szCs w:val="22"/>
                <w:lang w:val="es-EC"/>
              </w:rPr>
            </w:pPr>
            <w:r w:rsidRPr="003A02D8">
              <w:rPr>
                <w:color w:val="000000"/>
                <w:sz w:val="22"/>
                <w:szCs w:val="22"/>
                <w:lang w:val="es-EC"/>
              </w:rPr>
              <w:t>(PE/CPN) Protección Ecológica/ Conservación del Patrimonio Natural</w:t>
            </w:r>
          </w:p>
        </w:tc>
      </w:tr>
      <w:tr w:rsidR="00011CDC" w:rsidRPr="0072591E" w14:paraId="5CA58219" w14:textId="77777777" w:rsidTr="003A02D8">
        <w:trPr>
          <w:trHeight w:val="165"/>
        </w:trPr>
        <w:tc>
          <w:tcPr>
            <w:tcW w:w="2104" w:type="dxa"/>
            <w:shd w:val="clear" w:color="auto" w:fill="auto"/>
          </w:tcPr>
          <w:p w14:paraId="50017889" w14:textId="77777777" w:rsidR="00011CDC" w:rsidRPr="003A02D8" w:rsidRDefault="00011CDC" w:rsidP="003A02D8">
            <w:pPr>
              <w:spacing w:after="240" w:line="276" w:lineRule="auto"/>
              <w:contextualSpacing/>
              <w:jc w:val="both"/>
              <w:rPr>
                <w:b/>
                <w:sz w:val="22"/>
                <w:szCs w:val="22"/>
                <w:lang w:val="es-EC" w:eastAsia="en-US"/>
              </w:rPr>
            </w:pPr>
            <w:r w:rsidRPr="003A02D8">
              <w:rPr>
                <w:b/>
                <w:sz w:val="22"/>
                <w:szCs w:val="22"/>
                <w:lang w:val="es-EC" w:eastAsia="en-US"/>
              </w:rPr>
              <w:t>Clasificación del Suelo:</w:t>
            </w:r>
          </w:p>
        </w:tc>
        <w:tc>
          <w:tcPr>
            <w:tcW w:w="6793" w:type="dxa"/>
            <w:gridSpan w:val="3"/>
            <w:shd w:val="clear" w:color="auto" w:fill="auto"/>
          </w:tcPr>
          <w:p w14:paraId="637A0F30" w14:textId="77777777" w:rsidR="00011CDC" w:rsidRPr="003A02D8" w:rsidRDefault="00011CDC" w:rsidP="003A02D8">
            <w:pPr>
              <w:spacing w:after="240" w:line="276" w:lineRule="auto"/>
              <w:contextualSpacing/>
              <w:jc w:val="center"/>
              <w:rPr>
                <w:color w:val="000000"/>
                <w:sz w:val="22"/>
                <w:szCs w:val="22"/>
                <w:lang w:val="es-EC"/>
              </w:rPr>
            </w:pPr>
            <w:r w:rsidRPr="003A02D8">
              <w:rPr>
                <w:color w:val="000000"/>
                <w:sz w:val="22"/>
                <w:szCs w:val="22"/>
                <w:lang w:val="es-EC"/>
              </w:rPr>
              <w:t>(SU) Suelo Urbano</w:t>
            </w:r>
          </w:p>
        </w:tc>
      </w:tr>
      <w:tr w:rsidR="00011CDC" w:rsidRPr="0072591E" w14:paraId="00C92555" w14:textId="77777777" w:rsidTr="003A02D8">
        <w:trPr>
          <w:trHeight w:val="273"/>
        </w:trPr>
        <w:tc>
          <w:tcPr>
            <w:tcW w:w="2104" w:type="dxa"/>
            <w:shd w:val="clear" w:color="auto" w:fill="auto"/>
          </w:tcPr>
          <w:p w14:paraId="547CD4DE" w14:textId="77777777" w:rsidR="00011CDC" w:rsidRPr="003A02D8" w:rsidRDefault="00011CDC" w:rsidP="002B31AE">
            <w:pPr>
              <w:pStyle w:val="Cuadrculamedia2"/>
              <w:rPr>
                <w:rFonts w:ascii="Times New Roman" w:hAnsi="Times New Roman"/>
                <w:b/>
              </w:rPr>
            </w:pPr>
            <w:r w:rsidRPr="003A02D8">
              <w:rPr>
                <w:rFonts w:ascii="Times New Roman" w:hAnsi="Times New Roman"/>
                <w:b/>
              </w:rPr>
              <w:t>Área útil de lotes:</w:t>
            </w:r>
          </w:p>
        </w:tc>
        <w:tc>
          <w:tcPr>
            <w:tcW w:w="6793" w:type="dxa"/>
            <w:gridSpan w:val="3"/>
            <w:shd w:val="clear" w:color="auto" w:fill="auto"/>
          </w:tcPr>
          <w:p w14:paraId="53FF360B" w14:textId="77777777" w:rsidR="00011CDC" w:rsidRPr="003A02D8" w:rsidRDefault="008833A6" w:rsidP="003A02D8">
            <w:pPr>
              <w:pStyle w:val="Cuadrculamedia2"/>
              <w:jc w:val="center"/>
              <w:rPr>
                <w:rFonts w:ascii="Times New Roman" w:hAnsi="Times New Roman"/>
                <w:color w:val="000000"/>
              </w:rPr>
            </w:pPr>
            <w:r w:rsidRPr="003A02D8">
              <w:rPr>
                <w:rFonts w:ascii="Times New Roman" w:hAnsi="Times New Roman"/>
                <w:color w:val="000000"/>
              </w:rPr>
              <w:t>22.910,94</w:t>
            </w:r>
            <w:r w:rsidR="00011CDC" w:rsidRPr="003A02D8">
              <w:rPr>
                <w:rFonts w:ascii="Times New Roman" w:hAnsi="Times New Roman"/>
                <w:color w:val="000000"/>
              </w:rPr>
              <w:t xml:space="preserve"> </w:t>
            </w:r>
            <w:r w:rsidR="00011CDC" w:rsidRPr="003A02D8">
              <w:rPr>
                <w:rFonts w:ascii="Times New Roman" w:hAnsi="Times New Roman"/>
              </w:rPr>
              <w:t>m2</w:t>
            </w:r>
          </w:p>
        </w:tc>
      </w:tr>
      <w:tr w:rsidR="00011CDC" w:rsidRPr="0072591E" w14:paraId="629B6085" w14:textId="77777777" w:rsidTr="003A02D8">
        <w:trPr>
          <w:trHeight w:val="264"/>
        </w:trPr>
        <w:tc>
          <w:tcPr>
            <w:tcW w:w="2104" w:type="dxa"/>
            <w:shd w:val="clear" w:color="auto" w:fill="auto"/>
          </w:tcPr>
          <w:p w14:paraId="3FA9DF7B" w14:textId="77777777" w:rsidR="00011CDC" w:rsidRPr="003A02D8" w:rsidRDefault="00011CDC" w:rsidP="00457FD6">
            <w:pPr>
              <w:pStyle w:val="Cuadrculamedia2"/>
              <w:rPr>
                <w:rFonts w:ascii="Times New Roman" w:hAnsi="Times New Roman"/>
                <w:b/>
              </w:rPr>
            </w:pPr>
            <w:r w:rsidRPr="003A02D8">
              <w:rPr>
                <w:rFonts w:ascii="Times New Roman" w:hAnsi="Times New Roman"/>
                <w:b/>
              </w:rPr>
              <w:t xml:space="preserve">Área de </w:t>
            </w:r>
            <w:r w:rsidR="00457FD6" w:rsidRPr="003A02D8">
              <w:rPr>
                <w:rFonts w:ascii="Times New Roman" w:hAnsi="Times New Roman"/>
                <w:b/>
              </w:rPr>
              <w:t>Calles y Pasajes</w:t>
            </w:r>
            <w:r w:rsidRPr="003A02D8">
              <w:rPr>
                <w:rFonts w:ascii="Times New Roman" w:hAnsi="Times New Roman"/>
                <w:b/>
              </w:rPr>
              <w:t>:</w:t>
            </w:r>
          </w:p>
        </w:tc>
        <w:tc>
          <w:tcPr>
            <w:tcW w:w="6793" w:type="dxa"/>
            <w:gridSpan w:val="3"/>
            <w:shd w:val="clear" w:color="auto" w:fill="auto"/>
          </w:tcPr>
          <w:p w14:paraId="72EF54F6" w14:textId="77777777" w:rsidR="00011CDC" w:rsidRPr="003A02D8" w:rsidRDefault="008833A6" w:rsidP="003A02D8">
            <w:pPr>
              <w:pStyle w:val="Cuadrculamedia2"/>
              <w:jc w:val="center"/>
              <w:rPr>
                <w:rFonts w:ascii="Times New Roman" w:hAnsi="Times New Roman"/>
              </w:rPr>
            </w:pPr>
            <w:r w:rsidRPr="003A02D8">
              <w:rPr>
                <w:rFonts w:ascii="Times New Roman" w:hAnsi="Times New Roman"/>
              </w:rPr>
              <w:t>4.260, 31</w:t>
            </w:r>
            <w:r w:rsidR="00011CDC" w:rsidRPr="003A02D8">
              <w:rPr>
                <w:rFonts w:ascii="Times New Roman" w:hAnsi="Times New Roman"/>
              </w:rPr>
              <w:t xml:space="preserve"> m2</w:t>
            </w:r>
          </w:p>
        </w:tc>
      </w:tr>
      <w:tr w:rsidR="00011CDC" w:rsidRPr="0072591E" w14:paraId="2AE03A81" w14:textId="77777777" w:rsidTr="003A02D8">
        <w:trPr>
          <w:trHeight w:val="281"/>
        </w:trPr>
        <w:tc>
          <w:tcPr>
            <w:tcW w:w="2104" w:type="dxa"/>
            <w:shd w:val="clear" w:color="auto" w:fill="auto"/>
          </w:tcPr>
          <w:p w14:paraId="7DD2B198" w14:textId="77777777" w:rsidR="00011CDC" w:rsidRPr="003A02D8" w:rsidRDefault="00011CDC" w:rsidP="008833A6">
            <w:pPr>
              <w:pStyle w:val="Cuadrculamedia2"/>
              <w:rPr>
                <w:rFonts w:ascii="Times New Roman" w:hAnsi="Times New Roman"/>
                <w:b/>
              </w:rPr>
            </w:pPr>
            <w:r w:rsidRPr="003A02D8">
              <w:rPr>
                <w:rFonts w:ascii="Times New Roman" w:hAnsi="Times New Roman"/>
                <w:b/>
              </w:rPr>
              <w:t xml:space="preserve">Área de Faja de Protección por </w:t>
            </w:r>
            <w:r w:rsidR="008833A6" w:rsidRPr="003A02D8">
              <w:rPr>
                <w:rFonts w:ascii="Times New Roman" w:hAnsi="Times New Roman"/>
                <w:b/>
              </w:rPr>
              <w:t>Borde de Quebrada Rellena</w:t>
            </w:r>
            <w:r w:rsidRPr="003A02D8">
              <w:rPr>
                <w:rFonts w:ascii="Times New Roman" w:hAnsi="Times New Roman"/>
                <w:b/>
              </w:rPr>
              <w:t xml:space="preserve"> en Lotes:</w:t>
            </w:r>
          </w:p>
        </w:tc>
        <w:tc>
          <w:tcPr>
            <w:tcW w:w="6793" w:type="dxa"/>
            <w:gridSpan w:val="3"/>
            <w:shd w:val="clear" w:color="auto" w:fill="auto"/>
          </w:tcPr>
          <w:p w14:paraId="16F407E9" w14:textId="77777777" w:rsidR="00011CDC" w:rsidRPr="003A02D8" w:rsidRDefault="008833A6" w:rsidP="003A02D8">
            <w:pPr>
              <w:pStyle w:val="Cuadrculamedia2"/>
              <w:jc w:val="center"/>
              <w:rPr>
                <w:rFonts w:ascii="Times New Roman" w:hAnsi="Times New Roman"/>
              </w:rPr>
            </w:pPr>
            <w:r w:rsidRPr="003A02D8">
              <w:rPr>
                <w:rFonts w:ascii="Times New Roman" w:hAnsi="Times New Roman"/>
              </w:rPr>
              <w:t>117,43</w:t>
            </w:r>
            <w:r w:rsidR="00011CDC" w:rsidRPr="003A02D8">
              <w:rPr>
                <w:rFonts w:ascii="Times New Roman" w:hAnsi="Times New Roman"/>
              </w:rPr>
              <w:t xml:space="preserve"> m2</w:t>
            </w:r>
          </w:p>
        </w:tc>
      </w:tr>
      <w:tr w:rsidR="008833A6" w:rsidRPr="0072591E" w14:paraId="2263F053" w14:textId="77777777" w:rsidTr="003A02D8">
        <w:trPr>
          <w:trHeight w:val="286"/>
        </w:trPr>
        <w:tc>
          <w:tcPr>
            <w:tcW w:w="2104" w:type="dxa"/>
            <w:shd w:val="clear" w:color="auto" w:fill="auto"/>
          </w:tcPr>
          <w:p w14:paraId="77313DED" w14:textId="77777777" w:rsidR="008833A6" w:rsidRPr="003A02D8" w:rsidRDefault="008833A6" w:rsidP="00320937">
            <w:pPr>
              <w:pStyle w:val="Cuadrculamedia2"/>
              <w:rPr>
                <w:rFonts w:ascii="Times New Roman" w:hAnsi="Times New Roman"/>
                <w:b/>
              </w:rPr>
            </w:pPr>
            <w:r w:rsidRPr="003A02D8">
              <w:rPr>
                <w:rFonts w:ascii="Times New Roman" w:hAnsi="Times New Roman"/>
                <w:b/>
              </w:rPr>
              <w:t>Área de Relleno de Quebrada en Lotes:</w:t>
            </w:r>
          </w:p>
        </w:tc>
        <w:tc>
          <w:tcPr>
            <w:tcW w:w="6793" w:type="dxa"/>
            <w:gridSpan w:val="3"/>
            <w:shd w:val="clear" w:color="auto" w:fill="auto"/>
          </w:tcPr>
          <w:p w14:paraId="3721AFD9" w14:textId="77777777" w:rsidR="008833A6" w:rsidRPr="003A02D8" w:rsidRDefault="008833A6" w:rsidP="003A02D8">
            <w:pPr>
              <w:pStyle w:val="Cuadrculamedia2"/>
              <w:jc w:val="center"/>
              <w:rPr>
                <w:rFonts w:ascii="Times New Roman" w:hAnsi="Times New Roman"/>
              </w:rPr>
            </w:pPr>
            <w:r w:rsidRPr="003A02D8">
              <w:rPr>
                <w:rFonts w:ascii="Times New Roman" w:hAnsi="Times New Roman"/>
              </w:rPr>
              <w:t>40,57 m2</w:t>
            </w:r>
          </w:p>
        </w:tc>
      </w:tr>
      <w:tr w:rsidR="00011CDC" w:rsidRPr="0072591E" w14:paraId="1C55B063" w14:textId="77777777" w:rsidTr="003A02D8">
        <w:trPr>
          <w:trHeight w:val="286"/>
        </w:trPr>
        <w:tc>
          <w:tcPr>
            <w:tcW w:w="2104" w:type="dxa"/>
            <w:shd w:val="clear" w:color="auto" w:fill="auto"/>
          </w:tcPr>
          <w:p w14:paraId="6F07677B" w14:textId="77777777" w:rsidR="00011CDC" w:rsidRPr="003A02D8" w:rsidRDefault="00011CDC" w:rsidP="00320937">
            <w:pPr>
              <w:pStyle w:val="Cuadrculamedia2"/>
              <w:rPr>
                <w:rFonts w:ascii="Times New Roman" w:hAnsi="Times New Roman"/>
                <w:b/>
              </w:rPr>
            </w:pPr>
            <w:r w:rsidRPr="003A02D8">
              <w:rPr>
                <w:rFonts w:ascii="Times New Roman" w:hAnsi="Times New Roman"/>
                <w:b/>
              </w:rPr>
              <w:t>Área total del  terreno:</w:t>
            </w:r>
          </w:p>
        </w:tc>
        <w:tc>
          <w:tcPr>
            <w:tcW w:w="6793" w:type="dxa"/>
            <w:gridSpan w:val="3"/>
            <w:shd w:val="clear" w:color="auto" w:fill="auto"/>
          </w:tcPr>
          <w:p w14:paraId="0A19D6E4" w14:textId="77777777" w:rsidR="00011CDC" w:rsidRPr="003A02D8" w:rsidRDefault="008833A6" w:rsidP="003A02D8">
            <w:pPr>
              <w:pStyle w:val="Cuadrculamedia2"/>
              <w:jc w:val="center"/>
              <w:rPr>
                <w:rFonts w:ascii="Times New Roman" w:hAnsi="Times New Roman"/>
              </w:rPr>
            </w:pPr>
            <w:r w:rsidRPr="003A02D8">
              <w:rPr>
                <w:rFonts w:ascii="Times New Roman" w:hAnsi="Times New Roman"/>
              </w:rPr>
              <w:t>27.329,25</w:t>
            </w:r>
            <w:r w:rsidR="00011CDC" w:rsidRPr="003A02D8">
              <w:rPr>
                <w:rFonts w:ascii="Times New Roman" w:hAnsi="Times New Roman"/>
              </w:rPr>
              <w:t xml:space="preserve"> m2</w:t>
            </w:r>
          </w:p>
        </w:tc>
      </w:tr>
    </w:tbl>
    <w:p w14:paraId="1E5C8B5A" w14:textId="77777777" w:rsidR="00754F12" w:rsidRPr="0072591E" w:rsidRDefault="00754F12" w:rsidP="00754F12">
      <w:pPr>
        <w:pStyle w:val="Cuadrculamedia2"/>
        <w:rPr>
          <w:rFonts w:ascii="Times New Roman" w:hAnsi="Times New Roman"/>
        </w:rPr>
      </w:pPr>
    </w:p>
    <w:p w14:paraId="5F5AB6D0" w14:textId="77777777" w:rsidR="00D26BFF" w:rsidRDefault="00754F12" w:rsidP="00754F12">
      <w:pPr>
        <w:pStyle w:val="Textoindependiente"/>
        <w:spacing w:line="276" w:lineRule="auto"/>
        <w:jc w:val="both"/>
        <w:rPr>
          <w:sz w:val="22"/>
          <w:szCs w:val="22"/>
        </w:rPr>
      </w:pPr>
      <w:r w:rsidRPr="0072591E">
        <w:rPr>
          <w:sz w:val="22"/>
          <w:szCs w:val="22"/>
        </w:rPr>
        <w:t>El número total de lotes, producto</w:t>
      </w:r>
      <w:r w:rsidR="008833A6">
        <w:rPr>
          <w:sz w:val="22"/>
          <w:szCs w:val="22"/>
        </w:rPr>
        <w:t xml:space="preserve"> del fraccionamiento, es de 81</w:t>
      </w:r>
      <w:r w:rsidRPr="0072591E">
        <w:rPr>
          <w:sz w:val="22"/>
          <w:szCs w:val="22"/>
        </w:rPr>
        <w:t xml:space="preserve">, </w:t>
      </w:r>
      <w:r w:rsidR="00F108B7" w:rsidRPr="0072591E">
        <w:rPr>
          <w:sz w:val="22"/>
          <w:szCs w:val="22"/>
        </w:rPr>
        <w:t xml:space="preserve">signados del uno (1) al </w:t>
      </w:r>
      <w:r w:rsidR="008833A6">
        <w:rPr>
          <w:sz w:val="22"/>
          <w:szCs w:val="22"/>
        </w:rPr>
        <w:t>ochenta y uno (81</w:t>
      </w:r>
      <w:r w:rsidRPr="0072591E">
        <w:rPr>
          <w:sz w:val="22"/>
          <w:szCs w:val="22"/>
        </w:rPr>
        <w:t>) cuyo detalle es el que consta en los planos aprobatorios que forman parte de la presente Ordenanza.</w:t>
      </w:r>
    </w:p>
    <w:p w14:paraId="36242F77" w14:textId="77777777" w:rsidR="00114B86" w:rsidRPr="00512618" w:rsidRDefault="00E22437" w:rsidP="00114B86">
      <w:pPr>
        <w:spacing w:after="240" w:line="276" w:lineRule="auto"/>
        <w:jc w:val="both"/>
        <w:rPr>
          <w:sz w:val="23"/>
          <w:szCs w:val="23"/>
        </w:rPr>
      </w:pPr>
      <w:r w:rsidRPr="00E22437">
        <w:rPr>
          <w:sz w:val="22"/>
          <w:szCs w:val="22"/>
        </w:rPr>
        <w:t>El área total del predio No. 3672764, es la que consta en la Resolución No. 246-2018 emitida por la Dirección Metropolitana de Catastro, el 02 de julio de 2018, inscrita en el Registro de la Propiedad del Distrito Metropolitano de</w:t>
      </w:r>
      <w:r w:rsidR="00114B86">
        <w:rPr>
          <w:sz w:val="22"/>
          <w:szCs w:val="22"/>
        </w:rPr>
        <w:t xml:space="preserve"> Quito, el 24 de agosto de 2018 </w:t>
      </w:r>
      <w:r w:rsidR="00114B86">
        <w:rPr>
          <w:sz w:val="23"/>
          <w:szCs w:val="23"/>
        </w:rPr>
        <w:t>y se encuentra rectificada y regularizada de conformidad al Art.- IV.1.164 del Código Municipal para el Distrito Metropolitano de Quito.</w:t>
      </w:r>
    </w:p>
    <w:p w14:paraId="253DC345" w14:textId="77777777" w:rsidR="00FD06E6" w:rsidRPr="00512618" w:rsidRDefault="00E22437" w:rsidP="00FD06E6">
      <w:pPr>
        <w:spacing w:after="240" w:line="276" w:lineRule="auto"/>
        <w:jc w:val="both"/>
        <w:rPr>
          <w:sz w:val="23"/>
          <w:szCs w:val="23"/>
        </w:rPr>
      </w:pPr>
      <w:r w:rsidRPr="00E22437">
        <w:rPr>
          <w:sz w:val="22"/>
          <w:szCs w:val="22"/>
        </w:rPr>
        <w:t>El área total del predio No. 3672718, es la que consta en la Cédula Catastral No. 3579 emitida por la Dirección Metropolitana de Catastro, el 09 de julio de 2018, inscrita en el Registro de la Propiedad del Distrito Metropolitano de</w:t>
      </w:r>
      <w:r w:rsidR="00FD06E6">
        <w:rPr>
          <w:sz w:val="22"/>
          <w:szCs w:val="22"/>
        </w:rPr>
        <w:t xml:space="preserve"> Quito, el 28 de agosto de 2018 </w:t>
      </w:r>
      <w:r w:rsidR="00FD06E6">
        <w:rPr>
          <w:sz w:val="23"/>
          <w:szCs w:val="23"/>
        </w:rPr>
        <w:t>y se encuentra rectificada y regularizada de conformidad al Art.- IV.1.164 del Código Municipal para el Distrito Metropolitano de Quito.</w:t>
      </w:r>
    </w:p>
    <w:p w14:paraId="4D78FC24" w14:textId="77777777" w:rsidR="00FD06E6" w:rsidRDefault="00E22437" w:rsidP="00FD06E6">
      <w:pPr>
        <w:spacing w:after="240" w:line="276" w:lineRule="auto"/>
        <w:jc w:val="both"/>
        <w:rPr>
          <w:sz w:val="23"/>
          <w:szCs w:val="23"/>
        </w:rPr>
      </w:pPr>
      <w:r w:rsidRPr="00E22437">
        <w:rPr>
          <w:sz w:val="22"/>
          <w:szCs w:val="22"/>
        </w:rPr>
        <w:t>El área total del predio No. 3672726, es la que consta en la Cédula Catastral No. 3584 emitida por la Dirección Metropolitana de Catastro, el 09 de julio de 2018, inscrita en el Registro de la Propiedad del Distrito Metropolitano de</w:t>
      </w:r>
      <w:r w:rsidR="00FD06E6">
        <w:rPr>
          <w:sz w:val="22"/>
          <w:szCs w:val="22"/>
        </w:rPr>
        <w:t xml:space="preserve"> Quito, el 28 de agosto de 2018 </w:t>
      </w:r>
      <w:r w:rsidR="00FD06E6">
        <w:rPr>
          <w:sz w:val="23"/>
          <w:szCs w:val="23"/>
        </w:rPr>
        <w:t>y se encuentra rectificada y regularizada de conformidad al Art.- IV.1.164 del Código Municipal para el Distrito Metropolitano de Quito.</w:t>
      </w:r>
    </w:p>
    <w:p w14:paraId="356DD542" w14:textId="77777777" w:rsidR="00FD06E6" w:rsidRPr="00512618" w:rsidRDefault="00E22437" w:rsidP="00FD06E6">
      <w:pPr>
        <w:spacing w:after="240" w:line="276" w:lineRule="auto"/>
        <w:jc w:val="both"/>
        <w:rPr>
          <w:sz w:val="23"/>
          <w:szCs w:val="23"/>
        </w:rPr>
      </w:pPr>
      <w:r w:rsidRPr="00E22437">
        <w:rPr>
          <w:sz w:val="22"/>
          <w:szCs w:val="22"/>
        </w:rPr>
        <w:t>El área total del predio No. 3672727, es la que consta en la Cédula Catastral No. 3585 emitida por la Dirección Metropolitana de Catastro, el 09 de julio de 2018, inscrita en el Registro de la Propiedad del Distrito Metropolitano de Quito, el 28 de agosto de 2</w:t>
      </w:r>
      <w:r w:rsidR="00FD06E6">
        <w:rPr>
          <w:sz w:val="22"/>
          <w:szCs w:val="22"/>
        </w:rPr>
        <w:t xml:space="preserve">018 </w:t>
      </w:r>
      <w:r w:rsidR="00FD06E6">
        <w:rPr>
          <w:sz w:val="23"/>
          <w:szCs w:val="23"/>
        </w:rPr>
        <w:t>y se encuentra rectificada y regularizada de conformidad al Art.- IV.1.164 del Código Municipal para el Distrito Metropolitano de Quito.</w:t>
      </w:r>
    </w:p>
    <w:p w14:paraId="519B1932" w14:textId="77777777" w:rsidR="00FD06E6" w:rsidRPr="00512618" w:rsidRDefault="00E22437" w:rsidP="00FD06E6">
      <w:pPr>
        <w:spacing w:after="240" w:line="276" w:lineRule="auto"/>
        <w:jc w:val="both"/>
        <w:rPr>
          <w:sz w:val="23"/>
          <w:szCs w:val="23"/>
        </w:rPr>
      </w:pPr>
      <w:r w:rsidRPr="00E22437">
        <w:rPr>
          <w:sz w:val="22"/>
          <w:szCs w:val="22"/>
        </w:rPr>
        <w:t>El área total del predio No. 3672728, es la que consta en la Cédula Catastral No. 3584 emitida por la Dirección Metropolitana de Catastro, el 09 de julio de 2018, inscrita en el Registro de la Propiedad del Distrito Metropolitano de Quito, el 28 de ag</w:t>
      </w:r>
      <w:r w:rsidR="00FD06E6">
        <w:rPr>
          <w:sz w:val="22"/>
          <w:szCs w:val="22"/>
        </w:rPr>
        <w:t xml:space="preserve">osto de 2018 </w:t>
      </w:r>
      <w:r w:rsidR="00FD06E6">
        <w:rPr>
          <w:sz w:val="23"/>
          <w:szCs w:val="23"/>
        </w:rPr>
        <w:t>y se encuentra rectificada y regularizada de conformidad al Art.- IV.1.164 del Código Municipal para el Distrito Metropolitano de Quito.</w:t>
      </w:r>
    </w:p>
    <w:p w14:paraId="4622734C" w14:textId="77777777" w:rsidR="00FD06E6" w:rsidRPr="00512618" w:rsidRDefault="00E22437" w:rsidP="00FD06E6">
      <w:pPr>
        <w:spacing w:after="240" w:line="276" w:lineRule="auto"/>
        <w:jc w:val="both"/>
        <w:rPr>
          <w:sz w:val="23"/>
          <w:szCs w:val="23"/>
        </w:rPr>
      </w:pPr>
      <w:r w:rsidRPr="00E22437">
        <w:rPr>
          <w:sz w:val="22"/>
          <w:szCs w:val="22"/>
        </w:rPr>
        <w:t>El área total del predio No. 3672730, es la que consta en la Resolución de Excedentes o diferencia de áreas No. 244-2018 emitida por la Dirección Metropolitana de Catastro, el 02 de julio de 2018, inscrita en el Registro de la Propiedad del Distrito Metropolitano de</w:t>
      </w:r>
      <w:r w:rsidR="00FD06E6">
        <w:rPr>
          <w:sz w:val="22"/>
          <w:szCs w:val="22"/>
        </w:rPr>
        <w:t xml:space="preserve"> Quito, el 24 de agosto de 2018 </w:t>
      </w:r>
      <w:r w:rsidR="00FD06E6">
        <w:rPr>
          <w:sz w:val="23"/>
          <w:szCs w:val="23"/>
        </w:rPr>
        <w:t>y se encuentra rectificada y regularizada de conformidad al Art.- IV.1.164 del Código Municipal para el Distrito Metropolitano de Quito.</w:t>
      </w:r>
    </w:p>
    <w:p w14:paraId="32AE062C" w14:textId="77777777" w:rsidR="00FD06E6" w:rsidRPr="00512618" w:rsidRDefault="00E22437" w:rsidP="00FD06E6">
      <w:pPr>
        <w:spacing w:after="240" w:line="276" w:lineRule="auto"/>
        <w:jc w:val="both"/>
        <w:rPr>
          <w:sz w:val="23"/>
          <w:szCs w:val="23"/>
        </w:rPr>
      </w:pPr>
      <w:r w:rsidRPr="00E22437">
        <w:rPr>
          <w:sz w:val="22"/>
          <w:szCs w:val="22"/>
        </w:rPr>
        <w:t>El área total del predio No. 3672736, es la que consta en la Resolución de Excedentes o diferencia de áreas No. 243-2018 emitida por la Dirección Metropolitana de Catastro, el 02 de julio de 2018, inscrita en el Registro de la Propiedad del Distrito Metropolitano de</w:t>
      </w:r>
      <w:r w:rsidR="00FD06E6">
        <w:rPr>
          <w:sz w:val="22"/>
          <w:szCs w:val="22"/>
        </w:rPr>
        <w:t xml:space="preserve"> Quito, el 22 de agosto de 2018 </w:t>
      </w:r>
      <w:r w:rsidR="00FD06E6">
        <w:rPr>
          <w:sz w:val="23"/>
          <w:szCs w:val="23"/>
        </w:rPr>
        <w:t>y se encuentra rectificada y regularizada de conformidad al Art.- IV.1.164 del Código Municipal para el Distrito Metropolitano de Quito.</w:t>
      </w:r>
    </w:p>
    <w:p w14:paraId="592F9E79" w14:textId="77777777" w:rsidR="00FD06E6" w:rsidRPr="00512618" w:rsidRDefault="00E22437" w:rsidP="00FD06E6">
      <w:pPr>
        <w:spacing w:after="240" w:line="276" w:lineRule="auto"/>
        <w:jc w:val="both"/>
        <w:rPr>
          <w:sz w:val="23"/>
          <w:szCs w:val="23"/>
        </w:rPr>
      </w:pPr>
      <w:r w:rsidRPr="00E22437">
        <w:rPr>
          <w:sz w:val="22"/>
          <w:szCs w:val="22"/>
        </w:rPr>
        <w:t>El área total del predio No. 3672737, es la que consta en la Cédula Catastral en unipropiedad número 3581 emitida por la Dirección Metropolitana de Catastro, el 09 de julio de 2018, inscrita en el Registro de la Propiedad del Distrito Metropolitano de</w:t>
      </w:r>
      <w:r w:rsidR="00FD06E6">
        <w:rPr>
          <w:sz w:val="22"/>
          <w:szCs w:val="22"/>
        </w:rPr>
        <w:t xml:space="preserve"> Quito, el 28 de agosto de 2018 </w:t>
      </w:r>
      <w:r w:rsidR="00FD06E6">
        <w:rPr>
          <w:sz w:val="23"/>
          <w:szCs w:val="23"/>
        </w:rPr>
        <w:t>y se encuentra rectificada y regularizada de conformidad al Art.- IV.1.164 del Código Municipal para el Distrito Metropolitano de Quito.</w:t>
      </w:r>
    </w:p>
    <w:p w14:paraId="12DF75A8" w14:textId="77777777" w:rsidR="00FD06E6" w:rsidRPr="00512618" w:rsidRDefault="00E22437" w:rsidP="00FD06E6">
      <w:pPr>
        <w:spacing w:after="240" w:line="276" w:lineRule="auto"/>
        <w:jc w:val="both"/>
        <w:rPr>
          <w:sz w:val="23"/>
          <w:szCs w:val="23"/>
        </w:rPr>
      </w:pPr>
      <w:r w:rsidRPr="00E22437">
        <w:rPr>
          <w:sz w:val="22"/>
          <w:szCs w:val="22"/>
        </w:rPr>
        <w:t>El área total del predio No. 3672754, es la que consta en la Resolución No. 245-2018 emitida por la Dirección Metropolitana de Catastro, el 02 de julio de 2018, inscrita en el Registro de la Propiedad del Distrito Metropolitano de</w:t>
      </w:r>
      <w:r w:rsidR="00FD06E6">
        <w:rPr>
          <w:sz w:val="22"/>
          <w:szCs w:val="22"/>
        </w:rPr>
        <w:t xml:space="preserve"> Quito, el 22 de agosto de 2018 </w:t>
      </w:r>
      <w:r w:rsidR="00FD06E6">
        <w:rPr>
          <w:sz w:val="23"/>
          <w:szCs w:val="23"/>
        </w:rPr>
        <w:t>y se encuentra rectificada y regularizada de conformidad al Art.- IV.1.164 del Código Municipal para el Distrito Metropolitano de Quito.</w:t>
      </w:r>
    </w:p>
    <w:p w14:paraId="21B15E83" w14:textId="77777777" w:rsidR="00FD06E6" w:rsidRPr="00512618" w:rsidRDefault="00E22437" w:rsidP="00FD06E6">
      <w:pPr>
        <w:spacing w:after="240" w:line="276" w:lineRule="auto"/>
        <w:jc w:val="both"/>
        <w:rPr>
          <w:sz w:val="23"/>
          <w:szCs w:val="23"/>
        </w:rPr>
      </w:pPr>
      <w:r w:rsidRPr="00E22437">
        <w:rPr>
          <w:sz w:val="22"/>
          <w:szCs w:val="22"/>
        </w:rPr>
        <w:t>El área total del predio No. 3672755, es la que consta en la Resolución No. 247-2018 emitida por la Dirección Metropolitana de Catastro, el 02 de julio de 2018, inscrita en el Registro de la Propiedad del Distrito Metropolitano de</w:t>
      </w:r>
      <w:r w:rsidR="00FD06E6">
        <w:rPr>
          <w:sz w:val="22"/>
          <w:szCs w:val="22"/>
        </w:rPr>
        <w:t xml:space="preserve"> Quito, el 28 de agosto de 2018 </w:t>
      </w:r>
      <w:r w:rsidR="00FD06E6">
        <w:rPr>
          <w:sz w:val="23"/>
          <w:szCs w:val="23"/>
        </w:rPr>
        <w:t>y se encuentra rectificada y regularizada de conformidad al Art.- IV.1.164 del Código Municipal para el Distrito Metropolitano de Quito.</w:t>
      </w:r>
    </w:p>
    <w:p w14:paraId="2C838F13" w14:textId="77777777" w:rsidR="00FD06E6" w:rsidRPr="00512618" w:rsidRDefault="00E22437" w:rsidP="00FD06E6">
      <w:pPr>
        <w:spacing w:after="240" w:line="276" w:lineRule="auto"/>
        <w:jc w:val="both"/>
        <w:rPr>
          <w:sz w:val="23"/>
          <w:szCs w:val="23"/>
        </w:rPr>
      </w:pPr>
      <w:r w:rsidRPr="00E22437">
        <w:rPr>
          <w:sz w:val="22"/>
          <w:szCs w:val="22"/>
        </w:rPr>
        <w:t>El área total del predio No. 3672756, es la que consta en la Resolución de excedentes o diferencia de áreas No. 240-2018 emitida por la Dirección Metropolitana de Catastro, el 02 de julio de 2018, inscrita en el Registro de la Propiedad del Distrito Metropolitano de</w:t>
      </w:r>
      <w:r w:rsidR="00FD06E6">
        <w:rPr>
          <w:sz w:val="22"/>
          <w:szCs w:val="22"/>
        </w:rPr>
        <w:t xml:space="preserve"> Quito, el 27 de agosto de 2018 </w:t>
      </w:r>
      <w:r w:rsidR="00FD06E6">
        <w:rPr>
          <w:sz w:val="23"/>
          <w:szCs w:val="23"/>
        </w:rPr>
        <w:t>y se encuentra rectificada y regularizada de conformidad al Art.- IV.1.164 del Código Municipal para el Distrito Metropolitano de Quito.</w:t>
      </w:r>
    </w:p>
    <w:p w14:paraId="4E148A51" w14:textId="77777777" w:rsidR="00FD06E6" w:rsidRPr="00512618" w:rsidRDefault="00E22437" w:rsidP="00FD06E6">
      <w:pPr>
        <w:spacing w:after="240" w:line="276" w:lineRule="auto"/>
        <w:jc w:val="both"/>
        <w:rPr>
          <w:sz w:val="23"/>
          <w:szCs w:val="23"/>
        </w:rPr>
      </w:pPr>
      <w:r w:rsidRPr="00E22437">
        <w:rPr>
          <w:sz w:val="22"/>
          <w:szCs w:val="22"/>
        </w:rPr>
        <w:t>El área total del predio No. 3672760, es la que consta en la Cédula Catastral en unipropiedad No. 3580 emitida por la Dirección Metropolitana de Catastro, el 09 de julio de 2018, inscrita en el Registro de la Propiedad del Distrito Metropolitano de</w:t>
      </w:r>
      <w:r w:rsidR="00FD06E6">
        <w:rPr>
          <w:sz w:val="22"/>
          <w:szCs w:val="22"/>
        </w:rPr>
        <w:t xml:space="preserve"> Quito, el 27 de agosto de 2018 </w:t>
      </w:r>
      <w:r w:rsidR="00FD06E6">
        <w:rPr>
          <w:sz w:val="23"/>
          <w:szCs w:val="23"/>
        </w:rPr>
        <w:t>y se encuentra rectificada y regularizada de conformidad al Art.- IV.1.164 del Código Municipal para el Distrito Metropolitano de Quito.</w:t>
      </w:r>
    </w:p>
    <w:p w14:paraId="050B2B08" w14:textId="77777777" w:rsidR="00FD06E6" w:rsidRPr="00512618" w:rsidRDefault="00E22437" w:rsidP="00FD06E6">
      <w:pPr>
        <w:spacing w:after="240" w:line="276" w:lineRule="auto"/>
        <w:jc w:val="both"/>
        <w:rPr>
          <w:sz w:val="23"/>
          <w:szCs w:val="23"/>
        </w:rPr>
      </w:pPr>
      <w:r w:rsidRPr="00E22437">
        <w:rPr>
          <w:sz w:val="22"/>
          <w:szCs w:val="22"/>
        </w:rPr>
        <w:t>El área total del predio No. 3672761, es la que consta en la Cédula Catastral en unipropiedad No. 3582 emitida por la Dirección Metropolitana de Catastro, el 09 de julio de 2018, inscrita en el Registro de la Propiedad del Distrito Metropolitano de</w:t>
      </w:r>
      <w:r w:rsidR="00FD06E6">
        <w:rPr>
          <w:sz w:val="22"/>
          <w:szCs w:val="22"/>
        </w:rPr>
        <w:t xml:space="preserve"> Quito, el 27 de agosto de 2018 </w:t>
      </w:r>
      <w:r w:rsidR="00FD06E6">
        <w:rPr>
          <w:sz w:val="23"/>
          <w:szCs w:val="23"/>
        </w:rPr>
        <w:t>y se encuentra rectificada y regularizada de conformidad al Art.- IV.1.164 del Código Municipal para el Distrito Metropolitano de Quito.</w:t>
      </w:r>
    </w:p>
    <w:p w14:paraId="187E9113" w14:textId="77777777" w:rsidR="00FD06E6" w:rsidRPr="00512618" w:rsidRDefault="00E22437" w:rsidP="00FD06E6">
      <w:pPr>
        <w:spacing w:after="240" w:line="276" w:lineRule="auto"/>
        <w:jc w:val="both"/>
        <w:rPr>
          <w:sz w:val="23"/>
          <w:szCs w:val="23"/>
        </w:rPr>
      </w:pPr>
      <w:r w:rsidRPr="00E22437">
        <w:rPr>
          <w:sz w:val="22"/>
          <w:szCs w:val="22"/>
        </w:rPr>
        <w:t xml:space="preserve">El área total del predio No. 3672762, es la que consta en la Resolución de excedentes o diferencia de áreas No. 241-2018 emitida por la Dirección Metropolitana de Catastro, el 02 de julio de 2018, inscrita en el Registro de la Propiedad del Distrito Metropolitano de Quito, el </w:t>
      </w:r>
      <w:r w:rsidR="00FD06E6">
        <w:rPr>
          <w:sz w:val="22"/>
          <w:szCs w:val="22"/>
        </w:rPr>
        <w:t xml:space="preserve">28 de agosto de 2018 </w:t>
      </w:r>
      <w:r w:rsidR="00FD06E6">
        <w:rPr>
          <w:sz w:val="23"/>
          <w:szCs w:val="23"/>
        </w:rPr>
        <w:t>y se encuentra rectificada y regularizada de conformidad al Art.- IV.1.164 del Código Municipal para el Distrito Metropolitano de Quito.</w:t>
      </w:r>
    </w:p>
    <w:p w14:paraId="4A903E19" w14:textId="77777777" w:rsidR="00754F12" w:rsidRPr="0072591E" w:rsidRDefault="00754F12" w:rsidP="00754F12">
      <w:pPr>
        <w:pStyle w:val="Textoindependiente"/>
        <w:spacing w:line="276" w:lineRule="auto"/>
        <w:jc w:val="both"/>
        <w:rPr>
          <w:sz w:val="22"/>
          <w:szCs w:val="22"/>
        </w:rPr>
      </w:pPr>
      <w:r w:rsidRPr="0072591E">
        <w:rPr>
          <w:b/>
          <w:sz w:val="22"/>
          <w:szCs w:val="22"/>
        </w:rPr>
        <w:t>Artículo 5.- Zonificación de los lotes.-</w:t>
      </w:r>
      <w:r w:rsidRPr="0072591E">
        <w:rPr>
          <w:sz w:val="22"/>
          <w:szCs w:val="22"/>
        </w:rPr>
        <w:t xml:space="preserve"> Los lotes fraccionados, modificarán la zonificac</w:t>
      </w:r>
      <w:r w:rsidR="009F58FD">
        <w:rPr>
          <w:sz w:val="22"/>
          <w:szCs w:val="22"/>
        </w:rPr>
        <w:t>ión para los 81</w:t>
      </w:r>
      <w:r w:rsidRPr="0072591E">
        <w:rPr>
          <w:sz w:val="22"/>
          <w:szCs w:val="22"/>
        </w:rPr>
        <w:t xml:space="preserve"> lotes, confor</w:t>
      </w:r>
      <w:r w:rsidR="00F108B7" w:rsidRPr="0072591E">
        <w:rPr>
          <w:sz w:val="22"/>
          <w:szCs w:val="22"/>
        </w:rPr>
        <w:t xml:space="preserve">me se detalla a continuación: </w:t>
      </w:r>
      <w:r w:rsidR="006126B5" w:rsidRPr="0072591E">
        <w:rPr>
          <w:sz w:val="22"/>
          <w:szCs w:val="22"/>
        </w:rPr>
        <w:t>D3 (</w:t>
      </w:r>
      <w:r w:rsidRPr="0072591E">
        <w:rPr>
          <w:sz w:val="22"/>
          <w:szCs w:val="22"/>
        </w:rPr>
        <w:t>D</w:t>
      </w:r>
      <w:r w:rsidR="00320937">
        <w:rPr>
          <w:sz w:val="22"/>
          <w:szCs w:val="22"/>
        </w:rPr>
        <w:t>203-80)</w:t>
      </w:r>
      <w:r w:rsidR="00235042">
        <w:rPr>
          <w:sz w:val="22"/>
          <w:szCs w:val="22"/>
        </w:rPr>
        <w:t xml:space="preserve">; </w:t>
      </w:r>
      <w:r w:rsidRPr="0072591E">
        <w:rPr>
          <w:sz w:val="22"/>
          <w:szCs w:val="22"/>
        </w:rPr>
        <w:t>Forma ocupación del su</w:t>
      </w:r>
      <w:r w:rsidR="00235042">
        <w:rPr>
          <w:sz w:val="22"/>
          <w:szCs w:val="22"/>
        </w:rPr>
        <w:t>elo: (D) Sobre Línea de Fábrica;</w:t>
      </w:r>
      <w:r w:rsidR="00235042" w:rsidRPr="00235042">
        <w:rPr>
          <w:sz w:val="22"/>
          <w:szCs w:val="22"/>
        </w:rPr>
        <w:t xml:space="preserve"> </w:t>
      </w:r>
      <w:r w:rsidR="00235042">
        <w:rPr>
          <w:sz w:val="22"/>
          <w:szCs w:val="22"/>
        </w:rPr>
        <w:t xml:space="preserve"> Área de l</w:t>
      </w:r>
      <w:r w:rsidR="00235042" w:rsidRPr="0072591E">
        <w:rPr>
          <w:sz w:val="22"/>
          <w:szCs w:val="22"/>
        </w:rPr>
        <w:t>ote mínimo: 200 m2</w:t>
      </w:r>
      <w:r w:rsidR="00235042" w:rsidRPr="003A02D8">
        <w:rPr>
          <w:color w:val="000000"/>
          <w:sz w:val="22"/>
          <w:szCs w:val="22"/>
        </w:rPr>
        <w:t xml:space="preserve">, </w:t>
      </w:r>
      <w:r w:rsidRPr="0072591E">
        <w:rPr>
          <w:sz w:val="22"/>
          <w:szCs w:val="22"/>
        </w:rPr>
        <w:t xml:space="preserve"> Número de pisos 3, COS planta baja: 80%, COS total: 240%</w:t>
      </w:r>
      <w:r w:rsidR="00235042">
        <w:rPr>
          <w:sz w:val="22"/>
          <w:szCs w:val="22"/>
        </w:rPr>
        <w:t xml:space="preserve">; </w:t>
      </w:r>
      <w:r w:rsidR="00235042" w:rsidRPr="003A02D8">
        <w:rPr>
          <w:color w:val="000000"/>
          <w:sz w:val="22"/>
          <w:szCs w:val="22"/>
        </w:rPr>
        <w:t xml:space="preserve">Uso principal del suelo: </w:t>
      </w:r>
      <w:r w:rsidR="009F58FD">
        <w:rPr>
          <w:sz w:val="22"/>
          <w:szCs w:val="22"/>
        </w:rPr>
        <w:t>(RU</w:t>
      </w:r>
      <w:r w:rsidR="00E2777D">
        <w:rPr>
          <w:sz w:val="22"/>
          <w:szCs w:val="22"/>
        </w:rPr>
        <w:t>3</w:t>
      </w:r>
      <w:r w:rsidR="009F58FD">
        <w:rPr>
          <w:sz w:val="22"/>
          <w:szCs w:val="22"/>
        </w:rPr>
        <w:t xml:space="preserve">) Residencial Urbano </w:t>
      </w:r>
      <w:r w:rsidR="00E2777D">
        <w:rPr>
          <w:sz w:val="22"/>
          <w:szCs w:val="22"/>
        </w:rPr>
        <w:t>3</w:t>
      </w:r>
      <w:r w:rsidR="00235042" w:rsidRPr="003A02D8">
        <w:rPr>
          <w:color w:val="000000"/>
          <w:sz w:val="22"/>
          <w:szCs w:val="22"/>
        </w:rPr>
        <w:t>.</w:t>
      </w:r>
    </w:p>
    <w:p w14:paraId="1AAB27C4" w14:textId="77777777" w:rsidR="006126B5" w:rsidRPr="0072591E" w:rsidRDefault="006126B5" w:rsidP="00754F12">
      <w:pPr>
        <w:pStyle w:val="Textoindependiente"/>
        <w:spacing w:line="276" w:lineRule="auto"/>
        <w:jc w:val="both"/>
        <w:rPr>
          <w:sz w:val="22"/>
          <w:szCs w:val="22"/>
        </w:rPr>
      </w:pPr>
      <w:r w:rsidRPr="00385F6E">
        <w:rPr>
          <w:sz w:val="22"/>
          <w:szCs w:val="22"/>
        </w:rPr>
        <w:t>Y se ma</w:t>
      </w:r>
      <w:r w:rsidR="00235042" w:rsidRPr="00385F6E">
        <w:rPr>
          <w:sz w:val="22"/>
          <w:szCs w:val="22"/>
        </w:rPr>
        <w:t>ntiene la zonificación A31 (PQ);</w:t>
      </w:r>
      <w:r w:rsidRPr="00385F6E">
        <w:rPr>
          <w:sz w:val="22"/>
          <w:szCs w:val="22"/>
        </w:rPr>
        <w:t xml:space="preserve"> Lote mínimo: 0 m2</w:t>
      </w:r>
      <w:r w:rsidR="00235042" w:rsidRPr="003A02D8">
        <w:rPr>
          <w:color w:val="000000"/>
          <w:sz w:val="22"/>
          <w:szCs w:val="22"/>
        </w:rPr>
        <w:t>;</w:t>
      </w:r>
      <w:r w:rsidRPr="003A02D8">
        <w:rPr>
          <w:color w:val="000000"/>
          <w:sz w:val="22"/>
          <w:szCs w:val="22"/>
        </w:rPr>
        <w:t xml:space="preserve"> </w:t>
      </w:r>
      <w:r w:rsidRPr="00385F6E">
        <w:rPr>
          <w:sz w:val="22"/>
          <w:szCs w:val="22"/>
        </w:rPr>
        <w:t xml:space="preserve">Forma ocupación del suelo: (A) Aislada, </w:t>
      </w:r>
      <w:r w:rsidRPr="003A02D8">
        <w:rPr>
          <w:color w:val="000000"/>
          <w:sz w:val="22"/>
          <w:szCs w:val="22"/>
        </w:rPr>
        <w:t xml:space="preserve">Uso principal del suelo: (PE/CPN) Protección Ecológica/ Conservación del Patrimonio Natural, </w:t>
      </w:r>
      <w:r w:rsidRPr="00385F6E">
        <w:rPr>
          <w:sz w:val="22"/>
          <w:szCs w:val="22"/>
        </w:rPr>
        <w:t xml:space="preserve">Número de pisos 0, COS planta baja: 0%, COS total: 0%, para los lotes </w:t>
      </w:r>
      <w:r w:rsidR="009F58FD">
        <w:rPr>
          <w:sz w:val="22"/>
          <w:szCs w:val="22"/>
          <w:lang w:val="es-EC"/>
        </w:rPr>
        <w:t>75, 76, 77, 78, 79, 80 y 81.</w:t>
      </w:r>
    </w:p>
    <w:p w14:paraId="33214626" w14:textId="77777777" w:rsidR="00754F12" w:rsidRPr="0072591E" w:rsidRDefault="00754F12" w:rsidP="00754F12">
      <w:pPr>
        <w:pStyle w:val="Textoindependiente"/>
        <w:spacing w:line="276" w:lineRule="auto"/>
        <w:jc w:val="both"/>
        <w:rPr>
          <w:sz w:val="22"/>
          <w:szCs w:val="22"/>
        </w:rPr>
      </w:pPr>
      <w:r w:rsidRPr="0072591E">
        <w:rPr>
          <w:b/>
          <w:sz w:val="22"/>
          <w:szCs w:val="22"/>
        </w:rPr>
        <w:t xml:space="preserve">Artículo 6.- Clasificación del Suelo.- </w:t>
      </w:r>
      <w:r w:rsidRPr="0072591E">
        <w:rPr>
          <w:sz w:val="22"/>
          <w:szCs w:val="22"/>
        </w:rPr>
        <w:t>Los lotes fraccionados mantendrán la clasificación vigente esto es (SU) Suelo Urbano</w:t>
      </w:r>
    </w:p>
    <w:p w14:paraId="1E8CDF45" w14:textId="77777777" w:rsidR="00754F12" w:rsidRPr="0072591E" w:rsidRDefault="00754F12" w:rsidP="00754F12">
      <w:pPr>
        <w:pStyle w:val="Textoindependiente"/>
        <w:spacing w:line="276" w:lineRule="auto"/>
        <w:jc w:val="both"/>
        <w:rPr>
          <w:sz w:val="22"/>
          <w:szCs w:val="22"/>
        </w:rPr>
      </w:pPr>
      <w:r w:rsidRPr="00116DA2">
        <w:rPr>
          <w:b/>
          <w:sz w:val="22"/>
          <w:szCs w:val="22"/>
        </w:rPr>
        <w:t xml:space="preserve">Artículo 7.- Lotes por excepción.- </w:t>
      </w:r>
      <w:r w:rsidRPr="00116DA2">
        <w:rPr>
          <w:sz w:val="22"/>
          <w:szCs w:val="22"/>
        </w:rPr>
        <w:t xml:space="preserve">Por tratarse de un asentamiento de hecho y consolidado de interés social, se aprueban por excepción, esto es, con áreas inferiores a las mínimas establecidas en la zonificación propuesta, los lotes </w:t>
      </w:r>
      <w:r w:rsidR="009F58FD" w:rsidRPr="00116DA2">
        <w:rPr>
          <w:sz w:val="22"/>
          <w:szCs w:val="22"/>
        </w:rPr>
        <w:t>4, 6, 8, 9, 10, 14, 17, 19, 20, 21, 22, 23, 24, 27, 37, 43, 44, 45, 46, 59, 64, 65, 66, 67, 68, 69, 70, 71, 75, 77, 78, 79, 80 y 81.</w:t>
      </w:r>
    </w:p>
    <w:p w14:paraId="1D5E2E23" w14:textId="77777777" w:rsidR="00754F12" w:rsidRPr="0072591E" w:rsidRDefault="00754F12" w:rsidP="00754F12">
      <w:pPr>
        <w:pStyle w:val="Textoindependiente"/>
        <w:spacing w:line="276" w:lineRule="auto"/>
        <w:jc w:val="both"/>
        <w:rPr>
          <w:sz w:val="22"/>
          <w:szCs w:val="22"/>
        </w:rPr>
      </w:pPr>
      <w:r w:rsidRPr="0072591E">
        <w:rPr>
          <w:b/>
          <w:sz w:val="22"/>
          <w:szCs w:val="22"/>
        </w:rPr>
        <w:t>Artículo 8.- Exoneración del porcentaje del área verde</w:t>
      </w:r>
      <w:r w:rsidRPr="0072591E">
        <w:rPr>
          <w:sz w:val="22"/>
          <w:szCs w:val="22"/>
        </w:rPr>
        <w:t xml:space="preserve">.- </w:t>
      </w:r>
      <w:r w:rsidR="002349EF">
        <w:rPr>
          <w:sz w:val="22"/>
          <w:szCs w:val="22"/>
        </w:rPr>
        <w:t>L</w:t>
      </w:r>
      <w:r w:rsidRPr="0072591E">
        <w:rPr>
          <w:sz w:val="22"/>
          <w:szCs w:val="22"/>
        </w:rPr>
        <w:t>os copropietarios de</w:t>
      </w:r>
      <w:r w:rsidR="00116DA2">
        <w:rPr>
          <w:sz w:val="22"/>
          <w:szCs w:val="22"/>
        </w:rPr>
        <w:t xml:space="preserve"> los</w:t>
      </w:r>
      <w:r w:rsidR="00235042">
        <w:rPr>
          <w:sz w:val="22"/>
          <w:szCs w:val="22"/>
        </w:rPr>
        <w:t xml:space="preserve"> predio</w:t>
      </w:r>
      <w:r w:rsidR="00116DA2">
        <w:rPr>
          <w:sz w:val="22"/>
          <w:szCs w:val="22"/>
        </w:rPr>
        <w:t>s</w:t>
      </w:r>
      <w:r w:rsidR="00235042">
        <w:rPr>
          <w:sz w:val="22"/>
          <w:szCs w:val="22"/>
        </w:rPr>
        <w:t xml:space="preserve"> donde se encuentra el a</w:t>
      </w:r>
      <w:r w:rsidRPr="0072591E">
        <w:rPr>
          <w:sz w:val="22"/>
          <w:szCs w:val="22"/>
        </w:rPr>
        <w:t xml:space="preserve">sentamiento </w:t>
      </w:r>
      <w:r w:rsidR="00235042">
        <w:rPr>
          <w:sz w:val="22"/>
          <w:szCs w:val="22"/>
        </w:rPr>
        <w:t>humano de hecho y consolidado de interés s</w:t>
      </w:r>
      <w:r w:rsidRPr="0072591E">
        <w:rPr>
          <w:sz w:val="22"/>
          <w:szCs w:val="22"/>
        </w:rPr>
        <w:t>ocial denominado “</w:t>
      </w:r>
      <w:r w:rsidR="00116DA2">
        <w:rPr>
          <w:sz w:val="22"/>
          <w:szCs w:val="22"/>
        </w:rPr>
        <w:t>El Blanqueado La Balvina</w:t>
      </w:r>
      <w:r w:rsidRPr="0072591E">
        <w:rPr>
          <w:sz w:val="22"/>
          <w:szCs w:val="22"/>
        </w:rPr>
        <w:t xml:space="preserve">”, conforme a la normativa vigente se les exonera el 15% como contribución del área verde, por ser considerado como un Asentamiento declarado de Interés Social. </w:t>
      </w:r>
    </w:p>
    <w:p w14:paraId="411CC6E9" w14:textId="77777777" w:rsidR="0089473A" w:rsidRPr="0089473A" w:rsidRDefault="00754F12" w:rsidP="0089473A">
      <w:pPr>
        <w:spacing w:after="240" w:line="276" w:lineRule="auto"/>
        <w:jc w:val="both"/>
        <w:rPr>
          <w:sz w:val="22"/>
          <w:szCs w:val="22"/>
        </w:rPr>
      </w:pPr>
      <w:r w:rsidRPr="0089473A">
        <w:rPr>
          <w:b/>
          <w:sz w:val="22"/>
          <w:szCs w:val="22"/>
        </w:rPr>
        <w:t>Artículo 9</w:t>
      </w:r>
      <w:r w:rsidRPr="0089473A">
        <w:rPr>
          <w:b/>
          <w:bCs/>
          <w:sz w:val="22"/>
          <w:szCs w:val="22"/>
        </w:rPr>
        <w:t xml:space="preserve">.- Calificación de Riesgos.- </w:t>
      </w:r>
      <w:r w:rsidRPr="0089473A">
        <w:rPr>
          <w:bCs/>
          <w:sz w:val="22"/>
          <w:szCs w:val="22"/>
        </w:rPr>
        <w:t xml:space="preserve"> </w:t>
      </w:r>
      <w:r w:rsidR="004C1CE5" w:rsidRPr="0089473A">
        <w:rPr>
          <w:sz w:val="22"/>
          <w:szCs w:val="22"/>
        </w:rPr>
        <w:t>El asentamiento humano de hecho y consolidado de interés s</w:t>
      </w:r>
      <w:r w:rsidRPr="0089473A">
        <w:rPr>
          <w:sz w:val="22"/>
          <w:szCs w:val="22"/>
        </w:rPr>
        <w:t>ocial</w:t>
      </w:r>
      <w:r w:rsidRPr="0089473A">
        <w:rPr>
          <w:bCs/>
          <w:sz w:val="22"/>
          <w:szCs w:val="22"/>
        </w:rPr>
        <w:t xml:space="preserve"> denominado </w:t>
      </w:r>
      <w:r w:rsidRPr="0089473A">
        <w:rPr>
          <w:sz w:val="22"/>
          <w:szCs w:val="22"/>
        </w:rPr>
        <w:t>“</w:t>
      </w:r>
      <w:r w:rsidR="00116DA2" w:rsidRPr="0089473A">
        <w:rPr>
          <w:sz w:val="22"/>
          <w:szCs w:val="22"/>
        </w:rPr>
        <w:t>El Blanqueado La Balvina</w:t>
      </w:r>
      <w:r w:rsidRPr="0089473A">
        <w:rPr>
          <w:sz w:val="22"/>
          <w:szCs w:val="22"/>
        </w:rPr>
        <w:t>”,</w:t>
      </w:r>
      <w:r w:rsidRPr="0089473A">
        <w:rPr>
          <w:bCs/>
          <w:sz w:val="22"/>
          <w:szCs w:val="22"/>
        </w:rPr>
        <w:t xml:space="preserve"> </w:t>
      </w:r>
      <w:r w:rsidRPr="0089473A">
        <w:rPr>
          <w:sz w:val="22"/>
          <w:szCs w:val="22"/>
        </w:rPr>
        <w:t xml:space="preserve">deberá cumplir y acatar las recomendaciones que se encuentran determinadas en el informe de la Dirección Metropolitana de Gestión de Riesgos </w:t>
      </w:r>
      <w:r w:rsidR="003E13FF" w:rsidRPr="003A02D8">
        <w:rPr>
          <w:color w:val="000000"/>
          <w:sz w:val="22"/>
          <w:szCs w:val="22"/>
        </w:rPr>
        <w:t xml:space="preserve">No. </w:t>
      </w:r>
      <w:r w:rsidR="00116DA2" w:rsidRPr="003A02D8">
        <w:rPr>
          <w:color w:val="000000"/>
          <w:sz w:val="22"/>
          <w:szCs w:val="22"/>
        </w:rPr>
        <w:t>103-AT-DMGR-2018</w:t>
      </w:r>
      <w:r w:rsidR="003E13FF" w:rsidRPr="003A02D8">
        <w:rPr>
          <w:color w:val="000000"/>
          <w:sz w:val="22"/>
          <w:szCs w:val="22"/>
        </w:rPr>
        <w:t xml:space="preserve">, </w:t>
      </w:r>
      <w:r w:rsidR="004C1CE5" w:rsidRPr="003A02D8">
        <w:rPr>
          <w:color w:val="000000"/>
          <w:sz w:val="22"/>
          <w:szCs w:val="22"/>
        </w:rPr>
        <w:t>de</w:t>
      </w:r>
      <w:r w:rsidR="0089473A" w:rsidRPr="003A02D8">
        <w:rPr>
          <w:color w:val="000000"/>
          <w:sz w:val="22"/>
          <w:szCs w:val="22"/>
        </w:rPr>
        <w:t xml:space="preserve"> 25</w:t>
      </w:r>
      <w:r w:rsidR="003E13FF" w:rsidRPr="003A02D8">
        <w:rPr>
          <w:color w:val="000000"/>
          <w:sz w:val="22"/>
          <w:szCs w:val="22"/>
        </w:rPr>
        <w:t xml:space="preserve"> de </w:t>
      </w:r>
      <w:r w:rsidR="0089473A" w:rsidRPr="003A02D8">
        <w:rPr>
          <w:color w:val="000000"/>
          <w:sz w:val="22"/>
          <w:szCs w:val="22"/>
        </w:rPr>
        <w:t>abril</w:t>
      </w:r>
      <w:r w:rsidR="003E13FF" w:rsidRPr="003A02D8">
        <w:rPr>
          <w:color w:val="000000"/>
          <w:sz w:val="22"/>
          <w:szCs w:val="22"/>
        </w:rPr>
        <w:t xml:space="preserve"> de 2018</w:t>
      </w:r>
      <w:r w:rsidR="00FB12CD" w:rsidRPr="003A02D8">
        <w:rPr>
          <w:color w:val="000000"/>
          <w:sz w:val="22"/>
          <w:szCs w:val="22"/>
        </w:rPr>
        <w:t>,</w:t>
      </w:r>
      <w:r w:rsidR="003E13FF" w:rsidRPr="003A02D8">
        <w:rPr>
          <w:color w:val="000000"/>
          <w:sz w:val="22"/>
          <w:szCs w:val="22"/>
        </w:rPr>
        <w:t xml:space="preserve"> </w:t>
      </w:r>
      <w:r w:rsidRPr="003A02D8">
        <w:rPr>
          <w:color w:val="000000"/>
          <w:sz w:val="22"/>
          <w:szCs w:val="22"/>
        </w:rPr>
        <w:t>el mismo que</w:t>
      </w:r>
      <w:r w:rsidR="004C1CE5" w:rsidRPr="003A02D8">
        <w:rPr>
          <w:color w:val="000000"/>
          <w:sz w:val="22"/>
          <w:szCs w:val="22"/>
        </w:rPr>
        <w:t xml:space="preserve"> califica el niv</w:t>
      </w:r>
      <w:r w:rsidR="00853CD8" w:rsidRPr="003A02D8">
        <w:rPr>
          <w:color w:val="000000"/>
          <w:sz w:val="22"/>
          <w:szCs w:val="22"/>
        </w:rPr>
        <w:t>e</w:t>
      </w:r>
      <w:r w:rsidR="004C1CE5" w:rsidRPr="003A02D8">
        <w:rPr>
          <w:color w:val="000000"/>
          <w:sz w:val="22"/>
          <w:szCs w:val="22"/>
        </w:rPr>
        <w:t xml:space="preserve">l de riesgo por movimiento en masa del </w:t>
      </w:r>
      <w:r w:rsidR="0089473A" w:rsidRPr="0089473A">
        <w:rPr>
          <w:sz w:val="22"/>
          <w:szCs w:val="22"/>
        </w:rPr>
        <w:t xml:space="preserve">AHHYC “El Blanqueado La Balvina” </w:t>
      </w:r>
      <w:r w:rsidR="00FB12CD">
        <w:rPr>
          <w:sz w:val="22"/>
          <w:szCs w:val="22"/>
        </w:rPr>
        <w:t xml:space="preserve">que </w:t>
      </w:r>
      <w:r w:rsidR="0089473A" w:rsidRPr="0089473A">
        <w:rPr>
          <w:sz w:val="22"/>
          <w:szCs w:val="22"/>
        </w:rPr>
        <w:t xml:space="preserve">en general presenta un  </w:t>
      </w:r>
      <w:r w:rsidR="0089473A" w:rsidRPr="0089473A">
        <w:rPr>
          <w:i/>
          <w:iCs/>
          <w:sz w:val="22"/>
          <w:szCs w:val="22"/>
          <w:u w:val="single"/>
        </w:rPr>
        <w:t>Riesgo Bajo Mitigable</w:t>
      </w:r>
      <w:r w:rsidR="0089473A" w:rsidRPr="0089473A">
        <w:rPr>
          <w:i/>
          <w:iCs/>
          <w:sz w:val="22"/>
          <w:szCs w:val="22"/>
        </w:rPr>
        <w:t xml:space="preserve"> </w:t>
      </w:r>
      <w:r w:rsidR="0089473A" w:rsidRPr="0089473A">
        <w:rPr>
          <w:sz w:val="22"/>
          <w:szCs w:val="22"/>
        </w:rPr>
        <w:t>frente a movimientos de remoción en masa. Esto debido a que no se observaron condiciones físicas en el terreno que representen amenaza, ni tampoco condiciones de exposición, para que ocurran movimientos en masa que puedan ocasionar daños o pérdidas.</w:t>
      </w:r>
    </w:p>
    <w:p w14:paraId="0807BC74" w14:textId="77777777" w:rsidR="0089473A" w:rsidRDefault="00754F12" w:rsidP="0089473A">
      <w:pPr>
        <w:spacing w:after="240" w:line="276" w:lineRule="auto"/>
        <w:jc w:val="both"/>
        <w:rPr>
          <w:sz w:val="22"/>
          <w:szCs w:val="22"/>
        </w:rPr>
      </w:pPr>
      <w:r w:rsidRPr="003A02D8">
        <w:rPr>
          <w:color w:val="000000"/>
          <w:sz w:val="22"/>
          <w:szCs w:val="22"/>
        </w:rPr>
        <w:t>Así como las constantes en el</w:t>
      </w:r>
      <w:r w:rsidRPr="003A02D8">
        <w:rPr>
          <w:i/>
          <w:color w:val="000000"/>
          <w:sz w:val="22"/>
          <w:szCs w:val="22"/>
        </w:rPr>
        <w:t xml:space="preserve"> </w:t>
      </w:r>
      <w:r w:rsidR="0089473A" w:rsidRPr="008D1ACE">
        <w:rPr>
          <w:sz w:val="22"/>
          <w:szCs w:val="22"/>
        </w:rPr>
        <w:t>Oficio Nro. GADDMQ-SGSG-DMGR-2020-00</w:t>
      </w:r>
      <w:r w:rsidR="0089473A">
        <w:rPr>
          <w:sz w:val="22"/>
          <w:szCs w:val="22"/>
        </w:rPr>
        <w:t>46</w:t>
      </w:r>
      <w:r w:rsidR="0089473A" w:rsidRPr="008D1ACE">
        <w:rPr>
          <w:sz w:val="22"/>
          <w:szCs w:val="22"/>
        </w:rPr>
        <w:t>-OF</w:t>
      </w:r>
      <w:r w:rsidR="004C1CE5">
        <w:rPr>
          <w:sz w:val="22"/>
          <w:szCs w:val="22"/>
        </w:rPr>
        <w:t xml:space="preserve">, de fecha 16 </w:t>
      </w:r>
      <w:r w:rsidR="003E13FF" w:rsidRPr="0072591E">
        <w:rPr>
          <w:sz w:val="22"/>
          <w:szCs w:val="22"/>
        </w:rPr>
        <w:t>de enero de 2020</w:t>
      </w:r>
      <w:r w:rsidRPr="0072591E">
        <w:rPr>
          <w:sz w:val="22"/>
          <w:szCs w:val="22"/>
        </w:rPr>
        <w:t>, emitido por el Director Metropolitano de Gestión de Riesgos, de la Secretaría</w:t>
      </w:r>
      <w:r w:rsidR="003E13FF" w:rsidRPr="0072591E">
        <w:rPr>
          <w:sz w:val="22"/>
          <w:szCs w:val="22"/>
        </w:rPr>
        <w:t xml:space="preserve"> General de Seguridad y Gobern</w:t>
      </w:r>
      <w:r w:rsidRPr="0072591E">
        <w:rPr>
          <w:sz w:val="22"/>
          <w:szCs w:val="22"/>
        </w:rPr>
        <w:t xml:space="preserve">abilidad </w:t>
      </w:r>
      <w:r w:rsidR="004C1CE5" w:rsidRPr="008D1ACE">
        <w:rPr>
          <w:sz w:val="22"/>
          <w:szCs w:val="22"/>
        </w:rPr>
        <w:t xml:space="preserve">en el que </w:t>
      </w:r>
      <w:r w:rsidR="0089473A" w:rsidRPr="008D1ACE">
        <w:rPr>
          <w:sz w:val="22"/>
          <w:szCs w:val="22"/>
        </w:rPr>
        <w:t xml:space="preserve">considerando que la calificación del riesgo frente a movimientos en masa es aquella que debe ser considerada en los procesos de legalización o regularización de la tenencia de tierra, la Dirección Metropolitana de Gestión de Riesgos se </w:t>
      </w:r>
      <w:r w:rsidR="0089473A">
        <w:rPr>
          <w:sz w:val="22"/>
          <w:szCs w:val="22"/>
          <w:lang w:val="es-EC"/>
        </w:rPr>
        <w:t>ratifica en la calificación de riesgos indicando que el AHHYC “El Blanqueado La Balvina” en general presenta un Riesgo Bajo Mitigable frente a movimientos de remoción en masa, debido a que no se observaron condiciones físicas en el terreno que representen amenaza, ni tampoco condiciones de exposición, para que ocurran movimientos en masa que puedan ocasionar daños o pérdidas.</w:t>
      </w:r>
    </w:p>
    <w:p w14:paraId="2BD55F85" w14:textId="77777777" w:rsidR="00754F12" w:rsidRPr="0072591E" w:rsidRDefault="00754F12" w:rsidP="00275F3B">
      <w:pPr>
        <w:spacing w:after="240" w:line="276" w:lineRule="auto"/>
        <w:jc w:val="both"/>
        <w:rPr>
          <w:bCs/>
          <w:i/>
          <w:sz w:val="22"/>
          <w:szCs w:val="22"/>
        </w:rPr>
      </w:pPr>
      <w:r w:rsidRPr="0072591E">
        <w:rPr>
          <w:sz w:val="22"/>
          <w:szCs w:val="22"/>
        </w:rPr>
        <w:t>La Secretaria de Territorio, Hábitat y Vivienda, a través de la</w:t>
      </w:r>
      <w:r w:rsidR="00940594">
        <w:rPr>
          <w:sz w:val="22"/>
          <w:szCs w:val="22"/>
        </w:rPr>
        <w:t>s</w:t>
      </w:r>
      <w:r w:rsidRPr="0072591E">
        <w:rPr>
          <w:sz w:val="22"/>
          <w:szCs w:val="22"/>
        </w:rPr>
        <w:t xml:space="preserve"> instancia</w:t>
      </w:r>
      <w:r w:rsidR="00940594">
        <w:rPr>
          <w:sz w:val="22"/>
          <w:szCs w:val="22"/>
        </w:rPr>
        <w:t>s</w:t>
      </w:r>
      <w:r w:rsidRPr="0072591E">
        <w:rPr>
          <w:sz w:val="22"/>
          <w:szCs w:val="22"/>
        </w:rPr>
        <w:t xml:space="preserve"> correspondiente</w:t>
      </w:r>
      <w:r w:rsidR="00940594">
        <w:rPr>
          <w:sz w:val="22"/>
          <w:szCs w:val="22"/>
        </w:rPr>
        <w:t>s</w:t>
      </w:r>
      <w:r w:rsidRPr="0072591E">
        <w:rPr>
          <w:sz w:val="22"/>
          <w:szCs w:val="22"/>
        </w:rPr>
        <w:t xml:space="preserv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3BE3FB1" w14:textId="77777777" w:rsidR="00325F64" w:rsidRPr="003A02D8" w:rsidRDefault="00754F12" w:rsidP="00325F64">
      <w:pPr>
        <w:spacing w:after="120"/>
        <w:jc w:val="both"/>
        <w:rPr>
          <w:color w:val="000000"/>
          <w:sz w:val="22"/>
          <w:szCs w:val="22"/>
        </w:rPr>
      </w:pPr>
      <w:r w:rsidRPr="00457FD6">
        <w:rPr>
          <w:b/>
          <w:sz w:val="22"/>
          <w:szCs w:val="22"/>
        </w:rPr>
        <w:t xml:space="preserve">Artículo 10.- </w:t>
      </w:r>
      <w:r w:rsidRPr="00457FD6">
        <w:rPr>
          <w:b/>
          <w:bCs/>
          <w:sz w:val="22"/>
          <w:szCs w:val="22"/>
        </w:rPr>
        <w:t xml:space="preserve">De </w:t>
      </w:r>
      <w:r w:rsidR="0089473A" w:rsidRPr="00457FD6">
        <w:rPr>
          <w:b/>
          <w:bCs/>
          <w:sz w:val="22"/>
          <w:szCs w:val="22"/>
        </w:rPr>
        <w:t xml:space="preserve">las calles y </w:t>
      </w:r>
      <w:r w:rsidRPr="00457FD6">
        <w:rPr>
          <w:b/>
          <w:bCs/>
          <w:sz w:val="22"/>
          <w:szCs w:val="22"/>
        </w:rPr>
        <w:t>pasajes</w:t>
      </w:r>
      <w:r w:rsidRPr="0072591E">
        <w:rPr>
          <w:b/>
          <w:bCs/>
          <w:sz w:val="22"/>
          <w:szCs w:val="22"/>
        </w:rPr>
        <w:t>. -</w:t>
      </w:r>
      <w:r w:rsidRPr="0072591E">
        <w:rPr>
          <w:bCs/>
          <w:sz w:val="22"/>
          <w:szCs w:val="22"/>
        </w:rPr>
        <w:t xml:space="preserve"> </w:t>
      </w:r>
      <w:r w:rsidRPr="0072591E">
        <w:rPr>
          <w:sz w:val="22"/>
          <w:szCs w:val="22"/>
        </w:rPr>
        <w:t>El Asentamiento H</w:t>
      </w:r>
      <w:r w:rsidRPr="0072591E">
        <w:rPr>
          <w:bCs/>
          <w:iCs/>
          <w:sz w:val="22"/>
          <w:szCs w:val="22"/>
        </w:rPr>
        <w:t xml:space="preserve">umano de Hecho y Consolidado de Interés Social denominado </w:t>
      </w:r>
      <w:r w:rsidRPr="0072591E">
        <w:rPr>
          <w:sz w:val="22"/>
          <w:szCs w:val="22"/>
        </w:rPr>
        <w:t>“</w:t>
      </w:r>
      <w:r w:rsidR="00457FD6">
        <w:rPr>
          <w:sz w:val="22"/>
          <w:szCs w:val="22"/>
        </w:rPr>
        <w:t>El Blanqueado La Balvina</w:t>
      </w:r>
      <w:r w:rsidRPr="0072591E">
        <w:rPr>
          <w:sz w:val="22"/>
          <w:szCs w:val="22"/>
        </w:rPr>
        <w:t xml:space="preserve">”, </w:t>
      </w:r>
      <w:r w:rsidRPr="0072591E">
        <w:rPr>
          <w:bCs/>
          <w:sz w:val="22"/>
          <w:szCs w:val="22"/>
        </w:rPr>
        <w:t xml:space="preserve"> </w:t>
      </w:r>
      <w:r w:rsidRPr="0072591E">
        <w:rPr>
          <w:sz w:val="22"/>
          <w:szCs w:val="22"/>
        </w:rPr>
        <w:t xml:space="preserve">contempla un sistema vial de uso público, debido a que éste es un asentamiento humano de hecho y consolidado de interés social de </w:t>
      </w:r>
      <w:r w:rsidR="00457FD6">
        <w:rPr>
          <w:sz w:val="22"/>
          <w:szCs w:val="22"/>
        </w:rPr>
        <w:t>53</w:t>
      </w:r>
      <w:r w:rsidRPr="0072591E">
        <w:rPr>
          <w:sz w:val="22"/>
          <w:szCs w:val="22"/>
        </w:rPr>
        <w:t xml:space="preserve"> años de existencia, con </w:t>
      </w:r>
      <w:r w:rsidR="00457FD6">
        <w:rPr>
          <w:sz w:val="22"/>
          <w:szCs w:val="22"/>
        </w:rPr>
        <w:t>91,36</w:t>
      </w:r>
      <w:r w:rsidRPr="0072591E">
        <w:rPr>
          <w:sz w:val="22"/>
          <w:szCs w:val="22"/>
        </w:rPr>
        <w:t xml:space="preserve">% de consolidación </w:t>
      </w:r>
      <w:r w:rsidR="00325F64" w:rsidRPr="003A02D8">
        <w:rPr>
          <w:color w:val="000000"/>
          <w:sz w:val="22"/>
          <w:szCs w:val="22"/>
        </w:rPr>
        <w:t xml:space="preserve">de viviendas, razón por lo cual el ancho de vías se sujetará al plano adjunto a la presente Ordenanza. </w:t>
      </w:r>
    </w:p>
    <w:p w14:paraId="249E42FE" w14:textId="77777777" w:rsidR="00754F12" w:rsidRPr="0072591E" w:rsidRDefault="00754F12" w:rsidP="00754F12">
      <w:pPr>
        <w:pStyle w:val="Cuadrculamedia2"/>
        <w:jc w:val="both"/>
        <w:rPr>
          <w:rFonts w:ascii="Times New Roman" w:hAnsi="Times New Roman"/>
        </w:rPr>
      </w:pPr>
      <w:r w:rsidRPr="0072591E">
        <w:rPr>
          <w:rFonts w:ascii="Times New Roman" w:hAnsi="Times New Roman"/>
        </w:rPr>
        <w:t>Se regulariza</w:t>
      </w:r>
      <w:r w:rsidR="00457FD6">
        <w:rPr>
          <w:rFonts w:ascii="Times New Roman" w:hAnsi="Times New Roman"/>
        </w:rPr>
        <w:t>n</w:t>
      </w:r>
      <w:r w:rsidRPr="0072591E">
        <w:rPr>
          <w:rFonts w:ascii="Times New Roman" w:hAnsi="Times New Roman"/>
        </w:rPr>
        <w:t xml:space="preserve"> </w:t>
      </w:r>
      <w:r w:rsidR="00457FD6">
        <w:rPr>
          <w:rFonts w:ascii="Times New Roman" w:hAnsi="Times New Roman"/>
        </w:rPr>
        <w:t>las calles y pasajes</w:t>
      </w:r>
      <w:r w:rsidRPr="0072591E">
        <w:rPr>
          <w:rFonts w:ascii="Times New Roman" w:hAnsi="Times New Roman"/>
        </w:rPr>
        <w:t xml:space="preserve"> con el siguiente ancho:</w:t>
      </w:r>
    </w:p>
    <w:p w14:paraId="667CCE02" w14:textId="77777777" w:rsidR="00275F3B" w:rsidRPr="0072591E" w:rsidRDefault="00275F3B" w:rsidP="00754F12">
      <w:pPr>
        <w:pStyle w:val="Cuadrculamedia2"/>
        <w:jc w:val="both"/>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86"/>
      </w:tblGrid>
      <w:tr w:rsidR="00754F12" w:rsidRPr="0072591E" w14:paraId="7BCAEC59" w14:textId="77777777" w:rsidTr="003A02D8">
        <w:trPr>
          <w:trHeight w:val="148"/>
        </w:trPr>
        <w:tc>
          <w:tcPr>
            <w:tcW w:w="2905" w:type="dxa"/>
            <w:shd w:val="clear" w:color="auto" w:fill="auto"/>
            <w:vAlign w:val="center"/>
          </w:tcPr>
          <w:p w14:paraId="5CF8045B" w14:textId="77777777" w:rsidR="00754F12" w:rsidRPr="003A02D8" w:rsidRDefault="00457FD6" w:rsidP="003A02D8">
            <w:pPr>
              <w:pStyle w:val="Cuadrculamedia2"/>
              <w:jc w:val="both"/>
              <w:rPr>
                <w:rFonts w:ascii="Times New Roman" w:hAnsi="Times New Roman"/>
                <w:b/>
              </w:rPr>
            </w:pPr>
            <w:r w:rsidRPr="003A02D8">
              <w:rPr>
                <w:rFonts w:ascii="Times New Roman" w:hAnsi="Times New Roman"/>
                <w:b/>
              </w:rPr>
              <w:t>Calle Oe1B</w:t>
            </w:r>
          </w:p>
        </w:tc>
        <w:tc>
          <w:tcPr>
            <w:tcW w:w="3686" w:type="dxa"/>
            <w:shd w:val="clear" w:color="auto" w:fill="auto"/>
            <w:vAlign w:val="center"/>
          </w:tcPr>
          <w:p w14:paraId="31CC0AE6" w14:textId="77777777" w:rsidR="00754F12" w:rsidRPr="003A02D8" w:rsidRDefault="00457FD6" w:rsidP="003A02D8">
            <w:pPr>
              <w:pStyle w:val="Cuadrculamedia2"/>
              <w:jc w:val="center"/>
              <w:rPr>
                <w:rFonts w:ascii="Times New Roman" w:hAnsi="Times New Roman"/>
              </w:rPr>
            </w:pPr>
            <w:r w:rsidRPr="003A02D8">
              <w:rPr>
                <w:rFonts w:ascii="Times New Roman" w:hAnsi="Times New Roman"/>
              </w:rPr>
              <w:t>variable de 7.64 m a 9.02 m</w:t>
            </w:r>
          </w:p>
        </w:tc>
      </w:tr>
      <w:tr w:rsidR="00457FD6" w:rsidRPr="0072591E" w14:paraId="71847183" w14:textId="77777777" w:rsidTr="003A02D8">
        <w:trPr>
          <w:trHeight w:val="148"/>
        </w:trPr>
        <w:tc>
          <w:tcPr>
            <w:tcW w:w="2905" w:type="dxa"/>
            <w:shd w:val="clear" w:color="auto" w:fill="auto"/>
            <w:vAlign w:val="center"/>
          </w:tcPr>
          <w:p w14:paraId="32DA0785" w14:textId="77777777" w:rsidR="00457FD6" w:rsidRPr="003A02D8" w:rsidRDefault="00457FD6" w:rsidP="003A02D8">
            <w:pPr>
              <w:pStyle w:val="Cuadrculamedia2"/>
              <w:jc w:val="both"/>
              <w:rPr>
                <w:rFonts w:ascii="Times New Roman" w:hAnsi="Times New Roman"/>
                <w:b/>
                <w:color w:val="000000"/>
                <w:lang w:val="es-ES"/>
              </w:rPr>
            </w:pPr>
            <w:r w:rsidRPr="003A02D8">
              <w:rPr>
                <w:rFonts w:ascii="Times New Roman" w:hAnsi="Times New Roman"/>
                <w:b/>
                <w:color w:val="000000"/>
                <w:lang w:val="es-ES"/>
              </w:rPr>
              <w:t>Calle Oe1J OTOYA ÑAN</w:t>
            </w:r>
          </w:p>
        </w:tc>
        <w:tc>
          <w:tcPr>
            <w:tcW w:w="3686" w:type="dxa"/>
            <w:shd w:val="clear" w:color="auto" w:fill="auto"/>
            <w:vAlign w:val="center"/>
          </w:tcPr>
          <w:p w14:paraId="715F5673" w14:textId="77777777" w:rsidR="00457FD6" w:rsidRPr="003A02D8" w:rsidRDefault="00457FD6" w:rsidP="003A02D8">
            <w:pPr>
              <w:pStyle w:val="Cuadrculamedia2"/>
              <w:jc w:val="center"/>
              <w:rPr>
                <w:rFonts w:ascii="Times New Roman" w:hAnsi="Times New Roman"/>
                <w:color w:val="000000"/>
              </w:rPr>
            </w:pPr>
            <w:r w:rsidRPr="003A02D8">
              <w:rPr>
                <w:rFonts w:ascii="Times New Roman" w:hAnsi="Times New Roman"/>
                <w:color w:val="000000"/>
              </w:rPr>
              <w:t>variable de 13.75 m a 13.91 m</w:t>
            </w:r>
          </w:p>
        </w:tc>
      </w:tr>
      <w:tr w:rsidR="00E47217" w:rsidRPr="0072591E" w14:paraId="42D1023E" w14:textId="77777777" w:rsidTr="003A02D8">
        <w:trPr>
          <w:trHeight w:val="148"/>
        </w:trPr>
        <w:tc>
          <w:tcPr>
            <w:tcW w:w="2905" w:type="dxa"/>
            <w:tcBorders>
              <w:bottom w:val="single" w:sz="4" w:space="0" w:color="auto"/>
            </w:tcBorders>
            <w:shd w:val="clear" w:color="auto" w:fill="auto"/>
            <w:vAlign w:val="center"/>
          </w:tcPr>
          <w:p w14:paraId="010392A0" w14:textId="77777777" w:rsidR="00E47217" w:rsidRPr="003A02D8" w:rsidRDefault="00E47217" w:rsidP="003A02D8">
            <w:pPr>
              <w:pStyle w:val="Cuadrculamedia2"/>
              <w:jc w:val="both"/>
              <w:rPr>
                <w:rFonts w:ascii="Times New Roman" w:hAnsi="Times New Roman"/>
                <w:b/>
              </w:rPr>
            </w:pPr>
            <w:r w:rsidRPr="003A02D8">
              <w:rPr>
                <w:rFonts w:ascii="Times New Roman" w:hAnsi="Times New Roman"/>
                <w:b/>
                <w:color w:val="000000"/>
              </w:rPr>
              <w:t>Calle S38</w:t>
            </w:r>
          </w:p>
        </w:tc>
        <w:tc>
          <w:tcPr>
            <w:tcW w:w="3686" w:type="dxa"/>
            <w:shd w:val="clear" w:color="auto" w:fill="auto"/>
            <w:vAlign w:val="center"/>
          </w:tcPr>
          <w:p w14:paraId="011CA420" w14:textId="77777777" w:rsidR="00E47217" w:rsidRPr="003A02D8" w:rsidRDefault="00E47217" w:rsidP="003A02D8">
            <w:pPr>
              <w:pStyle w:val="Cuadrculamedia2"/>
              <w:jc w:val="center"/>
              <w:rPr>
                <w:rFonts w:ascii="Times New Roman" w:hAnsi="Times New Roman"/>
              </w:rPr>
            </w:pPr>
            <w:r w:rsidRPr="003A02D8">
              <w:rPr>
                <w:rFonts w:ascii="Times New Roman" w:hAnsi="Times New Roman"/>
                <w:color w:val="000000"/>
              </w:rPr>
              <w:t>variable de 7.90 m a 9.59 m</w:t>
            </w:r>
          </w:p>
        </w:tc>
      </w:tr>
    </w:tbl>
    <w:p w14:paraId="674FE6B6" w14:textId="77777777" w:rsidR="00754F12" w:rsidRPr="0072591E" w:rsidRDefault="00754F12" w:rsidP="00754F12">
      <w:pPr>
        <w:pStyle w:val="Cuadrculamedia2"/>
        <w:spacing w:line="276" w:lineRule="auto"/>
        <w:jc w:val="both"/>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86"/>
      </w:tblGrid>
      <w:tr w:rsidR="00E47217" w:rsidRPr="0072591E" w14:paraId="0B8B628A" w14:textId="77777777" w:rsidTr="003A02D8">
        <w:trPr>
          <w:trHeight w:val="148"/>
        </w:trPr>
        <w:tc>
          <w:tcPr>
            <w:tcW w:w="2905" w:type="dxa"/>
            <w:shd w:val="clear" w:color="auto" w:fill="auto"/>
            <w:vAlign w:val="center"/>
          </w:tcPr>
          <w:p w14:paraId="7F52D211" w14:textId="77777777" w:rsidR="00E47217" w:rsidRPr="003A02D8" w:rsidRDefault="00E47217" w:rsidP="003A02D8">
            <w:pPr>
              <w:pStyle w:val="Cuadrculamedia2"/>
              <w:jc w:val="both"/>
              <w:rPr>
                <w:rFonts w:ascii="Times New Roman" w:hAnsi="Times New Roman"/>
                <w:b/>
              </w:rPr>
            </w:pPr>
            <w:r w:rsidRPr="003A02D8">
              <w:rPr>
                <w:rFonts w:ascii="Times New Roman" w:hAnsi="Times New Roman"/>
                <w:b/>
              </w:rPr>
              <w:t>Pasaje Oe1A</w:t>
            </w:r>
          </w:p>
        </w:tc>
        <w:tc>
          <w:tcPr>
            <w:tcW w:w="3686" w:type="dxa"/>
            <w:shd w:val="clear" w:color="auto" w:fill="auto"/>
            <w:vAlign w:val="center"/>
          </w:tcPr>
          <w:p w14:paraId="2751E358" w14:textId="77777777" w:rsidR="00E47217" w:rsidRPr="003A02D8" w:rsidRDefault="00E47217" w:rsidP="003A02D8">
            <w:pPr>
              <w:pStyle w:val="Cuadrculamedia2"/>
              <w:jc w:val="center"/>
              <w:rPr>
                <w:rFonts w:ascii="Times New Roman" w:hAnsi="Times New Roman"/>
              </w:rPr>
            </w:pPr>
            <w:r w:rsidRPr="003A02D8">
              <w:rPr>
                <w:rFonts w:ascii="Times New Roman" w:hAnsi="Times New Roman"/>
              </w:rPr>
              <w:t>variable de 1.38 m a 1.39 m</w:t>
            </w:r>
          </w:p>
        </w:tc>
      </w:tr>
      <w:tr w:rsidR="00E47217" w:rsidRPr="0072591E" w14:paraId="36B6E5CD" w14:textId="77777777" w:rsidTr="003A02D8">
        <w:trPr>
          <w:trHeight w:val="148"/>
        </w:trPr>
        <w:tc>
          <w:tcPr>
            <w:tcW w:w="2905" w:type="dxa"/>
            <w:shd w:val="clear" w:color="auto" w:fill="auto"/>
            <w:vAlign w:val="center"/>
          </w:tcPr>
          <w:p w14:paraId="7D500B1E" w14:textId="77777777" w:rsidR="00E47217" w:rsidRPr="003A02D8" w:rsidRDefault="00E47217" w:rsidP="003A02D8">
            <w:pPr>
              <w:pStyle w:val="Cuadrculamedia2"/>
              <w:jc w:val="both"/>
              <w:rPr>
                <w:rFonts w:ascii="Times New Roman" w:hAnsi="Times New Roman"/>
                <w:b/>
                <w:color w:val="000000"/>
              </w:rPr>
            </w:pPr>
            <w:r w:rsidRPr="003A02D8">
              <w:rPr>
                <w:rFonts w:ascii="Times New Roman" w:hAnsi="Times New Roman"/>
                <w:b/>
                <w:color w:val="000000"/>
              </w:rPr>
              <w:t>Pasaje Oe1C</w:t>
            </w:r>
          </w:p>
        </w:tc>
        <w:tc>
          <w:tcPr>
            <w:tcW w:w="3686" w:type="dxa"/>
            <w:shd w:val="clear" w:color="auto" w:fill="auto"/>
            <w:vAlign w:val="center"/>
          </w:tcPr>
          <w:p w14:paraId="02C76694" w14:textId="77777777" w:rsidR="00E47217" w:rsidRPr="003A02D8" w:rsidRDefault="00E47217" w:rsidP="003A02D8">
            <w:pPr>
              <w:pStyle w:val="Cuadrculamedia2"/>
              <w:jc w:val="center"/>
              <w:rPr>
                <w:rFonts w:ascii="Times New Roman" w:hAnsi="Times New Roman"/>
                <w:color w:val="000000"/>
              </w:rPr>
            </w:pPr>
            <w:r w:rsidRPr="003A02D8">
              <w:rPr>
                <w:rFonts w:ascii="Times New Roman" w:hAnsi="Times New Roman"/>
                <w:color w:val="000000"/>
              </w:rPr>
              <w:t>variable de 2.75 m a 3.46 m</w:t>
            </w:r>
          </w:p>
        </w:tc>
      </w:tr>
      <w:tr w:rsidR="00E47217" w:rsidRPr="0072591E" w14:paraId="4EA5568F" w14:textId="77777777" w:rsidTr="003A02D8">
        <w:trPr>
          <w:trHeight w:val="148"/>
        </w:trPr>
        <w:tc>
          <w:tcPr>
            <w:tcW w:w="2905" w:type="dxa"/>
            <w:shd w:val="clear" w:color="auto" w:fill="auto"/>
            <w:vAlign w:val="center"/>
          </w:tcPr>
          <w:p w14:paraId="219ABF7F" w14:textId="77777777" w:rsidR="00E47217" w:rsidRPr="003A02D8" w:rsidRDefault="00E47217" w:rsidP="003A02D8">
            <w:pPr>
              <w:pStyle w:val="Cuadrculamedia2"/>
              <w:jc w:val="both"/>
              <w:rPr>
                <w:rFonts w:ascii="Times New Roman" w:hAnsi="Times New Roman"/>
                <w:b/>
                <w:color w:val="000000"/>
              </w:rPr>
            </w:pPr>
            <w:r w:rsidRPr="003A02D8">
              <w:rPr>
                <w:rFonts w:ascii="Times New Roman" w:hAnsi="Times New Roman"/>
                <w:b/>
                <w:color w:val="000000"/>
              </w:rPr>
              <w:t>Pasaje Oe1E</w:t>
            </w:r>
          </w:p>
        </w:tc>
        <w:tc>
          <w:tcPr>
            <w:tcW w:w="3686" w:type="dxa"/>
            <w:shd w:val="clear" w:color="auto" w:fill="auto"/>
            <w:vAlign w:val="center"/>
          </w:tcPr>
          <w:p w14:paraId="48B12355" w14:textId="77777777" w:rsidR="00E47217" w:rsidRPr="003A02D8" w:rsidRDefault="00E47217" w:rsidP="003A02D8">
            <w:pPr>
              <w:pStyle w:val="Cuadrculamedia2"/>
              <w:jc w:val="center"/>
              <w:rPr>
                <w:rFonts w:ascii="Times New Roman" w:hAnsi="Times New Roman"/>
                <w:color w:val="000000"/>
              </w:rPr>
            </w:pPr>
            <w:r w:rsidRPr="003A02D8">
              <w:rPr>
                <w:rFonts w:ascii="Times New Roman" w:hAnsi="Times New Roman"/>
                <w:color w:val="000000"/>
              </w:rPr>
              <w:t>de 3.00 m</w:t>
            </w:r>
          </w:p>
        </w:tc>
      </w:tr>
      <w:tr w:rsidR="00E47217" w:rsidRPr="0072591E" w14:paraId="37F4781F" w14:textId="77777777" w:rsidTr="003A02D8">
        <w:trPr>
          <w:trHeight w:val="148"/>
        </w:trPr>
        <w:tc>
          <w:tcPr>
            <w:tcW w:w="2905" w:type="dxa"/>
            <w:shd w:val="clear" w:color="auto" w:fill="auto"/>
            <w:vAlign w:val="center"/>
          </w:tcPr>
          <w:p w14:paraId="37F68E42" w14:textId="77777777" w:rsidR="00E47217" w:rsidRPr="003A02D8" w:rsidRDefault="00E47217" w:rsidP="003A02D8">
            <w:pPr>
              <w:pStyle w:val="Cuadrculamedia2"/>
              <w:jc w:val="both"/>
              <w:rPr>
                <w:rFonts w:ascii="Times New Roman" w:hAnsi="Times New Roman"/>
                <w:b/>
                <w:color w:val="000000"/>
              </w:rPr>
            </w:pPr>
            <w:r w:rsidRPr="003A02D8">
              <w:rPr>
                <w:rFonts w:ascii="Times New Roman" w:hAnsi="Times New Roman"/>
                <w:b/>
                <w:color w:val="000000"/>
              </w:rPr>
              <w:t>Pasaje Oe1F</w:t>
            </w:r>
          </w:p>
        </w:tc>
        <w:tc>
          <w:tcPr>
            <w:tcW w:w="3686" w:type="dxa"/>
            <w:shd w:val="clear" w:color="auto" w:fill="auto"/>
            <w:vAlign w:val="center"/>
          </w:tcPr>
          <w:p w14:paraId="08BC3972" w14:textId="77777777" w:rsidR="00E47217" w:rsidRPr="003A02D8" w:rsidRDefault="00E47217" w:rsidP="003A02D8">
            <w:pPr>
              <w:pStyle w:val="Cuadrculamedia2"/>
              <w:jc w:val="center"/>
              <w:rPr>
                <w:rFonts w:ascii="Times New Roman" w:hAnsi="Times New Roman"/>
                <w:color w:val="000000"/>
              </w:rPr>
            </w:pPr>
            <w:r w:rsidRPr="003A02D8">
              <w:rPr>
                <w:rFonts w:ascii="Times New Roman" w:hAnsi="Times New Roman"/>
                <w:color w:val="000000"/>
              </w:rPr>
              <w:t>de 3.00 m</w:t>
            </w:r>
          </w:p>
        </w:tc>
      </w:tr>
      <w:tr w:rsidR="00E3164E" w:rsidRPr="0072591E" w14:paraId="6545B170" w14:textId="77777777" w:rsidTr="003A02D8">
        <w:trPr>
          <w:trHeight w:val="148"/>
        </w:trPr>
        <w:tc>
          <w:tcPr>
            <w:tcW w:w="2905" w:type="dxa"/>
            <w:shd w:val="clear" w:color="auto" w:fill="auto"/>
            <w:vAlign w:val="center"/>
          </w:tcPr>
          <w:p w14:paraId="38B10F75" w14:textId="77777777" w:rsidR="00E3164E" w:rsidRPr="003A02D8" w:rsidRDefault="00E3164E" w:rsidP="003A02D8">
            <w:pPr>
              <w:pStyle w:val="Cuadrculamedia2"/>
              <w:jc w:val="both"/>
              <w:rPr>
                <w:rFonts w:ascii="Times New Roman" w:hAnsi="Times New Roman"/>
                <w:b/>
                <w:color w:val="000000"/>
              </w:rPr>
            </w:pPr>
            <w:r w:rsidRPr="003A02D8">
              <w:rPr>
                <w:rFonts w:ascii="Times New Roman" w:hAnsi="Times New Roman"/>
                <w:b/>
                <w:color w:val="000000"/>
              </w:rPr>
              <w:t>Pasaje S38A</w:t>
            </w:r>
          </w:p>
        </w:tc>
        <w:tc>
          <w:tcPr>
            <w:tcW w:w="3686" w:type="dxa"/>
            <w:shd w:val="clear" w:color="auto" w:fill="auto"/>
            <w:vAlign w:val="center"/>
          </w:tcPr>
          <w:p w14:paraId="7BAADF4E" w14:textId="77777777" w:rsidR="00E3164E" w:rsidRPr="003A02D8" w:rsidRDefault="00E3164E" w:rsidP="003A02D8">
            <w:pPr>
              <w:pStyle w:val="Cuadrculamedia2"/>
              <w:jc w:val="center"/>
              <w:rPr>
                <w:rFonts w:ascii="Times New Roman" w:hAnsi="Times New Roman"/>
                <w:color w:val="000000"/>
              </w:rPr>
            </w:pPr>
            <w:r w:rsidRPr="003A02D8">
              <w:rPr>
                <w:rFonts w:ascii="Times New Roman" w:hAnsi="Times New Roman"/>
                <w:color w:val="000000"/>
              </w:rPr>
              <w:t>variable de 2.70 m a 3.44 m</w:t>
            </w:r>
          </w:p>
        </w:tc>
      </w:tr>
      <w:tr w:rsidR="00E3164E" w:rsidRPr="0072591E" w14:paraId="49793182" w14:textId="77777777" w:rsidTr="003A02D8">
        <w:trPr>
          <w:trHeight w:val="148"/>
        </w:trPr>
        <w:tc>
          <w:tcPr>
            <w:tcW w:w="2905" w:type="dxa"/>
            <w:shd w:val="clear" w:color="auto" w:fill="auto"/>
            <w:vAlign w:val="center"/>
          </w:tcPr>
          <w:p w14:paraId="3DB50A80" w14:textId="77777777" w:rsidR="00E3164E" w:rsidRPr="003A02D8" w:rsidRDefault="00E3164E" w:rsidP="003A02D8">
            <w:pPr>
              <w:pStyle w:val="Cuadrculamedia2"/>
              <w:jc w:val="both"/>
              <w:rPr>
                <w:rFonts w:ascii="Times New Roman" w:hAnsi="Times New Roman"/>
                <w:b/>
                <w:color w:val="000000"/>
              </w:rPr>
            </w:pPr>
            <w:r w:rsidRPr="003A02D8">
              <w:rPr>
                <w:rFonts w:ascii="Times New Roman" w:hAnsi="Times New Roman"/>
                <w:b/>
                <w:color w:val="000000"/>
              </w:rPr>
              <w:t>Pasaje S38B</w:t>
            </w:r>
          </w:p>
        </w:tc>
        <w:tc>
          <w:tcPr>
            <w:tcW w:w="3686" w:type="dxa"/>
            <w:shd w:val="clear" w:color="auto" w:fill="auto"/>
            <w:vAlign w:val="center"/>
          </w:tcPr>
          <w:p w14:paraId="6560B128" w14:textId="77777777" w:rsidR="00E3164E" w:rsidRPr="003A02D8" w:rsidRDefault="00E3164E" w:rsidP="003A02D8">
            <w:pPr>
              <w:pStyle w:val="Cuadrculamedia2"/>
              <w:jc w:val="center"/>
              <w:rPr>
                <w:rFonts w:ascii="Times New Roman" w:hAnsi="Times New Roman"/>
                <w:color w:val="000000"/>
              </w:rPr>
            </w:pPr>
            <w:r w:rsidRPr="003A02D8">
              <w:rPr>
                <w:rFonts w:ascii="Times New Roman" w:hAnsi="Times New Roman"/>
                <w:color w:val="000000"/>
              </w:rPr>
              <w:t>variable de 3.74 m a 3.96 m</w:t>
            </w:r>
          </w:p>
        </w:tc>
      </w:tr>
      <w:tr w:rsidR="00E3164E" w:rsidRPr="0072591E" w14:paraId="4254EF4E" w14:textId="77777777" w:rsidTr="003A02D8">
        <w:trPr>
          <w:trHeight w:val="148"/>
        </w:trPr>
        <w:tc>
          <w:tcPr>
            <w:tcW w:w="2905" w:type="dxa"/>
            <w:shd w:val="clear" w:color="auto" w:fill="auto"/>
            <w:vAlign w:val="center"/>
          </w:tcPr>
          <w:p w14:paraId="496D2A3C" w14:textId="77777777" w:rsidR="00E3164E" w:rsidRPr="003A02D8" w:rsidRDefault="00E3164E" w:rsidP="003A02D8">
            <w:pPr>
              <w:pStyle w:val="Cuadrculamedia2"/>
              <w:jc w:val="both"/>
              <w:rPr>
                <w:rFonts w:ascii="Times New Roman" w:hAnsi="Times New Roman"/>
                <w:b/>
                <w:color w:val="000000"/>
              </w:rPr>
            </w:pPr>
            <w:r w:rsidRPr="003A02D8">
              <w:rPr>
                <w:rFonts w:ascii="Times New Roman" w:hAnsi="Times New Roman"/>
                <w:b/>
                <w:color w:val="000000"/>
              </w:rPr>
              <w:t>Pasaje S38C</w:t>
            </w:r>
          </w:p>
        </w:tc>
        <w:tc>
          <w:tcPr>
            <w:tcW w:w="3686" w:type="dxa"/>
            <w:shd w:val="clear" w:color="auto" w:fill="auto"/>
            <w:vAlign w:val="center"/>
          </w:tcPr>
          <w:p w14:paraId="7BFA09BF" w14:textId="77777777" w:rsidR="00E3164E" w:rsidRPr="003A02D8" w:rsidRDefault="00E3164E" w:rsidP="003A02D8">
            <w:pPr>
              <w:pStyle w:val="Cuadrculamedia2"/>
              <w:jc w:val="center"/>
              <w:rPr>
                <w:rFonts w:ascii="Times New Roman" w:hAnsi="Times New Roman"/>
                <w:color w:val="000000"/>
              </w:rPr>
            </w:pPr>
            <w:r w:rsidRPr="003A02D8">
              <w:rPr>
                <w:rFonts w:ascii="Times New Roman" w:hAnsi="Times New Roman"/>
                <w:color w:val="000000"/>
              </w:rPr>
              <w:t>variable de 5.96 m a 6.31 m</w:t>
            </w:r>
          </w:p>
        </w:tc>
      </w:tr>
      <w:tr w:rsidR="00E3164E" w:rsidRPr="0072591E" w14:paraId="250E4B54" w14:textId="77777777" w:rsidTr="003A02D8">
        <w:trPr>
          <w:trHeight w:val="148"/>
        </w:trPr>
        <w:tc>
          <w:tcPr>
            <w:tcW w:w="2905" w:type="dxa"/>
            <w:shd w:val="clear" w:color="auto" w:fill="auto"/>
            <w:vAlign w:val="center"/>
          </w:tcPr>
          <w:p w14:paraId="4F6D542F" w14:textId="77777777" w:rsidR="00E3164E" w:rsidRPr="003A02D8" w:rsidRDefault="00E3164E" w:rsidP="003A02D8">
            <w:pPr>
              <w:pStyle w:val="Cuadrculamedia2"/>
              <w:jc w:val="both"/>
              <w:rPr>
                <w:rFonts w:ascii="Times New Roman" w:hAnsi="Times New Roman"/>
                <w:b/>
                <w:color w:val="000000"/>
              </w:rPr>
            </w:pPr>
            <w:r w:rsidRPr="003A02D8">
              <w:rPr>
                <w:rFonts w:ascii="Times New Roman" w:hAnsi="Times New Roman"/>
                <w:b/>
                <w:color w:val="000000"/>
              </w:rPr>
              <w:t>Pasaje S38D</w:t>
            </w:r>
          </w:p>
        </w:tc>
        <w:tc>
          <w:tcPr>
            <w:tcW w:w="3686" w:type="dxa"/>
            <w:shd w:val="clear" w:color="auto" w:fill="auto"/>
            <w:vAlign w:val="center"/>
          </w:tcPr>
          <w:p w14:paraId="3043688A" w14:textId="77777777" w:rsidR="00E3164E" w:rsidRPr="003A02D8" w:rsidRDefault="00E3164E" w:rsidP="003A02D8">
            <w:pPr>
              <w:pStyle w:val="Cuadrculamedia2"/>
              <w:jc w:val="center"/>
              <w:rPr>
                <w:rFonts w:ascii="Times New Roman" w:hAnsi="Times New Roman"/>
                <w:color w:val="000000"/>
              </w:rPr>
            </w:pPr>
            <w:r w:rsidRPr="003A02D8">
              <w:rPr>
                <w:rFonts w:ascii="Times New Roman" w:hAnsi="Times New Roman"/>
                <w:color w:val="000000"/>
              </w:rPr>
              <w:t>variable de 2.95 m a 3.84 m</w:t>
            </w:r>
          </w:p>
        </w:tc>
      </w:tr>
      <w:tr w:rsidR="00E3164E" w:rsidRPr="0072591E" w14:paraId="07AEE6E5" w14:textId="77777777" w:rsidTr="003A02D8">
        <w:trPr>
          <w:trHeight w:val="148"/>
        </w:trPr>
        <w:tc>
          <w:tcPr>
            <w:tcW w:w="2905" w:type="dxa"/>
            <w:shd w:val="clear" w:color="auto" w:fill="auto"/>
            <w:vAlign w:val="center"/>
          </w:tcPr>
          <w:p w14:paraId="306C9D26" w14:textId="77777777" w:rsidR="00E3164E" w:rsidRPr="003A02D8" w:rsidRDefault="00E3164E" w:rsidP="003A02D8">
            <w:pPr>
              <w:pStyle w:val="Cuadrculamedia2"/>
              <w:jc w:val="both"/>
              <w:rPr>
                <w:rFonts w:ascii="Times New Roman" w:hAnsi="Times New Roman"/>
                <w:b/>
              </w:rPr>
            </w:pPr>
            <w:r w:rsidRPr="003A02D8">
              <w:rPr>
                <w:rFonts w:ascii="Times New Roman" w:hAnsi="Times New Roman"/>
                <w:b/>
              </w:rPr>
              <w:t xml:space="preserve">Pasaje S38F </w:t>
            </w:r>
          </w:p>
        </w:tc>
        <w:tc>
          <w:tcPr>
            <w:tcW w:w="3686" w:type="dxa"/>
            <w:shd w:val="clear" w:color="auto" w:fill="auto"/>
            <w:vAlign w:val="center"/>
          </w:tcPr>
          <w:p w14:paraId="51D58728" w14:textId="77777777" w:rsidR="00E3164E" w:rsidRPr="003A02D8" w:rsidRDefault="00E3164E" w:rsidP="003A02D8">
            <w:pPr>
              <w:pStyle w:val="Cuadrculamedia2"/>
              <w:jc w:val="center"/>
              <w:rPr>
                <w:rFonts w:ascii="Times New Roman" w:hAnsi="Times New Roman"/>
              </w:rPr>
            </w:pPr>
            <w:r w:rsidRPr="003A02D8">
              <w:rPr>
                <w:rFonts w:ascii="Times New Roman" w:hAnsi="Times New Roman"/>
              </w:rPr>
              <w:t>variable de 2.60 m a 3.37 m</w:t>
            </w:r>
          </w:p>
        </w:tc>
      </w:tr>
    </w:tbl>
    <w:p w14:paraId="5BDC9F1B" w14:textId="77777777" w:rsidR="00457FD6" w:rsidRDefault="00457FD6" w:rsidP="00754F12">
      <w:pPr>
        <w:pStyle w:val="Cuadrculamedia2"/>
        <w:spacing w:line="276" w:lineRule="auto"/>
        <w:jc w:val="both"/>
        <w:rPr>
          <w:rFonts w:ascii="Times New Roman" w:hAnsi="Times New Roman"/>
          <w:b/>
          <w:bCs/>
        </w:rPr>
      </w:pPr>
    </w:p>
    <w:p w14:paraId="39D0A653" w14:textId="77777777" w:rsidR="00754F12" w:rsidRPr="0072591E" w:rsidRDefault="00754F12" w:rsidP="00754F12">
      <w:pPr>
        <w:pStyle w:val="Cuadrculamedia2"/>
        <w:spacing w:line="276" w:lineRule="auto"/>
        <w:jc w:val="both"/>
        <w:rPr>
          <w:rFonts w:ascii="Times New Roman" w:hAnsi="Times New Roman"/>
        </w:rPr>
      </w:pPr>
      <w:r w:rsidRPr="0072591E">
        <w:rPr>
          <w:rFonts w:ascii="Times New Roman" w:hAnsi="Times New Roman"/>
          <w:b/>
          <w:bCs/>
        </w:rPr>
        <w:t xml:space="preserve">Artículo 11.- De las obras a ejecutarse. - </w:t>
      </w:r>
      <w:r w:rsidRPr="0072591E">
        <w:rPr>
          <w:rFonts w:ascii="Times New Roman" w:hAnsi="Times New Roman"/>
        </w:rPr>
        <w:t xml:space="preserve">Las obras civiles a ejecutarse en el asentamiento humano de hecho y consolidado de interés social, son las siguientes: </w:t>
      </w:r>
    </w:p>
    <w:p w14:paraId="14899DFD" w14:textId="77777777" w:rsidR="00275F3B" w:rsidRPr="0072591E" w:rsidRDefault="00275F3B" w:rsidP="00754F12">
      <w:pPr>
        <w:pStyle w:val="Cuadrculamedia2"/>
        <w:spacing w:line="276" w:lineRule="auto"/>
        <w:jc w:val="both"/>
        <w:rPr>
          <w:rFonts w:ascii="Times New Roman" w:hAnsi="Times New Roman"/>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86"/>
      </w:tblGrid>
      <w:tr w:rsidR="00754F12" w:rsidRPr="0072591E" w14:paraId="71CEB3DB" w14:textId="77777777" w:rsidTr="003A02D8">
        <w:trPr>
          <w:trHeight w:val="265"/>
        </w:trPr>
        <w:tc>
          <w:tcPr>
            <w:tcW w:w="2905" w:type="dxa"/>
            <w:shd w:val="clear" w:color="auto" w:fill="auto"/>
            <w:vAlign w:val="center"/>
          </w:tcPr>
          <w:p w14:paraId="7E7EB299" w14:textId="77777777" w:rsidR="00754F12" w:rsidRPr="003A02D8" w:rsidRDefault="00754F12" w:rsidP="003A02D8">
            <w:pPr>
              <w:pStyle w:val="Cuadrculamedia2"/>
              <w:jc w:val="both"/>
              <w:rPr>
                <w:rFonts w:ascii="Times New Roman" w:hAnsi="Times New Roman"/>
                <w:b/>
              </w:rPr>
            </w:pPr>
            <w:r w:rsidRPr="003A02D8">
              <w:rPr>
                <w:rFonts w:ascii="Times New Roman" w:hAnsi="Times New Roman"/>
                <w:b/>
              </w:rPr>
              <w:t>Calzadas</w:t>
            </w:r>
            <w:r w:rsidR="00385F6E" w:rsidRPr="003A02D8">
              <w:rPr>
                <w:rFonts w:ascii="Times New Roman" w:hAnsi="Times New Roman"/>
                <w:b/>
              </w:rPr>
              <w:t xml:space="preserve"> (</w:t>
            </w:r>
            <w:r w:rsidR="006D5953" w:rsidRPr="003A02D8">
              <w:rPr>
                <w:rFonts w:ascii="Times New Roman" w:hAnsi="Times New Roman"/>
                <w:b/>
              </w:rPr>
              <w:t>Calles y p</w:t>
            </w:r>
            <w:r w:rsidR="00385F6E" w:rsidRPr="003A02D8">
              <w:rPr>
                <w:rFonts w:ascii="Times New Roman" w:hAnsi="Times New Roman"/>
                <w:b/>
              </w:rPr>
              <w:t>asajes)</w:t>
            </w:r>
            <w:r w:rsidRPr="003A02D8">
              <w:rPr>
                <w:rFonts w:ascii="Times New Roman" w:hAnsi="Times New Roman"/>
                <w:b/>
              </w:rPr>
              <w:t>:</w:t>
            </w:r>
          </w:p>
        </w:tc>
        <w:tc>
          <w:tcPr>
            <w:tcW w:w="3686" w:type="dxa"/>
            <w:shd w:val="clear" w:color="auto" w:fill="auto"/>
            <w:vAlign w:val="center"/>
          </w:tcPr>
          <w:p w14:paraId="5D96808E" w14:textId="77777777" w:rsidR="00754F12" w:rsidRPr="003A02D8" w:rsidRDefault="006D5953" w:rsidP="003A02D8">
            <w:pPr>
              <w:pStyle w:val="Cuadrculamedia2"/>
              <w:jc w:val="center"/>
              <w:rPr>
                <w:rFonts w:ascii="Times New Roman" w:hAnsi="Times New Roman"/>
              </w:rPr>
            </w:pPr>
            <w:r w:rsidRPr="003A02D8">
              <w:rPr>
                <w:rFonts w:ascii="Times New Roman" w:hAnsi="Times New Roman"/>
              </w:rPr>
              <w:t>50%</w:t>
            </w:r>
          </w:p>
        </w:tc>
      </w:tr>
      <w:tr w:rsidR="00354D53" w:rsidRPr="0072591E" w14:paraId="517F9C9C" w14:textId="77777777" w:rsidTr="003A02D8">
        <w:trPr>
          <w:trHeight w:val="265"/>
        </w:trPr>
        <w:tc>
          <w:tcPr>
            <w:tcW w:w="2905" w:type="dxa"/>
            <w:shd w:val="clear" w:color="auto" w:fill="auto"/>
            <w:vAlign w:val="center"/>
          </w:tcPr>
          <w:p w14:paraId="21D6C475" w14:textId="77777777" w:rsidR="00354D53" w:rsidRPr="003A02D8" w:rsidRDefault="006D5953" w:rsidP="003A02D8">
            <w:pPr>
              <w:pStyle w:val="Cuadrculamedia2"/>
              <w:jc w:val="both"/>
              <w:rPr>
                <w:rFonts w:ascii="Times New Roman" w:hAnsi="Times New Roman"/>
                <w:b/>
              </w:rPr>
            </w:pPr>
            <w:r w:rsidRPr="003A02D8">
              <w:rPr>
                <w:rFonts w:ascii="Times New Roman" w:hAnsi="Times New Roman"/>
                <w:b/>
              </w:rPr>
              <w:t>Aceras (Calles):</w:t>
            </w:r>
          </w:p>
        </w:tc>
        <w:tc>
          <w:tcPr>
            <w:tcW w:w="3686" w:type="dxa"/>
            <w:shd w:val="clear" w:color="auto" w:fill="auto"/>
            <w:vAlign w:val="center"/>
          </w:tcPr>
          <w:p w14:paraId="473B858F" w14:textId="77777777" w:rsidR="00354D53" w:rsidRPr="003A02D8" w:rsidRDefault="006D5953" w:rsidP="003A02D8">
            <w:pPr>
              <w:pStyle w:val="Cuadrculamedia2"/>
              <w:jc w:val="center"/>
              <w:rPr>
                <w:rFonts w:ascii="Times New Roman" w:hAnsi="Times New Roman"/>
              </w:rPr>
            </w:pPr>
            <w:r w:rsidRPr="003A02D8">
              <w:rPr>
                <w:rFonts w:ascii="Times New Roman" w:hAnsi="Times New Roman"/>
              </w:rPr>
              <w:t>70%</w:t>
            </w:r>
          </w:p>
        </w:tc>
      </w:tr>
      <w:tr w:rsidR="00354D53" w:rsidRPr="0072591E" w14:paraId="2BBB01E3" w14:textId="77777777" w:rsidTr="003A02D8">
        <w:trPr>
          <w:trHeight w:val="265"/>
        </w:trPr>
        <w:tc>
          <w:tcPr>
            <w:tcW w:w="2905" w:type="dxa"/>
            <w:shd w:val="clear" w:color="auto" w:fill="auto"/>
            <w:vAlign w:val="center"/>
          </w:tcPr>
          <w:p w14:paraId="27A7E876" w14:textId="77777777" w:rsidR="00354D53" w:rsidRPr="003A02D8" w:rsidRDefault="006D5953" w:rsidP="003A02D8">
            <w:pPr>
              <w:pStyle w:val="Cuadrculamedia2"/>
              <w:jc w:val="both"/>
              <w:rPr>
                <w:rFonts w:ascii="Times New Roman" w:hAnsi="Times New Roman"/>
                <w:b/>
              </w:rPr>
            </w:pPr>
            <w:r w:rsidRPr="003A02D8">
              <w:rPr>
                <w:rFonts w:ascii="Times New Roman" w:hAnsi="Times New Roman"/>
                <w:b/>
              </w:rPr>
              <w:t>Bordillos (Calles):</w:t>
            </w:r>
          </w:p>
        </w:tc>
        <w:tc>
          <w:tcPr>
            <w:tcW w:w="3686" w:type="dxa"/>
            <w:shd w:val="clear" w:color="auto" w:fill="auto"/>
            <w:vAlign w:val="center"/>
          </w:tcPr>
          <w:p w14:paraId="6F8DBDE6" w14:textId="77777777" w:rsidR="00354D53" w:rsidRPr="003A02D8" w:rsidRDefault="006D5953" w:rsidP="003A02D8">
            <w:pPr>
              <w:pStyle w:val="Cuadrculamedia2"/>
              <w:jc w:val="center"/>
              <w:rPr>
                <w:rFonts w:ascii="Times New Roman" w:hAnsi="Times New Roman"/>
              </w:rPr>
            </w:pPr>
            <w:r w:rsidRPr="003A02D8">
              <w:rPr>
                <w:rFonts w:ascii="Times New Roman" w:hAnsi="Times New Roman"/>
              </w:rPr>
              <w:t>70%</w:t>
            </w:r>
          </w:p>
        </w:tc>
      </w:tr>
    </w:tbl>
    <w:p w14:paraId="40443982" w14:textId="77777777" w:rsidR="00754F12" w:rsidRPr="0072591E" w:rsidRDefault="006D5953" w:rsidP="00754F12">
      <w:pPr>
        <w:pStyle w:val="Cuadrculamedia2"/>
        <w:jc w:val="both"/>
        <w:rPr>
          <w:rFonts w:ascii="Times New Roman" w:hAnsi="Times New Roman"/>
          <w:bCs/>
        </w:rPr>
      </w:pPr>
      <w:r>
        <w:rPr>
          <w:rFonts w:ascii="Times New Roman" w:hAnsi="Times New Roman"/>
          <w:bCs/>
        </w:rPr>
        <w:br w:type="textWrapping" w:clear="all"/>
      </w:r>
    </w:p>
    <w:p w14:paraId="145EF41D" w14:textId="77777777" w:rsidR="00754F12" w:rsidRPr="0072591E" w:rsidRDefault="00754F12" w:rsidP="00754F12">
      <w:pPr>
        <w:pStyle w:val="Cuadrculamedia2"/>
        <w:spacing w:line="276" w:lineRule="auto"/>
        <w:jc w:val="both"/>
        <w:rPr>
          <w:rFonts w:ascii="Times New Roman" w:hAnsi="Times New Roman"/>
          <w:iCs/>
        </w:rPr>
      </w:pPr>
      <w:r w:rsidRPr="0072591E">
        <w:rPr>
          <w:rFonts w:ascii="Times New Roman" w:hAnsi="Times New Roman"/>
          <w:b/>
          <w:bCs/>
        </w:rPr>
        <w:t>Artículo 12.- Del plazo de ejecución de las obras.-</w:t>
      </w:r>
      <w:r w:rsidRPr="0072591E">
        <w:rPr>
          <w:rFonts w:ascii="Times New Roman" w:hAnsi="Times New Roman"/>
        </w:rPr>
        <w:t xml:space="preserve"> El plazo de ejecución de la totalidad de las obras civiles, será de hasta cinco (5) años, </w:t>
      </w:r>
      <w:r w:rsidRPr="0072591E">
        <w:rPr>
          <w:rFonts w:ascii="Times New Roman" w:hAnsi="Times New Roman"/>
          <w:iCs/>
        </w:rPr>
        <w:t xml:space="preserve">de conformidad al cronograma de obras presentado por </w:t>
      </w:r>
      <w:r w:rsidRPr="0072591E">
        <w:rPr>
          <w:rFonts w:ascii="Times New Roman" w:hAnsi="Times New Roman"/>
        </w:rPr>
        <w:t>los copropietarios del inmueble donde se ubica el asentamiento humano de hecho y consolidado de interés social,</w:t>
      </w:r>
      <w:r w:rsidRPr="0072591E">
        <w:rPr>
          <w:rFonts w:ascii="Times New Roman" w:hAnsi="Times New Roman"/>
          <w:b/>
        </w:rPr>
        <w:t xml:space="preserve"> </w:t>
      </w:r>
      <w:r w:rsidRPr="0072591E">
        <w:rPr>
          <w:rFonts w:ascii="Times New Roman" w:hAnsi="Times New Roman"/>
        </w:rPr>
        <w:t>y aprobado por la mesa institucional</w:t>
      </w:r>
      <w:r w:rsidRPr="0072591E">
        <w:rPr>
          <w:rFonts w:ascii="Times New Roman" w:hAnsi="Times New Roman"/>
          <w:b/>
        </w:rPr>
        <w:t xml:space="preserve">, </w:t>
      </w:r>
      <w:r w:rsidRPr="0072591E">
        <w:rPr>
          <w:rFonts w:ascii="Times New Roman" w:hAnsi="Times New Roman"/>
          <w:iCs/>
        </w:rPr>
        <w:t>plazo que se contará a partir de la fecha de inscripción de la presente Ordenanza en el Registro de la Propiedad del Distrito Metropolitano de Quito.</w:t>
      </w:r>
    </w:p>
    <w:p w14:paraId="19C7C5BE" w14:textId="77777777" w:rsidR="00754F12" w:rsidRPr="0072591E" w:rsidRDefault="00754F12" w:rsidP="00754F12">
      <w:pPr>
        <w:pStyle w:val="Cuadrculamedia2"/>
        <w:jc w:val="both"/>
        <w:rPr>
          <w:rFonts w:ascii="Times New Roman" w:eastAsia="Times New Roman" w:hAnsi="Times New Roman"/>
          <w:bCs/>
          <w:lang w:val="es-ES" w:eastAsia="es-ES"/>
        </w:rPr>
      </w:pPr>
    </w:p>
    <w:p w14:paraId="1FF9CF42" w14:textId="77777777" w:rsidR="00754F12" w:rsidRPr="0072591E" w:rsidRDefault="00754F12" w:rsidP="00754F12">
      <w:pPr>
        <w:pStyle w:val="Cuadrculamedia2"/>
        <w:jc w:val="both"/>
        <w:rPr>
          <w:rFonts w:ascii="Times New Roman" w:eastAsia="Times New Roman" w:hAnsi="Times New Roman"/>
          <w:lang w:eastAsia="es-ES"/>
        </w:rPr>
      </w:pPr>
      <w:r w:rsidRPr="0072591E">
        <w:rPr>
          <w:rFonts w:ascii="Times New Roman" w:eastAsia="Times New Roman" w:hAnsi="Times New Roman"/>
          <w:lang w:eastAsia="es-ES"/>
        </w:rPr>
        <w:t xml:space="preserve">Las obras </w:t>
      </w:r>
      <w:r w:rsidR="006E20C3" w:rsidRPr="0072591E">
        <w:rPr>
          <w:rFonts w:ascii="Times New Roman" w:eastAsia="Times New Roman" w:hAnsi="Times New Roman"/>
          <w:lang w:eastAsia="es-ES"/>
        </w:rPr>
        <w:t>de infraestructura</w:t>
      </w:r>
      <w:r w:rsidRPr="0072591E">
        <w:rPr>
          <w:rFonts w:ascii="Times New Roman" w:eastAsia="Times New Roman" w:hAnsi="Times New Roman"/>
          <w:lang w:eastAsia="es-ES"/>
        </w:rPr>
        <w:t xml:space="preserve">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 El valor por contribución especial a mejoras se aplicará conforme la modalidad ejecutada.</w:t>
      </w:r>
    </w:p>
    <w:p w14:paraId="4D90EA85" w14:textId="77777777" w:rsidR="00754F12" w:rsidRPr="0072591E" w:rsidRDefault="00754F12" w:rsidP="00754F12">
      <w:pPr>
        <w:pStyle w:val="Cuadrculamedia2"/>
        <w:jc w:val="both"/>
        <w:rPr>
          <w:rFonts w:ascii="Times New Roman" w:eastAsia="Times New Roman" w:hAnsi="Times New Roman"/>
          <w:lang w:eastAsia="es-ES"/>
        </w:rPr>
      </w:pPr>
    </w:p>
    <w:p w14:paraId="4B81DE76" w14:textId="77777777" w:rsidR="00754F12" w:rsidRPr="00EB68A9" w:rsidRDefault="00754F12" w:rsidP="00754F12">
      <w:pPr>
        <w:spacing w:after="240" w:line="276" w:lineRule="auto"/>
        <w:jc w:val="both"/>
        <w:rPr>
          <w:sz w:val="22"/>
          <w:szCs w:val="22"/>
        </w:rPr>
      </w:pPr>
      <w:r w:rsidRPr="00940594">
        <w:rPr>
          <w:b/>
          <w:sz w:val="22"/>
          <w:szCs w:val="22"/>
          <w:lang w:val="es-EC"/>
        </w:rPr>
        <w:t>Artículo 13.- Del control de ejecución de las obras.-</w:t>
      </w:r>
      <w:r w:rsidRPr="00940594">
        <w:rPr>
          <w:sz w:val="22"/>
          <w:szCs w:val="22"/>
          <w:lang w:val="es-EC"/>
        </w:rPr>
        <w:t xml:space="preserve"> La Administración Zonal </w:t>
      </w:r>
      <w:r w:rsidR="00756ADC" w:rsidRPr="00940594">
        <w:rPr>
          <w:sz w:val="22"/>
          <w:szCs w:val="22"/>
          <w:lang w:val="es-EC"/>
        </w:rPr>
        <w:t>Quitumbe</w:t>
      </w:r>
      <w:r w:rsidRPr="00940594">
        <w:rPr>
          <w:sz w:val="22"/>
          <w:szCs w:val="22"/>
          <w:lang w:val="es-EC"/>
        </w:rPr>
        <w:t xml:space="preserve"> realizará de oficio, el seguimiento en la ejecución </w:t>
      </w:r>
      <w:r w:rsidR="00E86AA3">
        <w:rPr>
          <w:sz w:val="22"/>
          <w:szCs w:val="22"/>
          <w:lang w:val="es-EC"/>
        </w:rPr>
        <w:t xml:space="preserve">y avance de las obras civiles </w:t>
      </w:r>
      <w:r w:rsidRPr="00940594">
        <w:rPr>
          <w:sz w:val="22"/>
          <w:szCs w:val="22"/>
          <w:lang w:val="es-EC"/>
        </w:rPr>
        <w:t xml:space="preserve">hasta la terminación de las mismas, </w:t>
      </w:r>
      <w:r w:rsidRPr="00940594">
        <w:rPr>
          <w:sz w:val="22"/>
          <w:szCs w:val="22"/>
        </w:rPr>
        <w:t>para lo cual se emitirá un informe técnico tanto del departamento de fiscalización como del departamento de obras públicas cada semestre. Su informe favorable conforme a la normativa vigente</w:t>
      </w:r>
      <w:r w:rsidRPr="003A02D8">
        <w:rPr>
          <w:color w:val="000000"/>
          <w:sz w:val="22"/>
          <w:szCs w:val="22"/>
        </w:rPr>
        <w:t xml:space="preserve">, expedido por la Administración Zonal </w:t>
      </w:r>
      <w:r w:rsidR="00756ADC" w:rsidRPr="003A02D8">
        <w:rPr>
          <w:color w:val="000000"/>
          <w:sz w:val="22"/>
          <w:szCs w:val="22"/>
        </w:rPr>
        <w:t>Quitumbe</w:t>
      </w:r>
      <w:r w:rsidRPr="003A02D8">
        <w:rPr>
          <w:color w:val="000000"/>
          <w:sz w:val="22"/>
          <w:szCs w:val="22"/>
        </w:rPr>
        <w:t>, será indispensable para cancelar la hipoteca</w:t>
      </w:r>
      <w:r w:rsidRPr="00940594">
        <w:rPr>
          <w:color w:val="2A2A2A"/>
          <w:sz w:val="22"/>
          <w:szCs w:val="22"/>
        </w:rPr>
        <w:t>.</w:t>
      </w:r>
      <w:r w:rsidRPr="00940594">
        <w:rPr>
          <w:sz w:val="22"/>
          <w:szCs w:val="22"/>
        </w:rPr>
        <w:t xml:space="preserve">  </w:t>
      </w:r>
    </w:p>
    <w:p w14:paraId="50402F28" w14:textId="77777777" w:rsidR="00754F12" w:rsidRPr="0072591E" w:rsidRDefault="00754F12" w:rsidP="00754F12">
      <w:pPr>
        <w:pStyle w:val="Textoindependiente"/>
        <w:spacing w:line="276" w:lineRule="auto"/>
        <w:jc w:val="both"/>
        <w:rPr>
          <w:sz w:val="22"/>
          <w:szCs w:val="22"/>
        </w:rPr>
      </w:pPr>
      <w:r w:rsidRPr="00940594">
        <w:rPr>
          <w:b/>
          <w:bCs/>
          <w:sz w:val="22"/>
          <w:szCs w:val="22"/>
        </w:rPr>
        <w:t>Artículo</w:t>
      </w:r>
      <w:r w:rsidRPr="00940594">
        <w:rPr>
          <w:b/>
          <w:bCs/>
          <w:sz w:val="22"/>
          <w:szCs w:val="22"/>
          <w:lang w:val="es-ES_tradnl"/>
        </w:rPr>
        <w:t xml:space="preserve"> 14.- De la multa por retraso en ejecución de obras.- </w:t>
      </w:r>
      <w:r w:rsidRPr="00940594">
        <w:rPr>
          <w:sz w:val="22"/>
          <w:szCs w:val="22"/>
          <w:lang w:val="es-ES_tradnl"/>
        </w:rPr>
        <w:t xml:space="preserve">En caso de retraso en la ejecución de las obras </w:t>
      </w:r>
      <w:r w:rsidRPr="00940594">
        <w:rPr>
          <w:sz w:val="22"/>
          <w:szCs w:val="22"/>
          <w:lang w:val="es-EC"/>
        </w:rPr>
        <w:t>civiles y de infraestructura</w:t>
      </w:r>
      <w:r w:rsidRPr="00940594">
        <w:rPr>
          <w:sz w:val="22"/>
          <w:szCs w:val="22"/>
          <w:lang w:val="es-ES_tradnl"/>
        </w:rPr>
        <w:t>,</w:t>
      </w:r>
      <w:r w:rsidRPr="00940594">
        <w:rPr>
          <w:sz w:val="22"/>
          <w:szCs w:val="22"/>
        </w:rPr>
        <w:t xml:space="preserve"> los copropietarios del inmu</w:t>
      </w:r>
      <w:r w:rsidR="00940594" w:rsidRPr="00940594">
        <w:rPr>
          <w:sz w:val="22"/>
          <w:szCs w:val="22"/>
        </w:rPr>
        <w:t>eble sobre el cual se ubica el a</w:t>
      </w:r>
      <w:r w:rsidRPr="00940594">
        <w:rPr>
          <w:sz w:val="22"/>
          <w:szCs w:val="22"/>
        </w:rPr>
        <w:t xml:space="preserve">sentamiento </w:t>
      </w:r>
      <w:r w:rsidR="00940594" w:rsidRPr="00940594">
        <w:rPr>
          <w:sz w:val="22"/>
          <w:szCs w:val="22"/>
        </w:rPr>
        <w:t>h</w:t>
      </w:r>
      <w:r w:rsidRPr="00940594">
        <w:rPr>
          <w:sz w:val="22"/>
          <w:szCs w:val="22"/>
        </w:rPr>
        <w:t xml:space="preserve">umano de </w:t>
      </w:r>
      <w:r w:rsidR="00940594" w:rsidRPr="00940594">
        <w:rPr>
          <w:sz w:val="22"/>
          <w:szCs w:val="22"/>
        </w:rPr>
        <w:t>h</w:t>
      </w:r>
      <w:r w:rsidRPr="00940594">
        <w:rPr>
          <w:sz w:val="22"/>
          <w:szCs w:val="22"/>
        </w:rPr>
        <w:t xml:space="preserve">echo y </w:t>
      </w:r>
      <w:r w:rsidR="00940594" w:rsidRPr="00940594">
        <w:rPr>
          <w:sz w:val="22"/>
          <w:szCs w:val="22"/>
        </w:rPr>
        <w:t>c</w:t>
      </w:r>
      <w:r w:rsidRPr="00940594">
        <w:rPr>
          <w:sz w:val="22"/>
          <w:szCs w:val="22"/>
        </w:rPr>
        <w:t xml:space="preserve">onsolidado de </w:t>
      </w:r>
      <w:r w:rsidR="00940594" w:rsidRPr="00940594">
        <w:rPr>
          <w:sz w:val="22"/>
          <w:szCs w:val="22"/>
        </w:rPr>
        <w:t>i</w:t>
      </w:r>
      <w:r w:rsidRPr="00940594">
        <w:rPr>
          <w:sz w:val="22"/>
          <w:szCs w:val="22"/>
        </w:rPr>
        <w:t xml:space="preserve">nterés </w:t>
      </w:r>
      <w:r w:rsidR="00940594" w:rsidRPr="00940594">
        <w:rPr>
          <w:sz w:val="22"/>
          <w:szCs w:val="22"/>
        </w:rPr>
        <w:t>s</w:t>
      </w:r>
      <w:r w:rsidRPr="00940594">
        <w:rPr>
          <w:sz w:val="22"/>
          <w:szCs w:val="22"/>
        </w:rPr>
        <w:t>ocial</w:t>
      </w:r>
      <w:r w:rsidRPr="00940594">
        <w:rPr>
          <w:b/>
          <w:sz w:val="22"/>
          <w:szCs w:val="22"/>
        </w:rPr>
        <w:t xml:space="preserve"> </w:t>
      </w:r>
      <w:r w:rsidRPr="00940594">
        <w:rPr>
          <w:sz w:val="22"/>
          <w:szCs w:val="22"/>
        </w:rPr>
        <w:t>denominado “</w:t>
      </w:r>
      <w:r w:rsidR="00EB68A9">
        <w:rPr>
          <w:sz w:val="22"/>
          <w:szCs w:val="22"/>
        </w:rPr>
        <w:t>EL Blanqueado La Balvina</w:t>
      </w:r>
      <w:r w:rsidRPr="00940594">
        <w:rPr>
          <w:sz w:val="22"/>
          <w:szCs w:val="22"/>
        </w:rPr>
        <w:t xml:space="preserve">”, </w:t>
      </w:r>
      <w:r w:rsidRPr="00940594">
        <w:rPr>
          <w:bCs/>
          <w:sz w:val="22"/>
          <w:szCs w:val="22"/>
        </w:rPr>
        <w:t>se sujetará a las sanciones contempladas en el Ordenamiento Jurídico Nacional y Metropolitano.</w:t>
      </w:r>
    </w:p>
    <w:p w14:paraId="495DE6A6" w14:textId="77777777" w:rsidR="00754F12" w:rsidRPr="0072591E" w:rsidRDefault="00754F12" w:rsidP="00754F12">
      <w:pPr>
        <w:pStyle w:val="Textoindependiente"/>
        <w:tabs>
          <w:tab w:val="left" w:pos="1306"/>
        </w:tabs>
        <w:spacing w:after="240" w:line="276" w:lineRule="auto"/>
        <w:jc w:val="both"/>
        <w:rPr>
          <w:bCs/>
          <w:iCs/>
          <w:sz w:val="22"/>
          <w:szCs w:val="22"/>
        </w:rPr>
      </w:pPr>
      <w:r w:rsidRPr="0072591E">
        <w:rPr>
          <w:b/>
          <w:bCs/>
          <w:iCs/>
          <w:sz w:val="22"/>
          <w:szCs w:val="22"/>
        </w:rPr>
        <w:t xml:space="preserve">Artículo 15.- De la garantía de ejecución de las obras.- </w:t>
      </w:r>
      <w:r w:rsidRPr="0072591E">
        <w:rPr>
          <w:sz w:val="22"/>
          <w:szCs w:val="22"/>
        </w:rPr>
        <w:t>Los lotes producto del fraccionamiento</w:t>
      </w:r>
      <w:r w:rsidR="00940594">
        <w:rPr>
          <w:sz w:val="22"/>
          <w:szCs w:val="22"/>
        </w:rPr>
        <w:t xml:space="preserve"> donde se encuentra ubicado el asentamiento humano de hecho y consolidado de interés s</w:t>
      </w:r>
      <w:r w:rsidRPr="0072591E">
        <w:rPr>
          <w:sz w:val="22"/>
          <w:szCs w:val="22"/>
        </w:rPr>
        <w:t>ocial denominado “</w:t>
      </w:r>
      <w:r w:rsidR="00EB68A9">
        <w:rPr>
          <w:sz w:val="22"/>
          <w:szCs w:val="22"/>
        </w:rPr>
        <w:t>El Blanqueado La Balvina</w:t>
      </w:r>
      <w:r w:rsidRPr="0072591E">
        <w:rPr>
          <w:sz w:val="22"/>
          <w:szCs w:val="22"/>
        </w:rPr>
        <w:t xml:space="preserve">”, </w:t>
      </w:r>
      <w:r w:rsidRPr="0072591E">
        <w:rPr>
          <w:bCs/>
          <w:iCs/>
          <w:sz w:val="22"/>
          <w:szCs w:val="22"/>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32665555" w14:textId="77777777" w:rsidR="00754F12" w:rsidRPr="0072591E" w:rsidRDefault="00754F12" w:rsidP="00754F12">
      <w:pPr>
        <w:pStyle w:val="Textoindependiente"/>
        <w:spacing w:line="276" w:lineRule="auto"/>
        <w:jc w:val="both"/>
        <w:rPr>
          <w:sz w:val="22"/>
          <w:szCs w:val="22"/>
          <w:lang w:val="es-ES_tradnl"/>
        </w:rPr>
      </w:pPr>
      <w:r w:rsidRPr="0072591E">
        <w:rPr>
          <w:b/>
          <w:bCs/>
          <w:sz w:val="22"/>
          <w:szCs w:val="22"/>
        </w:rPr>
        <w:t>Artículo</w:t>
      </w:r>
      <w:r w:rsidRPr="0072591E">
        <w:rPr>
          <w:b/>
          <w:bCs/>
          <w:sz w:val="22"/>
          <w:szCs w:val="22"/>
          <w:lang w:val="es-ES_tradnl"/>
        </w:rPr>
        <w:t xml:space="preserve"> 16.- De la Protocolización e inscripción de la Ordenanza. -  </w:t>
      </w:r>
      <w:r w:rsidR="00FB12CD">
        <w:rPr>
          <w:sz w:val="22"/>
          <w:szCs w:val="22"/>
          <w:lang w:val="es-EC"/>
        </w:rPr>
        <w:t>Los copropietarios de los</w:t>
      </w:r>
      <w:r w:rsidRPr="0072591E">
        <w:rPr>
          <w:sz w:val="22"/>
          <w:szCs w:val="22"/>
          <w:lang w:val="es-EC"/>
        </w:rPr>
        <w:t xml:space="preserve"> predio</w:t>
      </w:r>
      <w:r w:rsidR="00FB12CD">
        <w:rPr>
          <w:sz w:val="22"/>
          <w:szCs w:val="22"/>
          <w:lang w:val="es-EC"/>
        </w:rPr>
        <w:t>s</w:t>
      </w:r>
      <w:r w:rsidRPr="0072591E">
        <w:rPr>
          <w:sz w:val="22"/>
          <w:szCs w:val="22"/>
          <w:lang w:val="es-EC"/>
        </w:rPr>
        <w:t xml:space="preserve"> del </w:t>
      </w:r>
      <w:r w:rsidR="00940594">
        <w:rPr>
          <w:sz w:val="22"/>
          <w:szCs w:val="22"/>
        </w:rPr>
        <w:t>asentamiento humano de h</w:t>
      </w:r>
      <w:r w:rsidRPr="0072591E">
        <w:rPr>
          <w:sz w:val="22"/>
          <w:szCs w:val="22"/>
        </w:rPr>
        <w:t xml:space="preserve">echo y </w:t>
      </w:r>
      <w:r w:rsidR="00940594">
        <w:rPr>
          <w:sz w:val="22"/>
          <w:szCs w:val="22"/>
        </w:rPr>
        <w:t>c</w:t>
      </w:r>
      <w:r w:rsidRPr="0072591E">
        <w:rPr>
          <w:sz w:val="22"/>
          <w:szCs w:val="22"/>
        </w:rPr>
        <w:t xml:space="preserve">onsolidado de </w:t>
      </w:r>
      <w:r w:rsidR="00940594">
        <w:rPr>
          <w:sz w:val="22"/>
          <w:szCs w:val="22"/>
        </w:rPr>
        <w:t>i</w:t>
      </w:r>
      <w:r w:rsidRPr="0072591E">
        <w:rPr>
          <w:sz w:val="22"/>
          <w:szCs w:val="22"/>
        </w:rPr>
        <w:t>nterés</w:t>
      </w:r>
      <w:r w:rsidRPr="0072591E">
        <w:rPr>
          <w:bCs/>
          <w:sz w:val="22"/>
          <w:szCs w:val="22"/>
        </w:rPr>
        <w:t xml:space="preserve"> </w:t>
      </w:r>
      <w:r w:rsidR="00940594">
        <w:rPr>
          <w:bCs/>
          <w:sz w:val="22"/>
          <w:szCs w:val="22"/>
        </w:rPr>
        <w:t>s</w:t>
      </w:r>
      <w:r w:rsidRPr="0072591E">
        <w:rPr>
          <w:bCs/>
          <w:sz w:val="22"/>
          <w:szCs w:val="22"/>
        </w:rPr>
        <w:t xml:space="preserve">ocial denominado </w:t>
      </w:r>
      <w:r w:rsidRPr="0072591E">
        <w:rPr>
          <w:sz w:val="22"/>
          <w:szCs w:val="22"/>
        </w:rPr>
        <w:t>“</w:t>
      </w:r>
      <w:r w:rsidR="00FB12CD">
        <w:rPr>
          <w:sz w:val="22"/>
          <w:szCs w:val="22"/>
        </w:rPr>
        <w:t>El Blanqueado La Balvina</w:t>
      </w:r>
      <w:r w:rsidRPr="0072591E">
        <w:rPr>
          <w:sz w:val="22"/>
          <w:szCs w:val="22"/>
        </w:rPr>
        <w:t>”,</w:t>
      </w:r>
      <w:r w:rsidRPr="0072591E">
        <w:rPr>
          <w:bCs/>
          <w:sz w:val="22"/>
          <w:szCs w:val="22"/>
        </w:rPr>
        <w:t xml:space="preserve"> </w:t>
      </w:r>
      <w:r w:rsidRPr="0072591E">
        <w:rPr>
          <w:sz w:val="22"/>
          <w:szCs w:val="22"/>
          <w:lang w:val="es-ES_tradnl"/>
        </w:rPr>
        <w:t xml:space="preserve">deberán </w:t>
      </w:r>
      <w:r w:rsidRPr="0072591E">
        <w:rPr>
          <w:sz w:val="22"/>
          <w:szCs w:val="22"/>
          <w:lang w:val="es-EC"/>
        </w:rPr>
        <w:t>protocolizar la presente Ordenanza ante</w:t>
      </w:r>
      <w:r w:rsidR="00FB12CD">
        <w:rPr>
          <w:sz w:val="22"/>
          <w:szCs w:val="22"/>
          <w:lang w:val="es-EC"/>
        </w:rPr>
        <w:t xml:space="preserve"> un</w:t>
      </w:r>
      <w:r w:rsidRPr="0072591E">
        <w:rPr>
          <w:sz w:val="22"/>
          <w:szCs w:val="22"/>
          <w:lang w:val="es-EC"/>
        </w:rPr>
        <w:t xml:space="preserve"> Notario Público e inscribirla en el Registro de la Propiedad del Distrito Metropolitano de Quito, </w:t>
      </w:r>
      <w:r w:rsidRPr="0072591E">
        <w:rPr>
          <w:sz w:val="22"/>
          <w:szCs w:val="22"/>
          <w:lang w:val="es-ES_tradnl"/>
        </w:rPr>
        <w:t>con todos sus documentos habilitantes</w:t>
      </w:r>
      <w:r w:rsidRPr="0072591E">
        <w:rPr>
          <w:sz w:val="22"/>
          <w:szCs w:val="22"/>
          <w:lang w:val="es-EC"/>
        </w:rPr>
        <w:t>;</w:t>
      </w:r>
      <w:r w:rsidRPr="0072591E">
        <w:rPr>
          <w:sz w:val="22"/>
          <w:szCs w:val="22"/>
          <w:lang w:val="es-ES_tradnl"/>
        </w:rPr>
        <w:t xml:space="preserve"> </w:t>
      </w:r>
    </w:p>
    <w:p w14:paraId="1AE46E5B" w14:textId="77777777" w:rsidR="00754F12" w:rsidRPr="003A02D8" w:rsidRDefault="00754F12" w:rsidP="00754F12">
      <w:pPr>
        <w:pStyle w:val="Textoindependiente"/>
        <w:spacing w:line="276" w:lineRule="auto"/>
        <w:jc w:val="both"/>
        <w:rPr>
          <w:rFonts w:eastAsia="Calibri"/>
          <w:sz w:val="22"/>
          <w:szCs w:val="22"/>
          <w:lang w:val="es-EC" w:eastAsia="en-US"/>
        </w:rPr>
      </w:pPr>
      <w:r w:rsidRPr="0072591E">
        <w:rPr>
          <w:sz w:val="22"/>
          <w:szCs w:val="22"/>
          <w:lang w:val="es-ES_tradnl"/>
        </w:rPr>
        <w:t xml:space="preserve">En caso de no inscribir la presente ordenanza, ésta caducará en el plazo de tres (03) años de conformidad con lo dispuesto en el artículo </w:t>
      </w:r>
      <w:r w:rsidRPr="003A02D8">
        <w:rPr>
          <w:rFonts w:eastAsia="Calibri"/>
          <w:sz w:val="22"/>
          <w:szCs w:val="22"/>
          <w:lang w:val="es-EC" w:eastAsia="en-US"/>
        </w:rPr>
        <w:t>IV.7.64 de la Ordenanza No. 001 de 29 de marzo de 2019.</w:t>
      </w:r>
    </w:p>
    <w:p w14:paraId="486A4FAE" w14:textId="77777777" w:rsidR="00754F12" w:rsidRPr="0072591E" w:rsidRDefault="00754F12" w:rsidP="00754F12">
      <w:pPr>
        <w:pStyle w:val="Textoindependiente"/>
        <w:spacing w:line="276" w:lineRule="auto"/>
        <w:jc w:val="both"/>
        <w:rPr>
          <w:sz w:val="22"/>
          <w:szCs w:val="22"/>
          <w:lang w:val="es-ES_tradnl"/>
        </w:rPr>
      </w:pPr>
      <w:r w:rsidRPr="0072591E">
        <w:rPr>
          <w:b/>
          <w:sz w:val="22"/>
          <w:szCs w:val="22"/>
          <w:lang w:val="es-ES_tradnl"/>
        </w:rPr>
        <w:t>Artículo 17.- De la partición y adjudicación.-</w:t>
      </w:r>
      <w:r w:rsidRPr="0072591E">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317FB003" w14:textId="77777777" w:rsidR="00CC6187" w:rsidRPr="008F53A7" w:rsidRDefault="00754F12" w:rsidP="00CC6187">
      <w:pPr>
        <w:spacing w:after="240"/>
        <w:jc w:val="both"/>
        <w:rPr>
          <w:sz w:val="22"/>
          <w:szCs w:val="22"/>
        </w:rPr>
      </w:pPr>
      <w:r w:rsidRPr="0072591E">
        <w:rPr>
          <w:b/>
          <w:sz w:val="22"/>
          <w:szCs w:val="22"/>
          <w:lang w:val="es-ES_tradnl"/>
        </w:rPr>
        <w:t xml:space="preserve">Artículo 18.- Solicitudes de ampliación de plazo.- </w:t>
      </w:r>
      <w:r w:rsidR="00CC6187" w:rsidRPr="008F53A7">
        <w:rPr>
          <w:sz w:val="22"/>
          <w:szCs w:val="22"/>
        </w:rPr>
        <w:t>Las solicitudes de ampliación de plazo para ejecución de obras civiles</w:t>
      </w:r>
      <w:r w:rsidR="00FB12CD">
        <w:rPr>
          <w:sz w:val="22"/>
          <w:szCs w:val="22"/>
        </w:rPr>
        <w:t xml:space="preserve"> s</w:t>
      </w:r>
      <w:r w:rsidR="00CC6187" w:rsidRPr="008F53A7">
        <w:rPr>
          <w:sz w:val="22"/>
          <w:szCs w:val="22"/>
        </w:rPr>
        <w:t>erán resueltas por la Administración Zonal correspondiente.</w:t>
      </w:r>
    </w:p>
    <w:p w14:paraId="0A9028DA" w14:textId="77777777" w:rsidR="00CC6187" w:rsidRPr="008F53A7" w:rsidRDefault="00CC6187" w:rsidP="00CC6187">
      <w:pPr>
        <w:spacing w:after="240"/>
        <w:jc w:val="both"/>
        <w:rPr>
          <w:sz w:val="22"/>
          <w:szCs w:val="22"/>
        </w:rPr>
      </w:pPr>
      <w:r w:rsidRPr="008F53A7">
        <w:rPr>
          <w:sz w:val="22"/>
          <w:szCs w:val="22"/>
        </w:rPr>
        <w:t>La Administración Zonal Quitumbe, deberá notificar a los copropietarios del asentamiento 6 meses antes a la conclusión del plazo establecido.</w:t>
      </w:r>
    </w:p>
    <w:p w14:paraId="577BEACA" w14:textId="77777777" w:rsidR="00CC6187" w:rsidRPr="008F53A7" w:rsidRDefault="00CC6187" w:rsidP="00CC6187">
      <w:pPr>
        <w:spacing w:after="240"/>
        <w:jc w:val="both"/>
        <w:rPr>
          <w:sz w:val="22"/>
          <w:szCs w:val="22"/>
        </w:rPr>
      </w:pPr>
      <w:r w:rsidRPr="008F53A7">
        <w:rPr>
          <w:sz w:val="22"/>
          <w:szCs w:val="22"/>
        </w:rPr>
        <w:t xml:space="preserve">Dichas solicitudes para ser evaluadas, deberán ser presentadas con al menos tres meses de anticipación a la conclusión del plazo establecido para la ejecución de las obras referidas y debidamente justificadas. </w:t>
      </w:r>
    </w:p>
    <w:p w14:paraId="47EB3F0B" w14:textId="77777777" w:rsidR="00754F12" w:rsidRPr="0072591E" w:rsidRDefault="00754F12" w:rsidP="00CC6187">
      <w:pPr>
        <w:pStyle w:val="Textoindependiente"/>
        <w:spacing w:line="276" w:lineRule="auto"/>
        <w:jc w:val="both"/>
        <w:rPr>
          <w:b/>
          <w:sz w:val="22"/>
          <w:szCs w:val="22"/>
          <w:lang w:val="es-ES_tradnl"/>
        </w:rPr>
      </w:pPr>
      <w:r w:rsidRPr="0072591E">
        <w:rPr>
          <w:b/>
          <w:sz w:val="22"/>
          <w:szCs w:val="22"/>
          <w:lang w:val="es-ES_tradnl"/>
        </w:rPr>
        <w:t>Artículo 19.- Potestad de ejecución.-</w:t>
      </w:r>
      <w:r w:rsidRPr="0072591E">
        <w:rPr>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72591E">
        <w:rPr>
          <w:b/>
          <w:sz w:val="22"/>
          <w:szCs w:val="22"/>
          <w:lang w:val="es-ES_tradnl"/>
        </w:rPr>
        <w:t xml:space="preserve"> </w:t>
      </w:r>
    </w:p>
    <w:p w14:paraId="26DE65E9" w14:textId="77777777" w:rsidR="00754F12" w:rsidRPr="0072591E" w:rsidRDefault="00754F12" w:rsidP="00754F12">
      <w:pPr>
        <w:pStyle w:val="Ttulo3"/>
        <w:spacing w:line="276" w:lineRule="auto"/>
        <w:jc w:val="center"/>
        <w:rPr>
          <w:rFonts w:ascii="Times New Roman" w:hAnsi="Times New Roman" w:cs="Times New Roman"/>
          <w:sz w:val="22"/>
          <w:szCs w:val="22"/>
          <w:lang w:val="es-ES_tradnl"/>
        </w:rPr>
      </w:pPr>
      <w:r w:rsidRPr="0072591E">
        <w:rPr>
          <w:rFonts w:ascii="Times New Roman" w:hAnsi="Times New Roman" w:cs="Times New Roman"/>
          <w:sz w:val="22"/>
          <w:szCs w:val="22"/>
          <w:lang w:val="es-ES_tradnl"/>
        </w:rPr>
        <w:t>Disposiciones Generales</w:t>
      </w:r>
    </w:p>
    <w:p w14:paraId="3CF8581D" w14:textId="77777777" w:rsidR="00754F12" w:rsidRPr="0072591E" w:rsidRDefault="00754F12" w:rsidP="00754F12">
      <w:pPr>
        <w:rPr>
          <w:sz w:val="22"/>
          <w:szCs w:val="22"/>
          <w:lang w:val="es-ES_tradnl"/>
        </w:rPr>
      </w:pPr>
    </w:p>
    <w:p w14:paraId="1E591A6B" w14:textId="77777777" w:rsidR="00754F12" w:rsidRPr="0072591E" w:rsidRDefault="00754F12" w:rsidP="00754F12">
      <w:pPr>
        <w:pStyle w:val="Textoindependiente"/>
        <w:spacing w:line="276" w:lineRule="auto"/>
        <w:jc w:val="both"/>
        <w:rPr>
          <w:b/>
          <w:sz w:val="22"/>
          <w:szCs w:val="22"/>
          <w:lang w:val="es-ES_tradnl"/>
        </w:rPr>
      </w:pPr>
      <w:r w:rsidRPr="0072591E">
        <w:rPr>
          <w:b/>
          <w:sz w:val="22"/>
          <w:szCs w:val="22"/>
          <w:lang w:val="es-ES_tradnl"/>
        </w:rPr>
        <w:t xml:space="preserve">Primera.- </w:t>
      </w:r>
      <w:r w:rsidRPr="0072591E">
        <w:rPr>
          <w:sz w:val="22"/>
          <w:szCs w:val="22"/>
          <w:lang w:val="es-ES_tradnl"/>
        </w:rPr>
        <w:t>Todos los anexos adjuntos al proyecto de regularización son documentos habilitantes de esta Ordenanza</w:t>
      </w:r>
      <w:r w:rsidRPr="0072591E">
        <w:rPr>
          <w:b/>
          <w:sz w:val="22"/>
          <w:szCs w:val="22"/>
          <w:lang w:val="es-ES_tradnl"/>
        </w:rPr>
        <w:t>.</w:t>
      </w:r>
    </w:p>
    <w:p w14:paraId="5B573218" w14:textId="77777777" w:rsidR="00754F12" w:rsidRPr="003A02D8" w:rsidRDefault="00754F12" w:rsidP="00CC6187">
      <w:pPr>
        <w:pStyle w:val="Textoindependiente"/>
        <w:spacing w:after="0" w:line="276" w:lineRule="auto"/>
        <w:jc w:val="both"/>
        <w:rPr>
          <w:color w:val="000000"/>
          <w:sz w:val="22"/>
          <w:szCs w:val="22"/>
        </w:rPr>
      </w:pPr>
      <w:r w:rsidRPr="0072591E">
        <w:rPr>
          <w:b/>
          <w:sz w:val="22"/>
          <w:szCs w:val="22"/>
          <w:lang w:val="es-ES_tradnl"/>
        </w:rPr>
        <w:t xml:space="preserve">Segunda.- </w:t>
      </w:r>
      <w:r w:rsidRPr="0072591E">
        <w:rPr>
          <w:sz w:val="22"/>
          <w:szCs w:val="22"/>
          <w:lang w:val="es-ES_tradnl"/>
        </w:rPr>
        <w:t xml:space="preserve">De acuerdo al </w:t>
      </w:r>
      <w:r w:rsidR="000F405C" w:rsidRPr="008D1ACE">
        <w:rPr>
          <w:sz w:val="22"/>
          <w:szCs w:val="22"/>
        </w:rPr>
        <w:t>Oficio Nro. GADDMQ-SGSG-DMGR-2020-00</w:t>
      </w:r>
      <w:r w:rsidR="000F405C">
        <w:rPr>
          <w:sz w:val="22"/>
          <w:szCs w:val="22"/>
        </w:rPr>
        <w:t>46</w:t>
      </w:r>
      <w:r w:rsidR="000F405C" w:rsidRPr="008D1ACE">
        <w:rPr>
          <w:sz w:val="22"/>
          <w:szCs w:val="22"/>
        </w:rPr>
        <w:t>-OF</w:t>
      </w:r>
      <w:r w:rsidR="006F3E4E" w:rsidRPr="0072591E">
        <w:rPr>
          <w:sz w:val="22"/>
          <w:szCs w:val="22"/>
        </w:rPr>
        <w:t>, de fecha 16 de enero de 2020</w:t>
      </w:r>
      <w:r w:rsidRPr="0072591E">
        <w:rPr>
          <w:sz w:val="22"/>
          <w:szCs w:val="22"/>
        </w:rPr>
        <w:t xml:space="preserve">, </w:t>
      </w:r>
      <w:r w:rsidRPr="0072591E">
        <w:rPr>
          <w:sz w:val="22"/>
          <w:szCs w:val="22"/>
          <w:lang w:val="es-ES_tradnl"/>
        </w:rPr>
        <w:t xml:space="preserve">los copropietarios del Asentamiento deberán cumplir las siguientes disposiciones, además de las recomendaciones generales y normativa legal vigente contenida en este mismo oficio y en el informe </w:t>
      </w:r>
      <w:r w:rsidR="000F405C" w:rsidRPr="003A02D8">
        <w:rPr>
          <w:color w:val="000000"/>
          <w:sz w:val="22"/>
          <w:szCs w:val="22"/>
        </w:rPr>
        <w:t>No. 103-AT-DMGR-2018</w:t>
      </w:r>
      <w:r w:rsidR="00CC6187" w:rsidRPr="003A02D8">
        <w:rPr>
          <w:color w:val="000000"/>
          <w:sz w:val="22"/>
          <w:szCs w:val="22"/>
        </w:rPr>
        <w:t>, de</w:t>
      </w:r>
      <w:r w:rsidR="000F405C" w:rsidRPr="003A02D8">
        <w:rPr>
          <w:color w:val="000000"/>
          <w:sz w:val="22"/>
          <w:szCs w:val="22"/>
        </w:rPr>
        <w:t xml:space="preserve"> 25 de abril</w:t>
      </w:r>
      <w:r w:rsidR="006F3E4E" w:rsidRPr="003A02D8">
        <w:rPr>
          <w:color w:val="000000"/>
          <w:sz w:val="22"/>
          <w:szCs w:val="22"/>
        </w:rPr>
        <w:t xml:space="preserve"> del 2018</w:t>
      </w:r>
      <w:r w:rsidRPr="003A02D8">
        <w:rPr>
          <w:color w:val="000000"/>
          <w:sz w:val="22"/>
          <w:szCs w:val="22"/>
        </w:rPr>
        <w:t>.</w:t>
      </w:r>
    </w:p>
    <w:p w14:paraId="3B29978A" w14:textId="77777777" w:rsidR="00CC6187" w:rsidRPr="003A02D8" w:rsidRDefault="00CC6187" w:rsidP="00CC6187">
      <w:pPr>
        <w:pStyle w:val="Textoindependiente"/>
        <w:spacing w:after="0" w:line="276" w:lineRule="auto"/>
        <w:jc w:val="both"/>
        <w:rPr>
          <w:color w:val="000000"/>
          <w:sz w:val="22"/>
          <w:szCs w:val="22"/>
        </w:rPr>
      </w:pPr>
    </w:p>
    <w:p w14:paraId="45A75449" w14:textId="77777777" w:rsidR="006F3E4E" w:rsidRPr="00BA6614" w:rsidRDefault="006F3E4E" w:rsidP="00CC6187">
      <w:pPr>
        <w:pStyle w:val="Textoindependiente"/>
        <w:numPr>
          <w:ilvl w:val="0"/>
          <w:numId w:val="4"/>
        </w:numPr>
        <w:spacing w:after="0" w:line="276" w:lineRule="auto"/>
        <w:jc w:val="both"/>
        <w:rPr>
          <w:rStyle w:val="fontstyle01"/>
          <w:rFonts w:ascii="Times New Roman" w:hAnsi="Times New Roman"/>
          <w:iCs w:val="0"/>
          <w:color w:val="auto"/>
          <w:lang w:val="es-ES_tradnl"/>
        </w:rPr>
      </w:pPr>
      <w:r w:rsidRPr="0072591E">
        <w:rPr>
          <w:rStyle w:val="fontstyle01"/>
          <w:rFonts w:ascii="Times New Roman" w:hAnsi="Times New Roman"/>
          <w:i w:val="0"/>
        </w:rPr>
        <w:t xml:space="preserve">Se dispone </w:t>
      </w:r>
      <w:r w:rsidR="00CC3ECF">
        <w:rPr>
          <w:rStyle w:val="fontstyle01"/>
          <w:rFonts w:ascii="Times New Roman" w:hAnsi="Times New Roman"/>
          <w:i w:val="0"/>
        </w:rPr>
        <w:t>que mediante mingas comunitarias se implementen sistemas de conducción de escorrentía (agua lluvia) en las calles y pasajes de tierra afirmada para prevenir la erosión del suelo y arrastre de material que pueda afectar a viviendas y asentamientos humanos ubicados en cotas inferiores.</w:t>
      </w:r>
    </w:p>
    <w:p w14:paraId="3F59557A" w14:textId="77777777" w:rsidR="00BA6614" w:rsidRPr="0072591E" w:rsidRDefault="00BA6614" w:rsidP="00BA6614">
      <w:pPr>
        <w:pStyle w:val="Textoindependiente"/>
        <w:spacing w:after="0" w:line="276" w:lineRule="auto"/>
        <w:ind w:left="720"/>
        <w:jc w:val="both"/>
        <w:rPr>
          <w:i/>
          <w:sz w:val="22"/>
          <w:szCs w:val="22"/>
          <w:lang w:val="es-ES_tradnl"/>
        </w:rPr>
      </w:pPr>
    </w:p>
    <w:p w14:paraId="613104CE"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lang w:val="es-ES_tradnl"/>
        </w:rPr>
        <w:t xml:space="preserve">Se dispone </w:t>
      </w:r>
      <w:r w:rsidR="00CC3ECF">
        <w:rPr>
          <w:rStyle w:val="fontstyle01"/>
          <w:rFonts w:ascii="Times New Roman" w:hAnsi="Times New Roman"/>
          <w:i w:val="0"/>
          <w:lang w:val="es-ES_tradnl"/>
        </w:rPr>
        <w:t>que en el asentamiento no se permitan construcciones mayores a tres plantas, considerando que por el tipo de suelo se pueden generar procesos de subsidencia del terreno.</w:t>
      </w:r>
    </w:p>
    <w:p w14:paraId="30924AB9" w14:textId="77777777" w:rsidR="00CC6187" w:rsidRPr="0072591E" w:rsidRDefault="00CC6187" w:rsidP="00CC6187">
      <w:pPr>
        <w:pStyle w:val="Textoindependiente"/>
        <w:spacing w:after="0" w:line="276" w:lineRule="auto"/>
        <w:ind w:left="720"/>
        <w:jc w:val="both"/>
        <w:rPr>
          <w:i/>
          <w:sz w:val="22"/>
          <w:szCs w:val="22"/>
          <w:lang w:val="es-ES_tradnl"/>
        </w:rPr>
      </w:pPr>
    </w:p>
    <w:p w14:paraId="774966A8"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rPr>
        <w:t xml:space="preserve">Se </w:t>
      </w:r>
      <w:r w:rsidR="003F53A8" w:rsidRPr="0072591E">
        <w:rPr>
          <w:rStyle w:val="fontstyle01"/>
          <w:rFonts w:ascii="Times New Roman" w:hAnsi="Times New Roman"/>
          <w:i w:val="0"/>
        </w:rPr>
        <w:t>dispone</w:t>
      </w:r>
      <w:r w:rsidRPr="0072591E">
        <w:rPr>
          <w:rStyle w:val="fontstyle01"/>
          <w:rFonts w:ascii="Times New Roman" w:hAnsi="Times New Roman"/>
          <w:i w:val="0"/>
        </w:rPr>
        <w:t xml:space="preserve"> que los propietarios y/o posesionarios actuales </w:t>
      </w:r>
      <w:r w:rsidR="00CC3ECF">
        <w:rPr>
          <w:rStyle w:val="fontstyle01"/>
          <w:rFonts w:ascii="Times New Roman" w:hAnsi="Times New Roman"/>
          <w:i w:val="0"/>
        </w:rPr>
        <w:t>suspendan todo proceso constructivo en el macrolote evaluado, incluidas ampliaciones en las edificaciones existentes, hasta que el proceso de regularización del asentamiento culmine y se determine su normativa específica de edificabilidad que deberá constar en los Informes de Regulación Metropolitana individuales.</w:t>
      </w:r>
    </w:p>
    <w:p w14:paraId="55F437DC" w14:textId="77777777" w:rsidR="00CC6187" w:rsidRPr="00CC3ECF" w:rsidRDefault="00CC6187" w:rsidP="00CC3ECF">
      <w:pPr>
        <w:rPr>
          <w:i/>
          <w:sz w:val="22"/>
          <w:szCs w:val="22"/>
          <w:lang w:val="es-ES_tradnl"/>
        </w:rPr>
      </w:pPr>
    </w:p>
    <w:p w14:paraId="150FE471" w14:textId="77777777" w:rsidR="00754F12" w:rsidRDefault="006F3E4E" w:rsidP="00CC6187">
      <w:pPr>
        <w:pStyle w:val="Textoindependiente"/>
        <w:spacing w:after="0" w:line="276" w:lineRule="auto"/>
        <w:jc w:val="both"/>
        <w:rPr>
          <w:rStyle w:val="fontstyle01"/>
          <w:rFonts w:ascii="Times New Roman" w:hAnsi="Times New Roman"/>
          <w:i w:val="0"/>
        </w:rPr>
      </w:pPr>
      <w:r w:rsidRPr="0072591E">
        <w:rPr>
          <w:rStyle w:val="fontstyle01"/>
          <w:rFonts w:ascii="Times New Roman" w:hAnsi="Times New Roman"/>
          <w:i w:val="0"/>
        </w:rPr>
        <w:t>La Unidad Especial Regula Tu Barrio deberá comunicar a la comunidad del</w:t>
      </w:r>
      <w:r w:rsidRPr="0072591E">
        <w:rPr>
          <w:i/>
          <w:iCs/>
          <w:color w:val="000000"/>
          <w:sz w:val="22"/>
          <w:szCs w:val="22"/>
        </w:rPr>
        <w:br/>
      </w:r>
      <w:r w:rsidRPr="0072591E">
        <w:rPr>
          <w:rStyle w:val="fontstyle01"/>
          <w:rFonts w:ascii="Times New Roman" w:hAnsi="Times New Roman"/>
          <w:i w:val="0"/>
        </w:rPr>
        <w:t>AHHYC “</w:t>
      </w:r>
      <w:r w:rsidR="00CC3ECF">
        <w:rPr>
          <w:rStyle w:val="fontstyle01"/>
          <w:rFonts w:ascii="Times New Roman" w:hAnsi="Times New Roman"/>
          <w:i w:val="0"/>
        </w:rPr>
        <w:t>El Blanqueado La Balvina</w:t>
      </w:r>
      <w:r w:rsidRPr="0072591E">
        <w:rPr>
          <w:rStyle w:val="fontstyle01"/>
          <w:rFonts w:ascii="Times New Roman" w:hAnsi="Times New Roman"/>
          <w:i w:val="0"/>
        </w:rPr>
        <w:t>” lo descrito en el presente informe, especialmente la</w:t>
      </w:r>
      <w:r w:rsidRPr="0072591E">
        <w:rPr>
          <w:i/>
          <w:iCs/>
          <w:color w:val="000000"/>
          <w:sz w:val="22"/>
          <w:szCs w:val="22"/>
        </w:rPr>
        <w:br/>
      </w:r>
      <w:r w:rsidRPr="0072591E">
        <w:rPr>
          <w:rStyle w:val="fontstyle01"/>
          <w:rFonts w:ascii="Times New Roman" w:hAnsi="Times New Roman"/>
          <w:i w:val="0"/>
        </w:rPr>
        <w:t>calificación del riesgo ante las diferentes amenazas analizadas y las respectivas</w:t>
      </w:r>
      <w:r w:rsidRPr="0072591E">
        <w:rPr>
          <w:i/>
          <w:iCs/>
          <w:color w:val="000000"/>
          <w:sz w:val="22"/>
          <w:szCs w:val="22"/>
        </w:rPr>
        <w:br/>
      </w:r>
      <w:r w:rsidRPr="0072591E">
        <w:rPr>
          <w:rStyle w:val="fontstyle01"/>
          <w:rFonts w:ascii="Times New Roman" w:hAnsi="Times New Roman"/>
          <w:i w:val="0"/>
        </w:rPr>
        <w:t>recomendaciones técnicas.</w:t>
      </w:r>
    </w:p>
    <w:p w14:paraId="1DBB7DA6" w14:textId="77777777" w:rsidR="00CC6187" w:rsidRPr="0072591E" w:rsidRDefault="00CC6187" w:rsidP="00CC6187">
      <w:pPr>
        <w:pStyle w:val="Textoindependiente"/>
        <w:spacing w:after="0" w:line="276" w:lineRule="auto"/>
        <w:jc w:val="both"/>
        <w:rPr>
          <w:i/>
          <w:sz w:val="22"/>
          <w:szCs w:val="22"/>
          <w:lang w:val="es-ES_tradnl"/>
        </w:rPr>
      </w:pPr>
    </w:p>
    <w:p w14:paraId="3CCFFE6E" w14:textId="77777777" w:rsidR="00754F12" w:rsidRPr="0072591E" w:rsidRDefault="00754F12" w:rsidP="00CC6187">
      <w:pPr>
        <w:pStyle w:val="Textoindependiente"/>
        <w:spacing w:after="0" w:line="276" w:lineRule="auto"/>
        <w:jc w:val="both"/>
        <w:rPr>
          <w:sz w:val="22"/>
          <w:szCs w:val="22"/>
          <w:lang w:val="es-ES_tradnl"/>
        </w:rPr>
      </w:pPr>
      <w:r w:rsidRPr="0072591E">
        <w:rPr>
          <w:b/>
          <w:sz w:val="22"/>
          <w:szCs w:val="22"/>
          <w:lang w:val="es-ES_tradnl"/>
        </w:rPr>
        <w:t xml:space="preserve">Disposición Final.- </w:t>
      </w:r>
      <w:r w:rsidRPr="0072591E">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1260937C" w14:textId="77777777" w:rsidR="00754F12" w:rsidRPr="0072591E" w:rsidRDefault="00754F12" w:rsidP="00CC6187">
      <w:pPr>
        <w:pStyle w:val="Textoindependiente"/>
        <w:spacing w:after="0" w:line="276" w:lineRule="auto"/>
        <w:jc w:val="both"/>
        <w:rPr>
          <w:sz w:val="22"/>
          <w:szCs w:val="22"/>
          <w:lang w:val="es-ES_tradnl"/>
        </w:rPr>
      </w:pPr>
    </w:p>
    <w:p w14:paraId="1E06C781" w14:textId="77777777" w:rsidR="00754F12" w:rsidRPr="0072591E" w:rsidRDefault="00754F12" w:rsidP="00CC6187">
      <w:pPr>
        <w:pStyle w:val="Textoindependiente"/>
        <w:spacing w:after="0" w:line="276" w:lineRule="auto"/>
        <w:jc w:val="both"/>
        <w:rPr>
          <w:sz w:val="22"/>
          <w:szCs w:val="22"/>
        </w:rPr>
      </w:pPr>
      <w:r w:rsidRPr="0072591E">
        <w:rPr>
          <w:sz w:val="22"/>
          <w:szCs w:val="22"/>
        </w:rPr>
        <w:t>Dada, en la Sala de Sesiones del Concejo Metropolitano de Quito, el.…… de …………. del 20</w:t>
      </w:r>
      <w:r w:rsidR="0078430E">
        <w:rPr>
          <w:sz w:val="22"/>
          <w:szCs w:val="22"/>
        </w:rPr>
        <w:t>20</w:t>
      </w:r>
    </w:p>
    <w:p w14:paraId="05204FF9" w14:textId="77777777" w:rsidR="00754F12" w:rsidRPr="0072591E" w:rsidRDefault="00754F12" w:rsidP="00754F12">
      <w:pPr>
        <w:jc w:val="both"/>
        <w:rPr>
          <w:sz w:val="22"/>
          <w:szCs w:val="22"/>
        </w:rPr>
      </w:pPr>
    </w:p>
    <w:p w14:paraId="43A8A819" w14:textId="77777777" w:rsidR="00754F12" w:rsidRPr="0072591E" w:rsidRDefault="00754F12" w:rsidP="00754F12">
      <w:pPr>
        <w:jc w:val="both"/>
        <w:rPr>
          <w:sz w:val="22"/>
          <w:szCs w:val="22"/>
        </w:rPr>
      </w:pPr>
    </w:p>
    <w:p w14:paraId="38459A1A" w14:textId="77777777" w:rsidR="00754F12" w:rsidRPr="0072591E" w:rsidRDefault="00754F12" w:rsidP="00754F12">
      <w:pPr>
        <w:pStyle w:val="Textopredeterminado"/>
        <w:shd w:val="clear" w:color="auto" w:fill="FFFFFF"/>
        <w:jc w:val="both"/>
        <w:rPr>
          <w:sz w:val="22"/>
          <w:szCs w:val="22"/>
          <w:lang w:val="es-ES"/>
        </w:rPr>
      </w:pPr>
    </w:p>
    <w:p w14:paraId="6135BB2C"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 xml:space="preserve">Abg. Damaris Priscila </w:t>
      </w:r>
      <w:proofErr w:type="spellStart"/>
      <w:r w:rsidRPr="0072591E">
        <w:rPr>
          <w:rFonts w:ascii="Times New Roman" w:eastAsia="MS Mincho" w:hAnsi="Times New Roman"/>
          <w:sz w:val="22"/>
          <w:szCs w:val="22"/>
        </w:rPr>
        <w:t>Ortíz</w:t>
      </w:r>
      <w:proofErr w:type="spellEnd"/>
      <w:r w:rsidRPr="0072591E">
        <w:rPr>
          <w:rFonts w:ascii="Times New Roman" w:eastAsia="MS Mincho" w:hAnsi="Times New Roman"/>
          <w:sz w:val="22"/>
          <w:szCs w:val="22"/>
        </w:rPr>
        <w:t xml:space="preserve"> </w:t>
      </w:r>
      <w:proofErr w:type="spellStart"/>
      <w:r w:rsidRPr="0072591E">
        <w:rPr>
          <w:rFonts w:ascii="Times New Roman" w:eastAsia="MS Mincho" w:hAnsi="Times New Roman"/>
          <w:sz w:val="22"/>
          <w:szCs w:val="22"/>
        </w:rPr>
        <w:t>Pasuy</w:t>
      </w:r>
      <w:proofErr w:type="spellEnd"/>
    </w:p>
    <w:p w14:paraId="655A7E1E" w14:textId="77777777" w:rsidR="0055623A" w:rsidRPr="00BA6614" w:rsidRDefault="00754F12" w:rsidP="00BA6614">
      <w:pPr>
        <w:pStyle w:val="Textosinformato"/>
        <w:spacing w:after="240"/>
        <w:jc w:val="center"/>
        <w:rPr>
          <w:rFonts w:ascii="Times New Roman" w:eastAsia="MS Mincho" w:hAnsi="Times New Roman"/>
          <w:b/>
          <w:bCs/>
          <w:sz w:val="22"/>
          <w:szCs w:val="22"/>
        </w:rPr>
      </w:pPr>
      <w:r w:rsidRPr="0072591E">
        <w:rPr>
          <w:rFonts w:ascii="Times New Roman" w:eastAsia="MS Mincho" w:hAnsi="Times New Roman"/>
          <w:b/>
          <w:bCs/>
          <w:sz w:val="22"/>
          <w:szCs w:val="22"/>
        </w:rPr>
        <w:t>SECRETARIA GENERAL DEL CONCEJO METROPOLITANO DE QUITO (E)</w:t>
      </w:r>
    </w:p>
    <w:p w14:paraId="5BA53DC2" w14:textId="77777777" w:rsidR="00754F12" w:rsidRPr="0055623A" w:rsidRDefault="00754F12" w:rsidP="0055623A">
      <w:pPr>
        <w:pStyle w:val="Textosinformato"/>
        <w:spacing w:after="240"/>
        <w:jc w:val="center"/>
        <w:rPr>
          <w:rFonts w:ascii="Times New Roman" w:eastAsia="MS Mincho" w:hAnsi="Times New Roman"/>
          <w:b/>
          <w:bCs/>
          <w:sz w:val="22"/>
          <w:szCs w:val="22"/>
        </w:rPr>
      </w:pPr>
      <w:r w:rsidRPr="0055623A">
        <w:rPr>
          <w:rFonts w:ascii="Times New Roman" w:eastAsia="MS Mincho" w:hAnsi="Times New Roman"/>
          <w:b/>
          <w:sz w:val="22"/>
          <w:szCs w:val="22"/>
        </w:rPr>
        <w:t>CERTIFICADO DE DISCUSIÓN</w:t>
      </w:r>
    </w:p>
    <w:p w14:paraId="6D3F14CA" w14:textId="77777777" w:rsidR="00754F12" w:rsidRPr="0072591E" w:rsidRDefault="00754F12" w:rsidP="00754F12">
      <w:pPr>
        <w:jc w:val="center"/>
        <w:rPr>
          <w:rFonts w:eastAsia="MS Mincho"/>
          <w:sz w:val="22"/>
          <w:szCs w:val="22"/>
        </w:rPr>
      </w:pPr>
    </w:p>
    <w:p w14:paraId="280D7701" w14:textId="77777777" w:rsidR="00754F12" w:rsidRPr="0072591E" w:rsidRDefault="00754F12" w:rsidP="00754F12">
      <w:pPr>
        <w:pStyle w:val="Textoindependiente"/>
        <w:rPr>
          <w:rFonts w:eastAsia="MS Mincho"/>
          <w:sz w:val="22"/>
          <w:szCs w:val="22"/>
        </w:rPr>
      </w:pPr>
      <w:r w:rsidRPr="0072591E">
        <w:rPr>
          <w:rFonts w:eastAsia="MS Mincho"/>
          <w:sz w:val="22"/>
          <w:szCs w:val="22"/>
        </w:rPr>
        <w:t xml:space="preserve">La infrascrita Secretaria General del Concejo Metropolitano de Quito, certifica que la presente ordenanza fue discutida y aprobada en dos debates, en sesiones de …..de ……..  y ….. de …………. de </w:t>
      </w:r>
      <w:r w:rsidR="00E44A5A" w:rsidRPr="0072591E">
        <w:rPr>
          <w:rFonts w:eastAsia="MS Mincho"/>
          <w:sz w:val="22"/>
          <w:szCs w:val="22"/>
        </w:rPr>
        <w:t>20</w:t>
      </w:r>
      <w:r w:rsidR="0078430E">
        <w:rPr>
          <w:rFonts w:eastAsia="MS Mincho"/>
          <w:sz w:val="22"/>
          <w:szCs w:val="22"/>
        </w:rPr>
        <w:t>20</w:t>
      </w:r>
      <w:r w:rsidRPr="0072591E">
        <w:rPr>
          <w:rFonts w:eastAsia="MS Mincho"/>
          <w:sz w:val="22"/>
          <w:szCs w:val="22"/>
        </w:rPr>
        <w:t>- Quito,</w:t>
      </w:r>
    </w:p>
    <w:p w14:paraId="279B3150" w14:textId="77777777" w:rsidR="00754F12" w:rsidRPr="0072591E" w:rsidRDefault="00754F12" w:rsidP="00754F12">
      <w:pPr>
        <w:rPr>
          <w:rFonts w:eastAsia="MS Mincho"/>
          <w:sz w:val="22"/>
          <w:szCs w:val="22"/>
        </w:rPr>
      </w:pPr>
    </w:p>
    <w:p w14:paraId="07BF9CA3" w14:textId="77777777" w:rsidR="00754F12" w:rsidRPr="0072591E" w:rsidRDefault="00754F12" w:rsidP="00754F12">
      <w:pPr>
        <w:rPr>
          <w:rFonts w:eastAsia="MS Mincho"/>
          <w:sz w:val="22"/>
          <w:szCs w:val="22"/>
        </w:rPr>
      </w:pPr>
    </w:p>
    <w:p w14:paraId="5CE8D322"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 xml:space="preserve">Abg. Damaris Priscila </w:t>
      </w:r>
      <w:proofErr w:type="spellStart"/>
      <w:r w:rsidRPr="0072591E">
        <w:rPr>
          <w:rFonts w:ascii="Times New Roman" w:eastAsia="MS Mincho" w:hAnsi="Times New Roman"/>
          <w:sz w:val="22"/>
          <w:szCs w:val="22"/>
        </w:rPr>
        <w:t>Ortíz</w:t>
      </w:r>
      <w:proofErr w:type="spellEnd"/>
      <w:r w:rsidRPr="0072591E">
        <w:rPr>
          <w:rFonts w:ascii="Times New Roman" w:eastAsia="MS Mincho" w:hAnsi="Times New Roman"/>
          <w:sz w:val="22"/>
          <w:szCs w:val="22"/>
        </w:rPr>
        <w:t xml:space="preserve"> </w:t>
      </w:r>
      <w:proofErr w:type="spellStart"/>
      <w:r w:rsidRPr="0072591E">
        <w:rPr>
          <w:rFonts w:ascii="Times New Roman" w:eastAsia="MS Mincho" w:hAnsi="Times New Roman"/>
          <w:sz w:val="22"/>
          <w:szCs w:val="22"/>
        </w:rPr>
        <w:t>Pasuy</w:t>
      </w:r>
      <w:proofErr w:type="spellEnd"/>
    </w:p>
    <w:p w14:paraId="6AF8A8D9" w14:textId="77777777" w:rsidR="00754F12" w:rsidRPr="0072591E" w:rsidRDefault="00754F12" w:rsidP="00754F12">
      <w:pPr>
        <w:pStyle w:val="Textosinformato"/>
        <w:spacing w:after="240"/>
        <w:jc w:val="center"/>
        <w:rPr>
          <w:rFonts w:ascii="Times New Roman" w:eastAsia="MS Mincho" w:hAnsi="Times New Roman"/>
          <w:b/>
          <w:bCs/>
          <w:sz w:val="22"/>
          <w:szCs w:val="22"/>
        </w:rPr>
      </w:pPr>
      <w:r w:rsidRPr="0072591E">
        <w:rPr>
          <w:rFonts w:ascii="Times New Roman" w:eastAsia="MS Mincho" w:hAnsi="Times New Roman"/>
          <w:b/>
          <w:bCs/>
          <w:sz w:val="22"/>
          <w:szCs w:val="22"/>
        </w:rPr>
        <w:t>SECRETARIA GENERAL DEL CONCEJO METROPOLITANO DE QUITO (E)</w:t>
      </w:r>
    </w:p>
    <w:p w14:paraId="60728371" w14:textId="77777777" w:rsidR="00754F12" w:rsidRPr="0072591E" w:rsidRDefault="00754F12" w:rsidP="00754F12">
      <w:pPr>
        <w:rPr>
          <w:rFonts w:eastAsia="MS Mincho"/>
          <w:sz w:val="22"/>
          <w:szCs w:val="22"/>
        </w:rPr>
      </w:pPr>
    </w:p>
    <w:p w14:paraId="24297492" w14:textId="77777777" w:rsidR="00754F12" w:rsidRPr="0072591E" w:rsidRDefault="00754F12" w:rsidP="00754F12">
      <w:pPr>
        <w:pStyle w:val="Ttulo3"/>
        <w:jc w:val="center"/>
        <w:rPr>
          <w:rFonts w:ascii="Times New Roman" w:eastAsia="MS Mincho" w:hAnsi="Times New Roman" w:cs="Times New Roman"/>
          <w:sz w:val="22"/>
          <w:szCs w:val="22"/>
        </w:rPr>
      </w:pPr>
      <w:r w:rsidRPr="0072591E">
        <w:rPr>
          <w:rFonts w:ascii="Times New Roman" w:eastAsia="MS Mincho" w:hAnsi="Times New Roman" w:cs="Times New Roman"/>
          <w:sz w:val="22"/>
          <w:szCs w:val="22"/>
        </w:rPr>
        <w:t>ALCALDÍA DEL DISTRITO METROPOLITANO.- Distrito Metropolitano de Quito,</w:t>
      </w:r>
    </w:p>
    <w:p w14:paraId="6569DBCE" w14:textId="77777777" w:rsidR="00754F12" w:rsidRPr="0072591E" w:rsidRDefault="00754F12" w:rsidP="00754F12">
      <w:pPr>
        <w:rPr>
          <w:rFonts w:eastAsia="MS Mincho"/>
          <w:sz w:val="22"/>
          <w:szCs w:val="22"/>
        </w:rPr>
      </w:pPr>
    </w:p>
    <w:p w14:paraId="292254B7" w14:textId="77777777" w:rsidR="00754F12" w:rsidRPr="0072591E" w:rsidRDefault="00754F12" w:rsidP="00754F12">
      <w:pPr>
        <w:pStyle w:val="Ttulo1"/>
        <w:jc w:val="center"/>
        <w:rPr>
          <w:rFonts w:ascii="Times New Roman" w:eastAsia="MS Mincho" w:hAnsi="Times New Roman"/>
          <w:color w:val="auto"/>
          <w:sz w:val="22"/>
          <w:szCs w:val="22"/>
        </w:rPr>
      </w:pPr>
      <w:r w:rsidRPr="0072591E">
        <w:rPr>
          <w:rFonts w:ascii="Times New Roman" w:eastAsia="MS Mincho" w:hAnsi="Times New Roman"/>
          <w:color w:val="auto"/>
          <w:sz w:val="22"/>
          <w:szCs w:val="22"/>
        </w:rPr>
        <w:t>EJECÚTESE:</w:t>
      </w:r>
    </w:p>
    <w:p w14:paraId="2518B305"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Dr. Jorge Yunda Machado</w:t>
      </w:r>
    </w:p>
    <w:p w14:paraId="3F9885AE" w14:textId="77777777" w:rsidR="00754F12" w:rsidRPr="0072591E" w:rsidRDefault="00754F12" w:rsidP="00754F12">
      <w:pPr>
        <w:pStyle w:val="Textosinformato"/>
        <w:jc w:val="center"/>
        <w:rPr>
          <w:rFonts w:ascii="Times New Roman" w:eastAsia="MS Mincho" w:hAnsi="Times New Roman"/>
          <w:b/>
          <w:bCs/>
          <w:sz w:val="22"/>
          <w:szCs w:val="22"/>
        </w:rPr>
      </w:pPr>
      <w:r w:rsidRPr="0072591E">
        <w:rPr>
          <w:rFonts w:ascii="Times New Roman" w:eastAsia="MS Mincho" w:hAnsi="Times New Roman"/>
          <w:b/>
          <w:bCs/>
          <w:sz w:val="22"/>
          <w:szCs w:val="22"/>
        </w:rPr>
        <w:t>ALCALDE DEL DISTRITO METROPOLITANO DE QUITO</w:t>
      </w:r>
    </w:p>
    <w:p w14:paraId="594D4D42" w14:textId="77777777" w:rsidR="00754F12" w:rsidRPr="0072591E" w:rsidRDefault="00754F12" w:rsidP="00754F12">
      <w:pPr>
        <w:rPr>
          <w:rFonts w:eastAsia="MS Mincho"/>
          <w:sz w:val="22"/>
          <w:szCs w:val="22"/>
        </w:rPr>
      </w:pPr>
    </w:p>
    <w:p w14:paraId="0599D025" w14:textId="77777777" w:rsidR="00754F12" w:rsidRPr="0072591E" w:rsidRDefault="00754F12" w:rsidP="00754F12">
      <w:pPr>
        <w:rPr>
          <w:rFonts w:eastAsia="MS Mincho"/>
          <w:sz w:val="22"/>
          <w:szCs w:val="22"/>
        </w:rPr>
      </w:pPr>
    </w:p>
    <w:p w14:paraId="78D2D5E2" w14:textId="77777777" w:rsidR="00754F12" w:rsidRPr="0072591E" w:rsidRDefault="00754F12" w:rsidP="00754F12">
      <w:pPr>
        <w:rPr>
          <w:rFonts w:eastAsia="MS Mincho"/>
          <w:sz w:val="22"/>
          <w:szCs w:val="22"/>
        </w:rPr>
      </w:pPr>
    </w:p>
    <w:p w14:paraId="4B643304" w14:textId="77777777" w:rsidR="00754F12" w:rsidRPr="0072591E" w:rsidRDefault="00754F12" w:rsidP="00754F12">
      <w:pPr>
        <w:rPr>
          <w:rFonts w:eastAsia="MS Mincho"/>
          <w:sz w:val="22"/>
          <w:szCs w:val="22"/>
        </w:rPr>
      </w:pPr>
    </w:p>
    <w:p w14:paraId="5E05FA4A"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b/>
          <w:bCs/>
          <w:sz w:val="22"/>
          <w:szCs w:val="22"/>
        </w:rPr>
        <w:t>CERTIFICO,</w:t>
      </w:r>
      <w:r w:rsidRPr="0072591E">
        <w:rPr>
          <w:rFonts w:ascii="Times New Roman" w:eastAsia="MS Mincho" w:hAnsi="Times New Roman"/>
          <w:sz w:val="22"/>
          <w:szCs w:val="22"/>
        </w:rPr>
        <w:t xml:space="preserve"> que la presente ordenanza fue sancionada por el Dr. Jorge Yunda Machado</w:t>
      </w:r>
    </w:p>
    <w:p w14:paraId="265FE0EB"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 Alcalde    del Distrito Metropolitano de Quito, el</w:t>
      </w:r>
    </w:p>
    <w:p w14:paraId="474470C3" w14:textId="77777777" w:rsidR="00754F12" w:rsidRPr="0072591E" w:rsidRDefault="00754F12" w:rsidP="00754F12">
      <w:pPr>
        <w:pStyle w:val="Textosinformato"/>
        <w:tabs>
          <w:tab w:val="right" w:pos="8504"/>
        </w:tabs>
        <w:spacing w:line="276" w:lineRule="auto"/>
        <w:jc w:val="center"/>
        <w:rPr>
          <w:rFonts w:ascii="Times New Roman" w:eastAsia="MS Mincho" w:hAnsi="Times New Roman"/>
          <w:b/>
          <w:bCs/>
          <w:sz w:val="22"/>
          <w:szCs w:val="22"/>
        </w:rPr>
      </w:pPr>
      <w:r w:rsidRPr="0072591E">
        <w:rPr>
          <w:rFonts w:ascii="Times New Roman" w:eastAsia="MS Mincho" w:hAnsi="Times New Roman"/>
          <w:sz w:val="22"/>
          <w:szCs w:val="22"/>
        </w:rPr>
        <w:t>.- Distrito Metropolitano de Quito,</w:t>
      </w:r>
    </w:p>
    <w:p w14:paraId="27A6B711" w14:textId="77777777" w:rsidR="002B31AE" w:rsidRPr="0072591E" w:rsidRDefault="002B31AE">
      <w:pPr>
        <w:rPr>
          <w:sz w:val="22"/>
          <w:szCs w:val="22"/>
        </w:rPr>
      </w:pPr>
    </w:p>
    <w:sectPr w:rsidR="002B31AE" w:rsidRPr="0072591E" w:rsidSect="002B31AE">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del Cisne Lopez Cabrera" w:date="2020-08-06T12:26:00Z" w:initials="MdCLC">
    <w:p w14:paraId="41C9D2EE" w14:textId="77777777" w:rsidR="006E685D" w:rsidRDefault="006E685D">
      <w:pPr>
        <w:pStyle w:val="Textocomentario"/>
      </w:pPr>
      <w:r>
        <w:rPr>
          <w:rStyle w:val="Refdecomentario"/>
        </w:rPr>
        <w:annotationRef/>
      </w:r>
      <w:r>
        <w:t>A pedido del despacho de los concejales, se amplía el fundamento por el cual se plantea una ordenanza sustitutiva</w:t>
      </w:r>
    </w:p>
  </w:comment>
  <w:comment w:id="1" w:author="Maria del Cisne Lopez Cabrera" w:date="2020-08-06T12:26:00Z" w:initials="MdCLC">
    <w:p w14:paraId="76ADC06F" w14:textId="77777777" w:rsidR="006E685D" w:rsidRDefault="006E685D">
      <w:pPr>
        <w:pStyle w:val="Textocomentario"/>
      </w:pPr>
      <w:r>
        <w:rPr>
          <w:rStyle w:val="Refdecomentario"/>
        </w:rPr>
        <w:annotationRef/>
      </w:r>
      <w:r>
        <w:t>Se elimina por no corresponde</w:t>
      </w:r>
      <w:r w:rsidR="00E44A5A">
        <w:t>r</w:t>
      </w:r>
      <w:r>
        <w:t xml:space="preserve"> a un pronunciamiento de cambio de zonificación</w:t>
      </w:r>
    </w:p>
  </w:comment>
  <w:comment w:id="2" w:author="Maria del Cisne Lopez Cabrera" w:date="2020-08-06T12:26:00Z" w:initials="MdCLC">
    <w:p w14:paraId="02BC6993" w14:textId="77777777" w:rsidR="004D7215" w:rsidRDefault="004D7215">
      <w:pPr>
        <w:pStyle w:val="Textocomentario"/>
      </w:pPr>
      <w:r>
        <w:rPr>
          <w:rStyle w:val="Refdecomentario"/>
        </w:rPr>
        <w:annotationRef/>
      </w:r>
      <w:r>
        <w:t>Se agrega el memorando a través del cual la STHV emite su ratificación sobre la forma de ocupación del suelo</w:t>
      </w:r>
      <w:r w:rsidR="00E40CD7">
        <w:t xml:space="preserve"> Observación, despacho de los Concejales</w:t>
      </w:r>
    </w:p>
  </w:comment>
  <w:comment w:id="3" w:author="Maria del Cisne Lopez Cabrera" w:date="2020-08-06T12:26:00Z" w:initials="MdCLC">
    <w:p w14:paraId="112ADAA3" w14:textId="77777777" w:rsidR="00E40CD7" w:rsidRDefault="00E40CD7">
      <w:pPr>
        <w:pStyle w:val="Textocomentario"/>
      </w:pPr>
      <w:r>
        <w:rPr>
          <w:rStyle w:val="Refdecomentario"/>
        </w:rPr>
        <w:annotationRef/>
      </w:r>
      <w:r>
        <w:t>Para mejor comprensión se modifica la redacción del título de la Ordenanza. Observación Despacho Concejal Guarderas.</w:t>
      </w:r>
    </w:p>
  </w:comment>
  <w:comment w:id="4" w:author="Maria del Cisne Lopez Cabrera" w:date="2020-08-06T12:26:00Z" w:initials="MdCLC">
    <w:p w14:paraId="34125577" w14:textId="77777777" w:rsidR="000136E6" w:rsidRDefault="000136E6">
      <w:pPr>
        <w:pStyle w:val="Textocomentario"/>
      </w:pPr>
      <w:r>
        <w:rPr>
          <w:rStyle w:val="Refdecomentario"/>
        </w:rPr>
        <w:annotationRef/>
      </w:r>
      <w:r w:rsidR="00E44A5A">
        <w:t>Eliminar las celdas. Observación Despacho Concejala Hidalgo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C9D2EE" w15:done="0"/>
  <w15:commentEx w15:paraId="76ADC06F" w15:done="0"/>
  <w15:commentEx w15:paraId="02BC6993" w15:done="0"/>
  <w15:commentEx w15:paraId="112ADAA3" w15:done="0"/>
  <w15:commentEx w15:paraId="341255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9D2EE" w16cid:durableId="22D667FB"/>
  <w16cid:commentId w16cid:paraId="02BC6993" w16cid:durableId="22D669A9"/>
  <w16cid:commentId w16cid:paraId="112ADAA3" w16cid:durableId="22D66D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3ED86" w14:textId="77777777" w:rsidR="00263A47" w:rsidRDefault="00263A47" w:rsidP="00754F12">
      <w:r>
        <w:separator/>
      </w:r>
    </w:p>
  </w:endnote>
  <w:endnote w:type="continuationSeparator" w:id="0">
    <w:p w14:paraId="5B18B3A7" w14:textId="77777777" w:rsidR="00263A47" w:rsidRDefault="00263A47" w:rsidP="0075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316CC" w14:textId="77777777" w:rsidR="00C75B6C" w:rsidRDefault="00C75B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CAB4" w14:textId="77777777" w:rsidR="00E72DDC" w:rsidRDefault="00E72DDC">
    <w:pPr>
      <w:pStyle w:val="Piedepgina"/>
      <w:jc w:val="right"/>
    </w:pPr>
    <w:r>
      <w:t xml:space="preserve">Página </w:t>
    </w:r>
    <w:r>
      <w:rPr>
        <w:b/>
        <w:sz w:val="24"/>
        <w:szCs w:val="24"/>
      </w:rPr>
      <w:fldChar w:fldCharType="begin"/>
    </w:r>
    <w:r w:rsidR="00B5422E">
      <w:rPr>
        <w:b/>
      </w:rPr>
      <w:instrText>PAGE</w:instrText>
    </w:r>
    <w:r>
      <w:rPr>
        <w:b/>
        <w:sz w:val="24"/>
        <w:szCs w:val="24"/>
      </w:rPr>
      <w:fldChar w:fldCharType="separate"/>
    </w:r>
    <w:r w:rsidR="004B1CAD">
      <w:rPr>
        <w:b/>
        <w:noProof/>
      </w:rPr>
      <w:t>1</w:t>
    </w:r>
    <w:r>
      <w:rPr>
        <w:b/>
        <w:sz w:val="24"/>
        <w:szCs w:val="24"/>
      </w:rPr>
      <w:fldChar w:fldCharType="end"/>
    </w:r>
    <w:r>
      <w:t xml:space="preserve"> de </w:t>
    </w:r>
    <w:r>
      <w:rPr>
        <w:b/>
        <w:sz w:val="24"/>
        <w:szCs w:val="24"/>
      </w:rPr>
      <w:fldChar w:fldCharType="begin"/>
    </w:r>
    <w:r w:rsidR="00B5422E">
      <w:rPr>
        <w:b/>
      </w:rPr>
      <w:instrText>NUMPAGES</w:instrText>
    </w:r>
    <w:r>
      <w:rPr>
        <w:b/>
        <w:sz w:val="24"/>
        <w:szCs w:val="24"/>
      </w:rPr>
      <w:fldChar w:fldCharType="separate"/>
    </w:r>
    <w:r w:rsidR="004B1CAD">
      <w:rPr>
        <w:b/>
        <w:noProof/>
      </w:rPr>
      <w:t>4</w:t>
    </w:r>
    <w:r>
      <w:rPr>
        <w:b/>
        <w:sz w:val="24"/>
        <w:szCs w:val="24"/>
      </w:rPr>
      <w:fldChar w:fldCharType="end"/>
    </w:r>
  </w:p>
  <w:p w14:paraId="0E1A48DD" w14:textId="77777777" w:rsidR="00E72DDC" w:rsidRDefault="00E72D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EBB1" w14:textId="77777777" w:rsidR="00E72DDC" w:rsidRDefault="00E72DDC">
    <w:pPr>
      <w:pStyle w:val="Piedepgina"/>
      <w:jc w:val="right"/>
    </w:pPr>
    <w:r>
      <w:t xml:space="preserve">Página </w:t>
    </w:r>
    <w:r>
      <w:rPr>
        <w:b/>
        <w:sz w:val="24"/>
        <w:szCs w:val="24"/>
      </w:rPr>
      <w:fldChar w:fldCharType="begin"/>
    </w:r>
    <w:r w:rsidR="00B5422E">
      <w:rPr>
        <w:b/>
      </w:rPr>
      <w:instrText>PAGE</w:instrText>
    </w:r>
    <w:r>
      <w:rPr>
        <w:b/>
        <w:sz w:val="24"/>
        <w:szCs w:val="24"/>
      </w:rPr>
      <w:fldChar w:fldCharType="separate"/>
    </w:r>
    <w:r w:rsidR="004B1CAD">
      <w:rPr>
        <w:b/>
        <w:noProof/>
      </w:rPr>
      <w:t>2</w:t>
    </w:r>
    <w:r>
      <w:rPr>
        <w:b/>
        <w:sz w:val="24"/>
        <w:szCs w:val="24"/>
      </w:rPr>
      <w:fldChar w:fldCharType="end"/>
    </w:r>
    <w:r>
      <w:t xml:space="preserve"> de </w:t>
    </w:r>
    <w:r>
      <w:rPr>
        <w:b/>
        <w:sz w:val="24"/>
        <w:szCs w:val="24"/>
      </w:rPr>
      <w:fldChar w:fldCharType="begin"/>
    </w:r>
    <w:r w:rsidR="00B5422E">
      <w:rPr>
        <w:b/>
      </w:rPr>
      <w:instrText>NUMPAGES</w:instrText>
    </w:r>
    <w:r>
      <w:rPr>
        <w:b/>
        <w:sz w:val="24"/>
        <w:szCs w:val="24"/>
      </w:rPr>
      <w:fldChar w:fldCharType="separate"/>
    </w:r>
    <w:r w:rsidR="004B1CAD">
      <w:rPr>
        <w:b/>
        <w:noProof/>
      </w:rPr>
      <w:t>14</w:t>
    </w:r>
    <w:r>
      <w:rPr>
        <w:b/>
        <w:sz w:val="24"/>
        <w:szCs w:val="24"/>
      </w:rPr>
      <w:fldChar w:fldCharType="end"/>
    </w:r>
  </w:p>
  <w:p w14:paraId="6C7EC9DA" w14:textId="77777777" w:rsidR="00E72DDC" w:rsidRDefault="00E72D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7BCC" w14:textId="77777777" w:rsidR="00E72DDC" w:rsidRDefault="00E72DDC">
    <w:pPr>
      <w:pStyle w:val="Piedepgina"/>
      <w:jc w:val="right"/>
    </w:pPr>
    <w:r>
      <w:t xml:space="preserve">Página </w:t>
    </w:r>
    <w:r>
      <w:rPr>
        <w:b/>
        <w:sz w:val="24"/>
        <w:szCs w:val="24"/>
      </w:rPr>
      <w:fldChar w:fldCharType="begin"/>
    </w:r>
    <w:r w:rsidR="00B5422E">
      <w:rPr>
        <w:b/>
      </w:rPr>
      <w:instrText>PAGE</w:instrText>
    </w:r>
    <w:r>
      <w:rPr>
        <w:b/>
        <w:sz w:val="24"/>
        <w:szCs w:val="24"/>
      </w:rPr>
      <w:fldChar w:fldCharType="separate"/>
    </w:r>
    <w:r w:rsidR="004B1CAD">
      <w:rPr>
        <w:b/>
        <w:noProof/>
      </w:rPr>
      <w:t>14</w:t>
    </w:r>
    <w:r>
      <w:rPr>
        <w:b/>
        <w:sz w:val="24"/>
        <w:szCs w:val="24"/>
      </w:rPr>
      <w:fldChar w:fldCharType="end"/>
    </w:r>
    <w:r>
      <w:t xml:space="preserve"> de </w:t>
    </w:r>
    <w:r>
      <w:rPr>
        <w:b/>
        <w:sz w:val="24"/>
        <w:szCs w:val="24"/>
      </w:rPr>
      <w:fldChar w:fldCharType="begin"/>
    </w:r>
    <w:r w:rsidR="00B5422E">
      <w:rPr>
        <w:b/>
      </w:rPr>
      <w:instrText>NUMPAGES</w:instrText>
    </w:r>
    <w:r>
      <w:rPr>
        <w:b/>
        <w:sz w:val="24"/>
        <w:szCs w:val="24"/>
      </w:rPr>
      <w:fldChar w:fldCharType="separate"/>
    </w:r>
    <w:r w:rsidR="004B1CAD">
      <w:rPr>
        <w:b/>
        <w:noProof/>
      </w:rPr>
      <w:t>14</w:t>
    </w:r>
    <w:r>
      <w:rPr>
        <w:b/>
        <w:sz w:val="24"/>
        <w:szCs w:val="24"/>
      </w:rPr>
      <w:fldChar w:fldCharType="end"/>
    </w:r>
  </w:p>
  <w:p w14:paraId="63E1048B" w14:textId="77777777" w:rsidR="00E72DDC" w:rsidRDefault="00E72D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ED19" w14:textId="77777777" w:rsidR="00263A47" w:rsidRDefault="00263A47" w:rsidP="00754F12">
      <w:r>
        <w:separator/>
      </w:r>
    </w:p>
  </w:footnote>
  <w:footnote w:type="continuationSeparator" w:id="0">
    <w:p w14:paraId="32F2571B" w14:textId="77777777" w:rsidR="00263A47" w:rsidRDefault="00263A47" w:rsidP="00754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2B7B" w14:textId="77777777" w:rsidR="00C75B6C" w:rsidRDefault="00C75B6C">
    <w:pPr>
      <w:pStyle w:val="Encabezado"/>
    </w:pPr>
    <w:r>
      <w:rPr>
        <w:noProof/>
      </w:rPr>
      <w:pict w14:anchorId="0AD8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9pt;height:47.65pt;rotation:315;z-index:-251660288;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fill opacity="51773f"/>
          <v:textpath style="font-family:&quot;Times New Roman&quot;;font-size:1pt" string="Ordenanza Mesa de Asesor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649C" w14:textId="77777777" w:rsidR="00E72DDC" w:rsidRDefault="00C75B6C">
    <w:pPr>
      <w:pStyle w:val="Encabezado"/>
      <w:rPr>
        <w:lang w:val="es-EC"/>
      </w:rPr>
    </w:pPr>
    <w:r>
      <w:rPr>
        <w:noProof/>
      </w:rPr>
      <w:pict w14:anchorId="328CB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9pt;height:47.65pt;rotation:315;z-index:-251661312;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fill opacity="51773f"/>
          <v:textpath style="font-family:&quot;Times New Roman&quot;;font-size:1pt" string="Ordenanza Mesa de Asesores"/>
        </v:shape>
      </w:pict>
    </w:r>
  </w:p>
  <w:p w14:paraId="28776142" w14:textId="77777777" w:rsidR="00E72DDC" w:rsidRDefault="00E72DDC">
    <w:pPr>
      <w:pStyle w:val="Encabezado"/>
      <w:rPr>
        <w:lang w:val="es-EC"/>
      </w:rPr>
    </w:pPr>
  </w:p>
  <w:p w14:paraId="06DAD761" w14:textId="77777777" w:rsidR="00E72DDC" w:rsidRDefault="00E72DDC">
    <w:pPr>
      <w:pStyle w:val="Encabezado"/>
      <w:rPr>
        <w:lang w:val="es-EC"/>
      </w:rPr>
    </w:pPr>
  </w:p>
  <w:p w14:paraId="148552C6" w14:textId="77777777" w:rsidR="00E72DDC" w:rsidRDefault="00E72DDC">
    <w:pPr>
      <w:pStyle w:val="Encabezado"/>
      <w:rPr>
        <w:lang w:val="es-EC"/>
      </w:rPr>
    </w:pPr>
  </w:p>
  <w:p w14:paraId="59C521B0" w14:textId="77777777" w:rsidR="00E72DDC" w:rsidRDefault="00E72DDC" w:rsidP="002B31AE">
    <w:pPr>
      <w:rPr>
        <w:rFonts w:ascii="Palatino Linotype" w:hAnsi="Palatino Linotype" w:cs="Arial"/>
        <w:sz w:val="22"/>
        <w:szCs w:val="22"/>
      </w:rPr>
    </w:pPr>
  </w:p>
  <w:p w14:paraId="7AAA39C5" w14:textId="77777777" w:rsidR="00E72DDC" w:rsidRDefault="00E72DDC" w:rsidP="002B31AE">
    <w:pPr>
      <w:rPr>
        <w:rFonts w:ascii="Palatino Linotype" w:hAnsi="Palatino Linotype" w:cs="Arial"/>
        <w:sz w:val="22"/>
        <w:szCs w:val="22"/>
      </w:rPr>
    </w:pPr>
  </w:p>
  <w:p w14:paraId="6F773CCA" w14:textId="77777777" w:rsidR="00E72DDC" w:rsidRDefault="00E72DDC" w:rsidP="002B31AE">
    <w:pPr>
      <w:rPr>
        <w:rFonts w:ascii="Palatino Linotype" w:hAnsi="Palatino Linotype" w:cs="Arial"/>
        <w:sz w:val="22"/>
        <w:szCs w:val="22"/>
      </w:rPr>
    </w:pPr>
  </w:p>
  <w:p w14:paraId="4C6405E5" w14:textId="77777777" w:rsidR="00E72DDC" w:rsidRDefault="00E72DDC" w:rsidP="002B31AE">
    <w:pPr>
      <w:rPr>
        <w:rFonts w:ascii="Palatino Linotype" w:hAnsi="Palatino Linotype" w:cs="Arial"/>
        <w:sz w:val="22"/>
        <w:szCs w:val="22"/>
      </w:rPr>
    </w:pPr>
  </w:p>
  <w:p w14:paraId="34430D6A" w14:textId="77777777" w:rsidR="00E72DDC" w:rsidRPr="00476B21" w:rsidRDefault="00E72DDC" w:rsidP="00754F12">
    <w:pPr>
      <w:jc w:val="center"/>
      <w:rPr>
        <w:rFonts w:ascii="Palatino Linotype" w:hAnsi="Palatino Linotype" w:cs="Arial"/>
        <w:sz w:val="22"/>
        <w:szCs w:val="22"/>
      </w:rPr>
    </w:pPr>
    <w:r w:rsidRPr="00716956">
      <w:rPr>
        <w:rFonts w:ascii="Palatino Linotype" w:hAnsi="Palatino Linotype" w:cs="Arial"/>
        <w:sz w:val="22"/>
        <w:szCs w:val="22"/>
      </w:rPr>
      <w:t>ORDENANZA No.</w:t>
    </w:r>
  </w:p>
  <w:p w14:paraId="0B667294" w14:textId="77777777" w:rsidR="00E72DDC" w:rsidRPr="00150606" w:rsidRDefault="00E72DDC">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468C" w14:textId="77777777" w:rsidR="00C75B6C" w:rsidRDefault="00C75B6C">
    <w:pPr>
      <w:pStyle w:val="Encabezado"/>
    </w:pPr>
    <w:r>
      <w:rPr>
        <w:noProof/>
      </w:rPr>
      <w:pict w14:anchorId="5AACA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9pt;height:47.65pt;rotation:315;z-index:-251659264;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fill opacity="51773f"/>
          <v:textpath style="font-family:&quot;Times New Roman&quot;;font-size:1pt" string="Ordenanza Mesa de Asesore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5A95" w14:textId="77777777" w:rsidR="00E72DDC" w:rsidRDefault="00C75B6C">
    <w:pPr>
      <w:pStyle w:val="Encabezado"/>
    </w:pPr>
    <w:r>
      <w:rPr>
        <w:noProof/>
      </w:rPr>
      <w:pict w14:anchorId="2D194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71.9pt;height:47.65pt;rotation:315;z-index:-251657216;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fill opacity="51773f"/>
          <v:textpath style="font-family:&quot;Times New Roman&quot;;font-size:1pt" string="Ordenanza Mesa de Asesore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8EC0" w14:textId="77777777" w:rsidR="00E72DDC" w:rsidRDefault="00C75B6C" w:rsidP="002B31AE">
    <w:pPr>
      <w:rPr>
        <w:rFonts w:ascii="Palatino Linotype" w:hAnsi="Palatino Linotype" w:cs="Arial"/>
        <w:sz w:val="22"/>
        <w:szCs w:val="22"/>
      </w:rPr>
    </w:pPr>
    <w:r>
      <w:rPr>
        <w:noProof/>
      </w:rPr>
      <w:pict w14:anchorId="3E67F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71.9pt;height:47.65pt;rotation:315;z-index:-251658240;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fill opacity="51773f"/>
          <v:textpath style="font-family:&quot;Times New Roman&quot;;font-size:1pt" string="Ordenanza Mesa de Asesores"/>
        </v:shape>
      </w:pict>
    </w:r>
  </w:p>
  <w:p w14:paraId="65F514A8" w14:textId="77777777" w:rsidR="00E72DDC" w:rsidRDefault="00E72DDC" w:rsidP="002B31AE">
    <w:pPr>
      <w:rPr>
        <w:rFonts w:ascii="Palatino Linotype" w:hAnsi="Palatino Linotype" w:cs="Arial"/>
        <w:sz w:val="22"/>
        <w:szCs w:val="22"/>
      </w:rPr>
    </w:pPr>
  </w:p>
  <w:p w14:paraId="06265C5F" w14:textId="77777777" w:rsidR="00E72DDC" w:rsidRDefault="00E72DDC" w:rsidP="002B31AE">
    <w:pPr>
      <w:rPr>
        <w:rFonts w:ascii="Palatino Linotype" w:hAnsi="Palatino Linotype" w:cs="Arial"/>
        <w:sz w:val="22"/>
        <w:szCs w:val="22"/>
      </w:rPr>
    </w:pPr>
  </w:p>
  <w:p w14:paraId="08B25087" w14:textId="77777777" w:rsidR="00E72DDC" w:rsidRDefault="00E72DDC" w:rsidP="002B31AE">
    <w:pPr>
      <w:pStyle w:val="Ttulo"/>
    </w:pPr>
  </w:p>
  <w:p w14:paraId="3BC7FE5F" w14:textId="77777777" w:rsidR="00E72DDC" w:rsidRPr="009243E2" w:rsidRDefault="00E72DDC" w:rsidP="002B31AE"/>
  <w:p w14:paraId="02764640" w14:textId="77777777" w:rsidR="00E72DDC" w:rsidRPr="009243E2" w:rsidRDefault="00E72DDC" w:rsidP="002B31A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6F5D" w14:textId="77777777" w:rsidR="00E72DDC" w:rsidRDefault="00C75B6C" w:rsidP="00754F12">
    <w:pPr>
      <w:jc w:val="center"/>
      <w:rPr>
        <w:rFonts w:ascii="Palatino Linotype" w:hAnsi="Palatino Linotype" w:cs="Arial"/>
        <w:sz w:val="22"/>
        <w:szCs w:val="22"/>
      </w:rPr>
    </w:pPr>
    <w:r>
      <w:rPr>
        <w:noProof/>
      </w:rPr>
      <w:pict w14:anchorId="349ED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571.9pt;height:47.65pt;rotation:315;z-index:-251656192;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fill opacity="51773f"/>
          <v:textpath style="font-family:&quot;Times New Roman&quot;;font-size:1pt" string="Ordenanza Mesa de Asesores"/>
        </v:shape>
      </w:pict>
    </w:r>
  </w:p>
  <w:p w14:paraId="66C7EDB8" w14:textId="77777777" w:rsidR="00E72DDC" w:rsidRDefault="00E72DDC" w:rsidP="00754F12">
    <w:pPr>
      <w:jc w:val="center"/>
      <w:rPr>
        <w:rFonts w:ascii="Palatino Linotype" w:hAnsi="Palatino Linotype" w:cs="Arial"/>
        <w:sz w:val="22"/>
        <w:szCs w:val="22"/>
      </w:rPr>
    </w:pPr>
  </w:p>
  <w:p w14:paraId="1EF788C2" w14:textId="77777777" w:rsidR="00E72DDC" w:rsidRDefault="00E72DDC" w:rsidP="00754F12">
    <w:pPr>
      <w:jc w:val="center"/>
      <w:rPr>
        <w:rFonts w:ascii="Palatino Linotype" w:hAnsi="Palatino Linotype" w:cs="Arial"/>
        <w:sz w:val="22"/>
        <w:szCs w:val="22"/>
      </w:rPr>
    </w:pPr>
  </w:p>
  <w:p w14:paraId="19464269" w14:textId="77777777" w:rsidR="00E72DDC" w:rsidRDefault="00E72DDC" w:rsidP="00754F12">
    <w:pPr>
      <w:jc w:val="center"/>
      <w:rPr>
        <w:rFonts w:ascii="Palatino Linotype" w:hAnsi="Palatino Linotype" w:cs="Arial"/>
        <w:sz w:val="22"/>
        <w:szCs w:val="22"/>
      </w:rPr>
    </w:pPr>
  </w:p>
  <w:p w14:paraId="376E7802" w14:textId="77777777" w:rsidR="00E72DDC" w:rsidRDefault="00E72DDC" w:rsidP="00754F12">
    <w:pPr>
      <w:jc w:val="center"/>
      <w:rPr>
        <w:rFonts w:ascii="Palatino Linotype" w:hAnsi="Palatino Linotype" w:cs="Arial"/>
        <w:sz w:val="22"/>
        <w:szCs w:val="22"/>
      </w:rPr>
    </w:pPr>
  </w:p>
  <w:p w14:paraId="23FEB19B" w14:textId="77777777" w:rsidR="00E72DDC" w:rsidRDefault="00E72DDC" w:rsidP="00754F12">
    <w:pPr>
      <w:jc w:val="center"/>
      <w:rPr>
        <w:rFonts w:ascii="Palatino Linotype" w:hAnsi="Palatino Linotype" w:cs="Arial"/>
        <w:sz w:val="22"/>
        <w:szCs w:val="22"/>
      </w:rPr>
    </w:pPr>
  </w:p>
  <w:p w14:paraId="7CF048B8" w14:textId="77777777" w:rsidR="00E72DDC" w:rsidRDefault="00E72DDC" w:rsidP="00754F12">
    <w:pPr>
      <w:jc w:val="center"/>
      <w:rPr>
        <w:rFonts w:ascii="Palatino Linotype" w:hAnsi="Palatino Linotype" w:cs="Arial"/>
        <w:sz w:val="22"/>
        <w:szCs w:val="22"/>
      </w:rPr>
    </w:pPr>
  </w:p>
  <w:p w14:paraId="2922AAA3" w14:textId="77777777" w:rsidR="00E72DDC" w:rsidRPr="00476B21" w:rsidRDefault="00E72DDC" w:rsidP="00754F12">
    <w:pPr>
      <w:jc w:val="center"/>
      <w:rPr>
        <w:rFonts w:ascii="Palatino Linotype" w:hAnsi="Palatino Linotype" w:cs="Arial"/>
        <w:sz w:val="22"/>
        <w:szCs w:val="22"/>
      </w:rPr>
    </w:pPr>
    <w:r w:rsidRPr="00716956">
      <w:rPr>
        <w:rFonts w:ascii="Palatino Linotype" w:hAnsi="Palatino Linotype" w:cs="Arial"/>
        <w:sz w:val="22"/>
        <w:szCs w:val="22"/>
      </w:rPr>
      <w:t>ORDENANZA No.</w:t>
    </w:r>
  </w:p>
  <w:p w14:paraId="31F9095B" w14:textId="77777777" w:rsidR="00E72DDC" w:rsidRDefault="00E72D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766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E71D2D"/>
    <w:multiLevelType w:val="hybridMultilevel"/>
    <w:tmpl w:val="E684EDFE"/>
    <w:lvl w:ilvl="0" w:tplc="C054EAEE">
      <w:start w:val="1"/>
      <w:numFmt w:val="bullet"/>
      <w:lvlText w:val="•"/>
      <w:lvlJc w:val="left"/>
      <w:pPr>
        <w:tabs>
          <w:tab w:val="num" w:pos="720"/>
        </w:tabs>
        <w:ind w:left="720" w:hanging="360"/>
      </w:pPr>
      <w:rPr>
        <w:rFonts w:ascii="Arial" w:hAnsi="Arial" w:hint="default"/>
      </w:rPr>
    </w:lvl>
    <w:lvl w:ilvl="1" w:tplc="7386429A" w:tentative="1">
      <w:start w:val="1"/>
      <w:numFmt w:val="bullet"/>
      <w:lvlText w:val="•"/>
      <w:lvlJc w:val="left"/>
      <w:pPr>
        <w:tabs>
          <w:tab w:val="num" w:pos="1440"/>
        </w:tabs>
        <w:ind w:left="1440" w:hanging="360"/>
      </w:pPr>
      <w:rPr>
        <w:rFonts w:ascii="Arial" w:hAnsi="Arial" w:hint="default"/>
      </w:rPr>
    </w:lvl>
    <w:lvl w:ilvl="2" w:tplc="8126FDF2" w:tentative="1">
      <w:start w:val="1"/>
      <w:numFmt w:val="bullet"/>
      <w:lvlText w:val="•"/>
      <w:lvlJc w:val="left"/>
      <w:pPr>
        <w:tabs>
          <w:tab w:val="num" w:pos="2160"/>
        </w:tabs>
        <w:ind w:left="2160" w:hanging="360"/>
      </w:pPr>
      <w:rPr>
        <w:rFonts w:ascii="Arial" w:hAnsi="Arial" w:hint="default"/>
      </w:rPr>
    </w:lvl>
    <w:lvl w:ilvl="3" w:tplc="BEB6D366" w:tentative="1">
      <w:start w:val="1"/>
      <w:numFmt w:val="bullet"/>
      <w:lvlText w:val="•"/>
      <w:lvlJc w:val="left"/>
      <w:pPr>
        <w:tabs>
          <w:tab w:val="num" w:pos="2880"/>
        </w:tabs>
        <w:ind w:left="2880" w:hanging="360"/>
      </w:pPr>
      <w:rPr>
        <w:rFonts w:ascii="Arial" w:hAnsi="Arial" w:hint="default"/>
      </w:rPr>
    </w:lvl>
    <w:lvl w:ilvl="4" w:tplc="91E8FD6C" w:tentative="1">
      <w:start w:val="1"/>
      <w:numFmt w:val="bullet"/>
      <w:lvlText w:val="•"/>
      <w:lvlJc w:val="left"/>
      <w:pPr>
        <w:tabs>
          <w:tab w:val="num" w:pos="3600"/>
        </w:tabs>
        <w:ind w:left="3600" w:hanging="360"/>
      </w:pPr>
      <w:rPr>
        <w:rFonts w:ascii="Arial" w:hAnsi="Arial" w:hint="default"/>
      </w:rPr>
    </w:lvl>
    <w:lvl w:ilvl="5" w:tplc="A4A24D2E" w:tentative="1">
      <w:start w:val="1"/>
      <w:numFmt w:val="bullet"/>
      <w:lvlText w:val="•"/>
      <w:lvlJc w:val="left"/>
      <w:pPr>
        <w:tabs>
          <w:tab w:val="num" w:pos="4320"/>
        </w:tabs>
        <w:ind w:left="4320" w:hanging="360"/>
      </w:pPr>
      <w:rPr>
        <w:rFonts w:ascii="Arial" w:hAnsi="Arial" w:hint="default"/>
      </w:rPr>
    </w:lvl>
    <w:lvl w:ilvl="6" w:tplc="637E782A" w:tentative="1">
      <w:start w:val="1"/>
      <w:numFmt w:val="bullet"/>
      <w:lvlText w:val="•"/>
      <w:lvlJc w:val="left"/>
      <w:pPr>
        <w:tabs>
          <w:tab w:val="num" w:pos="5040"/>
        </w:tabs>
        <w:ind w:left="5040" w:hanging="360"/>
      </w:pPr>
      <w:rPr>
        <w:rFonts w:ascii="Arial" w:hAnsi="Arial" w:hint="default"/>
      </w:rPr>
    </w:lvl>
    <w:lvl w:ilvl="7" w:tplc="4E86FB24" w:tentative="1">
      <w:start w:val="1"/>
      <w:numFmt w:val="bullet"/>
      <w:lvlText w:val="•"/>
      <w:lvlJc w:val="left"/>
      <w:pPr>
        <w:tabs>
          <w:tab w:val="num" w:pos="5760"/>
        </w:tabs>
        <w:ind w:left="5760" w:hanging="360"/>
      </w:pPr>
      <w:rPr>
        <w:rFonts w:ascii="Arial" w:hAnsi="Arial" w:hint="default"/>
      </w:rPr>
    </w:lvl>
    <w:lvl w:ilvl="8" w:tplc="54CEB6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B3E7E"/>
    <w:multiLevelType w:val="hybridMultilevel"/>
    <w:tmpl w:val="320EB5EE"/>
    <w:lvl w:ilvl="0" w:tplc="065E9F32">
      <w:start w:val="1"/>
      <w:numFmt w:val="bullet"/>
      <w:lvlText w:val="•"/>
      <w:lvlJc w:val="left"/>
      <w:pPr>
        <w:tabs>
          <w:tab w:val="num" w:pos="720"/>
        </w:tabs>
        <w:ind w:left="720" w:hanging="360"/>
      </w:pPr>
      <w:rPr>
        <w:rFonts w:ascii="Arial" w:hAnsi="Arial" w:hint="default"/>
      </w:rPr>
    </w:lvl>
    <w:lvl w:ilvl="1" w:tplc="A84CDD64" w:tentative="1">
      <w:start w:val="1"/>
      <w:numFmt w:val="bullet"/>
      <w:lvlText w:val="•"/>
      <w:lvlJc w:val="left"/>
      <w:pPr>
        <w:tabs>
          <w:tab w:val="num" w:pos="1440"/>
        </w:tabs>
        <w:ind w:left="1440" w:hanging="360"/>
      </w:pPr>
      <w:rPr>
        <w:rFonts w:ascii="Arial" w:hAnsi="Arial" w:hint="default"/>
      </w:rPr>
    </w:lvl>
    <w:lvl w:ilvl="2" w:tplc="D2C45D7E" w:tentative="1">
      <w:start w:val="1"/>
      <w:numFmt w:val="bullet"/>
      <w:lvlText w:val="•"/>
      <w:lvlJc w:val="left"/>
      <w:pPr>
        <w:tabs>
          <w:tab w:val="num" w:pos="2160"/>
        </w:tabs>
        <w:ind w:left="2160" w:hanging="360"/>
      </w:pPr>
      <w:rPr>
        <w:rFonts w:ascii="Arial" w:hAnsi="Arial" w:hint="default"/>
      </w:rPr>
    </w:lvl>
    <w:lvl w:ilvl="3" w:tplc="23D6182C" w:tentative="1">
      <w:start w:val="1"/>
      <w:numFmt w:val="bullet"/>
      <w:lvlText w:val="•"/>
      <w:lvlJc w:val="left"/>
      <w:pPr>
        <w:tabs>
          <w:tab w:val="num" w:pos="2880"/>
        </w:tabs>
        <w:ind w:left="2880" w:hanging="360"/>
      </w:pPr>
      <w:rPr>
        <w:rFonts w:ascii="Arial" w:hAnsi="Arial" w:hint="default"/>
      </w:rPr>
    </w:lvl>
    <w:lvl w:ilvl="4" w:tplc="B8E23C3E" w:tentative="1">
      <w:start w:val="1"/>
      <w:numFmt w:val="bullet"/>
      <w:lvlText w:val="•"/>
      <w:lvlJc w:val="left"/>
      <w:pPr>
        <w:tabs>
          <w:tab w:val="num" w:pos="3600"/>
        </w:tabs>
        <w:ind w:left="3600" w:hanging="360"/>
      </w:pPr>
      <w:rPr>
        <w:rFonts w:ascii="Arial" w:hAnsi="Arial" w:hint="default"/>
      </w:rPr>
    </w:lvl>
    <w:lvl w:ilvl="5" w:tplc="61022608" w:tentative="1">
      <w:start w:val="1"/>
      <w:numFmt w:val="bullet"/>
      <w:lvlText w:val="•"/>
      <w:lvlJc w:val="left"/>
      <w:pPr>
        <w:tabs>
          <w:tab w:val="num" w:pos="4320"/>
        </w:tabs>
        <w:ind w:left="4320" w:hanging="360"/>
      </w:pPr>
      <w:rPr>
        <w:rFonts w:ascii="Arial" w:hAnsi="Arial" w:hint="default"/>
      </w:rPr>
    </w:lvl>
    <w:lvl w:ilvl="6" w:tplc="75AEEF4E" w:tentative="1">
      <w:start w:val="1"/>
      <w:numFmt w:val="bullet"/>
      <w:lvlText w:val="•"/>
      <w:lvlJc w:val="left"/>
      <w:pPr>
        <w:tabs>
          <w:tab w:val="num" w:pos="5040"/>
        </w:tabs>
        <w:ind w:left="5040" w:hanging="360"/>
      </w:pPr>
      <w:rPr>
        <w:rFonts w:ascii="Arial" w:hAnsi="Arial" w:hint="default"/>
      </w:rPr>
    </w:lvl>
    <w:lvl w:ilvl="7" w:tplc="17207CC0" w:tentative="1">
      <w:start w:val="1"/>
      <w:numFmt w:val="bullet"/>
      <w:lvlText w:val="•"/>
      <w:lvlJc w:val="left"/>
      <w:pPr>
        <w:tabs>
          <w:tab w:val="num" w:pos="5760"/>
        </w:tabs>
        <w:ind w:left="5760" w:hanging="360"/>
      </w:pPr>
      <w:rPr>
        <w:rFonts w:ascii="Arial" w:hAnsi="Arial" w:hint="default"/>
      </w:rPr>
    </w:lvl>
    <w:lvl w:ilvl="8" w:tplc="4B7C2F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B55D83"/>
    <w:multiLevelType w:val="hybridMultilevel"/>
    <w:tmpl w:val="63C85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3D3FF7"/>
    <w:multiLevelType w:val="hybridMultilevel"/>
    <w:tmpl w:val="4ECA21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12"/>
    <w:rsid w:val="00011CDC"/>
    <w:rsid w:val="000136E6"/>
    <w:rsid w:val="00095AA5"/>
    <w:rsid w:val="000E26DF"/>
    <w:rsid w:val="000E303D"/>
    <w:rsid w:val="000F405C"/>
    <w:rsid w:val="0010148D"/>
    <w:rsid w:val="00114B86"/>
    <w:rsid w:val="00116DA2"/>
    <w:rsid w:val="00163F88"/>
    <w:rsid w:val="001D35E2"/>
    <w:rsid w:val="001D6CD2"/>
    <w:rsid w:val="001E1F03"/>
    <w:rsid w:val="001E628B"/>
    <w:rsid w:val="002164EC"/>
    <w:rsid w:val="002349EF"/>
    <w:rsid w:val="00235042"/>
    <w:rsid w:val="002555D1"/>
    <w:rsid w:val="00263A47"/>
    <w:rsid w:val="00275F3B"/>
    <w:rsid w:val="002B31AE"/>
    <w:rsid w:val="002B5A42"/>
    <w:rsid w:val="002D2FFB"/>
    <w:rsid w:val="002E3074"/>
    <w:rsid w:val="00320937"/>
    <w:rsid w:val="00325F64"/>
    <w:rsid w:val="00354D53"/>
    <w:rsid w:val="00375E80"/>
    <w:rsid w:val="00376A31"/>
    <w:rsid w:val="0038110F"/>
    <w:rsid w:val="00383BA6"/>
    <w:rsid w:val="00385F6E"/>
    <w:rsid w:val="00386854"/>
    <w:rsid w:val="003A02D8"/>
    <w:rsid w:val="003B7877"/>
    <w:rsid w:val="003E13FF"/>
    <w:rsid w:val="003F53A8"/>
    <w:rsid w:val="00425B2A"/>
    <w:rsid w:val="00457FD6"/>
    <w:rsid w:val="00482A42"/>
    <w:rsid w:val="004B1CAD"/>
    <w:rsid w:val="004B6AED"/>
    <w:rsid w:val="004C1CE5"/>
    <w:rsid w:val="004D7215"/>
    <w:rsid w:val="004E562C"/>
    <w:rsid w:val="00535BA5"/>
    <w:rsid w:val="0055623A"/>
    <w:rsid w:val="00567F57"/>
    <w:rsid w:val="005A34BF"/>
    <w:rsid w:val="005D3005"/>
    <w:rsid w:val="00607779"/>
    <w:rsid w:val="006126B5"/>
    <w:rsid w:val="00624F3F"/>
    <w:rsid w:val="006873BF"/>
    <w:rsid w:val="006A5583"/>
    <w:rsid w:val="006D2A6D"/>
    <w:rsid w:val="006D5953"/>
    <w:rsid w:val="006E06B7"/>
    <w:rsid w:val="006E20C3"/>
    <w:rsid w:val="006E685D"/>
    <w:rsid w:val="006F3E4E"/>
    <w:rsid w:val="00705595"/>
    <w:rsid w:val="0072591E"/>
    <w:rsid w:val="00754F12"/>
    <w:rsid w:val="00756ADC"/>
    <w:rsid w:val="0078430E"/>
    <w:rsid w:val="00853CD8"/>
    <w:rsid w:val="00873CC0"/>
    <w:rsid w:val="008833A6"/>
    <w:rsid w:val="0089473A"/>
    <w:rsid w:val="008C5949"/>
    <w:rsid w:val="008D1ACE"/>
    <w:rsid w:val="00940594"/>
    <w:rsid w:val="0097090F"/>
    <w:rsid w:val="009F58FD"/>
    <w:rsid w:val="009F680A"/>
    <w:rsid w:val="00A03E59"/>
    <w:rsid w:val="00A06007"/>
    <w:rsid w:val="00A56C56"/>
    <w:rsid w:val="00AE076A"/>
    <w:rsid w:val="00AF4F75"/>
    <w:rsid w:val="00B00E17"/>
    <w:rsid w:val="00B0511D"/>
    <w:rsid w:val="00B27B15"/>
    <w:rsid w:val="00B5422E"/>
    <w:rsid w:val="00BA6614"/>
    <w:rsid w:val="00BB05EC"/>
    <w:rsid w:val="00BB1E4B"/>
    <w:rsid w:val="00BB6FF6"/>
    <w:rsid w:val="00BC6DD7"/>
    <w:rsid w:val="00BD3B5C"/>
    <w:rsid w:val="00BF6429"/>
    <w:rsid w:val="00C072AC"/>
    <w:rsid w:val="00C3091E"/>
    <w:rsid w:val="00C61FC7"/>
    <w:rsid w:val="00C64D13"/>
    <w:rsid w:val="00C75B6C"/>
    <w:rsid w:val="00C94ADC"/>
    <w:rsid w:val="00CC3ECF"/>
    <w:rsid w:val="00CC6187"/>
    <w:rsid w:val="00CE2036"/>
    <w:rsid w:val="00D26BFF"/>
    <w:rsid w:val="00D41E69"/>
    <w:rsid w:val="00D510A0"/>
    <w:rsid w:val="00D81F78"/>
    <w:rsid w:val="00DA7E66"/>
    <w:rsid w:val="00DD03C9"/>
    <w:rsid w:val="00DF4E22"/>
    <w:rsid w:val="00E22437"/>
    <w:rsid w:val="00E2777D"/>
    <w:rsid w:val="00E3164E"/>
    <w:rsid w:val="00E40CD7"/>
    <w:rsid w:val="00E44A5A"/>
    <w:rsid w:val="00E47217"/>
    <w:rsid w:val="00E564E2"/>
    <w:rsid w:val="00E72DDC"/>
    <w:rsid w:val="00E86AA3"/>
    <w:rsid w:val="00E9650C"/>
    <w:rsid w:val="00EB68A9"/>
    <w:rsid w:val="00EF6078"/>
    <w:rsid w:val="00F108B7"/>
    <w:rsid w:val="00FB12CD"/>
    <w:rsid w:val="00FD06E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7DAF9B"/>
  <w15:chartTrackingRefBased/>
  <w15:docId w15:val="{3549AA53-C5F7-407A-B40D-5B196CF7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12"/>
    <w:rPr>
      <w:rFonts w:ascii="Times New Roman" w:eastAsia="Times New Roman" w:hAnsi="Times New Roman"/>
      <w:lang w:val="es-ES" w:eastAsia="es-ES"/>
    </w:rPr>
  </w:style>
  <w:style w:type="paragraph" w:styleId="Ttulo1">
    <w:name w:val="heading 1"/>
    <w:basedOn w:val="Normal"/>
    <w:next w:val="Normal"/>
    <w:link w:val="Ttulo1Car"/>
    <w:uiPriority w:val="9"/>
    <w:qFormat/>
    <w:rsid w:val="00754F12"/>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qFormat/>
    <w:rsid w:val="00754F1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754F12"/>
    <w:pPr>
      <w:keepNext/>
      <w:spacing w:before="240" w:after="60"/>
      <w:outlineLvl w:val="2"/>
    </w:pPr>
    <w:rPr>
      <w:rFonts w:ascii="Arial" w:hAnsi="Arial" w:cs="Arial"/>
      <w:b/>
      <w:bCs/>
      <w:sz w:val="26"/>
      <w:szCs w:val="26"/>
    </w:rPr>
  </w:style>
  <w:style w:type="paragraph" w:styleId="Ttulo7">
    <w:name w:val="heading 7"/>
    <w:basedOn w:val="Normal"/>
    <w:next w:val="Normal"/>
    <w:link w:val="Ttulo7Car"/>
    <w:qFormat/>
    <w:rsid w:val="00754F12"/>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54F12"/>
    <w:rPr>
      <w:rFonts w:ascii="Cambria" w:eastAsia="Times New Roman" w:hAnsi="Cambria" w:cs="Times New Roman"/>
      <w:b/>
      <w:bCs/>
      <w:color w:val="365F91"/>
      <w:sz w:val="28"/>
      <w:szCs w:val="28"/>
      <w:lang w:eastAsia="es-ES"/>
    </w:rPr>
  </w:style>
  <w:style w:type="character" w:customStyle="1" w:styleId="Ttulo2Car">
    <w:name w:val="Título 2 Car"/>
    <w:link w:val="Ttulo2"/>
    <w:uiPriority w:val="9"/>
    <w:rsid w:val="00754F12"/>
    <w:rPr>
      <w:rFonts w:ascii="Cambria" w:eastAsia="Times New Roman" w:hAnsi="Cambria" w:cs="Times New Roman"/>
      <w:b/>
      <w:bCs/>
      <w:color w:val="4F81BD"/>
      <w:sz w:val="26"/>
      <w:szCs w:val="26"/>
      <w:lang w:eastAsia="es-ES"/>
    </w:rPr>
  </w:style>
  <w:style w:type="character" w:customStyle="1" w:styleId="Ttulo3Car">
    <w:name w:val="Título 3 Car"/>
    <w:link w:val="Ttulo3"/>
    <w:rsid w:val="00754F12"/>
    <w:rPr>
      <w:rFonts w:ascii="Arial" w:eastAsia="Times New Roman" w:hAnsi="Arial" w:cs="Arial"/>
      <w:b/>
      <w:bCs/>
      <w:sz w:val="26"/>
      <w:szCs w:val="26"/>
      <w:lang w:eastAsia="es-ES"/>
    </w:rPr>
  </w:style>
  <w:style w:type="character" w:customStyle="1" w:styleId="Ttulo7Car">
    <w:name w:val="Título 7 Car"/>
    <w:link w:val="Ttulo7"/>
    <w:rsid w:val="00754F12"/>
    <w:rPr>
      <w:rFonts w:ascii="Calibri" w:eastAsia="Times New Roman" w:hAnsi="Calibri" w:cs="Times New Roman"/>
      <w:sz w:val="24"/>
      <w:szCs w:val="24"/>
      <w:lang w:eastAsia="es-ES"/>
    </w:rPr>
  </w:style>
  <w:style w:type="paragraph" w:styleId="Encabezado">
    <w:name w:val="header"/>
    <w:basedOn w:val="Normal"/>
    <w:link w:val="EncabezadoCar"/>
    <w:rsid w:val="00754F12"/>
    <w:pPr>
      <w:tabs>
        <w:tab w:val="center" w:pos="4252"/>
        <w:tab w:val="right" w:pos="8504"/>
      </w:tabs>
    </w:pPr>
  </w:style>
  <w:style w:type="character" w:customStyle="1" w:styleId="EncabezadoCar">
    <w:name w:val="Encabezado Car"/>
    <w:link w:val="Encabezado"/>
    <w:rsid w:val="00754F12"/>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754F12"/>
    <w:pPr>
      <w:spacing w:after="120"/>
    </w:pPr>
  </w:style>
  <w:style w:type="character" w:customStyle="1" w:styleId="TextoindependienteCar">
    <w:name w:val="Texto independiente Car"/>
    <w:link w:val="Textoindependiente"/>
    <w:rsid w:val="00754F1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754F12"/>
    <w:rPr>
      <w:rFonts w:ascii="Courier New" w:hAnsi="Courier New"/>
    </w:rPr>
  </w:style>
  <w:style w:type="character" w:customStyle="1" w:styleId="TextosinformatoCar">
    <w:name w:val="Texto sin formato Car"/>
    <w:link w:val="Textosinformato"/>
    <w:rsid w:val="00754F12"/>
    <w:rPr>
      <w:rFonts w:ascii="Courier New" w:eastAsia="Times New Roman" w:hAnsi="Courier New" w:cs="Times New Roman"/>
      <w:sz w:val="20"/>
      <w:szCs w:val="20"/>
      <w:lang w:eastAsia="es-ES"/>
    </w:rPr>
  </w:style>
  <w:style w:type="paragraph" w:customStyle="1" w:styleId="Textopredeterminado">
    <w:name w:val="Texto predeterminado"/>
    <w:basedOn w:val="Normal"/>
    <w:rsid w:val="00754F12"/>
    <w:rPr>
      <w:sz w:val="24"/>
      <w:lang w:val="es-ES_tradnl"/>
    </w:rPr>
  </w:style>
  <w:style w:type="paragraph" w:styleId="Piedepgina">
    <w:name w:val="footer"/>
    <w:basedOn w:val="Normal"/>
    <w:link w:val="PiedepginaCar"/>
    <w:uiPriority w:val="99"/>
    <w:rsid w:val="00754F12"/>
    <w:pPr>
      <w:tabs>
        <w:tab w:val="center" w:pos="4419"/>
        <w:tab w:val="right" w:pos="8838"/>
      </w:tabs>
    </w:pPr>
  </w:style>
  <w:style w:type="character" w:customStyle="1" w:styleId="PiedepginaCar">
    <w:name w:val="Pie de página Car"/>
    <w:link w:val="Piedepgina"/>
    <w:uiPriority w:val="99"/>
    <w:rsid w:val="00754F12"/>
    <w:rPr>
      <w:rFonts w:ascii="Times New Roman" w:eastAsia="Times New Roman" w:hAnsi="Times New Roman" w:cs="Times New Roman"/>
      <w:sz w:val="20"/>
      <w:szCs w:val="20"/>
      <w:lang w:eastAsia="es-ES"/>
    </w:rPr>
  </w:style>
  <w:style w:type="paragraph" w:styleId="Cuadrculamedia2">
    <w:name w:val="Medium Grid 2"/>
    <w:link w:val="Cuadrculamedia2Car"/>
    <w:uiPriority w:val="1"/>
    <w:qFormat/>
    <w:rsid w:val="00754F12"/>
    <w:rPr>
      <w:sz w:val="22"/>
      <w:szCs w:val="22"/>
      <w:lang w:val="es-EC" w:eastAsia="en-US"/>
    </w:rPr>
  </w:style>
  <w:style w:type="character" w:customStyle="1" w:styleId="TtuloCar">
    <w:name w:val="Título Car"/>
    <w:rsid w:val="00754F12"/>
    <w:rPr>
      <w:b/>
      <w:bCs/>
      <w:sz w:val="24"/>
      <w:szCs w:val="24"/>
      <w:lang w:val="es-ES" w:eastAsia="es-ES"/>
    </w:rPr>
  </w:style>
  <w:style w:type="character" w:customStyle="1" w:styleId="Cuadrculamedia2Car">
    <w:name w:val="Cuadrícula media 2 Car"/>
    <w:link w:val="Cuadrculamedia2"/>
    <w:uiPriority w:val="1"/>
    <w:rsid w:val="00754F12"/>
    <w:rPr>
      <w:rFonts w:ascii="Calibri" w:eastAsia="Calibri" w:hAnsi="Calibri" w:cs="Times New Roman"/>
      <w:lang w:val="es-EC"/>
    </w:rPr>
  </w:style>
  <w:style w:type="paragraph" w:styleId="Ttulo">
    <w:name w:val="Title"/>
    <w:basedOn w:val="Normal"/>
    <w:next w:val="Normal"/>
    <w:link w:val="TtuloCar1"/>
    <w:uiPriority w:val="10"/>
    <w:qFormat/>
    <w:rsid w:val="00754F12"/>
    <w:pPr>
      <w:contextualSpacing/>
    </w:pPr>
    <w:rPr>
      <w:rFonts w:ascii="Cambria" w:hAnsi="Cambria"/>
      <w:spacing w:val="-10"/>
      <w:kern w:val="28"/>
      <w:sz w:val="56"/>
      <w:szCs w:val="56"/>
    </w:rPr>
  </w:style>
  <w:style w:type="character" w:customStyle="1" w:styleId="TtuloCar1">
    <w:name w:val="Título Car1"/>
    <w:link w:val="Ttulo"/>
    <w:uiPriority w:val="10"/>
    <w:rsid w:val="00754F12"/>
    <w:rPr>
      <w:rFonts w:ascii="Cambria" w:eastAsia="Times New Roman" w:hAnsi="Cambria" w:cs="Times New Roman"/>
      <w:spacing w:val="-10"/>
      <w:kern w:val="28"/>
      <w:sz w:val="56"/>
      <w:szCs w:val="56"/>
      <w:lang w:eastAsia="es-ES"/>
    </w:rPr>
  </w:style>
  <w:style w:type="table" w:styleId="Tablaconcuadrcula">
    <w:name w:val="Table Grid"/>
    <w:basedOn w:val="Tablanormal"/>
    <w:uiPriority w:val="59"/>
    <w:rsid w:val="00754F12"/>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54F12"/>
    <w:pPr>
      <w:spacing w:after="120"/>
      <w:ind w:left="283"/>
    </w:pPr>
  </w:style>
  <w:style w:type="character" w:customStyle="1" w:styleId="SangradetextonormalCar">
    <w:name w:val="Sangría de texto normal Car"/>
    <w:link w:val="Sangradetextonormal"/>
    <w:uiPriority w:val="99"/>
    <w:semiHidden/>
    <w:rsid w:val="00754F1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754F12"/>
    <w:pPr>
      <w:spacing w:after="0"/>
      <w:ind w:left="360" w:firstLine="360"/>
    </w:pPr>
  </w:style>
  <w:style w:type="character" w:customStyle="1" w:styleId="Textoindependienteprimerasangra2Car">
    <w:name w:val="Texto independiente primera sangría 2 Car"/>
    <w:link w:val="Textoindependienteprimerasangra2"/>
    <w:uiPriority w:val="99"/>
    <w:rsid w:val="00754F1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754F12"/>
    <w:pPr>
      <w:spacing w:before="100" w:beforeAutospacing="1" w:after="100" w:afterAutospacing="1"/>
    </w:pPr>
    <w:rPr>
      <w:sz w:val="24"/>
      <w:szCs w:val="24"/>
      <w:lang w:val="es-EC" w:eastAsia="es-ES_tradnl"/>
    </w:rPr>
  </w:style>
  <w:style w:type="paragraph" w:styleId="Listavistosa-nfasis1">
    <w:name w:val="Colorful List Accent 1"/>
    <w:basedOn w:val="Normal"/>
    <w:uiPriority w:val="34"/>
    <w:qFormat/>
    <w:rsid w:val="0010148D"/>
    <w:pPr>
      <w:ind w:left="720"/>
      <w:contextualSpacing/>
    </w:pPr>
    <w:rPr>
      <w:sz w:val="24"/>
      <w:szCs w:val="24"/>
    </w:rPr>
  </w:style>
  <w:style w:type="character" w:customStyle="1" w:styleId="fontstyle01">
    <w:name w:val="fontstyle01"/>
    <w:rsid w:val="006F3E4E"/>
    <w:rPr>
      <w:rFonts w:ascii="Times-Italic" w:hAnsi="Times-Italic" w:hint="default"/>
      <w:b w:val="0"/>
      <w:bCs w:val="0"/>
      <w:i/>
      <w:iCs/>
      <w:color w:val="000000"/>
      <w:sz w:val="22"/>
      <w:szCs w:val="22"/>
    </w:rPr>
  </w:style>
  <w:style w:type="character" w:customStyle="1" w:styleId="fontstyle21">
    <w:name w:val="fontstyle21"/>
    <w:rsid w:val="006D2A6D"/>
    <w:rPr>
      <w:rFonts w:ascii="Times-Italic" w:hAnsi="Times-Italic" w:hint="default"/>
      <w:b w:val="0"/>
      <w:bCs w:val="0"/>
      <w:i/>
      <w:iCs/>
      <w:color w:val="000000"/>
      <w:sz w:val="22"/>
      <w:szCs w:val="22"/>
    </w:rPr>
  </w:style>
  <w:style w:type="paragraph" w:styleId="Textodeglobo">
    <w:name w:val="Balloon Text"/>
    <w:basedOn w:val="Normal"/>
    <w:link w:val="TextodegloboCar"/>
    <w:uiPriority w:val="99"/>
    <w:semiHidden/>
    <w:unhideWhenUsed/>
    <w:rsid w:val="00A06007"/>
    <w:rPr>
      <w:rFonts w:ascii="Tahoma" w:hAnsi="Tahoma" w:cs="Tahoma"/>
      <w:sz w:val="16"/>
      <w:szCs w:val="16"/>
    </w:rPr>
  </w:style>
  <w:style w:type="character" w:customStyle="1" w:styleId="TextodegloboCar">
    <w:name w:val="Texto de globo Car"/>
    <w:link w:val="Textodeglobo"/>
    <w:uiPriority w:val="99"/>
    <w:semiHidden/>
    <w:rsid w:val="00A06007"/>
    <w:rPr>
      <w:rFonts w:ascii="Tahoma" w:eastAsia="Times New Roman" w:hAnsi="Tahoma" w:cs="Tahoma"/>
      <w:sz w:val="16"/>
      <w:szCs w:val="16"/>
      <w:lang w:eastAsia="es-ES"/>
    </w:rPr>
  </w:style>
  <w:style w:type="character" w:styleId="Refdecomentario">
    <w:name w:val="annotation reference"/>
    <w:uiPriority w:val="99"/>
    <w:semiHidden/>
    <w:unhideWhenUsed/>
    <w:rsid w:val="006E685D"/>
    <w:rPr>
      <w:sz w:val="16"/>
      <w:szCs w:val="16"/>
    </w:rPr>
  </w:style>
  <w:style w:type="paragraph" w:styleId="Textocomentario">
    <w:name w:val="annotation text"/>
    <w:basedOn w:val="Normal"/>
    <w:link w:val="TextocomentarioCar"/>
    <w:uiPriority w:val="99"/>
    <w:semiHidden/>
    <w:unhideWhenUsed/>
    <w:rsid w:val="006E685D"/>
  </w:style>
  <w:style w:type="character" w:customStyle="1" w:styleId="TextocomentarioCar">
    <w:name w:val="Texto comentario Car"/>
    <w:link w:val="Textocomentario"/>
    <w:uiPriority w:val="99"/>
    <w:semiHidden/>
    <w:rsid w:val="006E685D"/>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6E685D"/>
    <w:rPr>
      <w:b/>
      <w:bCs/>
    </w:rPr>
  </w:style>
  <w:style w:type="character" w:customStyle="1" w:styleId="AsuntodelcomentarioCar">
    <w:name w:val="Asunto del comentario Car"/>
    <w:link w:val="Asuntodelcomentario"/>
    <w:uiPriority w:val="99"/>
    <w:semiHidden/>
    <w:rsid w:val="006E685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66898">
      <w:bodyDiv w:val="1"/>
      <w:marLeft w:val="0"/>
      <w:marRight w:val="0"/>
      <w:marTop w:val="0"/>
      <w:marBottom w:val="0"/>
      <w:divBdr>
        <w:top w:val="none" w:sz="0" w:space="0" w:color="auto"/>
        <w:left w:val="none" w:sz="0" w:space="0" w:color="auto"/>
        <w:bottom w:val="none" w:sz="0" w:space="0" w:color="auto"/>
        <w:right w:val="none" w:sz="0" w:space="0" w:color="auto"/>
      </w:divBdr>
    </w:div>
    <w:div w:id="573124132">
      <w:bodyDiv w:val="1"/>
      <w:marLeft w:val="0"/>
      <w:marRight w:val="0"/>
      <w:marTop w:val="0"/>
      <w:marBottom w:val="0"/>
      <w:divBdr>
        <w:top w:val="none" w:sz="0" w:space="0" w:color="auto"/>
        <w:left w:val="none" w:sz="0" w:space="0" w:color="auto"/>
        <w:bottom w:val="none" w:sz="0" w:space="0" w:color="auto"/>
        <w:right w:val="none" w:sz="0" w:space="0" w:color="auto"/>
      </w:divBdr>
      <w:divsChild>
        <w:div w:id="494536175">
          <w:marLeft w:val="274"/>
          <w:marRight w:val="0"/>
          <w:marTop w:val="0"/>
          <w:marBottom w:val="0"/>
          <w:divBdr>
            <w:top w:val="none" w:sz="0" w:space="0" w:color="auto"/>
            <w:left w:val="none" w:sz="0" w:space="0" w:color="auto"/>
            <w:bottom w:val="none" w:sz="0" w:space="0" w:color="auto"/>
            <w:right w:val="none" w:sz="0" w:space="0" w:color="auto"/>
          </w:divBdr>
        </w:div>
      </w:divsChild>
    </w:div>
    <w:div w:id="1595361612">
      <w:bodyDiv w:val="1"/>
      <w:marLeft w:val="0"/>
      <w:marRight w:val="0"/>
      <w:marTop w:val="0"/>
      <w:marBottom w:val="0"/>
      <w:divBdr>
        <w:top w:val="none" w:sz="0" w:space="0" w:color="auto"/>
        <w:left w:val="none" w:sz="0" w:space="0" w:color="auto"/>
        <w:bottom w:val="none" w:sz="0" w:space="0" w:color="auto"/>
        <w:right w:val="none" w:sz="0" w:space="0" w:color="auto"/>
      </w:divBdr>
    </w:div>
    <w:div w:id="1647779785">
      <w:bodyDiv w:val="1"/>
      <w:marLeft w:val="0"/>
      <w:marRight w:val="0"/>
      <w:marTop w:val="0"/>
      <w:marBottom w:val="0"/>
      <w:divBdr>
        <w:top w:val="none" w:sz="0" w:space="0" w:color="auto"/>
        <w:left w:val="none" w:sz="0" w:space="0" w:color="auto"/>
        <w:bottom w:val="none" w:sz="0" w:space="0" w:color="auto"/>
        <w:right w:val="none" w:sz="0" w:space="0" w:color="auto"/>
      </w:divBdr>
    </w:div>
    <w:div w:id="1785030133">
      <w:bodyDiv w:val="1"/>
      <w:marLeft w:val="0"/>
      <w:marRight w:val="0"/>
      <w:marTop w:val="0"/>
      <w:marBottom w:val="0"/>
      <w:divBdr>
        <w:top w:val="none" w:sz="0" w:space="0" w:color="auto"/>
        <w:left w:val="none" w:sz="0" w:space="0" w:color="auto"/>
        <w:bottom w:val="none" w:sz="0" w:space="0" w:color="auto"/>
        <w:right w:val="none" w:sz="0" w:space="0" w:color="auto"/>
      </w:divBdr>
      <w:divsChild>
        <w:div w:id="1865247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5702</Words>
  <Characters>31365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Andres Bermeo Quinde</dc:creator>
  <cp:keywords/>
  <cp:lastModifiedBy>GIANINA STEFANIA ROSERO CAICEDO</cp:lastModifiedBy>
  <cp:revision>2</cp:revision>
  <cp:lastPrinted>2020-08-06T21:29:00Z</cp:lastPrinted>
  <dcterms:created xsi:type="dcterms:W3CDTF">2020-08-17T13:47:00Z</dcterms:created>
  <dcterms:modified xsi:type="dcterms:W3CDTF">2020-08-17T13:47:00Z</dcterms:modified>
</cp:coreProperties>
</file>