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49" w:rsidRPr="00B405C0" w:rsidRDefault="00935049" w:rsidP="00935049">
      <w:pPr>
        <w:tabs>
          <w:tab w:val="left" w:pos="7513"/>
        </w:tabs>
        <w:spacing w:after="240" w:line="276" w:lineRule="auto"/>
        <w:ind w:left="7513" w:hanging="7513"/>
        <w:rPr>
          <w:sz w:val="22"/>
          <w:szCs w:val="22"/>
        </w:rPr>
      </w:pPr>
      <w:bookmarkStart w:id="0" w:name="_GoBack"/>
      <w:bookmarkEnd w:id="0"/>
      <w:r w:rsidRPr="00B405C0">
        <w:rPr>
          <w:sz w:val="22"/>
          <w:szCs w:val="22"/>
        </w:rPr>
        <w:t>EXPOSICIÓN DE MOTIVOS</w:t>
      </w:r>
    </w:p>
    <w:p w:rsidR="00935049" w:rsidRPr="00B405C0" w:rsidRDefault="00935049" w:rsidP="00935049">
      <w:pPr>
        <w:spacing w:after="240" w:line="276" w:lineRule="auto"/>
        <w:jc w:val="both"/>
        <w:rPr>
          <w:b/>
          <w:sz w:val="22"/>
          <w:szCs w:val="22"/>
        </w:rPr>
      </w:pPr>
      <w:r w:rsidRPr="00B405C0">
        <w:rPr>
          <w:sz w:val="22"/>
          <w:szCs w:val="22"/>
        </w:rPr>
        <w:t>La Constitución de la República del Ecuador, en su artículo 30, garantiza a las personas el “</w:t>
      </w:r>
      <w:r w:rsidRPr="00B405C0">
        <w:rPr>
          <w:i/>
          <w:sz w:val="22"/>
          <w:szCs w:val="22"/>
        </w:rPr>
        <w:t>derecho a un hábitat seguro y saludable, y a una vivienda adecuada y digna, con independencia de su situación social y económica</w:t>
      </w:r>
      <w:r w:rsidRPr="00B405C0">
        <w:rPr>
          <w:sz w:val="22"/>
          <w:szCs w:val="22"/>
        </w:rPr>
        <w:t>”.</w:t>
      </w:r>
    </w:p>
    <w:p w:rsidR="00935049" w:rsidRPr="00B405C0" w:rsidRDefault="00935049" w:rsidP="00935049">
      <w:pPr>
        <w:spacing w:after="240" w:line="276" w:lineRule="auto"/>
        <w:jc w:val="both"/>
        <w:rPr>
          <w:b/>
          <w:sz w:val="22"/>
          <w:szCs w:val="22"/>
        </w:rPr>
      </w:pPr>
      <w:r w:rsidRPr="00B405C0">
        <w:rPr>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935049" w:rsidRPr="00B405C0" w:rsidRDefault="00935049" w:rsidP="00935049">
      <w:pPr>
        <w:spacing w:after="240" w:line="276" w:lineRule="auto"/>
        <w:jc w:val="both"/>
        <w:rPr>
          <w:b/>
          <w:sz w:val="22"/>
          <w:szCs w:val="22"/>
        </w:rPr>
      </w:pPr>
      <w:r w:rsidRPr="00B405C0">
        <w:rPr>
          <w:sz w:val="22"/>
          <w:szCs w:val="22"/>
        </w:rPr>
        <w:t>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ubicado en la parroquia El Condado, tiene una consolidación del 50%; al inicio del proceso de regularización contaba con 25 años de existencia, sin embargo al momento de la sanción de la presente ordenanza el asentamiento cuenta con 28 años de asentamiento, 18 lotes a fraccionarse y 72 beneficiarios. </w:t>
      </w:r>
    </w:p>
    <w:p w:rsidR="00935049" w:rsidRPr="00B405C0" w:rsidRDefault="00935049" w:rsidP="00935049">
      <w:pPr>
        <w:spacing w:after="240" w:line="276" w:lineRule="auto"/>
        <w:jc w:val="both"/>
        <w:rPr>
          <w:b/>
          <w:sz w:val="22"/>
          <w:szCs w:val="22"/>
        </w:rPr>
      </w:pPr>
      <w:r w:rsidRPr="00B405C0">
        <w:rPr>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935049" w:rsidRPr="00B405C0" w:rsidRDefault="00935049" w:rsidP="00935049">
      <w:pPr>
        <w:spacing w:after="240" w:line="276" w:lineRule="auto"/>
        <w:jc w:val="both"/>
        <w:rPr>
          <w:b/>
          <w:sz w:val="22"/>
          <w:szCs w:val="22"/>
        </w:rPr>
      </w:pPr>
      <w:r w:rsidRPr="00B405C0">
        <w:rPr>
          <w:sz w:val="22"/>
          <w:szCs w:val="22"/>
        </w:rPr>
        <w:t>En este sentido, la presente ordenanza contiene la normativa tendiente al fraccionamiento de</w:t>
      </w:r>
      <w:r>
        <w:rPr>
          <w:sz w:val="22"/>
          <w:szCs w:val="22"/>
        </w:rPr>
        <w:t>l</w:t>
      </w:r>
      <w:r w:rsidRPr="00B405C0">
        <w:rPr>
          <w:sz w:val="22"/>
          <w:szCs w:val="22"/>
        </w:rPr>
        <w:t xml:space="preserve"> predio sobre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a fin de garantizar a los beneficiarios el ejercicio de su derecho a la vivienda y el acceso a servicios básicos de calidad.</w:t>
      </w:r>
    </w:p>
    <w:p w:rsidR="00935049" w:rsidRPr="00736A1C" w:rsidRDefault="00935049" w:rsidP="00935049">
      <w:pPr>
        <w:pStyle w:val="Puesto"/>
        <w:rPr>
          <w:sz w:val="22"/>
          <w:szCs w:val="22"/>
        </w:rPr>
        <w:sectPr w:rsidR="00935049" w:rsidRPr="00736A1C" w:rsidSect="00AD3778">
          <w:headerReference w:type="default" r:id="rId7"/>
          <w:footerReference w:type="default" r:id="rId8"/>
          <w:footerReference w:type="first" r:id="rId9"/>
          <w:pgSz w:w="11906" w:h="16838"/>
          <w:pgMar w:top="3402" w:right="1416" w:bottom="567" w:left="1701" w:header="709" w:footer="70" w:gutter="0"/>
          <w:cols w:space="708"/>
          <w:docGrid w:linePitch="360"/>
        </w:sectPr>
      </w:pPr>
    </w:p>
    <w:p w:rsidR="00935049" w:rsidRPr="00B405C0" w:rsidRDefault="00935049" w:rsidP="00935049">
      <w:pPr>
        <w:spacing w:after="240" w:line="276" w:lineRule="auto"/>
        <w:rPr>
          <w:sz w:val="22"/>
          <w:szCs w:val="22"/>
        </w:rPr>
      </w:pPr>
      <w:r w:rsidRPr="00B405C0">
        <w:rPr>
          <w:sz w:val="22"/>
          <w:szCs w:val="22"/>
        </w:rPr>
        <w:lastRenderedPageBreak/>
        <w:t>EL CONCEJO METROPOLITANO DE QUITO</w:t>
      </w:r>
    </w:p>
    <w:p w:rsidR="00935049" w:rsidRPr="00B405C0" w:rsidRDefault="00935049" w:rsidP="00935049">
      <w:pPr>
        <w:pStyle w:val="Textoindependiente"/>
        <w:jc w:val="both"/>
        <w:rPr>
          <w:sz w:val="22"/>
          <w:szCs w:val="22"/>
        </w:rPr>
      </w:pPr>
      <w:r w:rsidRPr="00B405C0">
        <w:rPr>
          <w:sz w:val="22"/>
          <w:szCs w:val="22"/>
        </w:rPr>
        <w:t>Visto el Informe No…………., de fecha………..de…..de 2020 de la Comisión de Ordenamiento Territorial.</w:t>
      </w:r>
    </w:p>
    <w:p w:rsidR="00935049" w:rsidRPr="00B405C0" w:rsidRDefault="00935049" w:rsidP="00935049">
      <w:pPr>
        <w:jc w:val="both"/>
        <w:rPr>
          <w:sz w:val="22"/>
          <w:szCs w:val="22"/>
        </w:rPr>
      </w:pPr>
    </w:p>
    <w:p w:rsidR="00935049" w:rsidRPr="00B405C0" w:rsidRDefault="00935049" w:rsidP="00935049">
      <w:pPr>
        <w:pStyle w:val="Ttulo1"/>
        <w:spacing w:before="0"/>
        <w:jc w:val="center"/>
        <w:rPr>
          <w:rFonts w:ascii="Times New Roman" w:hAnsi="Times New Roman" w:cs="Times New Roman"/>
          <w:color w:val="auto"/>
          <w:sz w:val="22"/>
          <w:szCs w:val="22"/>
        </w:rPr>
      </w:pPr>
      <w:r w:rsidRPr="00B405C0">
        <w:rPr>
          <w:rFonts w:ascii="Times New Roman" w:hAnsi="Times New Roman" w:cs="Times New Roman"/>
          <w:color w:val="auto"/>
          <w:sz w:val="22"/>
          <w:szCs w:val="22"/>
        </w:rPr>
        <w:t>CONSIDERANDO:</w:t>
      </w:r>
    </w:p>
    <w:p w:rsidR="00935049" w:rsidRPr="00B405C0" w:rsidRDefault="00935049" w:rsidP="00935049">
      <w:pPr>
        <w:rPr>
          <w:sz w:val="22"/>
          <w:szCs w:val="22"/>
        </w:rPr>
      </w:pP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rPr>
        <w:t xml:space="preserve">Que, </w:t>
      </w:r>
      <w:r w:rsidRPr="00B405C0">
        <w:rPr>
          <w:rFonts w:ascii="Times New Roman" w:hAnsi="Times New Roman"/>
          <w:b/>
        </w:rPr>
        <w:tab/>
      </w:r>
      <w:r w:rsidRPr="00B405C0">
        <w:rPr>
          <w:rFonts w:ascii="Times New Roman" w:hAnsi="Times New Roman"/>
        </w:rPr>
        <w:t>el artículo 30 de la Constitución de la República del Ecuador (en adelante “Constitución”) establece que: “</w:t>
      </w:r>
      <w:r w:rsidRPr="00B405C0">
        <w:rPr>
          <w:rFonts w:ascii="Times New Roman" w:hAnsi="Times New Roman"/>
          <w:i/>
        </w:rPr>
        <w:t>Las personas tienen derecho a un hábitat seguro y saludable, y a una vivienda adecuada y digna, con independencia de su situación social y económica.</w:t>
      </w:r>
      <w:r w:rsidRPr="00B405C0">
        <w:rPr>
          <w:rFonts w:ascii="Times New Roman" w:hAnsi="Times New Roman"/>
        </w:rPr>
        <w:t>”;</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el artículo 31 de la Constitución expresa que: “</w:t>
      </w:r>
      <w:r w:rsidRPr="00B405C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405C0">
        <w:rPr>
          <w:rFonts w:ascii="Times New Roman" w:hAnsi="Times New Roman"/>
          <w:bCs/>
        </w:rPr>
        <w:t xml:space="preserve">”;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rPr>
        <w:t>el artículo 240 de la Constitución establece que: “</w:t>
      </w:r>
      <w:r w:rsidRPr="00B405C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B405C0">
        <w:rPr>
          <w:rFonts w:ascii="Times New Roman" w:hAnsi="Times New Roman"/>
        </w:rPr>
        <w:t>”;</w:t>
      </w:r>
    </w:p>
    <w:p w:rsidR="00935049" w:rsidRPr="00B405C0"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rPr>
        <w:t>Que,</w:t>
      </w:r>
      <w:r w:rsidRPr="00B405C0">
        <w:rPr>
          <w:rFonts w:ascii="Times New Roman" w:hAnsi="Times New Roman"/>
        </w:rPr>
        <w:tab/>
        <w:t>el artículo 266 de la Constitución establece que</w:t>
      </w:r>
      <w:r w:rsidRPr="00B405C0">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935049" w:rsidRPr="00B405C0" w:rsidRDefault="00935049" w:rsidP="00935049">
      <w:pPr>
        <w:pStyle w:val="Sinespaciado"/>
        <w:spacing w:after="240" w:line="276" w:lineRule="auto"/>
        <w:ind w:left="709" w:hanging="1"/>
        <w:jc w:val="both"/>
        <w:rPr>
          <w:rFonts w:ascii="Times New Roman" w:hAnsi="Times New Roman"/>
        </w:rPr>
      </w:pPr>
      <w:r w:rsidRPr="00B405C0">
        <w:rPr>
          <w:rFonts w:ascii="Times New Roman" w:hAnsi="Times New Roman"/>
          <w:i/>
        </w:rPr>
        <w:t>En el ámbito de sus competencias y territorio, y en uso de sus facultades, expedirán ordenanzas distritales.”</w:t>
      </w:r>
    </w:p>
    <w:p w:rsidR="00935049" w:rsidRPr="00B405C0"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bCs/>
        </w:rPr>
        <w:t>Que,</w:t>
      </w:r>
      <w:r w:rsidRPr="00B405C0">
        <w:rPr>
          <w:rFonts w:ascii="Times New Roman" w:hAnsi="Times New Roman"/>
        </w:rPr>
        <w:tab/>
      </w:r>
      <w:r w:rsidRPr="00B405C0">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B405C0">
        <w:rPr>
          <w:rFonts w:ascii="Times New Roman" w:hAnsi="Times New Roman"/>
          <w:bCs/>
          <w:i/>
        </w:rPr>
        <w:t>“</w:t>
      </w:r>
      <w:r w:rsidRPr="00B405C0">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los literales a), y x) d</w:t>
      </w:r>
      <w:r w:rsidRPr="00B405C0">
        <w:rPr>
          <w:rFonts w:ascii="Times New Roman" w:hAnsi="Times New Roman"/>
        </w:rPr>
        <w:t xml:space="preserve">el artículo 87 del COOTAD, establece que las funciones del Concejo Metropolitano, entre otras, son: </w:t>
      </w:r>
      <w:r w:rsidRPr="00B405C0">
        <w:rPr>
          <w:rFonts w:ascii="Times New Roman" w:hAnsi="Times New Roman"/>
          <w:i/>
          <w:iCs/>
        </w:rPr>
        <w:t>“</w:t>
      </w:r>
      <w:r w:rsidRPr="00B405C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B405C0">
        <w:rPr>
          <w:rFonts w:ascii="Times New Roman" w:hAnsi="Times New Roman"/>
          <w:i/>
          <w:iCs/>
        </w:rPr>
        <w:t xml:space="preserve"> (…) x) </w:t>
      </w:r>
      <w:r w:rsidRPr="00B405C0">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B405C0">
        <w:rPr>
          <w:rFonts w:ascii="Times New Roman" w:hAnsi="Times New Roman"/>
          <w:i/>
        </w:rPr>
        <w:t>interbarrial</w:t>
      </w:r>
      <w:proofErr w:type="spellEnd"/>
      <w:r w:rsidRPr="00B405C0">
        <w:rPr>
          <w:rFonts w:ascii="Times New Roman" w:hAnsi="Times New Roman"/>
          <w:i/>
          <w:iCs/>
        </w:rPr>
        <w:t xml:space="preserve">;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lastRenderedPageBreak/>
        <w:t xml:space="preserve">Que,  </w:t>
      </w:r>
      <w:r w:rsidRPr="00B405C0">
        <w:rPr>
          <w:rFonts w:ascii="Times New Roman" w:hAnsi="Times New Roman"/>
        </w:rPr>
        <w:t>el artículo 322 del COOTAD establece el procedimiento para la aprobación de las ordenanzas municipales;</w:t>
      </w:r>
    </w:p>
    <w:p w:rsidR="00935049" w:rsidRPr="00B405C0" w:rsidRDefault="00935049" w:rsidP="00935049">
      <w:pPr>
        <w:pStyle w:val="Sinespaciado"/>
        <w:spacing w:after="240" w:line="276" w:lineRule="auto"/>
        <w:ind w:left="709" w:hanging="709"/>
        <w:jc w:val="both"/>
        <w:rPr>
          <w:rFonts w:ascii="Times New Roman" w:hAnsi="Times New Roman"/>
          <w:b/>
          <w:bCs/>
        </w:rPr>
      </w:pPr>
      <w:r w:rsidRPr="00B405C0">
        <w:rPr>
          <w:rFonts w:ascii="Times New Roman" w:hAnsi="Times New Roman"/>
          <w:b/>
          <w:bCs/>
        </w:rPr>
        <w:t xml:space="preserve">Que,    </w:t>
      </w:r>
      <w:r w:rsidRPr="00B405C0">
        <w:rPr>
          <w:rFonts w:ascii="Times New Roman" w:hAnsi="Times New Roman"/>
          <w:bCs/>
        </w:rPr>
        <w:t>el artículo 486 del COOTAD reformado establece que: “</w:t>
      </w:r>
      <w:r w:rsidRPr="00B405C0">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405C0">
        <w:rPr>
          <w:rFonts w:ascii="Times New Roman" w:hAnsi="Times New Roman"/>
          <w:bCs/>
          <w:lang w:val="es-ES_tradnl"/>
        </w:rPr>
        <w:t>”</w:t>
      </w:r>
      <w:r w:rsidRPr="00B405C0">
        <w:rPr>
          <w:rFonts w:ascii="Times New Roman" w:hAnsi="Times New Roman"/>
          <w:bCs/>
        </w:rPr>
        <w:t>;</w:t>
      </w:r>
    </w:p>
    <w:p w:rsidR="00935049" w:rsidRPr="00B405C0" w:rsidRDefault="00935049" w:rsidP="00935049">
      <w:pPr>
        <w:pStyle w:val="Sinespaciado"/>
        <w:spacing w:before="240"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la Disposición Transitoria Décima Cuarta del COOTAD, señala: “</w:t>
      </w:r>
      <w:r w:rsidRPr="00B405C0">
        <w:rPr>
          <w:rFonts w:ascii="Times New Roman" w:hAnsi="Times New Roman"/>
          <w:bCs/>
          <w:i/>
        </w:rPr>
        <w:t xml:space="preserve">(…) </w:t>
      </w:r>
      <w:r w:rsidRPr="00B405C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B405C0">
        <w:rPr>
          <w:rFonts w:ascii="Times New Roman" w:hAnsi="Times New Roman"/>
        </w:rPr>
        <w:t>.”;</w:t>
      </w:r>
    </w:p>
    <w:p w:rsidR="00935049" w:rsidRPr="00736A1C"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bCs/>
        </w:rPr>
        <w:t>Que</w:t>
      </w:r>
      <w:r w:rsidRPr="00736A1C">
        <w:rPr>
          <w:rFonts w:ascii="Times New Roman" w:hAnsi="Times New Roman"/>
          <w:b/>
          <w:i/>
        </w:rPr>
        <w:t>,</w:t>
      </w:r>
      <w:r w:rsidRPr="00736A1C">
        <w:rPr>
          <w:rFonts w:ascii="Times New Roman" w:hAnsi="Times New Roman"/>
          <w:i/>
        </w:rPr>
        <w:tab/>
      </w:r>
      <w:r w:rsidRPr="00B405C0">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B405C0">
        <w:rPr>
          <w:rFonts w:ascii="Times New Roman" w:hAnsi="Times New Roman"/>
          <w:bCs/>
          <w:i/>
        </w:rPr>
        <w:t>“…se exceptúan de esta entrega, las tierras rurales que se dividan con fines  de partición hereditaria, donación o ventas…”;</w:t>
      </w:r>
      <w:r w:rsidRPr="00736A1C">
        <w:rPr>
          <w:rFonts w:ascii="Times New Roman" w:hAnsi="Times New Roman"/>
          <w:i/>
        </w:rPr>
        <w:t xml:space="preserve"> </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935049" w:rsidRPr="00B405C0" w:rsidRDefault="00935049" w:rsidP="00935049">
      <w:pPr>
        <w:spacing w:after="240" w:line="276" w:lineRule="auto"/>
        <w:ind w:left="705" w:hanging="705"/>
        <w:jc w:val="both"/>
        <w:rPr>
          <w:bCs/>
          <w:sz w:val="22"/>
          <w:szCs w:val="22"/>
        </w:rPr>
      </w:pPr>
      <w:r w:rsidRPr="00B405C0">
        <w:rPr>
          <w:b/>
          <w:bCs/>
          <w:sz w:val="22"/>
          <w:szCs w:val="22"/>
        </w:rPr>
        <w:t xml:space="preserve">Que,   </w:t>
      </w:r>
      <w:r w:rsidRPr="00B405C0">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935049" w:rsidRPr="00B405C0" w:rsidRDefault="00935049" w:rsidP="00935049">
      <w:pPr>
        <w:pStyle w:val="Textoindependienteprimerasangra2"/>
        <w:ind w:left="709" w:hanging="709"/>
        <w:jc w:val="both"/>
        <w:rPr>
          <w:bCs/>
          <w:sz w:val="22"/>
          <w:szCs w:val="22"/>
        </w:rPr>
      </w:pPr>
      <w:r w:rsidRPr="00B405C0">
        <w:rPr>
          <w:b/>
          <w:bCs/>
          <w:sz w:val="22"/>
          <w:szCs w:val="22"/>
        </w:rPr>
        <w:t xml:space="preserve">Que,  </w:t>
      </w:r>
      <w:r w:rsidRPr="00B405C0">
        <w:rPr>
          <w:bCs/>
          <w:sz w:val="22"/>
          <w:szCs w:val="22"/>
        </w:rPr>
        <w:t xml:space="preserve">el libro IV.7., título II de la Ordenanza No. 001 de 29 de marzo de 2019,  establece los procesos y procedimientos para la regularización integral de los asentamientos humanos de hecho y </w:t>
      </w:r>
      <w:r w:rsidRPr="00B405C0">
        <w:rPr>
          <w:bCs/>
          <w:sz w:val="22"/>
          <w:szCs w:val="22"/>
        </w:rPr>
        <w:lastRenderedPageBreak/>
        <w:t>consolidados, así como su declaratoria de interés social, para aquellos asentamientos que cumplen las condiciones socioeconómicas, legales y físicas establecidas para el efecto;</w:t>
      </w:r>
    </w:p>
    <w:p w:rsidR="00935049" w:rsidRPr="00B405C0" w:rsidRDefault="00935049" w:rsidP="00935049">
      <w:pPr>
        <w:pStyle w:val="Textoindependienteprimerasangra2"/>
        <w:ind w:left="709" w:hanging="709"/>
        <w:jc w:val="both"/>
        <w:rPr>
          <w:bCs/>
          <w:sz w:val="22"/>
          <w:szCs w:val="22"/>
        </w:rPr>
      </w:pPr>
    </w:p>
    <w:p w:rsidR="00935049" w:rsidRPr="00B405C0" w:rsidRDefault="00935049" w:rsidP="00935049">
      <w:pPr>
        <w:pStyle w:val="Textoindependienteprimerasangra2"/>
        <w:ind w:left="709" w:hanging="709"/>
        <w:jc w:val="both"/>
        <w:rPr>
          <w:bCs/>
          <w:sz w:val="22"/>
          <w:szCs w:val="22"/>
        </w:rPr>
      </w:pPr>
      <w:r w:rsidRPr="00B405C0">
        <w:rPr>
          <w:b/>
          <w:bCs/>
          <w:sz w:val="22"/>
          <w:szCs w:val="22"/>
        </w:rPr>
        <w:t xml:space="preserve">Que,    </w:t>
      </w:r>
      <w:r w:rsidRPr="00B405C0">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935049" w:rsidRPr="00B405C0" w:rsidRDefault="00935049" w:rsidP="00935049">
      <w:pPr>
        <w:pStyle w:val="Textoindependienteprimerasangra2"/>
        <w:ind w:left="709" w:hanging="709"/>
        <w:jc w:val="both"/>
        <w:rPr>
          <w:bCs/>
          <w:sz w:val="22"/>
          <w:szCs w:val="22"/>
        </w:rPr>
      </w:pPr>
    </w:p>
    <w:p w:rsidR="00935049" w:rsidRPr="00B405C0" w:rsidRDefault="00935049" w:rsidP="00935049">
      <w:pPr>
        <w:spacing w:after="240" w:line="276" w:lineRule="auto"/>
        <w:ind w:left="705" w:hanging="705"/>
        <w:jc w:val="both"/>
        <w:rPr>
          <w:b/>
          <w:bCs/>
          <w:i/>
          <w:sz w:val="22"/>
          <w:szCs w:val="22"/>
        </w:rPr>
      </w:pPr>
      <w:r w:rsidRPr="00B405C0">
        <w:rPr>
          <w:b/>
          <w:bCs/>
          <w:sz w:val="22"/>
          <w:szCs w:val="22"/>
        </w:rPr>
        <w:t>Que,</w:t>
      </w:r>
      <w:r w:rsidRPr="00B405C0">
        <w:rPr>
          <w:b/>
          <w:bCs/>
          <w:sz w:val="22"/>
          <w:szCs w:val="22"/>
        </w:rPr>
        <w:tab/>
      </w:r>
      <w:r w:rsidRPr="00B405C0">
        <w:rPr>
          <w:bCs/>
          <w:sz w:val="22"/>
          <w:szCs w:val="22"/>
        </w:rPr>
        <w:t>el artículo IV.7.45 de la Ordenanza No. 001 de 29 de marzo de 2019 en su parte pertinente de la excepción de las áreas verdes dispone: “</w:t>
      </w:r>
      <w:r w:rsidRPr="00B405C0">
        <w:rPr>
          <w:bCs/>
          <w:i/>
          <w:sz w:val="22"/>
          <w:szCs w:val="22"/>
        </w:rPr>
        <w:t>(…) El faltante de áreas verdes será compensado pecuniariamente con excepción de los asentamientos declarados de interés social.”;</w:t>
      </w:r>
      <w:r w:rsidRPr="00B405C0">
        <w:rPr>
          <w:b/>
          <w:bCs/>
          <w:i/>
          <w:sz w:val="22"/>
          <w:szCs w:val="22"/>
        </w:rPr>
        <w:t xml:space="preserve"> </w:t>
      </w:r>
    </w:p>
    <w:p w:rsidR="00935049" w:rsidRPr="00B405C0" w:rsidRDefault="00935049" w:rsidP="00935049">
      <w:pPr>
        <w:spacing w:after="240" w:line="276" w:lineRule="auto"/>
        <w:ind w:left="705" w:hanging="705"/>
        <w:jc w:val="both"/>
        <w:rPr>
          <w:b/>
          <w:bCs/>
          <w:i/>
          <w:sz w:val="22"/>
          <w:szCs w:val="22"/>
        </w:rPr>
      </w:pPr>
      <w:r w:rsidRPr="00B405C0">
        <w:rPr>
          <w:b/>
          <w:bCs/>
          <w:sz w:val="22"/>
          <w:szCs w:val="22"/>
        </w:rPr>
        <w:t>Que,</w:t>
      </w:r>
      <w:r w:rsidRPr="00B405C0">
        <w:rPr>
          <w:b/>
          <w:bCs/>
          <w:sz w:val="22"/>
          <w:szCs w:val="22"/>
        </w:rPr>
        <w:tab/>
      </w:r>
      <w:r w:rsidRPr="00B405C0">
        <w:rPr>
          <w:bCs/>
          <w:sz w:val="22"/>
          <w:szCs w:val="22"/>
        </w:rPr>
        <w:t>el artículo IV.7.65 de la Ordenanza No. 001 de 29 de marzo de 2019 en su parte pertinente de la regularización de barrios ubicados en parroquias rurales dispone: “</w:t>
      </w:r>
      <w:r w:rsidRPr="00736A1C">
        <w:rPr>
          <w:bCs/>
          <w:i/>
          <w:sz w:val="22"/>
          <w:szCs w:val="22"/>
        </w:rPr>
        <w:t>(…)</w:t>
      </w:r>
      <w:r w:rsidRPr="00B405C0">
        <w:rPr>
          <w:bCs/>
          <w:sz w:val="22"/>
          <w:szCs w:val="22"/>
        </w:rPr>
        <w:t xml:space="preserve"> </w:t>
      </w:r>
      <w:r w:rsidRPr="00B405C0">
        <w:rPr>
          <w:bCs/>
          <w:i/>
          <w:sz w:val="22"/>
          <w:szCs w:val="22"/>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B405C0">
        <w:rPr>
          <w:b/>
          <w:bCs/>
          <w:i/>
          <w:sz w:val="22"/>
          <w:szCs w:val="22"/>
        </w:rPr>
        <w:t xml:space="preserve"> </w:t>
      </w:r>
    </w:p>
    <w:p w:rsidR="00935049" w:rsidRPr="00B405C0" w:rsidRDefault="00935049" w:rsidP="00935049">
      <w:pPr>
        <w:spacing w:after="240" w:line="276" w:lineRule="auto"/>
        <w:ind w:left="705" w:hanging="705"/>
        <w:jc w:val="both"/>
        <w:rPr>
          <w:bCs/>
          <w:sz w:val="22"/>
          <w:szCs w:val="22"/>
        </w:rPr>
      </w:pPr>
      <w:r w:rsidRPr="00B405C0">
        <w:rPr>
          <w:b/>
          <w:bCs/>
          <w:sz w:val="22"/>
          <w:szCs w:val="22"/>
        </w:rPr>
        <w:t xml:space="preserve">Que, </w:t>
      </w:r>
      <w:r w:rsidRPr="00B405C0">
        <w:rPr>
          <w:b/>
          <w:bCs/>
          <w:sz w:val="22"/>
          <w:szCs w:val="22"/>
        </w:rPr>
        <w:tab/>
      </w:r>
      <w:r w:rsidRPr="00B405C0">
        <w:rPr>
          <w:bCs/>
          <w:sz w:val="22"/>
          <w:szCs w:val="22"/>
        </w:rPr>
        <w:t xml:space="preserve">la Ordenanza No. 001 de 29 de marzo de 2019, determina en su disposición derogatoria lo siguiente: </w:t>
      </w:r>
      <w:r w:rsidRPr="00B405C0">
        <w:rPr>
          <w:bCs/>
          <w:i/>
          <w:sz w:val="22"/>
          <w:szCs w:val="22"/>
        </w:rPr>
        <w:t>“Deróguense todas las Ordenanzas que se detallan en el cuadro adjunto (Anexo Derogatorias), con excepción de sus disposiciones de carácter transitorio hasta la verificación del efectivo cumplimiento de las mismas;</w:t>
      </w:r>
      <w:r w:rsidRPr="00B405C0">
        <w:rPr>
          <w:bCs/>
          <w:i/>
          <w:sz w:val="22"/>
          <w:szCs w:val="22"/>
          <w:lang w:val="es-ES_tradnl"/>
        </w:rPr>
        <w:t xml:space="preserve"> (…)</w:t>
      </w:r>
      <w:r w:rsidRPr="00B405C0">
        <w:rPr>
          <w:bCs/>
          <w:sz w:val="22"/>
          <w:szCs w:val="22"/>
          <w:lang w:val="es-ES_tradnl"/>
        </w:rPr>
        <w:t>”</w:t>
      </w:r>
      <w:r w:rsidRPr="00B405C0">
        <w:rPr>
          <w:bCs/>
          <w:sz w:val="22"/>
          <w:szCs w:val="22"/>
        </w:rPr>
        <w:t>;</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Cs/>
        </w:rPr>
        <w:t xml:space="preserve">    En concordancia con el considerando precedente,</w:t>
      </w:r>
      <w:r w:rsidRPr="00B405C0">
        <w:rPr>
          <w:rFonts w:ascii="Times New Roman" w:hAnsi="Times New Roman"/>
          <w:b/>
          <w:bCs/>
        </w:rPr>
        <w:t xml:space="preserve"> </w:t>
      </w:r>
      <w:r w:rsidRPr="00B405C0">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 xml:space="preserve">Que, </w:t>
      </w:r>
      <w:r w:rsidRPr="00B405C0">
        <w:rPr>
          <w:rFonts w:ascii="Times New Roman" w:hAnsi="Times New Roman"/>
          <w:b/>
          <w:bCs/>
        </w:rPr>
        <w:tab/>
      </w:r>
      <w:r w:rsidRPr="00B405C0">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B405C0">
        <w:rPr>
          <w:rFonts w:ascii="Times New Roman" w:hAnsi="Times New Roman"/>
          <w:bCs/>
        </w:rPr>
        <w:t>rectificatorios</w:t>
      </w:r>
      <w:proofErr w:type="spellEnd"/>
      <w:r w:rsidRPr="00B405C0">
        <w:rPr>
          <w:rFonts w:ascii="Times New Roman" w:hAnsi="Times New Roman"/>
          <w:bCs/>
        </w:rPr>
        <w:t xml:space="preserve"> de acuerdo a los plazos señalados en la norma.  </w:t>
      </w:r>
    </w:p>
    <w:p w:rsidR="00935049" w:rsidRPr="00B405C0" w:rsidRDefault="00935049" w:rsidP="00935049">
      <w:pPr>
        <w:spacing w:after="240" w:line="276" w:lineRule="auto"/>
        <w:ind w:left="705" w:hanging="705"/>
        <w:jc w:val="both"/>
        <w:rPr>
          <w:sz w:val="22"/>
          <w:szCs w:val="22"/>
        </w:rPr>
      </w:pPr>
      <w:r w:rsidRPr="00B405C0">
        <w:rPr>
          <w:b/>
          <w:bCs/>
          <w:sz w:val="22"/>
          <w:szCs w:val="22"/>
        </w:rPr>
        <w:t>Que,</w:t>
      </w:r>
      <w:r w:rsidRPr="00B405C0">
        <w:rPr>
          <w:sz w:val="22"/>
          <w:szCs w:val="22"/>
        </w:rPr>
        <w:tab/>
      </w:r>
      <w:r w:rsidRPr="00736A1C">
        <w:rPr>
          <w:sz w:val="22"/>
          <w:szCs w:val="22"/>
        </w:rPr>
        <w:tab/>
      </w:r>
      <w:r w:rsidRPr="00B405C0">
        <w:rPr>
          <w:sz w:val="22"/>
          <w:szCs w:val="22"/>
        </w:rPr>
        <w:t xml:space="preserve">la Mesa Institucional reunida el 07 de diciembre del 2017 en la Administración Zonal La Delicia, integrada por: Arq. Juan Carlos Echeverría, Coordinador UERB-AZLD; Ab. Lucia Jurado Orna, Responsable Legal UERB-AZLD, Gabriel </w:t>
      </w:r>
      <w:proofErr w:type="spellStart"/>
      <w:r w:rsidRPr="00B405C0">
        <w:rPr>
          <w:sz w:val="22"/>
          <w:szCs w:val="22"/>
        </w:rPr>
        <w:t>Bedón</w:t>
      </w:r>
      <w:proofErr w:type="spellEnd"/>
      <w:r w:rsidRPr="00B405C0">
        <w:rPr>
          <w:sz w:val="22"/>
          <w:szCs w:val="22"/>
        </w:rPr>
        <w:t xml:space="preserve"> Álvarez, Responsable Socio Organizativo UERB-AZLD; Ab. Fernanda Durán, Delegada del</w:t>
      </w:r>
      <w:r>
        <w:rPr>
          <w:sz w:val="22"/>
          <w:szCs w:val="22"/>
        </w:rPr>
        <w:t xml:space="preserve"> Administrador Zonal La Delicia</w:t>
      </w:r>
      <w:r w:rsidRPr="00B405C0">
        <w:rPr>
          <w:sz w:val="22"/>
          <w:szCs w:val="22"/>
        </w:rPr>
        <w:t xml:space="preserve">; Ab. Karla Naranjo, Directora Jurídica AZLD; Ing. Elizabeth Carrión, Delegada de la Dirección Metropolitana de Gestión y Riesgos; Arq. María Belén Cueva, Delegada de la Dirección Metropolitana de Catastro; Arq. Elizabeth Ortiz, Delegada de la Secretaría de Territorio Hábitat y Vivienda, aprobaron el Informe Socio organizativo legal y técnico Nº 011-UERB-AZLD-SOLT-2017, de 04 de diciembre del año 2017, habilitante de la Ordenanza de Reconocimiento del asentamiento humano de hecho y consolidado de interés </w:t>
      </w:r>
      <w:r w:rsidRPr="00B405C0">
        <w:rPr>
          <w:sz w:val="22"/>
          <w:szCs w:val="22"/>
        </w:rPr>
        <w:lastRenderedPageBreak/>
        <w:t>social, denominado Comité Pro Mejoras del Barrio “</w:t>
      </w:r>
      <w:proofErr w:type="spellStart"/>
      <w:r w:rsidRPr="00B405C0">
        <w:rPr>
          <w:sz w:val="22"/>
          <w:szCs w:val="22"/>
        </w:rPr>
        <w:t>Catzuqui</w:t>
      </w:r>
      <w:proofErr w:type="spellEnd"/>
      <w:r w:rsidRPr="00B405C0">
        <w:rPr>
          <w:sz w:val="22"/>
          <w:szCs w:val="22"/>
        </w:rPr>
        <w:t xml:space="preserve"> de Moncayo” Etapa III, ubicado en la Parroquia El Condado, a favor de sus copropietarios.</w:t>
      </w:r>
    </w:p>
    <w:p w:rsidR="00935049" w:rsidRPr="00B405C0" w:rsidRDefault="00935049" w:rsidP="00935049">
      <w:pPr>
        <w:spacing w:after="240" w:line="276" w:lineRule="auto"/>
        <w:ind w:left="705" w:hanging="705"/>
        <w:jc w:val="both"/>
        <w:rPr>
          <w:sz w:val="22"/>
          <w:szCs w:val="22"/>
        </w:rPr>
      </w:pPr>
      <w:r w:rsidRPr="00B405C0">
        <w:rPr>
          <w:b/>
          <w:bCs/>
          <w:sz w:val="22"/>
          <w:szCs w:val="22"/>
        </w:rPr>
        <w:t xml:space="preserve">Que, </w:t>
      </w:r>
      <w:r w:rsidRPr="00B405C0">
        <w:rPr>
          <w:b/>
          <w:bCs/>
          <w:sz w:val="22"/>
          <w:szCs w:val="22"/>
        </w:rPr>
        <w:tab/>
      </w:r>
      <w:r w:rsidRPr="00B405C0">
        <w:rPr>
          <w:sz w:val="22"/>
          <w:szCs w:val="22"/>
        </w:rPr>
        <w:t>el informe de la Dirección Metropolitana de Gestión de Riesgos No. 272-AT-DMGR-2017, de 07 de diciembre de 2017, emitido por el Director Metropolitano de Gestión de Riesgos, de la Secretaría General de Seguridad y Gobernabilidad, califica al asentamiento humano de hecho y consolidado de interés social denominado “</w:t>
      </w:r>
      <w:proofErr w:type="spellStart"/>
      <w:r w:rsidRPr="00B405C0">
        <w:rPr>
          <w:sz w:val="22"/>
          <w:szCs w:val="22"/>
        </w:rPr>
        <w:t>Catzuquí</w:t>
      </w:r>
      <w:proofErr w:type="spellEnd"/>
      <w:r w:rsidRPr="00B405C0">
        <w:rPr>
          <w:sz w:val="22"/>
          <w:szCs w:val="22"/>
        </w:rPr>
        <w:t xml:space="preserve"> de Moncayo” Etapa III con un </w:t>
      </w:r>
      <w:r w:rsidRPr="00B405C0">
        <w:rPr>
          <w:i/>
          <w:sz w:val="22"/>
          <w:szCs w:val="22"/>
          <w:u w:val="single"/>
        </w:rPr>
        <w:t>Riesgo Moderado Mitigable</w:t>
      </w:r>
      <w:r w:rsidRPr="00B405C0">
        <w:rPr>
          <w:sz w:val="22"/>
          <w:szCs w:val="22"/>
        </w:rPr>
        <w:t xml:space="preserve">, frente a movimientos de remoción en masa, y sugiere que es factible continuar con el proceso de regularización. </w:t>
      </w:r>
    </w:p>
    <w:p w:rsidR="00935049" w:rsidRPr="00B405C0" w:rsidRDefault="00935049" w:rsidP="00935049">
      <w:pPr>
        <w:spacing w:line="276" w:lineRule="auto"/>
        <w:ind w:left="703" w:hanging="703"/>
        <w:jc w:val="both"/>
        <w:rPr>
          <w:rFonts w:eastAsiaTheme="minorHAnsi"/>
          <w:sz w:val="22"/>
          <w:szCs w:val="22"/>
          <w:lang w:val="es-EC" w:eastAsia="en-US"/>
        </w:rPr>
      </w:pPr>
      <w:r w:rsidRPr="00B405C0">
        <w:rPr>
          <w:b/>
          <w:bCs/>
          <w:sz w:val="22"/>
          <w:szCs w:val="22"/>
        </w:rPr>
        <w:t xml:space="preserve">Que, </w:t>
      </w:r>
      <w:r w:rsidRPr="00B405C0">
        <w:rPr>
          <w:b/>
          <w:bCs/>
          <w:sz w:val="22"/>
          <w:szCs w:val="22"/>
        </w:rPr>
        <w:tab/>
      </w:r>
      <w:r w:rsidRPr="00B405C0">
        <w:rPr>
          <w:bCs/>
          <w:sz w:val="22"/>
          <w:szCs w:val="22"/>
        </w:rPr>
        <w:t>mediante</w:t>
      </w:r>
      <w:r w:rsidRPr="00B405C0">
        <w:rPr>
          <w:b/>
          <w:bCs/>
          <w:sz w:val="22"/>
          <w:szCs w:val="22"/>
        </w:rPr>
        <w:t xml:space="preserve"> </w:t>
      </w:r>
      <w:r w:rsidRPr="00B405C0">
        <w:rPr>
          <w:sz w:val="22"/>
          <w:szCs w:val="22"/>
        </w:rPr>
        <w:t xml:space="preserve">Oficio Nro. GADDMQ-SGSG-DMGR-2019-0854-OF, de 28 de octubre de 2019, emitido por el Director Metropolitano de Gestión de Riesgos, de la Secretaría General de Seguridad y Gobernabilidad, </w:t>
      </w:r>
      <w:r w:rsidRPr="00B405C0">
        <w:rPr>
          <w:rFonts w:eastAsiaTheme="minorHAnsi"/>
          <w:sz w:val="22"/>
          <w:szCs w:val="22"/>
          <w:lang w:val="es-EC" w:eastAsia="en-US"/>
        </w:rPr>
        <w:t xml:space="preserve">rectifica la calificación del nivel del riesgo frente a movimientos en masa, indicando que el </w:t>
      </w:r>
      <w:r w:rsidRPr="00B405C0">
        <w:rPr>
          <w:sz w:val="22"/>
          <w:szCs w:val="22"/>
        </w:rPr>
        <w:t>asentamiento humano de hecho y consolidado de interés social denominado</w:t>
      </w:r>
      <w:r w:rsidRPr="00B405C0">
        <w:rPr>
          <w:rFonts w:eastAsiaTheme="minorHAnsi"/>
          <w:sz w:val="22"/>
          <w:szCs w:val="22"/>
          <w:lang w:val="es-EC" w:eastAsia="en-US"/>
        </w:rPr>
        <w:t xml:space="preserve">  “</w:t>
      </w:r>
      <w:proofErr w:type="spellStart"/>
      <w:r w:rsidRPr="00B405C0">
        <w:rPr>
          <w:rFonts w:eastAsiaTheme="minorHAnsi"/>
          <w:sz w:val="22"/>
          <w:szCs w:val="22"/>
          <w:lang w:val="es-EC" w:eastAsia="en-US"/>
        </w:rPr>
        <w:t>Catzuquí</w:t>
      </w:r>
      <w:proofErr w:type="spellEnd"/>
      <w:r w:rsidRPr="00B405C0">
        <w:rPr>
          <w:rFonts w:eastAsiaTheme="minorHAnsi"/>
          <w:sz w:val="22"/>
          <w:szCs w:val="22"/>
          <w:lang w:val="es-EC" w:eastAsia="en-US"/>
        </w:rPr>
        <w:t xml:space="preserve"> de Moncayo” Etapa III, en general presenta un </w:t>
      </w:r>
      <w:r w:rsidRPr="00B405C0">
        <w:rPr>
          <w:rFonts w:eastAsiaTheme="minorHAnsi"/>
          <w:b/>
          <w:bCs/>
          <w:sz w:val="22"/>
          <w:szCs w:val="22"/>
          <w:lang w:val="es-EC" w:eastAsia="en-US"/>
        </w:rPr>
        <w:t>Riesgo Moderado Mitigable</w:t>
      </w:r>
      <w:r w:rsidRPr="00B405C0">
        <w:rPr>
          <w:rFonts w:eastAsiaTheme="minorHAnsi"/>
          <w:sz w:val="22"/>
          <w:szCs w:val="22"/>
          <w:lang w:val="es-EC" w:eastAsia="en-US"/>
        </w:rPr>
        <w:t>, para todos los lotes.</w:t>
      </w:r>
    </w:p>
    <w:p w:rsidR="00935049" w:rsidRPr="00B405C0" w:rsidRDefault="00935049" w:rsidP="00935049">
      <w:pPr>
        <w:spacing w:before="240" w:after="240" w:line="276" w:lineRule="auto"/>
        <w:ind w:left="703" w:hanging="703"/>
        <w:jc w:val="both"/>
        <w:rPr>
          <w:b/>
          <w:sz w:val="22"/>
          <w:szCs w:val="22"/>
        </w:rPr>
      </w:pPr>
      <w:r w:rsidRPr="00736A1C">
        <w:rPr>
          <w:b/>
          <w:sz w:val="22"/>
          <w:szCs w:val="22"/>
        </w:rPr>
        <w:t>Que,</w:t>
      </w:r>
      <w:r w:rsidRPr="00736A1C">
        <w:rPr>
          <w:b/>
          <w:bCs/>
          <w:sz w:val="22"/>
          <w:szCs w:val="22"/>
        </w:rPr>
        <w:t xml:space="preserve"> </w:t>
      </w:r>
      <w:r w:rsidRPr="00736A1C">
        <w:rPr>
          <w:b/>
          <w:bCs/>
          <w:sz w:val="22"/>
          <w:szCs w:val="22"/>
        </w:rPr>
        <w:tab/>
      </w:r>
      <w:r w:rsidRPr="00736A1C">
        <w:rPr>
          <w:rFonts w:eastAsiaTheme="minorHAnsi"/>
          <w:bCs/>
          <w:sz w:val="22"/>
          <w:szCs w:val="22"/>
          <w:lang w:val="es-EC" w:eastAsia="en-US"/>
        </w:rPr>
        <w:t xml:space="preserve">mediante Oficio No. STHV-DMGT-2019-0590-O, de 26 de diciembre de 2019,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de interés social denominado Comité Pro Mejoras del </w:t>
      </w:r>
      <w:r w:rsidRPr="00B405C0">
        <w:rPr>
          <w:sz w:val="22"/>
          <w:szCs w:val="22"/>
        </w:rPr>
        <w:t>Barrio “</w:t>
      </w:r>
      <w:proofErr w:type="spellStart"/>
      <w:r w:rsidRPr="00B405C0">
        <w:rPr>
          <w:sz w:val="22"/>
          <w:szCs w:val="22"/>
        </w:rPr>
        <w:t>Catzuqui</w:t>
      </w:r>
      <w:proofErr w:type="spellEnd"/>
      <w:r w:rsidRPr="00B405C0">
        <w:rPr>
          <w:sz w:val="22"/>
          <w:szCs w:val="22"/>
        </w:rPr>
        <w:t xml:space="preserve"> de Moncayo” Etapa III</w:t>
      </w:r>
      <w:r w:rsidRPr="00736A1C">
        <w:rPr>
          <w:rFonts w:eastAsiaTheme="minorHAnsi"/>
          <w:bCs/>
          <w:sz w:val="22"/>
          <w:szCs w:val="22"/>
          <w:lang w:val="es-EC" w:eastAsia="en-US"/>
        </w:rPr>
        <w:t>.</w:t>
      </w:r>
    </w:p>
    <w:p w:rsidR="00935049" w:rsidRPr="00B405C0" w:rsidRDefault="00935049" w:rsidP="00935049">
      <w:pPr>
        <w:spacing w:after="240" w:line="276" w:lineRule="auto"/>
        <w:jc w:val="both"/>
        <w:rPr>
          <w:b/>
          <w:sz w:val="22"/>
          <w:szCs w:val="22"/>
        </w:rPr>
      </w:pPr>
      <w:r w:rsidRPr="00B405C0">
        <w:rPr>
          <w:b/>
          <w:sz w:val="22"/>
          <w:szCs w:val="22"/>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935049" w:rsidRPr="00B405C0" w:rsidRDefault="00935049" w:rsidP="00935049">
      <w:pPr>
        <w:pStyle w:val="Ttulo1"/>
        <w:jc w:val="center"/>
        <w:rPr>
          <w:rFonts w:ascii="Times New Roman" w:hAnsi="Times New Roman" w:cs="Times New Roman"/>
          <w:color w:val="auto"/>
          <w:sz w:val="22"/>
          <w:szCs w:val="22"/>
        </w:rPr>
      </w:pPr>
      <w:r w:rsidRPr="00B405C0">
        <w:rPr>
          <w:rFonts w:ascii="Times New Roman" w:hAnsi="Times New Roman" w:cs="Times New Roman"/>
          <w:color w:val="auto"/>
          <w:sz w:val="22"/>
          <w:szCs w:val="22"/>
        </w:rPr>
        <w:t>EXPIDE LA SIGUIENTE:</w:t>
      </w:r>
    </w:p>
    <w:p w:rsidR="00935049" w:rsidRPr="00B405C0" w:rsidRDefault="00935049" w:rsidP="00935049">
      <w:pPr>
        <w:rPr>
          <w:sz w:val="22"/>
          <w:szCs w:val="22"/>
        </w:rPr>
      </w:pPr>
    </w:p>
    <w:p w:rsidR="00935049" w:rsidRPr="00B405C0" w:rsidRDefault="00935049" w:rsidP="00935049">
      <w:pPr>
        <w:pStyle w:val="Ttulo7"/>
        <w:spacing w:before="0" w:after="240" w:line="276" w:lineRule="auto"/>
        <w:jc w:val="center"/>
        <w:rPr>
          <w:rFonts w:ascii="Times New Roman" w:hAnsi="Times New Roman"/>
          <w:b/>
          <w:bCs/>
          <w:sz w:val="22"/>
          <w:szCs w:val="22"/>
        </w:rPr>
      </w:pPr>
      <w:r w:rsidRPr="00B405C0">
        <w:rPr>
          <w:rFonts w:ascii="Times New Roman" w:hAnsi="Times New Roman"/>
          <w:b/>
          <w:bCs/>
          <w:sz w:val="22"/>
          <w:szCs w:val="22"/>
        </w:rPr>
        <w:t>ORDENANZA QUE APRUEBA EL PROCESO INTEGRAL DE REGULARIZACION DEL ASENTAMIENTO HUMANO DE HECHO Y CONSOLIDADO DE INTERÉS SOCIAL DENOMINADO COMITÉ PRO MEJORAS DEL BARRIO “CATZUQUI DE MONCAYO” ETAPA III</w:t>
      </w:r>
    </w:p>
    <w:p w:rsidR="00935049" w:rsidRPr="00B405C0" w:rsidRDefault="00935049" w:rsidP="00935049">
      <w:pPr>
        <w:pStyle w:val="Textoindependiente"/>
        <w:spacing w:line="276" w:lineRule="auto"/>
        <w:jc w:val="both"/>
        <w:rPr>
          <w:sz w:val="22"/>
          <w:szCs w:val="22"/>
        </w:rPr>
      </w:pPr>
      <w:r w:rsidRPr="00B405C0">
        <w:rPr>
          <w:b/>
          <w:sz w:val="22"/>
          <w:szCs w:val="22"/>
        </w:rPr>
        <w:t xml:space="preserve">Articulo 1.- Objeto.- </w:t>
      </w:r>
      <w:r w:rsidRPr="00B405C0">
        <w:rPr>
          <w:sz w:val="22"/>
          <w:szCs w:val="22"/>
        </w:rPr>
        <w:t>La presente ordenanza tiene por objeto</w:t>
      </w:r>
      <w:r w:rsidRPr="00B405C0">
        <w:rPr>
          <w:b/>
          <w:sz w:val="22"/>
          <w:szCs w:val="22"/>
        </w:rPr>
        <w:t xml:space="preserve"> </w:t>
      </w:r>
      <w:r w:rsidRPr="00B405C0">
        <w:rPr>
          <w:sz w:val="22"/>
          <w:szCs w:val="22"/>
        </w:rPr>
        <w:t>reconocer y aprobar el fraccionamiento del predio 5054815, sus vías, área verde, y modificar la zonificación, sobre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a favor de sus copropietarios.</w:t>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2.- De los planos y documentos presentados.- </w:t>
      </w:r>
      <w:r w:rsidRPr="00B405C0">
        <w:rPr>
          <w:sz w:val="22"/>
          <w:szCs w:val="22"/>
        </w:rPr>
        <w:t xml:space="preserve">Los planos y documentos presentados para la aprobación del presente acto normativo son de exclusiva responsabilidad del proyectista y de los </w:t>
      </w:r>
      <w:r w:rsidRPr="00B405C0">
        <w:rPr>
          <w:sz w:val="22"/>
          <w:szCs w:val="22"/>
        </w:rPr>
        <w:lastRenderedPageBreak/>
        <w:t>copropietarios del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ubicado en la parroquia El Condado, y de los funcionarios municipales que revisaron los planos y los documentos legales y/o emitieron los informes técnicos habilitantes de este procedimiento de regularización, salvo que estos hayan sido inducidos a engaño o al error.</w:t>
      </w:r>
    </w:p>
    <w:p w:rsidR="00935049" w:rsidRPr="00B405C0" w:rsidRDefault="00935049" w:rsidP="00935049">
      <w:pPr>
        <w:pStyle w:val="Textoindependiente"/>
        <w:spacing w:line="276" w:lineRule="auto"/>
        <w:jc w:val="both"/>
        <w:rPr>
          <w:sz w:val="22"/>
          <w:szCs w:val="22"/>
        </w:rPr>
      </w:pPr>
      <w:r w:rsidRPr="00B405C0">
        <w:rPr>
          <w:sz w:val="22"/>
          <w:szCs w:val="22"/>
        </w:rPr>
        <w:t>En caso de comprobarse ocultación o falsedad en planos, datos, documentos, o de existir reclamos de terceros afectados, será de exclusiva responsabilidad del técnico y de los copropietarios del predio.</w:t>
      </w:r>
    </w:p>
    <w:p w:rsidR="00935049" w:rsidRPr="00B405C0" w:rsidRDefault="00935049" w:rsidP="00935049">
      <w:pPr>
        <w:pStyle w:val="Textoindependiente"/>
        <w:spacing w:line="276" w:lineRule="auto"/>
        <w:jc w:val="both"/>
        <w:rPr>
          <w:sz w:val="22"/>
          <w:szCs w:val="22"/>
        </w:rPr>
      </w:pPr>
      <w:r w:rsidRPr="00B405C0">
        <w:rPr>
          <w:sz w:val="22"/>
          <w:szCs w:val="22"/>
        </w:rPr>
        <w:t>Las dimensiones y superficies de los lotes son las determinadas en el plano aprobatorio que forma parte integrante de esta Ordenanza.</w:t>
      </w:r>
    </w:p>
    <w:p w:rsidR="00935049" w:rsidRPr="00B405C0" w:rsidRDefault="00935049" w:rsidP="00935049">
      <w:pPr>
        <w:pStyle w:val="Textoindependiente"/>
        <w:spacing w:line="276" w:lineRule="auto"/>
        <w:jc w:val="both"/>
        <w:rPr>
          <w:sz w:val="22"/>
          <w:szCs w:val="22"/>
        </w:rPr>
      </w:pPr>
      <w:r w:rsidRPr="00B405C0">
        <w:rPr>
          <w:sz w:val="22"/>
          <w:szCs w:val="22"/>
        </w:rPr>
        <w:t>Los copropietarios del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ubicado en la parroquia El Condado, se comprometen a respetar las características de los lotes establecidas en el Plano y en este instrumento; por tanto, no podrán fraccionarlos o dividirlos.</w:t>
      </w:r>
    </w:p>
    <w:p w:rsidR="00935049" w:rsidRPr="00B405C0" w:rsidRDefault="00935049" w:rsidP="00935049">
      <w:pPr>
        <w:pStyle w:val="Textoindependiente"/>
        <w:spacing w:line="276" w:lineRule="auto"/>
        <w:jc w:val="both"/>
        <w:rPr>
          <w:sz w:val="22"/>
          <w:szCs w:val="22"/>
        </w:rPr>
      </w:pPr>
      <w:r w:rsidRPr="00B405C0">
        <w:rPr>
          <w:sz w:val="22"/>
          <w:szCs w:val="22"/>
        </w:rPr>
        <w:t xml:space="preserve">El incumplimiento de lo dispuesto en la presente Ordenanza y en la normativa metropolitana y nacional vigente al respecto, dará lugar a la imposición de las sanciones correspondientes. </w:t>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3.- Declaratoria de Interés Social.- </w:t>
      </w:r>
      <w:r w:rsidRPr="00B405C0">
        <w:rPr>
          <w:sz w:val="22"/>
          <w:szCs w:val="22"/>
        </w:rPr>
        <w:t>Por las condiciones del asentamiento humano de hecho y consolidado, se lo aprueba considerándolo de Interés Social de conformidad con la normativa vigente.</w:t>
      </w:r>
    </w:p>
    <w:p w:rsidR="00935049" w:rsidRPr="00736A1C" w:rsidRDefault="00935049" w:rsidP="00935049">
      <w:pPr>
        <w:pStyle w:val="Ttulo2"/>
        <w:spacing w:line="276" w:lineRule="auto"/>
        <w:jc w:val="both"/>
        <w:rPr>
          <w:sz w:val="22"/>
          <w:szCs w:val="22"/>
        </w:rPr>
      </w:pPr>
      <w:r w:rsidRPr="00B405C0">
        <w:rPr>
          <w:rFonts w:ascii="Times New Roman" w:hAnsi="Times New Roman" w:cs="Times New Roman"/>
          <w:color w:val="auto"/>
          <w:sz w:val="22"/>
          <w:szCs w:val="22"/>
        </w:rPr>
        <w:t>Artículo 4.- Especificaciones técnicas.-</w:t>
      </w:r>
    </w:p>
    <w:tbl>
      <w:tblPr>
        <w:tblW w:w="8864" w:type="dxa"/>
        <w:tblInd w:w="-5" w:type="dxa"/>
        <w:tblCellMar>
          <w:left w:w="70" w:type="dxa"/>
          <w:right w:w="70" w:type="dxa"/>
        </w:tblCellMar>
        <w:tblLook w:val="04A0" w:firstRow="1" w:lastRow="0" w:firstColumn="1" w:lastColumn="0" w:noHBand="0" w:noVBand="1"/>
      </w:tblPr>
      <w:tblGrid>
        <w:gridCol w:w="3619"/>
        <w:gridCol w:w="2622"/>
        <w:gridCol w:w="2623"/>
      </w:tblGrid>
      <w:tr w:rsidR="00935049" w:rsidRPr="00B405C0" w:rsidTr="002F01B2">
        <w:trPr>
          <w:trHeigh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val="es-EC" w:eastAsia="es-EC"/>
              </w:rPr>
              <w:t>Predio:</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5054815</w:t>
            </w:r>
          </w:p>
        </w:tc>
      </w:tr>
      <w:tr w:rsidR="00935049" w:rsidRPr="00B405C0" w:rsidTr="002F01B2">
        <w:trPr>
          <w:trHeigh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Zonificación:</w:t>
            </w:r>
          </w:p>
        </w:tc>
        <w:tc>
          <w:tcPr>
            <w:tcW w:w="2622" w:type="dxa"/>
            <w:tcBorders>
              <w:top w:val="nil"/>
              <w:left w:val="nil"/>
              <w:bottom w:val="single" w:sz="4" w:space="0" w:color="auto"/>
              <w:right w:val="single" w:sz="4" w:space="0" w:color="auto"/>
            </w:tcBorders>
            <w:shd w:val="clear" w:color="auto" w:fill="auto"/>
            <w:noWrap/>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A7 (A50002-1)</w:t>
            </w:r>
          </w:p>
        </w:tc>
        <w:tc>
          <w:tcPr>
            <w:tcW w:w="2623" w:type="dxa"/>
            <w:tcBorders>
              <w:top w:val="nil"/>
              <w:left w:val="nil"/>
              <w:bottom w:val="single" w:sz="4" w:space="0" w:color="auto"/>
              <w:right w:val="single" w:sz="4" w:space="0" w:color="auto"/>
            </w:tcBorders>
            <w:shd w:val="clear" w:color="auto" w:fill="auto"/>
          </w:tcPr>
          <w:p w:rsidR="00935049" w:rsidRPr="00B405C0" w:rsidRDefault="00935049" w:rsidP="002F01B2">
            <w:pPr>
              <w:jc w:val="both"/>
              <w:rPr>
                <w:color w:val="000000"/>
                <w:sz w:val="22"/>
                <w:szCs w:val="22"/>
                <w:lang w:val="es-EC" w:eastAsia="es-EC"/>
              </w:rPr>
            </w:pPr>
            <w:r w:rsidRPr="00B405C0">
              <w:rPr>
                <w:color w:val="000000"/>
                <w:sz w:val="22"/>
                <w:szCs w:val="22"/>
                <w:lang w:eastAsia="es-EC"/>
              </w:rPr>
              <w:t>A 31 (PQ)</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Lote Mínimo:</w:t>
            </w:r>
          </w:p>
        </w:tc>
        <w:tc>
          <w:tcPr>
            <w:tcW w:w="2622" w:type="dxa"/>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50000 m2</w:t>
            </w:r>
          </w:p>
        </w:tc>
        <w:tc>
          <w:tcPr>
            <w:tcW w:w="2623" w:type="dxa"/>
            <w:tcBorders>
              <w:top w:val="nil"/>
              <w:left w:val="nil"/>
              <w:bottom w:val="single" w:sz="4" w:space="0" w:color="auto"/>
              <w:right w:val="single" w:sz="4" w:space="0" w:color="auto"/>
            </w:tcBorders>
            <w:shd w:val="clear" w:color="auto" w:fill="auto"/>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0 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Forma de Ocupación del suelo:</w:t>
            </w:r>
          </w:p>
        </w:tc>
        <w:tc>
          <w:tcPr>
            <w:tcW w:w="2622" w:type="dxa"/>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(A) Aislada</w:t>
            </w:r>
          </w:p>
        </w:tc>
        <w:tc>
          <w:tcPr>
            <w:tcW w:w="2623" w:type="dxa"/>
            <w:tcBorders>
              <w:top w:val="nil"/>
              <w:left w:val="nil"/>
              <w:bottom w:val="single" w:sz="4" w:space="0" w:color="auto"/>
              <w:right w:val="single" w:sz="4" w:space="0" w:color="auto"/>
            </w:tcBorders>
            <w:shd w:val="clear" w:color="auto" w:fill="auto"/>
            <w:vAlign w:val="center"/>
          </w:tcPr>
          <w:p w:rsidR="00935049" w:rsidRPr="00B405C0" w:rsidRDefault="00935049" w:rsidP="002F01B2">
            <w:pPr>
              <w:jc w:val="both"/>
              <w:rPr>
                <w:color w:val="000000"/>
                <w:sz w:val="22"/>
                <w:szCs w:val="22"/>
                <w:lang w:val="es-EC" w:eastAsia="es-EC"/>
              </w:rPr>
            </w:pPr>
            <w:r w:rsidRPr="00B405C0">
              <w:rPr>
                <w:color w:val="000000"/>
                <w:sz w:val="22"/>
                <w:szCs w:val="22"/>
                <w:lang w:eastAsia="es-EC"/>
              </w:rPr>
              <w:t>(A) Aislada</w:t>
            </w:r>
          </w:p>
        </w:tc>
      </w:tr>
      <w:tr w:rsidR="00935049" w:rsidRPr="00B405C0" w:rsidTr="002F01B2">
        <w:trPr>
          <w:trHeight w:hRule="exact" w:val="511"/>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Uso principal del suelo:</w:t>
            </w:r>
          </w:p>
        </w:tc>
        <w:tc>
          <w:tcPr>
            <w:tcW w:w="5245" w:type="dxa"/>
            <w:gridSpan w:val="2"/>
            <w:tcBorders>
              <w:top w:val="single" w:sz="4" w:space="0" w:color="auto"/>
              <w:left w:val="nil"/>
              <w:bottom w:val="single" w:sz="4" w:space="0" w:color="auto"/>
              <w:right w:val="single" w:sz="4" w:space="0" w:color="auto"/>
            </w:tcBorders>
            <w:shd w:val="clear" w:color="auto" w:fill="auto"/>
            <w:noWrap/>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(PE/CPN) Protección Ecológica/Conservación del Patrimonio Natural</w:t>
            </w:r>
          </w:p>
        </w:tc>
      </w:tr>
      <w:tr w:rsidR="00935049" w:rsidRPr="00B405C0" w:rsidTr="002F01B2">
        <w:trPr>
          <w:trHeight w:hRule="exac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Clasificación del suelo:</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(SRU) Suelo Rural</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Número de lotes:</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18</w:t>
            </w:r>
          </w:p>
        </w:tc>
      </w:tr>
      <w:tr w:rsidR="00935049" w:rsidRPr="00B405C0" w:rsidTr="002F01B2">
        <w:trPr>
          <w:trHeight w:hRule="exac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Área útil de lotes:</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60.004,28m2</w:t>
            </w:r>
          </w:p>
        </w:tc>
      </w:tr>
      <w:tr w:rsidR="00935049" w:rsidRPr="00B405C0" w:rsidTr="002F01B2">
        <w:trPr>
          <w:trHeight w:hRule="exact" w:val="529"/>
        </w:trPr>
        <w:tc>
          <w:tcPr>
            <w:tcW w:w="3619" w:type="dxa"/>
            <w:tcBorders>
              <w:top w:val="nil"/>
              <w:left w:val="single" w:sz="4" w:space="0" w:color="auto"/>
              <w:bottom w:val="single" w:sz="4" w:space="0" w:color="auto"/>
              <w:right w:val="single" w:sz="4" w:space="0" w:color="auto"/>
            </w:tcBorders>
            <w:shd w:val="clear" w:color="auto" w:fill="auto"/>
            <w:vAlign w:val="center"/>
            <w:hideMark/>
          </w:tcPr>
          <w:p w:rsidR="00935049" w:rsidRPr="00B405C0" w:rsidRDefault="00935049" w:rsidP="002F01B2">
            <w:pPr>
              <w:rPr>
                <w:b/>
                <w:bCs/>
                <w:sz w:val="22"/>
                <w:szCs w:val="22"/>
                <w:lang w:eastAsia="es-EC"/>
              </w:rPr>
            </w:pPr>
            <w:r w:rsidRPr="00B405C0">
              <w:rPr>
                <w:b/>
                <w:bCs/>
                <w:sz w:val="22"/>
                <w:szCs w:val="22"/>
                <w:lang w:eastAsia="es-EC"/>
              </w:rPr>
              <w:t>Área de franja de protección B.S.Q. en lotes:</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2.457,53m2</w:t>
            </w:r>
          </w:p>
        </w:tc>
      </w:tr>
      <w:tr w:rsidR="00935049" w:rsidRPr="00B405C0" w:rsidTr="002F01B2">
        <w:trPr>
          <w:trHeight w:hRule="exact" w:val="529"/>
        </w:trPr>
        <w:tc>
          <w:tcPr>
            <w:tcW w:w="3619" w:type="dxa"/>
            <w:tcBorders>
              <w:top w:val="nil"/>
              <w:left w:val="single" w:sz="4" w:space="0" w:color="auto"/>
              <w:bottom w:val="single" w:sz="4" w:space="0" w:color="auto"/>
              <w:right w:val="single" w:sz="4" w:space="0" w:color="auto"/>
            </w:tcBorders>
            <w:shd w:val="clear" w:color="auto" w:fill="auto"/>
            <w:vAlign w:val="center"/>
          </w:tcPr>
          <w:p w:rsidR="00935049" w:rsidRPr="00B405C0" w:rsidRDefault="00935049" w:rsidP="002F01B2">
            <w:pPr>
              <w:rPr>
                <w:b/>
                <w:bCs/>
                <w:sz w:val="22"/>
                <w:szCs w:val="22"/>
                <w:lang w:eastAsia="es-EC"/>
              </w:rPr>
            </w:pPr>
            <w:r w:rsidRPr="00B405C0">
              <w:rPr>
                <w:b/>
                <w:bCs/>
                <w:sz w:val="22"/>
                <w:szCs w:val="22"/>
                <w:lang w:eastAsia="es-EC"/>
              </w:rPr>
              <w:t>Área de vías y Pasajes:</w:t>
            </w:r>
          </w:p>
        </w:tc>
        <w:tc>
          <w:tcPr>
            <w:tcW w:w="5245" w:type="dxa"/>
            <w:gridSpan w:val="2"/>
            <w:tcBorders>
              <w:top w:val="nil"/>
              <w:left w:val="nil"/>
              <w:bottom w:val="single" w:sz="4" w:space="0" w:color="auto"/>
              <w:right w:val="single" w:sz="4" w:space="0" w:color="auto"/>
            </w:tcBorders>
            <w:shd w:val="clear" w:color="auto" w:fill="auto"/>
            <w:noWrap/>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4.538,72m2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eastAsia="es-EC"/>
              </w:rPr>
            </w:pPr>
            <w:r w:rsidRPr="00B405C0">
              <w:rPr>
                <w:b/>
                <w:bCs/>
                <w:sz w:val="22"/>
                <w:szCs w:val="22"/>
                <w:lang w:eastAsia="es-EC"/>
              </w:rPr>
              <w:t xml:space="preserve">Área Verde: </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10.806,76m2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tcPr>
          <w:p w:rsidR="00935049" w:rsidRPr="00B405C0" w:rsidRDefault="00935049" w:rsidP="002F01B2">
            <w:pPr>
              <w:rPr>
                <w:b/>
                <w:bCs/>
                <w:sz w:val="22"/>
                <w:szCs w:val="22"/>
                <w:lang w:eastAsia="es-EC"/>
              </w:rPr>
            </w:pPr>
            <w:r w:rsidRPr="00B405C0">
              <w:rPr>
                <w:b/>
                <w:bCs/>
                <w:sz w:val="22"/>
                <w:szCs w:val="22"/>
                <w:lang w:eastAsia="es-EC"/>
              </w:rPr>
              <w:t>Área Municipal:</w:t>
            </w:r>
          </w:p>
        </w:tc>
        <w:tc>
          <w:tcPr>
            <w:tcW w:w="5245" w:type="dxa"/>
            <w:gridSpan w:val="2"/>
            <w:tcBorders>
              <w:top w:val="nil"/>
              <w:left w:val="nil"/>
              <w:bottom w:val="single" w:sz="4" w:space="0" w:color="auto"/>
              <w:right w:val="single" w:sz="4" w:space="0" w:color="auto"/>
            </w:tcBorders>
            <w:shd w:val="clear" w:color="auto" w:fill="auto"/>
            <w:noWrap/>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645,65m2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eastAsia="es-EC"/>
              </w:rPr>
            </w:pPr>
            <w:r w:rsidRPr="00B405C0">
              <w:rPr>
                <w:b/>
                <w:bCs/>
                <w:sz w:val="22"/>
                <w:szCs w:val="22"/>
                <w:lang w:eastAsia="es-EC"/>
              </w:rPr>
              <w:t>Área total del lote:</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78.452,94m2</w:t>
            </w:r>
          </w:p>
        </w:tc>
      </w:tr>
    </w:tbl>
    <w:p w:rsidR="00935049" w:rsidRPr="00B405C0" w:rsidRDefault="00935049" w:rsidP="00935049">
      <w:pPr>
        <w:pStyle w:val="Textoindependiente"/>
        <w:spacing w:line="276" w:lineRule="auto"/>
        <w:jc w:val="both"/>
        <w:rPr>
          <w:sz w:val="22"/>
          <w:szCs w:val="22"/>
        </w:rPr>
      </w:pPr>
    </w:p>
    <w:p w:rsidR="00935049" w:rsidRPr="00B405C0" w:rsidRDefault="00935049" w:rsidP="00935049">
      <w:pPr>
        <w:pStyle w:val="Textoindependiente"/>
        <w:spacing w:line="276" w:lineRule="auto"/>
        <w:jc w:val="both"/>
        <w:rPr>
          <w:sz w:val="22"/>
          <w:szCs w:val="22"/>
        </w:rPr>
      </w:pPr>
      <w:r w:rsidRPr="00B405C0">
        <w:rPr>
          <w:sz w:val="22"/>
          <w:szCs w:val="22"/>
        </w:rPr>
        <w:t>El número total de lotes, producto del fraccionamiento, es de 1</w:t>
      </w:r>
      <w:r>
        <w:rPr>
          <w:sz w:val="22"/>
          <w:szCs w:val="22"/>
        </w:rPr>
        <w:t>8</w:t>
      </w:r>
      <w:r w:rsidRPr="00B405C0">
        <w:rPr>
          <w:sz w:val="22"/>
          <w:szCs w:val="22"/>
        </w:rPr>
        <w:t xml:space="preserve">, signados del uno (1) al </w:t>
      </w:r>
      <w:r>
        <w:rPr>
          <w:sz w:val="22"/>
          <w:szCs w:val="22"/>
        </w:rPr>
        <w:t>dieciocho</w:t>
      </w:r>
      <w:r w:rsidRPr="00B405C0">
        <w:rPr>
          <w:sz w:val="22"/>
          <w:szCs w:val="22"/>
        </w:rPr>
        <w:t xml:space="preserve"> (1</w:t>
      </w:r>
      <w:r>
        <w:rPr>
          <w:sz w:val="22"/>
          <w:szCs w:val="22"/>
        </w:rPr>
        <w:t>8</w:t>
      </w:r>
      <w:r w:rsidRPr="00B405C0">
        <w:rPr>
          <w:sz w:val="22"/>
          <w:szCs w:val="22"/>
        </w:rPr>
        <w:t xml:space="preserve">) cuyo detalle es el que consta en los planos aprobatorios que forman parte de la presente Ordenanza. </w:t>
      </w:r>
    </w:p>
    <w:p w:rsidR="00935049" w:rsidRPr="00B405C0" w:rsidRDefault="00935049" w:rsidP="00935049">
      <w:pPr>
        <w:pStyle w:val="Textoindependiente"/>
        <w:spacing w:line="276" w:lineRule="auto"/>
        <w:jc w:val="both"/>
        <w:rPr>
          <w:sz w:val="22"/>
          <w:szCs w:val="22"/>
        </w:rPr>
      </w:pPr>
      <w:r w:rsidRPr="00B405C0">
        <w:rPr>
          <w:sz w:val="22"/>
          <w:szCs w:val="22"/>
        </w:rPr>
        <w:t xml:space="preserve">El área total del predio No. 5054815, es la que consta en la </w:t>
      </w:r>
      <w:r w:rsidRPr="00B405C0">
        <w:rPr>
          <w:sz w:val="22"/>
          <w:szCs w:val="22"/>
          <w:lang w:val="es-EC"/>
        </w:rPr>
        <w:t xml:space="preserve">Resolución No. 509-2017, emitida por la Dirección Metropolitana de Catastro, el 29 de noviembre de 2017, inscrita en el Registro de la </w:t>
      </w:r>
      <w:r w:rsidRPr="00B405C0">
        <w:rPr>
          <w:sz w:val="22"/>
          <w:szCs w:val="22"/>
          <w:lang w:val="es-EC"/>
        </w:rPr>
        <w:lastRenderedPageBreak/>
        <w:t>Propiedad del Distrito Metropolitano de Quito el 30 de julio de 2018</w:t>
      </w:r>
      <w:r>
        <w:rPr>
          <w:sz w:val="22"/>
          <w:szCs w:val="22"/>
          <w:lang w:val="es-EC"/>
        </w:rPr>
        <w:t>,  y se encuentra rectificada y regularizada de conformidad al Art. IV.1.164 del Código Municipal para el Distrito Metropolitano de Quito.</w:t>
      </w:r>
    </w:p>
    <w:p w:rsidR="00935049" w:rsidRPr="00B405C0" w:rsidRDefault="00935049" w:rsidP="00935049">
      <w:pPr>
        <w:spacing w:before="240" w:line="276" w:lineRule="auto"/>
        <w:jc w:val="both"/>
        <w:rPr>
          <w:b/>
          <w:sz w:val="22"/>
          <w:szCs w:val="22"/>
        </w:rPr>
      </w:pPr>
      <w:r w:rsidRPr="00B405C0">
        <w:rPr>
          <w:b/>
          <w:sz w:val="22"/>
          <w:szCs w:val="22"/>
        </w:rPr>
        <w:t>Artículo 5.- Zonificación de los lotes.-</w:t>
      </w:r>
      <w:r w:rsidRPr="00B405C0">
        <w:rPr>
          <w:sz w:val="22"/>
          <w:szCs w:val="22"/>
        </w:rPr>
        <w:t xml:space="preserve"> </w:t>
      </w:r>
      <w:r w:rsidRPr="00B405C0">
        <w:rPr>
          <w:bCs/>
          <w:sz w:val="22"/>
          <w:szCs w:val="22"/>
        </w:rPr>
        <w:t xml:space="preserve">Los lotes fraccionados modificarán la zonificación a: </w:t>
      </w:r>
      <w:r w:rsidRPr="00B405C0">
        <w:rPr>
          <w:sz w:val="22"/>
          <w:szCs w:val="22"/>
        </w:rPr>
        <w:t xml:space="preserve">A2 (A1002-35) y se mantiene A31 (PQ), forma de ocupación: (A) Aislada, Lote mínimo: 1000 m2, Número de pisos 2, COS planta baja: 35%, COS total: 70%, Uso principal: (RR1) Residencial Rural 1 y se mantiene (PE/CPN) Protección Ecológica / Conservación del Patrimonio. </w:t>
      </w:r>
    </w:p>
    <w:p w:rsidR="00935049" w:rsidRPr="00B405C0" w:rsidRDefault="00935049" w:rsidP="00935049">
      <w:pPr>
        <w:spacing w:line="240" w:lineRule="atLeast"/>
        <w:jc w:val="both"/>
        <w:rPr>
          <w:b/>
          <w:sz w:val="22"/>
          <w:szCs w:val="22"/>
        </w:rPr>
      </w:pPr>
    </w:p>
    <w:p w:rsidR="00935049" w:rsidRPr="00B405C0" w:rsidRDefault="00935049" w:rsidP="00935049">
      <w:pPr>
        <w:spacing w:line="240" w:lineRule="atLeast"/>
        <w:jc w:val="both"/>
        <w:rPr>
          <w:sz w:val="22"/>
          <w:szCs w:val="22"/>
        </w:rPr>
      </w:pPr>
      <w:r w:rsidRPr="00B405C0">
        <w:rPr>
          <w:b/>
          <w:sz w:val="22"/>
          <w:szCs w:val="22"/>
        </w:rPr>
        <w:t xml:space="preserve">Artículo 6.- Clasificación del Suelo.- </w:t>
      </w:r>
      <w:r w:rsidRPr="00B405C0">
        <w:rPr>
          <w:sz w:val="22"/>
          <w:szCs w:val="22"/>
        </w:rPr>
        <w:t>Los lotes fraccionados mantendrán la clasificación vigente esto es (SRU) Suelo Rural.</w:t>
      </w:r>
    </w:p>
    <w:p w:rsidR="00935049" w:rsidRPr="00B405C0" w:rsidRDefault="00935049" w:rsidP="00935049">
      <w:pPr>
        <w:spacing w:line="276" w:lineRule="auto"/>
        <w:jc w:val="both"/>
        <w:rPr>
          <w:bCs/>
          <w:color w:val="000000" w:themeColor="text1"/>
          <w:sz w:val="22"/>
          <w:szCs w:val="22"/>
        </w:rPr>
      </w:pPr>
      <w:r w:rsidRPr="00B405C0">
        <w:rPr>
          <w:b/>
          <w:sz w:val="22"/>
          <w:szCs w:val="22"/>
        </w:rPr>
        <w:t>Articulo 7.- Del área Verde.-</w:t>
      </w:r>
      <w:r w:rsidRPr="00B405C0">
        <w:rPr>
          <w:bCs/>
          <w:color w:val="000000"/>
          <w:sz w:val="22"/>
          <w:szCs w:val="22"/>
        </w:rPr>
        <w:t xml:space="preserve"> </w:t>
      </w:r>
      <w:r w:rsidRPr="00736A1C">
        <w:rPr>
          <w:color w:val="000000" w:themeColor="text1"/>
          <w:sz w:val="22"/>
          <w:szCs w:val="22"/>
        </w:rPr>
        <w:t xml:space="preserve">Los copropietarios de los inmuebles sobre los cuales se asienta el </w:t>
      </w:r>
      <w:r w:rsidRPr="00736A1C">
        <w:rPr>
          <w:sz w:val="22"/>
          <w:szCs w:val="22"/>
        </w:rPr>
        <w:t>Comité Pro Mejoras del Barrio “</w:t>
      </w:r>
      <w:proofErr w:type="spellStart"/>
      <w:r w:rsidRPr="00736A1C">
        <w:rPr>
          <w:sz w:val="22"/>
          <w:szCs w:val="22"/>
        </w:rPr>
        <w:t>Catzuqui</w:t>
      </w:r>
      <w:proofErr w:type="spellEnd"/>
      <w:r w:rsidRPr="00736A1C">
        <w:rPr>
          <w:sz w:val="22"/>
          <w:szCs w:val="22"/>
        </w:rPr>
        <w:t xml:space="preserve"> de Moncayo” Etapa III</w:t>
      </w:r>
      <w:r w:rsidRPr="00736A1C">
        <w:rPr>
          <w:color w:val="000000" w:themeColor="text1"/>
          <w:sz w:val="22"/>
          <w:szCs w:val="22"/>
        </w:rPr>
        <w:t>, transfieren al Municipio del Distrito Metropolitano de Quito, como contribución de áreas verdes un área total de 2.300,00m2 del área útil de lotes, esta contribución la efectúan en forma libre y voluntaria aun estando amparados por la normativa vigente para la excepción de esta entrega, por cuanto el asentamiento humano es declarado de interés social y por encontrarse una parte del área en tierra rural, el área verde y de equipamiento comunal está distribuida de la siguiente manera:</w:t>
      </w:r>
    </w:p>
    <w:tbl>
      <w:tblPr>
        <w:tblW w:w="4923" w:type="pct"/>
        <w:tblInd w:w="70" w:type="dxa"/>
        <w:tblLayout w:type="fixed"/>
        <w:tblCellMar>
          <w:left w:w="70" w:type="dxa"/>
          <w:right w:w="70" w:type="dxa"/>
        </w:tblCellMar>
        <w:tblLook w:val="04A0" w:firstRow="1" w:lastRow="0" w:firstColumn="1" w:lastColumn="0" w:noHBand="0" w:noVBand="1"/>
      </w:tblPr>
      <w:tblGrid>
        <w:gridCol w:w="1200"/>
        <w:gridCol w:w="890"/>
        <w:gridCol w:w="1954"/>
        <w:gridCol w:w="1533"/>
        <w:gridCol w:w="1397"/>
        <w:gridCol w:w="1670"/>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 xml:space="preserve">ÁREA VERDE </w:t>
            </w:r>
          </w:p>
        </w:tc>
      </w:tr>
      <w:tr w:rsidR="00935049" w:rsidRPr="00B405C0" w:rsidTr="002F01B2">
        <w:trPr>
          <w:trHeight w:val="300"/>
        </w:trPr>
        <w:tc>
          <w:tcPr>
            <w:tcW w:w="694"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15" w:type="pct"/>
            <w:tcBorders>
              <w:top w:val="nil"/>
              <w:left w:val="nil"/>
              <w:bottom w:val="nil"/>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130" w:type="pct"/>
            <w:tcBorders>
              <w:top w:val="nil"/>
              <w:left w:val="nil"/>
              <w:bottom w:val="single" w:sz="4" w:space="0" w:color="auto"/>
              <w:right w:val="single" w:sz="4" w:space="0" w:color="auto"/>
            </w:tcBorders>
            <w:shd w:val="clear" w:color="auto" w:fill="auto"/>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887" w:type="pct"/>
            <w:tcBorders>
              <w:top w:val="nil"/>
              <w:left w:val="nil"/>
              <w:bottom w:val="single" w:sz="4" w:space="0" w:color="auto"/>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808" w:type="pct"/>
            <w:tcBorders>
              <w:top w:val="nil"/>
              <w:left w:val="nil"/>
              <w:bottom w:val="nil"/>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967" w:type="pct"/>
            <w:tcBorders>
              <w:top w:val="nil"/>
              <w:left w:val="nil"/>
              <w:bottom w:val="nil"/>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69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15"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130" w:type="pct"/>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Propiedad particular</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808" w:type="pct"/>
            <w:tcBorders>
              <w:top w:val="single" w:sz="4" w:space="0" w:color="auto"/>
              <w:left w:val="nil"/>
              <w:bottom w:val="nil"/>
              <w:right w:val="nil"/>
            </w:tcBorders>
            <w:shd w:val="clear" w:color="auto" w:fill="auto"/>
            <w:noWrap/>
            <w:vAlign w:val="bottom"/>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210,62m</w:t>
            </w:r>
          </w:p>
        </w:tc>
        <w:tc>
          <w:tcPr>
            <w:tcW w:w="967"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r>
      <w:tr w:rsidR="00935049" w:rsidRPr="00B405C0" w:rsidTr="002F01B2">
        <w:trPr>
          <w:trHeight w:val="351"/>
        </w:trPr>
        <w:tc>
          <w:tcPr>
            <w:tcW w:w="69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xml:space="preserve">Área Verde </w:t>
            </w:r>
          </w:p>
        </w:tc>
        <w:tc>
          <w:tcPr>
            <w:tcW w:w="515" w:type="pct"/>
            <w:tcBorders>
              <w:top w:val="single" w:sz="4" w:space="0" w:color="auto"/>
              <w:left w:val="nil"/>
              <w:bottom w:val="nil"/>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130" w:type="pc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s-EC" w:eastAsia="es-EC"/>
              </w:rPr>
            </w:pPr>
            <w:r w:rsidRPr="00736A1C">
              <w:rPr>
                <w:sz w:val="22"/>
                <w:szCs w:val="22"/>
                <w:lang w:val="es-EC" w:eastAsia="es-EC"/>
              </w:rPr>
              <w:t>Lote 9</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808" w:type="pct"/>
            <w:tcBorders>
              <w:top w:val="single" w:sz="4" w:space="0" w:color="auto"/>
              <w:left w:val="nil"/>
              <w:bottom w:val="nil"/>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37,54m</w:t>
            </w:r>
          </w:p>
        </w:tc>
        <w:tc>
          <w:tcPr>
            <w:tcW w:w="967" w:type="pct"/>
            <w:vMerge w:val="restart"/>
            <w:tcBorders>
              <w:top w:val="nil"/>
              <w:left w:val="nil"/>
              <w:right w:val="single" w:sz="4" w:space="0" w:color="auto"/>
            </w:tcBorders>
            <w:shd w:val="clear" w:color="auto" w:fill="auto"/>
            <w:vAlign w:val="center"/>
            <w:hideMark/>
          </w:tcPr>
          <w:p w:rsidR="00935049" w:rsidRPr="00736A1C" w:rsidRDefault="00935049" w:rsidP="002F01B2">
            <w:pPr>
              <w:jc w:val="center"/>
              <w:rPr>
                <w:b/>
                <w:sz w:val="22"/>
                <w:szCs w:val="22"/>
              </w:rPr>
            </w:pPr>
            <w:r w:rsidRPr="00736A1C">
              <w:rPr>
                <w:b/>
                <w:sz w:val="22"/>
                <w:szCs w:val="22"/>
              </w:rPr>
              <w:t>10.806,76</w:t>
            </w:r>
            <w:r w:rsidRPr="00736A1C">
              <w:rPr>
                <w:sz w:val="22"/>
                <w:szCs w:val="22"/>
              </w:rPr>
              <w:t xml:space="preserve"> </w:t>
            </w:r>
            <w:r w:rsidRPr="00736A1C">
              <w:rPr>
                <w:b/>
                <w:bCs/>
                <w:sz w:val="22"/>
                <w:szCs w:val="22"/>
                <w:lang w:val="es-EC" w:eastAsia="es-EC"/>
              </w:rPr>
              <w:t>m2</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b/>
                <w:sz w:val="22"/>
                <w:szCs w:val="22"/>
              </w:rPr>
            </w:pPr>
            <w:r w:rsidRPr="00736A1C">
              <w:rPr>
                <w:sz w:val="22"/>
                <w:szCs w:val="22"/>
                <w:lang w:val="es-EC" w:eastAsia="es-EC"/>
              </w:rPr>
              <w:t> </w:t>
            </w:r>
          </w:p>
        </w:tc>
      </w:tr>
      <w:tr w:rsidR="00935049" w:rsidRPr="00B405C0" w:rsidTr="002F01B2">
        <w:trPr>
          <w:trHeight w:val="300"/>
        </w:trPr>
        <w:tc>
          <w:tcPr>
            <w:tcW w:w="694" w:type="pct"/>
            <w:tcBorders>
              <w:top w:val="nil"/>
              <w:left w:val="single" w:sz="4" w:space="0" w:color="auto"/>
              <w:bottom w:val="nil"/>
              <w:right w:val="nil"/>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single" w:sz="4" w:space="0" w:color="auto"/>
              <w:left w:val="single" w:sz="4" w:space="0" w:color="auto"/>
              <w:bottom w:val="nil"/>
              <w:right w:val="single" w:sz="4" w:space="0" w:color="auto"/>
            </w:tcBorders>
            <w:shd w:val="clear" w:color="auto" w:fill="auto"/>
            <w:hideMark/>
          </w:tcPr>
          <w:p w:rsidR="00935049" w:rsidRPr="00736A1C" w:rsidRDefault="00935049" w:rsidP="002F01B2">
            <w:pPr>
              <w:rPr>
                <w:b/>
                <w:bCs/>
                <w:sz w:val="22"/>
                <w:szCs w:val="22"/>
                <w:lang w:val="es-EC" w:eastAsia="es-EC"/>
              </w:rPr>
            </w:pPr>
          </w:p>
        </w:tc>
        <w:tc>
          <w:tcPr>
            <w:tcW w:w="1130" w:type="pct"/>
            <w:vMerge w:val="restar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s-EC" w:eastAsia="es-EC"/>
              </w:rPr>
            </w:pPr>
            <w:r w:rsidRPr="00736A1C">
              <w:rPr>
                <w:sz w:val="22"/>
                <w:szCs w:val="22"/>
                <w:lang w:val="es-EC" w:eastAsia="es-EC"/>
              </w:rPr>
              <w:t>Pasaje N82A</w:t>
            </w:r>
          </w:p>
          <w:p w:rsidR="00935049" w:rsidRPr="00736A1C" w:rsidRDefault="00935049" w:rsidP="002F01B2">
            <w:pPr>
              <w:jc w:val="center"/>
              <w:rPr>
                <w:sz w:val="22"/>
                <w:szCs w:val="22"/>
                <w:lang w:val="es-EC" w:eastAsia="es-EC"/>
              </w:rPr>
            </w:pPr>
            <w:r w:rsidRPr="00736A1C">
              <w:rPr>
                <w:sz w:val="22"/>
                <w:szCs w:val="22"/>
                <w:lang w:val="es-EC" w:eastAsia="es-EC"/>
              </w:rPr>
              <w:t>Área Municipal 1</w:t>
            </w:r>
          </w:p>
        </w:tc>
        <w:tc>
          <w:tcPr>
            <w:tcW w:w="887" w:type="pct"/>
            <w:vMerge w:val="restart"/>
            <w:tcBorders>
              <w:top w:val="nil"/>
              <w:left w:val="nil"/>
              <w:bottom w:val="single" w:sz="4" w:space="0" w:color="auto"/>
              <w:right w:val="nil"/>
            </w:tcBorders>
            <w:shd w:val="clear" w:color="auto" w:fill="auto"/>
            <w:noWrap/>
            <w:vAlign w:val="bottom"/>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187,90 m</w:t>
            </w:r>
          </w:p>
          <w:p w:rsidR="00935049" w:rsidRPr="00736A1C" w:rsidRDefault="00935049" w:rsidP="002F01B2">
            <w:pPr>
              <w:jc w:val="center"/>
              <w:rPr>
                <w:sz w:val="22"/>
                <w:szCs w:val="22"/>
                <w:lang w:val="es-EC" w:eastAsia="es-EC"/>
              </w:rPr>
            </w:pPr>
            <w:r w:rsidRPr="00736A1C">
              <w:rPr>
                <w:sz w:val="22"/>
                <w:szCs w:val="22"/>
                <w:lang w:val="es-EC" w:eastAsia="es-EC"/>
              </w:rPr>
              <w:t>19,17m</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207,07m</w:t>
            </w:r>
          </w:p>
        </w:tc>
        <w:tc>
          <w:tcPr>
            <w:tcW w:w="967" w:type="pct"/>
            <w:vMerge/>
            <w:tcBorders>
              <w:left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70"/>
        </w:trPr>
        <w:tc>
          <w:tcPr>
            <w:tcW w:w="694" w:type="pct"/>
            <w:tcBorders>
              <w:top w:val="nil"/>
              <w:left w:val="single" w:sz="4" w:space="0" w:color="auto"/>
              <w:bottom w:val="nil"/>
              <w:right w:val="nil"/>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nil"/>
              <w:left w:val="single" w:sz="4" w:space="0" w:color="auto"/>
              <w:bottom w:val="single" w:sz="4" w:space="0" w:color="auto"/>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130" w:type="pct"/>
            <w:vMerge/>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p>
        </w:tc>
        <w:tc>
          <w:tcPr>
            <w:tcW w:w="887" w:type="pct"/>
            <w:vMerge/>
            <w:tcBorders>
              <w:top w:val="nil"/>
              <w:left w:val="nil"/>
              <w:bottom w:val="single" w:sz="4" w:space="0" w:color="auto"/>
              <w:right w:val="nil"/>
            </w:tcBorders>
            <w:shd w:val="clear" w:color="auto" w:fill="auto"/>
            <w:vAlign w:val="center"/>
          </w:tcPr>
          <w:p w:rsidR="00935049" w:rsidRPr="00736A1C" w:rsidRDefault="00935049" w:rsidP="002F01B2">
            <w:pPr>
              <w:rPr>
                <w:sz w:val="22"/>
                <w:szCs w:val="22"/>
                <w:lang w:val="es-EC" w:eastAsia="es-EC"/>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rPr>
                <w:sz w:val="22"/>
                <w:szCs w:val="22"/>
                <w:lang w:val="es-EC" w:eastAsia="es-EC"/>
              </w:rPr>
            </w:pPr>
          </w:p>
        </w:tc>
        <w:tc>
          <w:tcPr>
            <w:tcW w:w="967" w:type="pct"/>
            <w:vMerge/>
            <w:tcBorders>
              <w:left w:val="nil"/>
              <w:right w:val="single" w:sz="4" w:space="0" w:color="auto"/>
            </w:tcBorders>
            <w:shd w:val="clear" w:color="auto" w:fill="auto"/>
            <w:noWrap/>
            <w:vAlign w:val="bottom"/>
            <w:hideMark/>
          </w:tcPr>
          <w:p w:rsidR="00935049" w:rsidRPr="00736A1C" w:rsidRDefault="00935049" w:rsidP="002F01B2">
            <w:pPr>
              <w:rPr>
                <w:sz w:val="22"/>
                <w:szCs w:val="22"/>
                <w:lang w:val="es-EC" w:eastAsia="es-EC"/>
              </w:rPr>
            </w:pPr>
          </w:p>
        </w:tc>
      </w:tr>
      <w:tr w:rsidR="00935049" w:rsidRPr="00B405C0" w:rsidTr="002F01B2">
        <w:trPr>
          <w:trHeight w:val="495"/>
        </w:trPr>
        <w:tc>
          <w:tcPr>
            <w:tcW w:w="694" w:type="pct"/>
            <w:tcBorders>
              <w:top w:val="nil"/>
              <w:left w:val="single" w:sz="4" w:space="0" w:color="auto"/>
              <w:bottom w:val="single" w:sz="4" w:space="0" w:color="auto"/>
              <w:right w:val="single" w:sz="4" w:space="0" w:color="auto"/>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nil"/>
              <w:left w:val="nil"/>
              <w:bottom w:val="single" w:sz="4" w:space="0" w:color="auto"/>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130" w:type="pc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18</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17</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16</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14</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12</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11 </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 xml:space="preserve">19,69 m </w:t>
            </w:r>
          </w:p>
          <w:p w:rsidR="00935049" w:rsidRPr="00736A1C" w:rsidRDefault="00935049" w:rsidP="002F01B2">
            <w:pPr>
              <w:jc w:val="center"/>
              <w:rPr>
                <w:sz w:val="22"/>
                <w:szCs w:val="22"/>
                <w:lang w:val="es-EC" w:eastAsia="es-EC"/>
              </w:rPr>
            </w:pPr>
            <w:r w:rsidRPr="00736A1C">
              <w:rPr>
                <w:sz w:val="22"/>
                <w:szCs w:val="22"/>
                <w:lang w:val="es-EC" w:eastAsia="es-EC"/>
              </w:rPr>
              <w:t>19,65 m</w:t>
            </w:r>
          </w:p>
          <w:p w:rsidR="00935049" w:rsidRPr="00736A1C" w:rsidRDefault="00935049" w:rsidP="002F01B2">
            <w:pPr>
              <w:jc w:val="center"/>
              <w:rPr>
                <w:sz w:val="22"/>
                <w:szCs w:val="22"/>
                <w:lang w:val="es-EC" w:eastAsia="es-EC"/>
              </w:rPr>
            </w:pPr>
            <w:r w:rsidRPr="00736A1C">
              <w:rPr>
                <w:sz w:val="22"/>
                <w:szCs w:val="22"/>
                <w:lang w:val="es-EC" w:eastAsia="es-EC"/>
              </w:rPr>
              <w:t>19,65 m</w:t>
            </w:r>
          </w:p>
          <w:p w:rsidR="00935049" w:rsidRPr="00736A1C" w:rsidRDefault="00935049" w:rsidP="002F01B2">
            <w:pPr>
              <w:jc w:val="center"/>
              <w:rPr>
                <w:sz w:val="22"/>
                <w:szCs w:val="22"/>
                <w:lang w:val="es-EC" w:eastAsia="es-EC"/>
              </w:rPr>
            </w:pPr>
            <w:r w:rsidRPr="00736A1C">
              <w:rPr>
                <w:sz w:val="22"/>
                <w:szCs w:val="22"/>
                <w:lang w:val="es-EC" w:eastAsia="es-EC"/>
              </w:rPr>
              <w:t>22,18m</w:t>
            </w:r>
          </w:p>
          <w:p w:rsidR="00935049" w:rsidRPr="00736A1C" w:rsidRDefault="00935049" w:rsidP="002F01B2">
            <w:pPr>
              <w:jc w:val="center"/>
              <w:rPr>
                <w:sz w:val="22"/>
                <w:szCs w:val="22"/>
                <w:lang w:val="es-EC" w:eastAsia="es-EC"/>
              </w:rPr>
            </w:pPr>
            <w:r w:rsidRPr="00736A1C">
              <w:rPr>
                <w:sz w:val="22"/>
                <w:szCs w:val="22"/>
                <w:lang w:val="es-EC" w:eastAsia="es-EC"/>
              </w:rPr>
              <w:t>21,71m</w:t>
            </w:r>
          </w:p>
          <w:p w:rsidR="00935049" w:rsidRPr="00736A1C" w:rsidRDefault="00935049" w:rsidP="002F01B2">
            <w:pPr>
              <w:jc w:val="center"/>
              <w:rPr>
                <w:sz w:val="22"/>
                <w:szCs w:val="22"/>
                <w:lang w:val="es-EC" w:eastAsia="es-EC"/>
              </w:rPr>
            </w:pPr>
            <w:r w:rsidRPr="00736A1C">
              <w:rPr>
                <w:sz w:val="22"/>
                <w:szCs w:val="22"/>
                <w:lang w:val="es-EC" w:eastAsia="es-EC"/>
              </w:rPr>
              <w:t>20,53m</w:t>
            </w:r>
          </w:p>
        </w:tc>
        <w:tc>
          <w:tcPr>
            <w:tcW w:w="808" w:type="pct"/>
            <w:tcBorders>
              <w:top w:val="nil"/>
              <w:left w:val="nil"/>
              <w:bottom w:val="single" w:sz="4" w:space="0" w:color="auto"/>
              <w:right w:val="nil"/>
            </w:tcBorders>
            <w:shd w:val="clear" w:color="auto" w:fill="auto"/>
            <w:vAlign w:val="center"/>
          </w:tcPr>
          <w:p w:rsidR="00935049" w:rsidRPr="00736A1C" w:rsidRDefault="00935049" w:rsidP="002F01B2">
            <w:pPr>
              <w:jc w:val="center"/>
              <w:rPr>
                <w:sz w:val="22"/>
                <w:szCs w:val="22"/>
                <w:lang w:val="es-EC" w:eastAsia="es-EC"/>
              </w:rPr>
            </w:pPr>
          </w:p>
          <w:p w:rsidR="00935049" w:rsidRPr="00736A1C" w:rsidRDefault="00935049" w:rsidP="002F01B2">
            <w:pPr>
              <w:jc w:val="center"/>
              <w:rPr>
                <w:sz w:val="22"/>
                <w:szCs w:val="22"/>
                <w:lang w:val="es-EC" w:eastAsia="es-EC"/>
              </w:rPr>
            </w:pPr>
            <w:r w:rsidRPr="00736A1C">
              <w:rPr>
                <w:sz w:val="22"/>
                <w:szCs w:val="22"/>
                <w:lang w:val="es-EC" w:eastAsia="es-EC"/>
              </w:rPr>
              <w:t>123,41m</w:t>
            </w:r>
          </w:p>
        </w:tc>
        <w:tc>
          <w:tcPr>
            <w:tcW w:w="967" w:type="pct"/>
            <w:vMerge/>
            <w:tcBorders>
              <w:left w:val="single" w:sz="4" w:space="0" w:color="auto"/>
              <w:bottom w:val="single" w:sz="4" w:space="0" w:color="auto"/>
              <w:right w:val="single" w:sz="4" w:space="0" w:color="auto"/>
            </w:tcBorders>
            <w:shd w:val="clear" w:color="auto" w:fill="auto"/>
            <w:noWrap/>
            <w:vAlign w:val="bottom"/>
            <w:hideMark/>
          </w:tcPr>
          <w:p w:rsidR="00935049" w:rsidRPr="00736A1C" w:rsidRDefault="00935049" w:rsidP="002F01B2">
            <w:pPr>
              <w:rPr>
                <w:sz w:val="22"/>
                <w:szCs w:val="22"/>
                <w:lang w:val="es-EC" w:eastAsia="es-EC"/>
              </w:rPr>
            </w:pPr>
          </w:p>
        </w:tc>
      </w:tr>
    </w:tbl>
    <w:p w:rsidR="00935049" w:rsidRPr="00B405C0" w:rsidRDefault="00935049" w:rsidP="00935049">
      <w:pPr>
        <w:spacing w:after="240" w:line="276" w:lineRule="auto"/>
        <w:jc w:val="both"/>
        <w:rPr>
          <w:color w:val="000000" w:themeColor="text1"/>
          <w:sz w:val="22"/>
          <w:szCs w:val="22"/>
        </w:rPr>
      </w:pPr>
    </w:p>
    <w:p w:rsidR="00935049" w:rsidRPr="00B405C0" w:rsidRDefault="00935049" w:rsidP="00935049">
      <w:pPr>
        <w:spacing w:after="240" w:line="276" w:lineRule="auto"/>
        <w:jc w:val="both"/>
        <w:rPr>
          <w:b/>
          <w:sz w:val="22"/>
          <w:szCs w:val="22"/>
        </w:rPr>
      </w:pPr>
      <w:r w:rsidRPr="00B405C0">
        <w:rPr>
          <w:b/>
          <w:sz w:val="22"/>
          <w:szCs w:val="22"/>
        </w:rPr>
        <w:t xml:space="preserve">Artículo 8.- </w:t>
      </w:r>
      <w:r w:rsidRPr="00B405C0">
        <w:rPr>
          <w:b/>
          <w:bCs/>
          <w:sz w:val="22"/>
          <w:szCs w:val="22"/>
        </w:rPr>
        <w:t>Del Área Municipal</w:t>
      </w:r>
      <w:r w:rsidRPr="00B405C0">
        <w:rPr>
          <w:bCs/>
          <w:sz w:val="22"/>
          <w:szCs w:val="22"/>
        </w:rPr>
        <w:t xml:space="preserve">.- </w:t>
      </w:r>
      <w:r w:rsidRPr="00736A1C">
        <w:rPr>
          <w:bCs/>
          <w:color w:val="000000"/>
          <w:sz w:val="22"/>
          <w:szCs w:val="22"/>
        </w:rPr>
        <w:t xml:space="preserve">Los copropietarios del inmueble sobre el cual se asienta el </w:t>
      </w:r>
      <w:r w:rsidRPr="00736A1C">
        <w:rPr>
          <w:bCs/>
          <w:sz w:val="22"/>
          <w:szCs w:val="22"/>
        </w:rPr>
        <w:t>Comité Pro Mejoras del Barrio “</w:t>
      </w:r>
      <w:proofErr w:type="spellStart"/>
      <w:r w:rsidRPr="00736A1C">
        <w:rPr>
          <w:bCs/>
          <w:sz w:val="22"/>
          <w:szCs w:val="22"/>
        </w:rPr>
        <w:t>Catzuqui</w:t>
      </w:r>
      <w:proofErr w:type="spellEnd"/>
      <w:r w:rsidRPr="00736A1C">
        <w:rPr>
          <w:bCs/>
          <w:sz w:val="22"/>
          <w:szCs w:val="22"/>
        </w:rPr>
        <w:t xml:space="preserve"> de Moncayo” Etapa III</w:t>
      </w:r>
      <w:r w:rsidRPr="00736A1C">
        <w:rPr>
          <w:bCs/>
          <w:color w:val="000000"/>
          <w:sz w:val="22"/>
          <w:szCs w:val="22"/>
        </w:rPr>
        <w:t>, transfieren al Municipio del Distrito Metropolitano de Quito</w:t>
      </w:r>
      <w:r w:rsidRPr="00736A1C">
        <w:rPr>
          <w:color w:val="000000"/>
          <w:sz w:val="22"/>
          <w:szCs w:val="22"/>
        </w:rPr>
        <w:t xml:space="preserve"> como contribución de área municipal </w:t>
      </w:r>
      <w:r w:rsidRPr="00B405C0">
        <w:rPr>
          <w:color w:val="000000"/>
          <w:sz w:val="22"/>
          <w:szCs w:val="22"/>
          <w:lang w:val="es-EC" w:eastAsia="es-EC"/>
        </w:rPr>
        <w:t>645,65m2</w:t>
      </w:r>
      <w:r w:rsidRPr="00736A1C">
        <w:rPr>
          <w:color w:val="000000"/>
          <w:sz w:val="22"/>
          <w:szCs w:val="22"/>
        </w:rPr>
        <w:t xml:space="preserve">, </w:t>
      </w:r>
      <w:r w:rsidRPr="00736A1C">
        <w:rPr>
          <w:color w:val="000000" w:themeColor="text1"/>
          <w:sz w:val="22"/>
          <w:szCs w:val="22"/>
        </w:rPr>
        <w:t>esta contribución la efectúan en forma libre y voluntaria aun estando amparados por la normativa vigente para la excepción de esta entrega, por cuanto el asentamiento humano es declarado de Interés Social y por encontrarse una parte del área en tierra rural, el área verde y de equipamiento comunal está distribuida de la siguiente manera:</w:t>
      </w:r>
    </w:p>
    <w:tbl>
      <w:tblPr>
        <w:tblW w:w="4883" w:type="pct"/>
        <w:tblInd w:w="70" w:type="dxa"/>
        <w:tblLayout w:type="fixed"/>
        <w:tblCellMar>
          <w:left w:w="70" w:type="dxa"/>
          <w:right w:w="70" w:type="dxa"/>
        </w:tblCellMar>
        <w:tblLook w:val="04A0" w:firstRow="1" w:lastRow="0" w:firstColumn="1" w:lastColumn="0" w:noHBand="0" w:noVBand="1"/>
      </w:tblPr>
      <w:tblGrid>
        <w:gridCol w:w="1481"/>
        <w:gridCol w:w="995"/>
        <w:gridCol w:w="2269"/>
        <w:gridCol w:w="1248"/>
        <w:gridCol w:w="976"/>
        <w:gridCol w:w="1605"/>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MUNICIPAL 1</w:t>
            </w:r>
          </w:p>
        </w:tc>
      </w:tr>
      <w:tr w:rsidR="00935049" w:rsidRPr="00B405C0" w:rsidTr="002F01B2">
        <w:trPr>
          <w:trHeight w:val="300"/>
        </w:trPr>
        <w:tc>
          <w:tcPr>
            <w:tcW w:w="864"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nil"/>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323"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728"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569"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936"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86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Propiedad privada</w:t>
            </w:r>
          </w:p>
        </w:tc>
        <w:tc>
          <w:tcPr>
            <w:tcW w:w="728"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single" w:sz="4" w:space="0" w:color="auto"/>
              <w:left w:val="nil"/>
              <w:bottom w:val="single" w:sz="4" w:space="0" w:color="auto"/>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5,05m</w:t>
            </w:r>
          </w:p>
        </w:tc>
        <w:tc>
          <w:tcPr>
            <w:tcW w:w="936" w:type="pct"/>
            <w:vMerge w:val="restart"/>
            <w:tcBorders>
              <w:top w:val="single" w:sz="4" w:space="0" w:color="auto"/>
              <w:left w:val="single" w:sz="4" w:space="0" w:color="auto"/>
              <w:right w:val="single" w:sz="4" w:space="0" w:color="auto"/>
            </w:tcBorders>
            <w:shd w:val="clear" w:color="auto" w:fill="auto"/>
            <w:vAlign w:val="center"/>
            <w:hideMark/>
          </w:tcPr>
          <w:p w:rsidR="00935049" w:rsidRPr="00736A1C" w:rsidRDefault="00935049" w:rsidP="002F01B2">
            <w:pPr>
              <w:jc w:val="center"/>
              <w:rPr>
                <w:b/>
                <w:sz w:val="22"/>
                <w:szCs w:val="22"/>
              </w:rPr>
            </w:pPr>
          </w:p>
          <w:p w:rsidR="00935049" w:rsidRPr="00736A1C" w:rsidRDefault="00935049" w:rsidP="002F01B2">
            <w:pPr>
              <w:jc w:val="center"/>
              <w:rPr>
                <w:b/>
                <w:sz w:val="22"/>
                <w:szCs w:val="22"/>
              </w:rPr>
            </w:pPr>
          </w:p>
          <w:p w:rsidR="00935049" w:rsidRPr="00736A1C" w:rsidRDefault="00935049" w:rsidP="002F01B2">
            <w:pPr>
              <w:jc w:val="center"/>
              <w:rPr>
                <w:b/>
                <w:sz w:val="22"/>
                <w:szCs w:val="22"/>
              </w:rPr>
            </w:pPr>
            <w:r w:rsidRPr="00736A1C">
              <w:rPr>
                <w:b/>
                <w:sz w:val="22"/>
                <w:szCs w:val="22"/>
              </w:rPr>
              <w:t>27,89</w:t>
            </w:r>
            <w:r w:rsidRPr="00736A1C">
              <w:rPr>
                <w:sz w:val="22"/>
                <w:szCs w:val="22"/>
              </w:rPr>
              <w:t xml:space="preserve"> </w:t>
            </w:r>
            <w:r w:rsidRPr="00736A1C">
              <w:rPr>
                <w:b/>
                <w:bCs/>
                <w:sz w:val="22"/>
                <w:szCs w:val="22"/>
                <w:lang w:val="es-EC" w:eastAsia="es-EC"/>
              </w:rPr>
              <w:t>m2</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b/>
                <w:bCs/>
                <w:sz w:val="22"/>
                <w:szCs w:val="22"/>
                <w:lang w:val="es-EC" w:eastAsia="es-EC"/>
              </w:rPr>
            </w:pPr>
            <w:r w:rsidRPr="00736A1C">
              <w:rPr>
                <w:sz w:val="22"/>
                <w:szCs w:val="22"/>
                <w:lang w:val="es-EC" w:eastAsia="es-EC"/>
              </w:rPr>
              <w:t> </w:t>
            </w:r>
          </w:p>
        </w:tc>
      </w:tr>
      <w:tr w:rsidR="00935049" w:rsidRPr="00B405C0" w:rsidTr="002F01B2">
        <w:trPr>
          <w:trHeight w:val="351"/>
        </w:trPr>
        <w:tc>
          <w:tcPr>
            <w:tcW w:w="86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lastRenderedPageBreak/>
              <w:t>Área Franja de protección B.S.Q</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 xml:space="preserve">Punto de Intersección entre Área Verde y Pasaje N82A </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0,00 m</w:t>
            </w:r>
          </w:p>
        </w:tc>
        <w:tc>
          <w:tcPr>
            <w:tcW w:w="936" w:type="pct"/>
            <w:vMerge/>
            <w:tcBorders>
              <w:left w:val="single" w:sz="4" w:space="0" w:color="auto"/>
              <w:right w:val="single" w:sz="4" w:space="0" w:color="auto"/>
            </w:tcBorders>
            <w:shd w:val="clear" w:color="auto" w:fill="auto"/>
            <w:vAlign w:val="center"/>
            <w:hideMark/>
          </w:tcPr>
          <w:p w:rsidR="00935049" w:rsidRPr="00736A1C" w:rsidRDefault="00935049" w:rsidP="002F01B2">
            <w:pPr>
              <w:rPr>
                <w:b/>
                <w:sz w:val="22"/>
                <w:szCs w:val="22"/>
              </w:rPr>
            </w:pPr>
          </w:p>
        </w:tc>
      </w:tr>
      <w:tr w:rsidR="00935049" w:rsidRPr="00B405C0" w:rsidTr="002F01B2">
        <w:trPr>
          <w:trHeight w:val="300"/>
        </w:trPr>
        <w:tc>
          <w:tcPr>
            <w:tcW w:w="864"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single" w:sz="4" w:space="0" w:color="auto"/>
              <w:left w:val="single" w:sz="4" w:space="0" w:color="auto"/>
              <w:bottom w:val="nil"/>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323" w:type="pct"/>
            <w:vMerge w:val="restart"/>
            <w:tcBorders>
              <w:top w:val="single" w:sz="4" w:space="0" w:color="auto"/>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Pasaje N82A</w:t>
            </w:r>
          </w:p>
        </w:tc>
        <w:tc>
          <w:tcPr>
            <w:tcW w:w="728" w:type="pct"/>
            <w:vMerge w:val="restart"/>
            <w:tcBorders>
              <w:top w:val="single" w:sz="4" w:space="0" w:color="auto"/>
              <w:left w:val="nil"/>
              <w:bottom w:val="single" w:sz="4" w:space="0" w:color="auto"/>
              <w:right w:val="nil"/>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23,20m</w:t>
            </w:r>
          </w:p>
        </w:tc>
        <w:tc>
          <w:tcPr>
            <w:tcW w:w="936" w:type="pct"/>
            <w:vMerge/>
            <w:tcBorders>
              <w:left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54"/>
        </w:trPr>
        <w:tc>
          <w:tcPr>
            <w:tcW w:w="864"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single" w:sz="4" w:space="0" w:color="auto"/>
              <w:bottom w:val="single" w:sz="4" w:space="0" w:color="auto"/>
              <w:right w:val="single" w:sz="4" w:space="0" w:color="auto"/>
            </w:tcBorders>
            <w:shd w:val="clear" w:color="auto" w:fill="auto"/>
            <w:hideMark/>
          </w:tcPr>
          <w:p w:rsidR="00935049" w:rsidRPr="00736A1C" w:rsidRDefault="00935049" w:rsidP="002F01B2">
            <w:pPr>
              <w:rPr>
                <w:b/>
                <w:bCs/>
                <w:sz w:val="22"/>
                <w:szCs w:val="22"/>
                <w:lang w:val="es-EC" w:eastAsia="es-EC"/>
              </w:rPr>
            </w:pPr>
          </w:p>
        </w:tc>
        <w:tc>
          <w:tcPr>
            <w:tcW w:w="1323" w:type="pct"/>
            <w:vMerge/>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p>
        </w:tc>
        <w:tc>
          <w:tcPr>
            <w:tcW w:w="728" w:type="pct"/>
            <w:vMerge/>
            <w:tcBorders>
              <w:top w:val="nil"/>
              <w:left w:val="nil"/>
              <w:bottom w:val="single" w:sz="4" w:space="0" w:color="auto"/>
              <w:right w:val="nil"/>
            </w:tcBorders>
            <w:shd w:val="clear" w:color="auto" w:fill="auto"/>
          </w:tcPr>
          <w:p w:rsidR="00935049" w:rsidRPr="00736A1C" w:rsidRDefault="00935049" w:rsidP="002F01B2">
            <w:pPr>
              <w:rPr>
                <w:sz w:val="22"/>
                <w:szCs w:val="22"/>
                <w:lang w:val="es-EC" w:eastAsia="es-EC"/>
              </w:rPr>
            </w:pPr>
          </w:p>
        </w:tc>
        <w:tc>
          <w:tcPr>
            <w:tcW w:w="569" w:type="pct"/>
            <w:vMerge/>
            <w:tcBorders>
              <w:top w:val="single" w:sz="4" w:space="0" w:color="auto"/>
              <w:left w:val="single" w:sz="4" w:space="0" w:color="auto"/>
              <w:bottom w:val="single" w:sz="4" w:space="0" w:color="auto"/>
              <w:right w:val="single" w:sz="4" w:space="0" w:color="auto"/>
            </w:tcBorders>
            <w:shd w:val="clear" w:color="auto" w:fill="auto"/>
          </w:tcPr>
          <w:p w:rsidR="00935049" w:rsidRPr="00736A1C" w:rsidRDefault="00935049" w:rsidP="002F01B2">
            <w:pPr>
              <w:rPr>
                <w:sz w:val="22"/>
                <w:szCs w:val="22"/>
                <w:lang w:val="es-EC" w:eastAsia="es-EC"/>
              </w:rPr>
            </w:pPr>
          </w:p>
        </w:tc>
        <w:tc>
          <w:tcPr>
            <w:tcW w:w="936" w:type="pct"/>
            <w:vMerge/>
            <w:tcBorders>
              <w:left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328"/>
        </w:trPr>
        <w:tc>
          <w:tcPr>
            <w:tcW w:w="864"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nil"/>
              <w:bottom w:val="single" w:sz="4" w:space="0" w:color="auto"/>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323" w:type="pct"/>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Área Verde</w:t>
            </w:r>
          </w:p>
        </w:tc>
        <w:tc>
          <w:tcPr>
            <w:tcW w:w="728" w:type="pct"/>
            <w:tcBorders>
              <w:top w:val="nil"/>
              <w:left w:val="nil"/>
              <w:bottom w:val="single" w:sz="4" w:space="0" w:color="auto"/>
              <w:right w:val="single" w:sz="4" w:space="0" w:color="auto"/>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nil"/>
              <w:left w:val="nil"/>
              <w:bottom w:val="single" w:sz="4" w:space="0" w:color="auto"/>
              <w:right w:val="nil"/>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19,17 m</w:t>
            </w:r>
          </w:p>
        </w:tc>
        <w:tc>
          <w:tcPr>
            <w:tcW w:w="936" w:type="pct"/>
            <w:vMerge/>
            <w:tcBorders>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bl>
    <w:p w:rsidR="00935049" w:rsidRPr="00B405C0" w:rsidRDefault="00935049" w:rsidP="00935049">
      <w:pPr>
        <w:spacing w:line="276" w:lineRule="auto"/>
        <w:jc w:val="both"/>
        <w:rPr>
          <w:sz w:val="22"/>
          <w:szCs w:val="22"/>
        </w:rPr>
      </w:pPr>
    </w:p>
    <w:tbl>
      <w:tblPr>
        <w:tblW w:w="4883" w:type="pct"/>
        <w:tblInd w:w="70" w:type="dxa"/>
        <w:tblLayout w:type="fixed"/>
        <w:tblCellMar>
          <w:left w:w="70" w:type="dxa"/>
          <w:right w:w="70" w:type="dxa"/>
        </w:tblCellMar>
        <w:tblLook w:val="04A0" w:firstRow="1" w:lastRow="0" w:firstColumn="1" w:lastColumn="0" w:noHBand="0" w:noVBand="1"/>
      </w:tblPr>
      <w:tblGrid>
        <w:gridCol w:w="1479"/>
        <w:gridCol w:w="995"/>
        <w:gridCol w:w="2269"/>
        <w:gridCol w:w="1418"/>
        <w:gridCol w:w="1137"/>
        <w:gridCol w:w="1276"/>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MUNICIPAL 2</w:t>
            </w:r>
          </w:p>
        </w:tc>
      </w:tr>
      <w:tr w:rsidR="00935049" w:rsidRPr="00B405C0" w:rsidTr="002F01B2">
        <w:trPr>
          <w:trHeight w:val="300"/>
        </w:trPr>
        <w:tc>
          <w:tcPr>
            <w:tcW w:w="863"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nil"/>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323"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827"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663"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745"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863"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Punto de Intersección entre Borde de Quebrada y Pasaje N82A</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single" w:sz="4" w:space="0" w:color="auto"/>
              <w:left w:val="nil"/>
              <w:bottom w:val="nil"/>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0,00 m</w:t>
            </w:r>
          </w:p>
        </w:tc>
        <w:tc>
          <w:tcPr>
            <w:tcW w:w="745"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r>
      <w:tr w:rsidR="00935049" w:rsidRPr="00B405C0" w:rsidTr="002F01B2">
        <w:trPr>
          <w:trHeight w:val="351"/>
        </w:trPr>
        <w:tc>
          <w:tcPr>
            <w:tcW w:w="863"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Franja de protección B.S.Q</w:t>
            </w:r>
          </w:p>
        </w:tc>
        <w:tc>
          <w:tcPr>
            <w:tcW w:w="580"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Lote 9</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single" w:sz="4" w:space="0" w:color="auto"/>
              <w:left w:val="nil"/>
              <w:bottom w:val="nil"/>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1,72m</w:t>
            </w:r>
          </w:p>
        </w:tc>
        <w:tc>
          <w:tcPr>
            <w:tcW w:w="745"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sz w:val="22"/>
                <w:szCs w:val="22"/>
              </w:rPr>
            </w:pPr>
            <w:r w:rsidRPr="00736A1C">
              <w:rPr>
                <w:b/>
                <w:sz w:val="22"/>
                <w:szCs w:val="22"/>
              </w:rPr>
              <w:t>617,76</w:t>
            </w:r>
            <w:r w:rsidRPr="00736A1C">
              <w:rPr>
                <w:sz w:val="22"/>
                <w:szCs w:val="22"/>
              </w:rPr>
              <w:t xml:space="preserve"> </w:t>
            </w:r>
            <w:r w:rsidRPr="00736A1C">
              <w:rPr>
                <w:b/>
                <w:bCs/>
                <w:sz w:val="22"/>
                <w:szCs w:val="22"/>
                <w:lang w:val="es-EC" w:eastAsia="es-EC"/>
              </w:rPr>
              <w:t>m2</w:t>
            </w:r>
          </w:p>
        </w:tc>
      </w:tr>
      <w:tr w:rsidR="00935049" w:rsidRPr="00B405C0" w:rsidTr="002F01B2">
        <w:trPr>
          <w:trHeight w:val="300"/>
        </w:trPr>
        <w:tc>
          <w:tcPr>
            <w:tcW w:w="863"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c>
          <w:tcPr>
            <w:tcW w:w="1323" w:type="pct"/>
            <w:vMerge w:val="restar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Quebrada</w:t>
            </w:r>
          </w:p>
        </w:tc>
        <w:tc>
          <w:tcPr>
            <w:tcW w:w="827" w:type="pct"/>
            <w:vMerge w:val="restart"/>
            <w:tcBorders>
              <w:top w:val="nil"/>
              <w:left w:val="nil"/>
              <w:bottom w:val="single" w:sz="4" w:space="0" w:color="auto"/>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163,19 m</w:t>
            </w:r>
          </w:p>
        </w:tc>
        <w:tc>
          <w:tcPr>
            <w:tcW w:w="745" w:type="pct"/>
            <w:tcBorders>
              <w:top w:val="nil"/>
              <w:left w:val="nil"/>
              <w:bottom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r w:rsidR="00935049" w:rsidRPr="00B405C0" w:rsidTr="002F01B2">
        <w:trPr>
          <w:trHeight w:val="70"/>
        </w:trPr>
        <w:tc>
          <w:tcPr>
            <w:tcW w:w="863"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single" w:sz="4" w:space="0" w:color="auto"/>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323" w:type="pct"/>
            <w:vMerge/>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p>
        </w:tc>
        <w:tc>
          <w:tcPr>
            <w:tcW w:w="827" w:type="pct"/>
            <w:vMerge/>
            <w:tcBorders>
              <w:top w:val="nil"/>
              <w:left w:val="nil"/>
              <w:bottom w:val="single" w:sz="4" w:space="0" w:color="auto"/>
              <w:right w:val="nil"/>
            </w:tcBorders>
            <w:shd w:val="clear" w:color="auto" w:fill="auto"/>
            <w:vAlign w:val="center"/>
          </w:tcPr>
          <w:p w:rsidR="00935049" w:rsidRPr="00736A1C" w:rsidRDefault="00935049" w:rsidP="002F01B2">
            <w:pPr>
              <w:rPr>
                <w:sz w:val="22"/>
                <w:szCs w:val="22"/>
                <w:lang w:val="es-EC" w:eastAsia="es-EC"/>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rPr>
                <w:sz w:val="22"/>
                <w:szCs w:val="22"/>
                <w:lang w:val="es-EC" w:eastAsia="es-EC"/>
              </w:rPr>
            </w:pPr>
          </w:p>
        </w:tc>
        <w:tc>
          <w:tcPr>
            <w:tcW w:w="745" w:type="pct"/>
            <w:tcBorders>
              <w:top w:val="nil"/>
              <w:left w:val="nil"/>
              <w:bottom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r w:rsidR="00935049" w:rsidRPr="00B405C0" w:rsidTr="002F01B2">
        <w:trPr>
          <w:trHeight w:val="49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Pasaje N82A</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nil"/>
              <w:left w:val="nil"/>
              <w:bottom w:val="single" w:sz="4" w:space="0" w:color="auto"/>
              <w:right w:val="nil"/>
            </w:tcBorders>
            <w:shd w:val="clear" w:color="auto" w:fill="auto"/>
            <w:vAlign w:val="center"/>
          </w:tcPr>
          <w:p w:rsidR="00935049" w:rsidRPr="00736A1C" w:rsidRDefault="00935049" w:rsidP="002F01B2">
            <w:pPr>
              <w:jc w:val="center"/>
              <w:rPr>
                <w:sz w:val="22"/>
                <w:szCs w:val="22"/>
                <w:lang w:val="es-EC" w:eastAsia="es-EC"/>
              </w:rPr>
            </w:pPr>
          </w:p>
          <w:p w:rsidR="00935049" w:rsidRPr="00736A1C" w:rsidRDefault="00935049" w:rsidP="002F01B2">
            <w:pPr>
              <w:jc w:val="center"/>
              <w:rPr>
                <w:sz w:val="22"/>
                <w:szCs w:val="22"/>
                <w:lang w:val="es-EC" w:eastAsia="es-EC"/>
              </w:rPr>
            </w:pPr>
            <w:r w:rsidRPr="00736A1C">
              <w:rPr>
                <w:sz w:val="22"/>
                <w:szCs w:val="22"/>
                <w:lang w:val="es-EC" w:eastAsia="es-EC"/>
              </w:rPr>
              <w:t>166,54 m</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bl>
    <w:p w:rsidR="00935049" w:rsidRPr="00B405C0" w:rsidRDefault="00935049" w:rsidP="00935049">
      <w:pPr>
        <w:autoSpaceDE w:val="0"/>
        <w:autoSpaceDN w:val="0"/>
        <w:adjustRightInd w:val="0"/>
        <w:spacing w:before="240" w:line="276" w:lineRule="auto"/>
        <w:jc w:val="both"/>
        <w:rPr>
          <w:rFonts w:eastAsiaTheme="minorHAnsi"/>
          <w:sz w:val="22"/>
          <w:szCs w:val="22"/>
          <w:lang w:val="es-EC" w:eastAsia="en-US"/>
        </w:rPr>
      </w:pPr>
      <w:r w:rsidRPr="00B405C0">
        <w:rPr>
          <w:b/>
          <w:sz w:val="22"/>
          <w:szCs w:val="22"/>
        </w:rPr>
        <w:t>Artículo 9.- Calificación de Riesgos.-</w:t>
      </w:r>
      <w:r w:rsidRPr="00B405C0">
        <w:rPr>
          <w:sz w:val="22"/>
          <w:szCs w:val="22"/>
        </w:rPr>
        <w:t xml:space="preserve">  Los copropietarios del predio en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deberán cumplir y acatar las recomendaciones que se encuentran determinadas en el informe de la Dirección Metropolitana de Gestión de Riesgos Nro. 272-AT-DMGR-2017, de 07 de diciembre de 2017, emitido por el Director Metropolitano de Gestión de Riesgos, de la Secretaría General de Seguridad y Gobernabilidad, califica al asentamiento humano de hecho y consolidado de interés social denominado  “</w:t>
      </w:r>
      <w:proofErr w:type="spellStart"/>
      <w:r w:rsidRPr="00B405C0">
        <w:rPr>
          <w:sz w:val="22"/>
          <w:szCs w:val="22"/>
        </w:rPr>
        <w:t>Catzuquí</w:t>
      </w:r>
      <w:proofErr w:type="spellEnd"/>
      <w:r w:rsidRPr="00B405C0">
        <w:rPr>
          <w:sz w:val="22"/>
          <w:szCs w:val="22"/>
        </w:rPr>
        <w:t xml:space="preserve"> de Moncayo” Etapa III con </w:t>
      </w:r>
      <w:r w:rsidRPr="00B405C0">
        <w:rPr>
          <w:i/>
          <w:sz w:val="22"/>
          <w:szCs w:val="22"/>
          <w:u w:val="single"/>
        </w:rPr>
        <w:t>Riesgo Moderado Mitigable</w:t>
      </w:r>
      <w:r w:rsidRPr="00B405C0">
        <w:rPr>
          <w:sz w:val="22"/>
          <w:szCs w:val="22"/>
        </w:rPr>
        <w:t xml:space="preserve">, frente a movimientos de remoción en masa, así como los como en el Oficio Nro. GADDMQ-SGSG-DMGR-2019-0854-OF, de 28 de octubre de 2019, suscrito por el Director Metropolitano de Gestión de Riesgos, de la Secretaría General de Seguridad y Gobernabilidad, en el cual </w:t>
      </w:r>
      <w:r w:rsidRPr="00B405C0">
        <w:rPr>
          <w:rFonts w:eastAsiaTheme="minorHAnsi"/>
          <w:sz w:val="22"/>
          <w:szCs w:val="22"/>
          <w:lang w:val="es-EC" w:eastAsia="en-US"/>
        </w:rPr>
        <w:t xml:space="preserve">se rectifica la calificación del nivel del riesgo frente a movimientos en masa, indicando que el </w:t>
      </w:r>
      <w:r w:rsidRPr="00B405C0">
        <w:rPr>
          <w:sz w:val="22"/>
          <w:szCs w:val="22"/>
        </w:rPr>
        <w:t>asentamiento humano de hecho y consolidado de interés social denominado</w:t>
      </w:r>
      <w:r w:rsidRPr="00B405C0">
        <w:rPr>
          <w:rFonts w:eastAsiaTheme="minorHAnsi"/>
          <w:sz w:val="22"/>
          <w:szCs w:val="22"/>
          <w:lang w:val="es-EC" w:eastAsia="en-US"/>
        </w:rPr>
        <w:t xml:space="preserve">  “</w:t>
      </w:r>
      <w:proofErr w:type="spellStart"/>
      <w:r w:rsidRPr="00B405C0">
        <w:rPr>
          <w:rFonts w:eastAsiaTheme="minorHAnsi"/>
          <w:sz w:val="22"/>
          <w:szCs w:val="22"/>
          <w:lang w:val="es-EC" w:eastAsia="en-US"/>
        </w:rPr>
        <w:t>Catzuquí</w:t>
      </w:r>
      <w:proofErr w:type="spellEnd"/>
      <w:r w:rsidRPr="00B405C0">
        <w:rPr>
          <w:rFonts w:eastAsiaTheme="minorHAnsi"/>
          <w:sz w:val="22"/>
          <w:szCs w:val="22"/>
          <w:lang w:val="es-EC" w:eastAsia="en-US"/>
        </w:rPr>
        <w:t xml:space="preserve"> de Moncayo” Etapa III, en general presenta un </w:t>
      </w:r>
      <w:r w:rsidRPr="00B405C0">
        <w:rPr>
          <w:rFonts w:eastAsiaTheme="minorHAnsi"/>
          <w:b/>
          <w:bCs/>
          <w:sz w:val="22"/>
          <w:szCs w:val="22"/>
          <w:lang w:val="es-EC" w:eastAsia="en-US"/>
        </w:rPr>
        <w:t>Riesgo Moderado Mitigable</w:t>
      </w:r>
      <w:r w:rsidRPr="00B405C0">
        <w:rPr>
          <w:rFonts w:eastAsiaTheme="minorHAnsi"/>
          <w:sz w:val="22"/>
          <w:szCs w:val="22"/>
          <w:lang w:val="es-EC" w:eastAsia="en-US"/>
        </w:rPr>
        <w:t>, para todos los lotes.</w:t>
      </w:r>
    </w:p>
    <w:p w:rsidR="00935049" w:rsidRPr="00B405C0" w:rsidRDefault="00935049" w:rsidP="00935049">
      <w:pPr>
        <w:autoSpaceDE w:val="0"/>
        <w:autoSpaceDN w:val="0"/>
        <w:adjustRightInd w:val="0"/>
        <w:spacing w:before="240" w:line="276" w:lineRule="auto"/>
        <w:jc w:val="both"/>
        <w:rPr>
          <w:sz w:val="22"/>
          <w:szCs w:val="22"/>
        </w:rPr>
      </w:pPr>
      <w:r w:rsidRPr="00B405C0">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935049" w:rsidRPr="00B405C0" w:rsidRDefault="00935049" w:rsidP="00935049">
      <w:pPr>
        <w:spacing w:after="240" w:line="276" w:lineRule="auto"/>
        <w:contextualSpacing/>
        <w:jc w:val="both"/>
        <w:rPr>
          <w:b/>
          <w:sz w:val="22"/>
          <w:szCs w:val="22"/>
        </w:rPr>
      </w:pPr>
    </w:p>
    <w:p w:rsidR="00935049" w:rsidRPr="00B405C0" w:rsidRDefault="00935049" w:rsidP="00935049">
      <w:pPr>
        <w:spacing w:after="240" w:line="276" w:lineRule="auto"/>
        <w:contextualSpacing/>
        <w:jc w:val="both"/>
        <w:rPr>
          <w:sz w:val="22"/>
          <w:szCs w:val="22"/>
        </w:rPr>
      </w:pPr>
      <w:r w:rsidRPr="00B405C0">
        <w:rPr>
          <w:b/>
          <w:sz w:val="22"/>
          <w:szCs w:val="22"/>
        </w:rPr>
        <w:lastRenderedPageBreak/>
        <w:t>Articulo 10.-</w:t>
      </w:r>
      <w:r w:rsidRPr="00B405C0">
        <w:rPr>
          <w:sz w:val="22"/>
          <w:szCs w:val="22"/>
        </w:rPr>
        <w:t xml:space="preserve"> </w:t>
      </w:r>
      <w:r w:rsidRPr="00B405C0">
        <w:rPr>
          <w:b/>
          <w:bCs/>
          <w:sz w:val="22"/>
          <w:szCs w:val="22"/>
        </w:rPr>
        <w:t xml:space="preserve">De las vías y Pasajes. - </w:t>
      </w:r>
      <w:r w:rsidRPr="00B405C0">
        <w:rPr>
          <w:sz w:val="22"/>
          <w:szCs w:val="22"/>
        </w:rPr>
        <w:t>El asentamiento humano de hecho y consolidado de interés social</w:t>
      </w:r>
      <w:r w:rsidRPr="00B405C0">
        <w:rPr>
          <w:bCs/>
          <w:iCs/>
          <w:sz w:val="22"/>
          <w:szCs w:val="22"/>
        </w:rPr>
        <w:t xml:space="preserve"> 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 xml:space="preserve">contempla un sistema vial de uso público, debido a que éste es un asentamiento humano de hecho y consolidado de interés social de 28 años de existencia, con </w:t>
      </w:r>
      <w:r w:rsidRPr="00B405C0">
        <w:rPr>
          <w:color w:val="000000" w:themeColor="text1"/>
          <w:sz w:val="22"/>
          <w:szCs w:val="22"/>
        </w:rPr>
        <w:t>50</w:t>
      </w:r>
      <w:r w:rsidRPr="00B405C0">
        <w:rPr>
          <w:sz w:val="22"/>
          <w:szCs w:val="22"/>
        </w:rPr>
        <w:t xml:space="preserve">% de consolidación de viviendas y se encuentra ejecutando obras de infraestructura, razón por la cual los anchos viales se sujetarán al plano adjunto a la presente ordenanza. </w:t>
      </w:r>
    </w:p>
    <w:p w:rsidR="00935049" w:rsidRPr="00B405C0" w:rsidRDefault="00935049" w:rsidP="00935049">
      <w:pPr>
        <w:pStyle w:val="Textoindependiente"/>
        <w:spacing w:line="276" w:lineRule="auto"/>
        <w:jc w:val="both"/>
        <w:rPr>
          <w:sz w:val="22"/>
          <w:szCs w:val="22"/>
        </w:rPr>
      </w:pPr>
      <w:r w:rsidRPr="00B405C0">
        <w:rPr>
          <w:sz w:val="22"/>
          <w:szCs w:val="22"/>
        </w:rPr>
        <w:t>Se regularizan las calles y los pasajes con los siguientes anchos:</w:t>
      </w:r>
    </w:p>
    <w:tbl>
      <w:tblPr>
        <w:tblStyle w:val="Tablaconcuadrcula"/>
        <w:tblW w:w="0" w:type="auto"/>
        <w:tblInd w:w="108" w:type="dxa"/>
        <w:tblLook w:val="04A0" w:firstRow="1" w:lastRow="0" w:firstColumn="1" w:lastColumn="0" w:noHBand="0" w:noVBand="1"/>
      </w:tblPr>
      <w:tblGrid>
        <w:gridCol w:w="3083"/>
        <w:gridCol w:w="5588"/>
      </w:tblGrid>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CALLE Oe23H</w:t>
            </w:r>
          </w:p>
        </w:tc>
        <w:tc>
          <w:tcPr>
            <w:tcW w:w="5670" w:type="dxa"/>
            <w:vAlign w:val="center"/>
          </w:tcPr>
          <w:p w:rsidR="00935049" w:rsidRPr="00B405C0" w:rsidRDefault="00935049" w:rsidP="002F01B2">
            <w:pPr>
              <w:rPr>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CALLE N81D</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PASAJE Oe24</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PASAJE N82A</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12.00m</w:t>
            </w:r>
          </w:p>
        </w:tc>
      </w:tr>
    </w:tbl>
    <w:p w:rsidR="00935049" w:rsidRPr="00B405C0" w:rsidRDefault="00935049" w:rsidP="00935049">
      <w:pPr>
        <w:tabs>
          <w:tab w:val="left" w:pos="4935"/>
        </w:tabs>
        <w:spacing w:line="276" w:lineRule="auto"/>
        <w:jc w:val="both"/>
        <w:rPr>
          <w:sz w:val="22"/>
          <w:szCs w:val="22"/>
        </w:rPr>
      </w:pPr>
      <w:r w:rsidRPr="00B405C0">
        <w:rPr>
          <w:sz w:val="22"/>
          <w:szCs w:val="22"/>
        </w:rPr>
        <w:tab/>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11.- De las obras a ejecutarse. - </w:t>
      </w:r>
      <w:r w:rsidRPr="00B405C0">
        <w:rPr>
          <w:sz w:val="22"/>
          <w:szCs w:val="22"/>
        </w:rPr>
        <w:t xml:space="preserve">Las obras civiles y de infraestructura a ejecutarse en el asentamiento humano de hecho y consolidado de interés social, son las siguientes: </w:t>
      </w:r>
    </w:p>
    <w:tbl>
      <w:tblPr>
        <w:tblStyle w:val="Tablaconcuadrcula"/>
        <w:tblW w:w="0" w:type="auto"/>
        <w:tblInd w:w="108" w:type="dxa"/>
        <w:tblLook w:val="04A0" w:firstRow="1" w:lastRow="0" w:firstColumn="1" w:lastColumn="0" w:noHBand="0" w:noVBand="1"/>
      </w:tblPr>
      <w:tblGrid>
        <w:gridCol w:w="3090"/>
        <w:gridCol w:w="5581"/>
      </w:tblGrid>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color w:val="000000" w:themeColor="text1"/>
                <w:sz w:val="22"/>
                <w:szCs w:val="22"/>
              </w:rPr>
              <w:t>Bordillos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Aceras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Calzadas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60"/>
        </w:trPr>
        <w:tc>
          <w:tcPr>
            <w:tcW w:w="3119" w:type="dxa"/>
            <w:vAlign w:val="center"/>
          </w:tcPr>
          <w:p w:rsidR="00935049" w:rsidRPr="00B405C0" w:rsidRDefault="00935049" w:rsidP="002F01B2">
            <w:pPr>
              <w:shd w:val="clear" w:color="auto" w:fill="FFFFFF"/>
              <w:spacing w:line="276" w:lineRule="auto"/>
              <w:rPr>
                <w:color w:val="000000" w:themeColor="text1"/>
                <w:sz w:val="22"/>
                <w:szCs w:val="22"/>
              </w:rPr>
            </w:pPr>
            <w:r w:rsidRPr="00B405C0">
              <w:rPr>
                <w:bCs/>
                <w:sz w:val="22"/>
                <w:szCs w:val="22"/>
              </w:rPr>
              <w:t>Agua Potable</w:t>
            </w:r>
          </w:p>
        </w:tc>
        <w:tc>
          <w:tcPr>
            <w:tcW w:w="5670" w:type="dxa"/>
          </w:tcPr>
          <w:p w:rsidR="00935049" w:rsidRPr="00736A1C" w:rsidRDefault="00935049" w:rsidP="002F01B2">
            <w:pPr>
              <w:rPr>
                <w:sz w:val="22"/>
                <w:szCs w:val="22"/>
              </w:rPr>
            </w:pPr>
            <w:r w:rsidRPr="00B405C0">
              <w:rPr>
                <w:bCs/>
                <w:sz w:val="22"/>
                <w:szCs w:val="22"/>
              </w:rPr>
              <w:t>100%</w:t>
            </w:r>
          </w:p>
        </w:tc>
      </w:tr>
      <w:tr w:rsidR="00935049" w:rsidRPr="00B405C0" w:rsidTr="002F01B2">
        <w:trPr>
          <w:trHeight w:val="245"/>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Alcantarillado</w:t>
            </w:r>
          </w:p>
        </w:tc>
        <w:tc>
          <w:tcPr>
            <w:tcW w:w="5670" w:type="dxa"/>
          </w:tcPr>
          <w:p w:rsidR="00935049" w:rsidRPr="00736A1C" w:rsidRDefault="00935049" w:rsidP="002F01B2">
            <w:pPr>
              <w:rPr>
                <w:sz w:val="22"/>
                <w:szCs w:val="22"/>
              </w:rPr>
            </w:pPr>
            <w:r w:rsidRPr="00B405C0">
              <w:rPr>
                <w:bCs/>
                <w:sz w:val="22"/>
                <w:szCs w:val="22"/>
              </w:rPr>
              <w:t>100%</w:t>
            </w:r>
          </w:p>
        </w:tc>
      </w:tr>
      <w:tr w:rsidR="00935049" w:rsidRPr="00B405C0" w:rsidTr="002F01B2">
        <w:trPr>
          <w:trHeight w:val="71"/>
        </w:trPr>
        <w:tc>
          <w:tcPr>
            <w:tcW w:w="3119"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Energía Eléctrica</w:t>
            </w:r>
          </w:p>
        </w:tc>
        <w:tc>
          <w:tcPr>
            <w:tcW w:w="5670" w:type="dxa"/>
          </w:tcPr>
          <w:p w:rsidR="00935049" w:rsidRPr="00736A1C" w:rsidRDefault="00935049" w:rsidP="002F01B2">
            <w:pPr>
              <w:rPr>
                <w:sz w:val="22"/>
                <w:szCs w:val="22"/>
              </w:rPr>
            </w:pPr>
            <w:r w:rsidRPr="00B405C0">
              <w:rPr>
                <w:bCs/>
                <w:sz w:val="22"/>
                <w:szCs w:val="22"/>
              </w:rPr>
              <w:t>10</w:t>
            </w:r>
            <w:r>
              <w:rPr>
                <w:bCs/>
                <w:sz w:val="22"/>
                <w:szCs w:val="22"/>
              </w:rPr>
              <w:t>0</w:t>
            </w:r>
            <w:r w:rsidRPr="00B405C0">
              <w:rPr>
                <w:bCs/>
                <w:sz w:val="22"/>
                <w:szCs w:val="22"/>
              </w:rPr>
              <w:t>%</w:t>
            </w:r>
          </w:p>
        </w:tc>
      </w:tr>
    </w:tbl>
    <w:p w:rsidR="00935049" w:rsidRPr="00B405C0" w:rsidRDefault="00935049" w:rsidP="00935049">
      <w:pPr>
        <w:pStyle w:val="Textoindependiente"/>
        <w:spacing w:line="276" w:lineRule="auto"/>
        <w:jc w:val="both"/>
        <w:rPr>
          <w:b/>
          <w:bCs/>
          <w:sz w:val="22"/>
          <w:szCs w:val="22"/>
        </w:rPr>
      </w:pPr>
    </w:p>
    <w:p w:rsidR="00935049" w:rsidRPr="00B405C0" w:rsidRDefault="00935049" w:rsidP="00935049">
      <w:pPr>
        <w:pStyle w:val="Textoindependiente"/>
        <w:spacing w:line="276" w:lineRule="auto"/>
        <w:jc w:val="both"/>
        <w:rPr>
          <w:iCs/>
          <w:sz w:val="22"/>
          <w:szCs w:val="22"/>
        </w:rPr>
      </w:pPr>
      <w:r w:rsidRPr="00736A1C">
        <w:rPr>
          <w:b/>
          <w:bCs/>
          <w:sz w:val="22"/>
          <w:szCs w:val="22"/>
        </w:rPr>
        <w:t>Artículo 12.- Del plazo de ejecución de las obras.-</w:t>
      </w:r>
      <w:r w:rsidRPr="00736A1C">
        <w:rPr>
          <w:sz w:val="22"/>
          <w:szCs w:val="22"/>
        </w:rPr>
        <w:t xml:space="preserve"> </w:t>
      </w:r>
      <w:r w:rsidRPr="00B405C0">
        <w:rPr>
          <w:sz w:val="22"/>
          <w:szCs w:val="22"/>
          <w:lang w:val="es-EC"/>
        </w:rPr>
        <w:t xml:space="preserve">El plazo de ejecución de la totalidad de las obras civiles y de infraestructura, será de hasta cinco (5) años, </w:t>
      </w:r>
      <w:r w:rsidRPr="00B405C0">
        <w:rPr>
          <w:iCs/>
          <w:sz w:val="22"/>
          <w:szCs w:val="22"/>
        </w:rPr>
        <w:t xml:space="preserve">de conformidad al cronograma de obras presentado por </w:t>
      </w:r>
      <w:r w:rsidRPr="00B405C0">
        <w:rPr>
          <w:sz w:val="22"/>
          <w:szCs w:val="22"/>
        </w:rPr>
        <w:t>los copropietarios del inmueble donde se ubica el asentamiento humano de hecho y consolidado de interés social</w:t>
      </w:r>
      <w:r w:rsidRPr="00B405C0">
        <w:rPr>
          <w:b/>
          <w:sz w:val="22"/>
          <w:szCs w:val="22"/>
        </w:rPr>
        <w:t xml:space="preserve">, </w:t>
      </w:r>
      <w:r w:rsidRPr="00B405C0">
        <w:rPr>
          <w:sz w:val="22"/>
          <w:szCs w:val="22"/>
        </w:rPr>
        <w:t>y aprobado por la mesa institucional</w:t>
      </w:r>
      <w:r w:rsidRPr="00B405C0">
        <w:rPr>
          <w:b/>
          <w:sz w:val="22"/>
          <w:szCs w:val="22"/>
        </w:rPr>
        <w:t xml:space="preserve">, </w:t>
      </w:r>
      <w:r w:rsidRPr="00B405C0">
        <w:rPr>
          <w:iCs/>
          <w:sz w:val="22"/>
          <w:szCs w:val="22"/>
        </w:rPr>
        <w:t>plazo que se contará a partir de la fecha de inscripción de la presente Ordenanza en el Registro de la Propiedad del Distrito Metropolitano de Quito.</w:t>
      </w:r>
    </w:p>
    <w:p w:rsidR="00935049" w:rsidRPr="00B405C0" w:rsidRDefault="00935049" w:rsidP="00935049">
      <w:pPr>
        <w:pStyle w:val="Textoindependiente"/>
        <w:spacing w:line="276" w:lineRule="auto"/>
        <w:jc w:val="both"/>
        <w:rPr>
          <w:bCs/>
          <w:sz w:val="22"/>
          <w:szCs w:val="22"/>
        </w:rPr>
      </w:pPr>
      <w:r w:rsidRPr="00B405C0">
        <w:rPr>
          <w:b/>
          <w:bCs/>
          <w:sz w:val="22"/>
          <w:szCs w:val="22"/>
        </w:rPr>
        <w:t xml:space="preserve">Artículo 13.- Del control de ejecución de las obras.- </w:t>
      </w:r>
      <w:r w:rsidRPr="00B405C0">
        <w:rPr>
          <w:bCs/>
          <w:sz w:val="22"/>
          <w:szCs w:val="22"/>
        </w:rPr>
        <w:t xml:space="preserve">La Administración Zonal La Delicia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w:t>
      </w:r>
      <w:proofErr w:type="gramStart"/>
      <w:r w:rsidRPr="00B405C0">
        <w:rPr>
          <w:bCs/>
          <w:sz w:val="22"/>
          <w:szCs w:val="22"/>
        </w:rPr>
        <w:t>expedido</w:t>
      </w:r>
      <w:proofErr w:type="gramEnd"/>
      <w:r w:rsidRPr="00B405C0">
        <w:rPr>
          <w:bCs/>
          <w:sz w:val="22"/>
          <w:szCs w:val="22"/>
        </w:rPr>
        <w:t xml:space="preserve"> por la Administración Zonal La Delicia, será indispensable para cancelar la hipoteca.</w:t>
      </w:r>
    </w:p>
    <w:p w:rsidR="00935049" w:rsidRPr="00736A1C" w:rsidRDefault="00935049" w:rsidP="00935049">
      <w:pPr>
        <w:shd w:val="clear" w:color="auto" w:fill="FFFFFF"/>
        <w:spacing w:after="240" w:line="276" w:lineRule="auto"/>
        <w:jc w:val="both"/>
        <w:rPr>
          <w:sz w:val="22"/>
          <w:szCs w:val="22"/>
        </w:rPr>
      </w:pPr>
      <w:r w:rsidRPr="00736A1C">
        <w:rPr>
          <w:b/>
          <w:bCs/>
          <w:sz w:val="22"/>
          <w:szCs w:val="22"/>
        </w:rPr>
        <w:t>Artículo</w:t>
      </w:r>
      <w:r w:rsidRPr="00736A1C">
        <w:rPr>
          <w:b/>
          <w:bCs/>
          <w:sz w:val="22"/>
          <w:szCs w:val="22"/>
          <w:lang w:val="es-ES_tradnl"/>
        </w:rPr>
        <w:t xml:space="preserve"> 14.- De la multa por retraso en ejecución de obras.- </w:t>
      </w:r>
      <w:r w:rsidRPr="00736A1C">
        <w:rPr>
          <w:sz w:val="22"/>
          <w:szCs w:val="22"/>
          <w:lang w:val="es-ES_tradnl"/>
        </w:rPr>
        <w:t xml:space="preserve">En caso de retraso en la ejecución de las obras </w:t>
      </w:r>
      <w:r w:rsidRPr="00736A1C">
        <w:rPr>
          <w:sz w:val="22"/>
          <w:szCs w:val="22"/>
          <w:lang w:val="es-EC"/>
        </w:rPr>
        <w:t>civiles y de infraestructura</w:t>
      </w:r>
      <w:r w:rsidRPr="00736A1C">
        <w:rPr>
          <w:sz w:val="22"/>
          <w:szCs w:val="22"/>
          <w:lang w:val="es-ES_tradnl"/>
        </w:rPr>
        <w:t>,</w:t>
      </w:r>
      <w:r w:rsidRPr="00736A1C">
        <w:rPr>
          <w:color w:val="0D0D0D"/>
          <w:sz w:val="22"/>
          <w:szCs w:val="22"/>
        </w:rPr>
        <w:t xml:space="preserve"> los copropietarios del inmueble sobre el cual se ubica </w:t>
      </w:r>
      <w:r w:rsidRPr="00736A1C">
        <w:rPr>
          <w:sz w:val="22"/>
          <w:szCs w:val="22"/>
        </w:rPr>
        <w:t>el asentamiento humano de hecho y consolidado de interés social</w:t>
      </w:r>
      <w:r w:rsidRPr="00736A1C">
        <w:rPr>
          <w:b/>
          <w:sz w:val="22"/>
          <w:szCs w:val="22"/>
        </w:rPr>
        <w:t xml:space="preserve"> </w:t>
      </w:r>
      <w:r w:rsidRPr="00736A1C">
        <w:rPr>
          <w:sz w:val="22"/>
          <w:szCs w:val="22"/>
        </w:rPr>
        <w:t xml:space="preserve">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736A1C">
        <w:rPr>
          <w:bCs/>
          <w:color w:val="000000"/>
          <w:sz w:val="22"/>
          <w:szCs w:val="22"/>
        </w:rPr>
        <w:t>se sujetará a las sanciones contempladas en el Ordenamiento Jurídico Nacional y Metropolitano.</w:t>
      </w:r>
    </w:p>
    <w:p w:rsidR="00935049" w:rsidRPr="00736A1C" w:rsidRDefault="00935049" w:rsidP="00935049">
      <w:pPr>
        <w:pStyle w:val="Textoindependiente"/>
        <w:tabs>
          <w:tab w:val="left" w:pos="1306"/>
        </w:tabs>
        <w:spacing w:after="240" w:line="276" w:lineRule="auto"/>
        <w:jc w:val="both"/>
        <w:rPr>
          <w:sz w:val="22"/>
          <w:szCs w:val="22"/>
        </w:rPr>
      </w:pPr>
      <w:r w:rsidRPr="00736A1C">
        <w:rPr>
          <w:b/>
          <w:bCs/>
          <w:iCs/>
          <w:sz w:val="22"/>
          <w:szCs w:val="22"/>
        </w:rPr>
        <w:t xml:space="preserve">Artículo 15.- De la garantía de ejecución de las obras.- </w:t>
      </w:r>
      <w:r w:rsidRPr="00736A1C">
        <w:rPr>
          <w:sz w:val="22"/>
          <w:szCs w:val="22"/>
        </w:rPr>
        <w:t xml:space="preserve">Los lotes producto del fraccionamiento donde se encuentra ubicado el asentamiento humano de hecho y consolidado de interés social </w:t>
      </w:r>
      <w:r w:rsidRPr="00736A1C">
        <w:rPr>
          <w:sz w:val="22"/>
          <w:szCs w:val="22"/>
        </w:rPr>
        <w:lastRenderedPageBreak/>
        <w:t xml:space="preserve">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B405C0">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El gravamen constituido a favor de la Municipalidad deberá constar en cada escritura individualizada.</w:t>
      </w:r>
    </w:p>
    <w:p w:rsidR="00935049" w:rsidRPr="00736A1C" w:rsidRDefault="00935049" w:rsidP="00935049">
      <w:pPr>
        <w:spacing w:after="240" w:line="276" w:lineRule="auto"/>
        <w:jc w:val="both"/>
        <w:rPr>
          <w:sz w:val="22"/>
          <w:szCs w:val="22"/>
          <w:lang w:val="es-ES_tradnl"/>
        </w:rPr>
      </w:pPr>
      <w:r w:rsidRPr="00736A1C">
        <w:rPr>
          <w:b/>
          <w:bCs/>
          <w:sz w:val="22"/>
          <w:szCs w:val="22"/>
        </w:rPr>
        <w:t>Artículo</w:t>
      </w:r>
      <w:r w:rsidRPr="00736A1C">
        <w:rPr>
          <w:b/>
          <w:bCs/>
          <w:sz w:val="22"/>
          <w:szCs w:val="22"/>
          <w:lang w:val="es-ES_tradnl"/>
        </w:rPr>
        <w:t xml:space="preserve"> 16.- De la Protocolización e inscripción de la Ordenanza. -  </w:t>
      </w:r>
      <w:r w:rsidRPr="00736A1C">
        <w:rPr>
          <w:sz w:val="22"/>
          <w:szCs w:val="22"/>
          <w:lang w:val="es-EC"/>
        </w:rPr>
        <w:t xml:space="preserve">Los copropietarios del predio del </w:t>
      </w:r>
      <w:r w:rsidRPr="00736A1C">
        <w:rPr>
          <w:sz w:val="22"/>
          <w:szCs w:val="22"/>
        </w:rPr>
        <w:t>asentamiento humano de hecho y consolidado de interés social</w:t>
      </w:r>
      <w:r w:rsidRPr="00736A1C">
        <w:rPr>
          <w:bCs/>
          <w:color w:val="000000"/>
          <w:sz w:val="22"/>
          <w:szCs w:val="22"/>
        </w:rPr>
        <w:t xml:space="preserve"> 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736A1C">
        <w:rPr>
          <w:sz w:val="22"/>
          <w:szCs w:val="22"/>
          <w:lang w:val="es-ES_tradnl"/>
        </w:rPr>
        <w:t xml:space="preserve">deberán </w:t>
      </w:r>
      <w:r w:rsidRPr="00736A1C">
        <w:rPr>
          <w:sz w:val="22"/>
          <w:szCs w:val="22"/>
          <w:lang w:val="es-EC"/>
        </w:rPr>
        <w:t xml:space="preserve">protocolizar la presente Ordenanza ante Notario Público e inscribirla en el Registro de la Propiedad del Distrito Metropolitano de Quito, </w:t>
      </w:r>
      <w:r w:rsidRPr="00736A1C">
        <w:rPr>
          <w:sz w:val="22"/>
          <w:szCs w:val="22"/>
          <w:lang w:val="es-ES_tradnl"/>
        </w:rPr>
        <w:t>con todos sus documentos habilitantes</w:t>
      </w:r>
      <w:r w:rsidRPr="00736A1C">
        <w:rPr>
          <w:sz w:val="22"/>
          <w:szCs w:val="22"/>
          <w:lang w:val="es-EC"/>
        </w:rPr>
        <w:t>;</w:t>
      </w:r>
      <w:r w:rsidRPr="00736A1C">
        <w:rPr>
          <w:sz w:val="22"/>
          <w:szCs w:val="22"/>
          <w:lang w:val="es-ES_tradnl"/>
        </w:rPr>
        <w:t xml:space="preserve"> </w:t>
      </w:r>
    </w:p>
    <w:p w:rsidR="00935049" w:rsidRPr="00736A1C" w:rsidRDefault="00935049" w:rsidP="00935049">
      <w:pPr>
        <w:spacing w:after="240"/>
        <w:ind w:left="1"/>
        <w:jc w:val="both"/>
        <w:rPr>
          <w:bCs/>
          <w:sz w:val="22"/>
          <w:szCs w:val="22"/>
          <w:lang w:val="es-ES_tradnl"/>
        </w:rPr>
      </w:pPr>
      <w:r w:rsidRPr="00736A1C">
        <w:rPr>
          <w:bCs/>
          <w:sz w:val="22"/>
          <w:szCs w:val="22"/>
          <w:lang w:val="es-ES_tradnl"/>
        </w:rPr>
        <w:t xml:space="preserve">En caso de no legalizar la presente ordenanza, ésta caducará en el plazo de tres (03) años de conformidad con lo dispuesto en el artículo </w:t>
      </w:r>
      <w:r w:rsidRPr="00736A1C">
        <w:rPr>
          <w:rFonts w:eastAsiaTheme="minorHAnsi"/>
          <w:sz w:val="22"/>
          <w:szCs w:val="22"/>
          <w:lang w:val="es-EC" w:eastAsia="en-US"/>
        </w:rPr>
        <w:t>IV.7.64 de la Ordenanza No. 001 de 29 de marzo de 2019</w:t>
      </w:r>
      <w:r w:rsidRPr="00736A1C">
        <w:rPr>
          <w:bCs/>
          <w:sz w:val="22"/>
          <w:szCs w:val="22"/>
          <w:lang w:val="es-ES_tradnl"/>
        </w:rPr>
        <w:t xml:space="preserve">. </w:t>
      </w:r>
    </w:p>
    <w:p w:rsidR="00935049" w:rsidRPr="00736A1C" w:rsidRDefault="00935049" w:rsidP="00935049">
      <w:pPr>
        <w:spacing w:after="240"/>
        <w:ind w:left="1"/>
        <w:jc w:val="both"/>
        <w:rPr>
          <w:bCs/>
          <w:sz w:val="22"/>
          <w:szCs w:val="22"/>
          <w:lang w:val="es-ES_tradnl"/>
        </w:rPr>
      </w:pPr>
      <w:r w:rsidRPr="00736A1C">
        <w:rPr>
          <w:sz w:val="22"/>
          <w:szCs w:val="22"/>
          <w:lang w:val="es-ES_tradnl"/>
        </w:rPr>
        <w:t>La inscripción de la presente ordenanza servirá como título de dominio para efectos de la transferencia de áreas municipales.</w:t>
      </w:r>
    </w:p>
    <w:p w:rsidR="00935049" w:rsidRPr="00B405C0" w:rsidRDefault="00935049" w:rsidP="00935049">
      <w:pPr>
        <w:pStyle w:val="Textoindependiente"/>
        <w:spacing w:before="240" w:line="276" w:lineRule="auto"/>
        <w:jc w:val="both"/>
        <w:rPr>
          <w:sz w:val="22"/>
          <w:szCs w:val="22"/>
          <w:lang w:val="es-ES_tradnl"/>
        </w:rPr>
      </w:pPr>
      <w:r w:rsidRPr="00736A1C">
        <w:rPr>
          <w:b/>
          <w:sz w:val="22"/>
          <w:szCs w:val="22"/>
          <w:lang w:val="es-ES_tradnl"/>
        </w:rPr>
        <w:t>Artículo 17.- De la partición y adjudicación.-</w:t>
      </w:r>
      <w:r w:rsidRPr="00736A1C">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r w:rsidRPr="00B405C0">
        <w:rPr>
          <w:sz w:val="22"/>
          <w:szCs w:val="22"/>
          <w:lang w:val="es-ES_tradnl"/>
        </w:rPr>
        <w:t xml:space="preserve">  </w:t>
      </w:r>
    </w:p>
    <w:p w:rsidR="00935049" w:rsidRPr="00B405C0" w:rsidRDefault="00935049" w:rsidP="00935049">
      <w:pPr>
        <w:pStyle w:val="Textoindependiente"/>
        <w:spacing w:line="276" w:lineRule="auto"/>
        <w:jc w:val="both"/>
        <w:rPr>
          <w:sz w:val="22"/>
          <w:szCs w:val="22"/>
          <w:lang w:val="es-ES_tradnl"/>
        </w:rPr>
      </w:pPr>
      <w:r w:rsidRPr="00B405C0">
        <w:rPr>
          <w:b/>
          <w:sz w:val="22"/>
          <w:szCs w:val="22"/>
          <w:lang w:val="es-ES_tradnl"/>
        </w:rPr>
        <w:t xml:space="preserve">Artículo 18.- Solicitudes de ampliación de plazo.- </w:t>
      </w:r>
      <w:r w:rsidRPr="00B405C0">
        <w:rPr>
          <w:sz w:val="22"/>
          <w:szCs w:val="22"/>
          <w:lang w:val="es-ES_tradnl"/>
        </w:rPr>
        <w:t xml:space="preserve">Las solicitudes de ampliación de plazo para ejecución de obras civiles </w:t>
      </w:r>
      <w:r w:rsidRPr="00B405C0">
        <w:rPr>
          <w:sz w:val="22"/>
          <w:szCs w:val="22"/>
          <w:lang w:val="es-EC"/>
        </w:rPr>
        <w:t>y de infraestructura serán</w:t>
      </w:r>
      <w:r w:rsidRPr="00B405C0">
        <w:rPr>
          <w:sz w:val="22"/>
          <w:szCs w:val="22"/>
          <w:lang w:val="es-ES_tradnl"/>
        </w:rPr>
        <w:t xml:space="preserve"> resueltas por la Administración Zonal correspondiente. </w:t>
      </w:r>
    </w:p>
    <w:p w:rsidR="00935049" w:rsidRPr="00B405C0" w:rsidRDefault="00935049" w:rsidP="00935049">
      <w:pPr>
        <w:pStyle w:val="Textoindependiente"/>
        <w:spacing w:line="276" w:lineRule="auto"/>
        <w:jc w:val="both"/>
        <w:rPr>
          <w:sz w:val="22"/>
          <w:szCs w:val="22"/>
          <w:lang w:val="es-ES_tradnl"/>
        </w:rPr>
      </w:pPr>
      <w:r w:rsidRPr="00B405C0">
        <w:rPr>
          <w:sz w:val="22"/>
          <w:szCs w:val="22"/>
          <w:lang w:val="es-ES_tradnl"/>
        </w:rPr>
        <w:t>La Administración Zonal La Delicia deberá notificar a los copropietarios del asentamiento 6 meses antes a la conclusión del plazo establecido.</w:t>
      </w:r>
    </w:p>
    <w:p w:rsidR="00935049" w:rsidRPr="00B405C0" w:rsidRDefault="00935049" w:rsidP="00935049">
      <w:pPr>
        <w:pStyle w:val="Textoindependiente"/>
        <w:spacing w:line="276" w:lineRule="auto"/>
        <w:jc w:val="both"/>
        <w:rPr>
          <w:sz w:val="22"/>
          <w:szCs w:val="22"/>
          <w:lang w:val="es-ES_tradnl"/>
        </w:rPr>
      </w:pPr>
      <w:r w:rsidRPr="00B405C0">
        <w:rPr>
          <w:sz w:val="22"/>
          <w:szCs w:val="22"/>
          <w:lang w:val="es-ES_tradnl"/>
        </w:rPr>
        <w:t>Dicha solicitud para ser evaluada, deberá ser presentada con al menos tres meses de anticipación a la conclusión del plazo establecido para la ejecución de las obras referidas y debidamente justificadas.</w:t>
      </w:r>
    </w:p>
    <w:p w:rsidR="00935049" w:rsidRPr="00B405C0" w:rsidRDefault="00935049" w:rsidP="00935049">
      <w:pPr>
        <w:pStyle w:val="Textoindependiente"/>
        <w:spacing w:before="240" w:after="0" w:line="276" w:lineRule="auto"/>
        <w:jc w:val="both"/>
        <w:rPr>
          <w:b/>
          <w:sz w:val="22"/>
          <w:szCs w:val="22"/>
          <w:lang w:val="es-ES_tradnl"/>
        </w:rPr>
      </w:pPr>
      <w:r w:rsidRPr="00B405C0">
        <w:rPr>
          <w:b/>
          <w:sz w:val="22"/>
          <w:szCs w:val="22"/>
          <w:lang w:val="es-ES_tradnl"/>
        </w:rPr>
        <w:t>Artículo 19.- Potestad de ejecución.-</w:t>
      </w:r>
      <w:r w:rsidRPr="00B405C0">
        <w:rPr>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B405C0">
        <w:rPr>
          <w:b/>
          <w:sz w:val="22"/>
          <w:szCs w:val="22"/>
          <w:lang w:val="es-ES_tradnl"/>
        </w:rPr>
        <w:t xml:space="preserve"> </w:t>
      </w:r>
    </w:p>
    <w:p w:rsidR="00935049" w:rsidRPr="00B405C0" w:rsidRDefault="00935049" w:rsidP="00935049">
      <w:pPr>
        <w:pStyle w:val="Textoindependiente"/>
        <w:spacing w:after="0" w:line="276" w:lineRule="auto"/>
        <w:jc w:val="both"/>
        <w:rPr>
          <w:sz w:val="22"/>
          <w:szCs w:val="22"/>
          <w:lang w:val="es-ES_tradnl"/>
        </w:rPr>
      </w:pPr>
    </w:p>
    <w:p w:rsidR="00935049" w:rsidRPr="00B405C0" w:rsidRDefault="00935049" w:rsidP="00935049">
      <w:pPr>
        <w:pStyle w:val="Ttulo3"/>
        <w:spacing w:line="276" w:lineRule="auto"/>
        <w:jc w:val="center"/>
        <w:rPr>
          <w:rFonts w:ascii="Times New Roman" w:hAnsi="Times New Roman" w:cs="Times New Roman"/>
          <w:sz w:val="22"/>
          <w:szCs w:val="22"/>
          <w:lang w:val="es-ES_tradnl"/>
        </w:rPr>
      </w:pPr>
    </w:p>
    <w:p w:rsidR="00935049" w:rsidRPr="00B405C0" w:rsidRDefault="00935049" w:rsidP="00935049">
      <w:pPr>
        <w:pStyle w:val="Ttulo3"/>
        <w:spacing w:line="276" w:lineRule="auto"/>
        <w:jc w:val="center"/>
        <w:rPr>
          <w:rFonts w:ascii="Times New Roman" w:hAnsi="Times New Roman" w:cs="Times New Roman"/>
          <w:sz w:val="22"/>
          <w:szCs w:val="22"/>
          <w:lang w:val="es-ES_tradnl"/>
        </w:rPr>
      </w:pPr>
      <w:r w:rsidRPr="00B405C0">
        <w:rPr>
          <w:rFonts w:ascii="Times New Roman" w:hAnsi="Times New Roman" w:cs="Times New Roman"/>
          <w:sz w:val="22"/>
          <w:szCs w:val="22"/>
          <w:lang w:val="es-ES_tradnl"/>
        </w:rPr>
        <w:t>Disposiciones Generales</w:t>
      </w:r>
    </w:p>
    <w:p w:rsidR="00935049" w:rsidRPr="00B405C0" w:rsidRDefault="00935049" w:rsidP="00935049">
      <w:pPr>
        <w:rPr>
          <w:sz w:val="22"/>
          <w:szCs w:val="22"/>
          <w:lang w:val="es-ES_tradnl"/>
        </w:rPr>
      </w:pPr>
    </w:p>
    <w:p w:rsidR="00935049" w:rsidRPr="00B405C0" w:rsidRDefault="00935049" w:rsidP="00935049">
      <w:pPr>
        <w:pStyle w:val="Textoindependiente"/>
        <w:spacing w:line="276" w:lineRule="auto"/>
        <w:jc w:val="both"/>
        <w:rPr>
          <w:b/>
          <w:sz w:val="22"/>
          <w:szCs w:val="22"/>
          <w:lang w:val="es-ES_tradnl"/>
        </w:rPr>
      </w:pPr>
      <w:r w:rsidRPr="00B405C0">
        <w:rPr>
          <w:b/>
          <w:sz w:val="22"/>
          <w:szCs w:val="22"/>
          <w:lang w:val="es-ES_tradnl"/>
        </w:rPr>
        <w:t xml:space="preserve">Primera.- </w:t>
      </w:r>
      <w:r w:rsidRPr="00B405C0">
        <w:rPr>
          <w:sz w:val="22"/>
          <w:szCs w:val="22"/>
          <w:lang w:val="es-ES_tradnl"/>
        </w:rPr>
        <w:t>Todos los anexos adjuntos al proyecto de regularización son documentos habilitantes de esta Ordenanza</w:t>
      </w:r>
      <w:r w:rsidRPr="00B405C0">
        <w:rPr>
          <w:b/>
          <w:sz w:val="22"/>
          <w:szCs w:val="22"/>
          <w:lang w:val="es-ES_tradnl"/>
        </w:rPr>
        <w:t>.</w:t>
      </w:r>
    </w:p>
    <w:p w:rsidR="00935049" w:rsidRPr="00B405C0" w:rsidRDefault="00935049" w:rsidP="00935049">
      <w:pPr>
        <w:pStyle w:val="Textoindependiente"/>
        <w:spacing w:before="240" w:after="0" w:line="276" w:lineRule="auto"/>
        <w:jc w:val="both"/>
        <w:rPr>
          <w:sz w:val="22"/>
          <w:szCs w:val="22"/>
          <w:lang w:val="es-ES_tradnl"/>
        </w:rPr>
      </w:pPr>
      <w:r w:rsidRPr="00B405C0">
        <w:rPr>
          <w:b/>
          <w:sz w:val="22"/>
          <w:szCs w:val="22"/>
          <w:lang w:val="es-ES_tradnl"/>
        </w:rPr>
        <w:t xml:space="preserve">Segunda.-  </w:t>
      </w:r>
      <w:r w:rsidRPr="00B405C0">
        <w:rPr>
          <w:sz w:val="22"/>
          <w:szCs w:val="22"/>
          <w:lang w:val="es-ES_tradnl"/>
        </w:rPr>
        <w:t xml:space="preserve">De acuerdo al Oficio No. </w:t>
      </w:r>
      <w:r w:rsidRPr="00B405C0">
        <w:rPr>
          <w:sz w:val="22"/>
          <w:szCs w:val="22"/>
        </w:rPr>
        <w:t xml:space="preserve">GADDMQ-SGSG-DMGR-2019-0854-OF, de 28 de octubre de 2019, </w:t>
      </w:r>
      <w:r w:rsidRPr="00B405C0">
        <w:rPr>
          <w:sz w:val="22"/>
          <w:szCs w:val="22"/>
          <w:lang w:val="es-ES_tradnl"/>
        </w:rPr>
        <w:t xml:space="preserve">los copropietarios del asentamiento deberán cumplir las siguientes disposiciones, además de las recomendaciones generales y normativa legal vigente contenida en este mismo oficio y en el informe </w:t>
      </w:r>
      <w:r w:rsidRPr="00B405C0">
        <w:rPr>
          <w:sz w:val="22"/>
          <w:szCs w:val="22"/>
        </w:rPr>
        <w:t>No. 272-AT-DMGR-2017, de 07 de diciembre de 2017</w:t>
      </w:r>
      <w:r w:rsidRPr="00B405C0">
        <w:rPr>
          <w:color w:val="000000" w:themeColor="text1"/>
          <w:sz w:val="22"/>
          <w:szCs w:val="22"/>
        </w:rPr>
        <w:t>.</w:t>
      </w:r>
    </w:p>
    <w:p w:rsidR="00935049" w:rsidRPr="00B405C0" w:rsidRDefault="00935049" w:rsidP="00935049">
      <w:pPr>
        <w:pStyle w:val="Prrafodelista"/>
        <w:numPr>
          <w:ilvl w:val="0"/>
          <w:numId w:val="1"/>
        </w:numPr>
        <w:autoSpaceDE w:val="0"/>
        <w:autoSpaceDN w:val="0"/>
        <w:adjustRightInd w:val="0"/>
        <w:spacing w:before="240" w:line="276" w:lineRule="auto"/>
        <w:ind w:left="360"/>
        <w:jc w:val="both"/>
        <w:rPr>
          <w:rFonts w:eastAsiaTheme="minorHAnsi"/>
          <w:iCs/>
          <w:sz w:val="22"/>
          <w:szCs w:val="22"/>
          <w:lang w:val="es-EC" w:eastAsia="en-US"/>
        </w:rPr>
      </w:pPr>
      <w:r w:rsidRPr="00B405C0">
        <w:rPr>
          <w:rFonts w:eastAsiaTheme="minorHAnsi"/>
          <w:iCs/>
          <w:sz w:val="22"/>
          <w:szCs w:val="22"/>
          <w:lang w:val="es-EC" w:eastAsia="en-US"/>
        </w:rPr>
        <w:t xml:space="preserve">Se dispone que, el </w:t>
      </w:r>
      <w:r w:rsidRPr="00B405C0">
        <w:rPr>
          <w:sz w:val="22"/>
          <w:szCs w:val="22"/>
        </w:rPr>
        <w:t xml:space="preserve">asentamiento humano de hecho y consolidado </w:t>
      </w:r>
      <w:r w:rsidRPr="00B405C0">
        <w:rPr>
          <w:rFonts w:eastAsiaTheme="minorHAnsi"/>
          <w:iCs/>
          <w:sz w:val="22"/>
          <w:szCs w:val="22"/>
          <w:lang w:val="es-EC" w:eastAsia="en-US"/>
        </w:rPr>
        <w:t>mediante mingas comunitarias implemente sistemas de conducción de escorrentía (agua lluvia) en las calles de tierra afirmada para prevenir la erosión del suelo y arrastre de material que pueda afectar a viviendas y asentamientos humanos ubicados en cotas inferiores.</w:t>
      </w:r>
    </w:p>
    <w:p w:rsidR="00935049" w:rsidRPr="00B405C0" w:rsidRDefault="00935049" w:rsidP="00935049">
      <w:pPr>
        <w:pStyle w:val="Prrafodelista"/>
        <w:numPr>
          <w:ilvl w:val="0"/>
          <w:numId w:val="1"/>
        </w:numPr>
        <w:autoSpaceDE w:val="0"/>
        <w:autoSpaceDN w:val="0"/>
        <w:adjustRightInd w:val="0"/>
        <w:spacing w:before="240" w:line="276" w:lineRule="auto"/>
        <w:ind w:left="360"/>
        <w:jc w:val="both"/>
        <w:rPr>
          <w:rFonts w:eastAsiaTheme="minorHAnsi"/>
          <w:iCs/>
          <w:sz w:val="22"/>
          <w:szCs w:val="22"/>
          <w:lang w:val="es-EC" w:eastAsia="en-US"/>
        </w:rPr>
      </w:pPr>
      <w:r w:rsidRPr="00B405C0">
        <w:rPr>
          <w:rFonts w:eastAsiaTheme="minorHAnsi"/>
          <w:iCs/>
          <w:sz w:val="22"/>
          <w:szCs w:val="22"/>
          <w:lang w:val="es-EC" w:eastAsia="en-US"/>
        </w:rPr>
        <w:t xml:space="preserve">Se dispone que, los propietarios y/o posesionarios del asentamiento humano de hecho y consolidado no construyan más viviendas en el </w:t>
      </w:r>
      <w:proofErr w:type="spellStart"/>
      <w:r w:rsidRPr="00B405C0">
        <w:rPr>
          <w:rFonts w:eastAsiaTheme="minorHAnsi"/>
          <w:iCs/>
          <w:sz w:val="22"/>
          <w:szCs w:val="22"/>
          <w:lang w:val="es-EC" w:eastAsia="en-US"/>
        </w:rPr>
        <w:t>macrolote</w:t>
      </w:r>
      <w:proofErr w:type="spellEnd"/>
      <w:r w:rsidRPr="00B405C0">
        <w:rPr>
          <w:rFonts w:eastAsiaTheme="minorHAnsi"/>
          <w:iCs/>
          <w:sz w:val="22"/>
          <w:szCs w:val="22"/>
          <w:lang w:val="es-EC" w:eastAsia="en-US"/>
        </w:rPr>
        <w:t xml:space="preserve"> evaluado, ni aumenten pisos sobre las edificaciones existentes, hasta que el proceso de regularización del asentamiento culmine y se determine su regulación constructiva específica que deberá constar en sus Informes de Regulación Metropolitana individuales, previa emisión de la licencia de construcción de la autoridad competente.</w:t>
      </w:r>
    </w:p>
    <w:p w:rsidR="00935049" w:rsidRPr="00B405C0" w:rsidRDefault="00935049" w:rsidP="00935049">
      <w:pPr>
        <w:autoSpaceDE w:val="0"/>
        <w:autoSpaceDN w:val="0"/>
        <w:adjustRightInd w:val="0"/>
        <w:spacing w:before="240" w:line="276" w:lineRule="auto"/>
        <w:jc w:val="both"/>
        <w:rPr>
          <w:rFonts w:eastAsiaTheme="minorHAnsi"/>
          <w:i/>
          <w:iCs/>
          <w:sz w:val="22"/>
          <w:szCs w:val="22"/>
          <w:lang w:val="es-EC" w:eastAsia="en-US"/>
        </w:rPr>
      </w:pPr>
      <w:r w:rsidRPr="00B405C0">
        <w:rPr>
          <w:rFonts w:eastAsiaTheme="minorHAnsi"/>
          <w:iCs/>
          <w:sz w:val="22"/>
          <w:szCs w:val="22"/>
          <w:lang w:val="es-EC" w:eastAsia="en-US"/>
        </w:rPr>
        <w:t xml:space="preserve">La Unidad Especial Regula Tu Barrio debe comunicar a la comunidad del </w:t>
      </w:r>
      <w:r w:rsidRPr="00B405C0">
        <w:rPr>
          <w:sz w:val="22"/>
          <w:szCs w:val="22"/>
        </w:rPr>
        <w:t>asentamiento humano de hecho y consolidado de interés social denominado</w:t>
      </w:r>
      <w:r w:rsidRPr="00736A1C">
        <w:rPr>
          <w:rFonts w:eastAsiaTheme="minorHAnsi"/>
          <w:iCs/>
          <w:sz w:val="22"/>
          <w:szCs w:val="22"/>
          <w:lang w:val="es-EC" w:eastAsia="en-US"/>
        </w:rPr>
        <w:t xml:space="preserve"> “</w:t>
      </w:r>
      <w:proofErr w:type="spellStart"/>
      <w:r w:rsidRPr="00736A1C">
        <w:rPr>
          <w:rFonts w:eastAsiaTheme="minorHAnsi"/>
          <w:iCs/>
          <w:sz w:val="22"/>
          <w:szCs w:val="22"/>
          <w:lang w:val="es-EC" w:eastAsia="en-US"/>
        </w:rPr>
        <w:t>Catzuquí</w:t>
      </w:r>
      <w:proofErr w:type="spellEnd"/>
      <w:r w:rsidRPr="00736A1C">
        <w:rPr>
          <w:rFonts w:eastAsiaTheme="minorHAnsi"/>
          <w:iCs/>
          <w:sz w:val="22"/>
          <w:szCs w:val="22"/>
          <w:lang w:val="es-EC" w:eastAsia="en-US"/>
        </w:rPr>
        <w:t xml:space="preserve"> de Moncayo” Etapa III, lo descrito en el presente informe, especialmente la </w:t>
      </w:r>
      <w:r w:rsidRPr="00B405C0">
        <w:rPr>
          <w:rFonts w:eastAsiaTheme="minorHAnsi"/>
          <w:iCs/>
          <w:sz w:val="22"/>
          <w:szCs w:val="22"/>
          <w:lang w:val="es-EC" w:eastAsia="en-US"/>
        </w:rPr>
        <w:t>calificación del riesgo ante las diferentes amenazas analizadas y las respectivas recomendaciones</w:t>
      </w:r>
      <w:r w:rsidRPr="00B405C0">
        <w:rPr>
          <w:rFonts w:eastAsiaTheme="minorHAnsi"/>
          <w:i/>
          <w:iCs/>
          <w:sz w:val="22"/>
          <w:szCs w:val="22"/>
          <w:lang w:val="es-EC" w:eastAsia="en-US"/>
        </w:rPr>
        <w:t xml:space="preserve"> </w:t>
      </w:r>
      <w:r w:rsidRPr="00B405C0">
        <w:rPr>
          <w:rFonts w:eastAsiaTheme="minorHAnsi"/>
          <w:iCs/>
          <w:sz w:val="22"/>
          <w:szCs w:val="22"/>
          <w:lang w:val="es-EC" w:eastAsia="en-US"/>
        </w:rPr>
        <w:t>técnicas</w:t>
      </w:r>
      <w:r w:rsidRPr="00B405C0">
        <w:rPr>
          <w:rFonts w:eastAsiaTheme="minorHAnsi"/>
          <w:i/>
          <w:iCs/>
          <w:sz w:val="22"/>
          <w:szCs w:val="22"/>
          <w:lang w:val="es-EC" w:eastAsia="en-US"/>
        </w:rPr>
        <w:t>.</w:t>
      </w:r>
    </w:p>
    <w:p w:rsidR="00935049" w:rsidRPr="00B405C0" w:rsidRDefault="00935049" w:rsidP="00935049">
      <w:pPr>
        <w:autoSpaceDE w:val="0"/>
        <w:autoSpaceDN w:val="0"/>
        <w:adjustRightInd w:val="0"/>
        <w:jc w:val="both"/>
        <w:rPr>
          <w:rFonts w:eastAsiaTheme="minorHAnsi"/>
          <w:i/>
          <w:iCs/>
          <w:sz w:val="22"/>
          <w:szCs w:val="22"/>
          <w:lang w:val="es-EC" w:eastAsia="en-US"/>
        </w:rPr>
      </w:pPr>
      <w:r w:rsidRPr="00B405C0">
        <w:rPr>
          <w:sz w:val="22"/>
          <w:szCs w:val="22"/>
          <w:lang w:val="es-ES_tradnl"/>
        </w:rPr>
        <w:t xml:space="preserve"> </w:t>
      </w:r>
    </w:p>
    <w:p w:rsidR="00935049" w:rsidRPr="00B405C0" w:rsidRDefault="00935049" w:rsidP="00935049">
      <w:pPr>
        <w:pStyle w:val="Textoindependiente"/>
        <w:spacing w:line="276" w:lineRule="auto"/>
        <w:jc w:val="both"/>
        <w:rPr>
          <w:sz w:val="22"/>
          <w:szCs w:val="22"/>
          <w:lang w:val="es-ES_tradnl"/>
        </w:rPr>
      </w:pPr>
      <w:r w:rsidRPr="00B405C0">
        <w:rPr>
          <w:b/>
          <w:sz w:val="22"/>
          <w:szCs w:val="22"/>
          <w:lang w:val="es-ES_tradnl"/>
        </w:rPr>
        <w:t xml:space="preserve">Disposición Final.- </w:t>
      </w:r>
      <w:r w:rsidRPr="00B405C0">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935049" w:rsidRPr="00736A1C" w:rsidRDefault="00935049" w:rsidP="00935049">
      <w:pPr>
        <w:pStyle w:val="Textoindependiente"/>
        <w:spacing w:line="276" w:lineRule="auto"/>
        <w:jc w:val="both"/>
        <w:rPr>
          <w:sz w:val="22"/>
          <w:szCs w:val="22"/>
          <w:lang w:val="es-ES_tradnl"/>
        </w:rPr>
      </w:pPr>
    </w:p>
    <w:p w:rsidR="00935049" w:rsidRPr="00B405C0" w:rsidRDefault="00935049" w:rsidP="00935049">
      <w:pPr>
        <w:pStyle w:val="Textoindependiente"/>
        <w:spacing w:line="276" w:lineRule="auto"/>
        <w:jc w:val="both"/>
        <w:rPr>
          <w:sz w:val="22"/>
          <w:szCs w:val="22"/>
        </w:rPr>
      </w:pPr>
      <w:r w:rsidRPr="00B405C0">
        <w:rPr>
          <w:sz w:val="22"/>
          <w:szCs w:val="22"/>
        </w:rPr>
        <w:t xml:space="preserve">Dada, en la Sala de Sesiones del Concejo Metropolitano de Quito, </w:t>
      </w:r>
      <w:proofErr w:type="gramStart"/>
      <w:r w:rsidRPr="00B405C0">
        <w:rPr>
          <w:sz w:val="22"/>
          <w:szCs w:val="22"/>
        </w:rPr>
        <w:t>el.……</w:t>
      </w:r>
      <w:proofErr w:type="gramEnd"/>
      <w:r w:rsidRPr="00B405C0">
        <w:rPr>
          <w:sz w:val="22"/>
          <w:szCs w:val="22"/>
        </w:rPr>
        <w:t xml:space="preserve"> de …………. del 2020</w:t>
      </w:r>
    </w:p>
    <w:p w:rsidR="00935049" w:rsidRPr="00B405C0" w:rsidRDefault="00935049" w:rsidP="00935049">
      <w:pPr>
        <w:jc w:val="both"/>
        <w:rPr>
          <w:sz w:val="22"/>
          <w:szCs w:val="22"/>
        </w:rPr>
      </w:pPr>
    </w:p>
    <w:p w:rsidR="00935049" w:rsidRPr="00B405C0" w:rsidRDefault="00935049" w:rsidP="00935049">
      <w:pPr>
        <w:jc w:val="both"/>
        <w:rPr>
          <w:sz w:val="22"/>
          <w:szCs w:val="22"/>
        </w:rPr>
      </w:pPr>
    </w:p>
    <w:p w:rsidR="00935049" w:rsidRPr="00B405C0" w:rsidRDefault="00935049" w:rsidP="00935049">
      <w:pPr>
        <w:jc w:val="both"/>
        <w:rPr>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Abg. Damaris Priscila Ort</w:t>
      </w:r>
      <w:r>
        <w:rPr>
          <w:rFonts w:ascii="Times New Roman" w:eastAsia="MS Mincho" w:hAnsi="Times New Roman"/>
          <w:sz w:val="22"/>
          <w:szCs w:val="22"/>
        </w:rPr>
        <w:t>i</w:t>
      </w:r>
      <w:r w:rsidRPr="00B405C0">
        <w:rPr>
          <w:rFonts w:ascii="Times New Roman" w:eastAsia="MS Mincho" w:hAnsi="Times New Roman"/>
          <w:sz w:val="22"/>
          <w:szCs w:val="22"/>
        </w:rPr>
        <w:t xml:space="preserve">z </w:t>
      </w:r>
      <w:proofErr w:type="spellStart"/>
      <w:r w:rsidRPr="00B405C0">
        <w:rPr>
          <w:rFonts w:ascii="Times New Roman" w:eastAsia="MS Mincho" w:hAnsi="Times New Roman"/>
          <w:sz w:val="22"/>
          <w:szCs w:val="22"/>
        </w:rPr>
        <w:t>Pasuy</w:t>
      </w:r>
      <w:proofErr w:type="spellEnd"/>
    </w:p>
    <w:p w:rsidR="00935049" w:rsidRPr="00B405C0" w:rsidRDefault="00935049" w:rsidP="00935049">
      <w:pPr>
        <w:pStyle w:val="Textosinformato"/>
        <w:spacing w:after="240"/>
        <w:jc w:val="center"/>
        <w:rPr>
          <w:rFonts w:ascii="Times New Roman" w:eastAsia="MS Mincho" w:hAnsi="Times New Roman"/>
          <w:b/>
          <w:bCs/>
          <w:sz w:val="22"/>
          <w:szCs w:val="22"/>
        </w:rPr>
      </w:pPr>
      <w:r w:rsidRPr="00B405C0">
        <w:rPr>
          <w:rFonts w:ascii="Times New Roman" w:eastAsia="MS Mincho" w:hAnsi="Times New Roman"/>
          <w:b/>
          <w:bCs/>
          <w:sz w:val="22"/>
          <w:szCs w:val="22"/>
        </w:rPr>
        <w:t>SECRETARIA GENERAL DEL CONCEJO METROPOLITANO DE QUITO (E)</w:t>
      </w:r>
    </w:p>
    <w:p w:rsidR="00935049" w:rsidRPr="00B405C0" w:rsidRDefault="00935049" w:rsidP="00935049">
      <w:pPr>
        <w:pStyle w:val="Textopredeterminado"/>
        <w:shd w:val="clear" w:color="auto" w:fill="FFFFFF"/>
        <w:jc w:val="both"/>
        <w:rPr>
          <w:sz w:val="22"/>
          <w:szCs w:val="22"/>
          <w:lang w:val="es-ES"/>
        </w:rPr>
      </w:pPr>
    </w:p>
    <w:p w:rsidR="00935049" w:rsidRPr="00B405C0" w:rsidRDefault="00935049" w:rsidP="00935049">
      <w:pPr>
        <w:pStyle w:val="Ttulo1"/>
        <w:jc w:val="center"/>
        <w:rPr>
          <w:rFonts w:ascii="Times New Roman" w:eastAsia="MS Mincho" w:hAnsi="Times New Roman" w:cs="Times New Roman"/>
          <w:color w:val="auto"/>
          <w:sz w:val="22"/>
          <w:szCs w:val="22"/>
        </w:rPr>
      </w:pPr>
      <w:r w:rsidRPr="00B405C0">
        <w:rPr>
          <w:rFonts w:ascii="Times New Roman" w:eastAsia="MS Mincho" w:hAnsi="Times New Roman" w:cs="Times New Roman"/>
          <w:color w:val="auto"/>
          <w:sz w:val="22"/>
          <w:szCs w:val="22"/>
        </w:rPr>
        <w:t>CERTIFICADO DE DISCUSIÓN</w:t>
      </w:r>
    </w:p>
    <w:p w:rsidR="00935049" w:rsidRPr="00B405C0" w:rsidRDefault="00935049" w:rsidP="00935049">
      <w:pPr>
        <w:jc w:val="center"/>
        <w:rPr>
          <w:rFonts w:eastAsia="MS Mincho"/>
          <w:sz w:val="22"/>
          <w:szCs w:val="22"/>
        </w:rPr>
      </w:pPr>
    </w:p>
    <w:p w:rsidR="00935049" w:rsidRPr="00B405C0" w:rsidRDefault="00935049" w:rsidP="00935049">
      <w:pPr>
        <w:pStyle w:val="Textoindependiente"/>
        <w:rPr>
          <w:rFonts w:eastAsia="MS Mincho"/>
          <w:sz w:val="22"/>
          <w:szCs w:val="22"/>
        </w:rPr>
      </w:pPr>
      <w:r w:rsidRPr="00B405C0">
        <w:rPr>
          <w:rFonts w:eastAsia="MS Mincho"/>
          <w:sz w:val="22"/>
          <w:szCs w:val="22"/>
        </w:rPr>
        <w:lastRenderedPageBreak/>
        <w:t>La infrascrita Secretaria General del Concejo Metropolitano de Quito, certifica que la presente ordenanza fue discutida y aprobada en dos debates, en sesiones de …</w:t>
      </w:r>
      <w:proofErr w:type="gramStart"/>
      <w:r w:rsidRPr="00B405C0">
        <w:rPr>
          <w:rFonts w:eastAsia="MS Mincho"/>
          <w:sz w:val="22"/>
          <w:szCs w:val="22"/>
        </w:rPr>
        <w:t>..de</w:t>
      </w:r>
      <w:proofErr w:type="gramEnd"/>
      <w:r w:rsidRPr="00B405C0">
        <w:rPr>
          <w:rFonts w:eastAsia="MS Mincho"/>
          <w:sz w:val="22"/>
          <w:szCs w:val="22"/>
        </w:rPr>
        <w:t xml:space="preserve"> ……..  </w:t>
      </w:r>
      <w:proofErr w:type="gramStart"/>
      <w:r w:rsidRPr="00B405C0">
        <w:rPr>
          <w:rFonts w:eastAsia="MS Mincho"/>
          <w:sz w:val="22"/>
          <w:szCs w:val="22"/>
        </w:rPr>
        <w:t>y</w:t>
      </w:r>
      <w:proofErr w:type="gramEnd"/>
      <w:r w:rsidRPr="00B405C0">
        <w:rPr>
          <w:rFonts w:eastAsia="MS Mincho"/>
          <w:sz w:val="22"/>
          <w:szCs w:val="22"/>
        </w:rPr>
        <w:t xml:space="preserve"> ….. </w:t>
      </w:r>
      <w:proofErr w:type="gramStart"/>
      <w:r w:rsidRPr="00B405C0">
        <w:rPr>
          <w:rFonts w:eastAsia="MS Mincho"/>
          <w:sz w:val="22"/>
          <w:szCs w:val="22"/>
        </w:rPr>
        <w:t>de</w:t>
      </w:r>
      <w:proofErr w:type="gramEnd"/>
      <w:r w:rsidRPr="00B405C0">
        <w:rPr>
          <w:rFonts w:eastAsia="MS Mincho"/>
          <w:sz w:val="22"/>
          <w:szCs w:val="22"/>
        </w:rPr>
        <w:t xml:space="preserve"> …………. de 2020- Quito,</w:t>
      </w:r>
    </w:p>
    <w:p w:rsidR="00935049" w:rsidRPr="00B405C0" w:rsidRDefault="00935049" w:rsidP="00935049">
      <w:pPr>
        <w:rPr>
          <w:rFonts w:eastAsia="MS Mincho"/>
          <w:sz w:val="22"/>
          <w:szCs w:val="22"/>
        </w:rPr>
      </w:pPr>
    </w:p>
    <w:p w:rsidR="00935049" w:rsidRPr="00B405C0" w:rsidRDefault="00935049" w:rsidP="00935049">
      <w:pPr>
        <w:rPr>
          <w:rFonts w:eastAsia="MS Mincho"/>
          <w:sz w:val="22"/>
          <w:szCs w:val="22"/>
        </w:rPr>
      </w:pPr>
    </w:p>
    <w:p w:rsidR="00935049" w:rsidRPr="00B405C0"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Abg. Damaris Priscila Ort</w:t>
      </w:r>
      <w:r>
        <w:rPr>
          <w:rFonts w:ascii="Times New Roman" w:eastAsia="MS Mincho" w:hAnsi="Times New Roman"/>
          <w:sz w:val="22"/>
          <w:szCs w:val="22"/>
        </w:rPr>
        <w:t>i</w:t>
      </w:r>
      <w:r w:rsidRPr="00B405C0">
        <w:rPr>
          <w:rFonts w:ascii="Times New Roman" w:eastAsia="MS Mincho" w:hAnsi="Times New Roman"/>
          <w:sz w:val="22"/>
          <w:szCs w:val="22"/>
        </w:rPr>
        <w:t xml:space="preserve">z </w:t>
      </w:r>
      <w:proofErr w:type="spellStart"/>
      <w:r w:rsidRPr="00B405C0">
        <w:rPr>
          <w:rFonts w:ascii="Times New Roman" w:eastAsia="MS Mincho" w:hAnsi="Times New Roman"/>
          <w:sz w:val="22"/>
          <w:szCs w:val="22"/>
        </w:rPr>
        <w:t>Pasuy</w:t>
      </w:r>
      <w:proofErr w:type="spellEnd"/>
    </w:p>
    <w:p w:rsidR="00935049" w:rsidRPr="00B405C0" w:rsidRDefault="00935049" w:rsidP="00935049">
      <w:pPr>
        <w:pStyle w:val="Textosinformato"/>
        <w:spacing w:after="240"/>
        <w:jc w:val="center"/>
        <w:rPr>
          <w:rFonts w:ascii="Times New Roman" w:eastAsia="MS Mincho" w:hAnsi="Times New Roman"/>
          <w:b/>
          <w:bCs/>
          <w:sz w:val="22"/>
          <w:szCs w:val="22"/>
        </w:rPr>
      </w:pPr>
      <w:r w:rsidRPr="00B405C0">
        <w:rPr>
          <w:rFonts w:ascii="Times New Roman" w:eastAsia="MS Mincho" w:hAnsi="Times New Roman"/>
          <w:b/>
          <w:bCs/>
          <w:sz w:val="22"/>
          <w:szCs w:val="22"/>
        </w:rPr>
        <w:t>SECRETARIA GENERAL DEL CONCEJO METROPOLITANO DE QUITO (E)</w:t>
      </w:r>
    </w:p>
    <w:p w:rsidR="00935049" w:rsidRPr="00736A1C" w:rsidRDefault="00935049" w:rsidP="00935049">
      <w:pPr>
        <w:rPr>
          <w:rFonts w:eastAsia="MS Mincho"/>
          <w:sz w:val="22"/>
          <w:szCs w:val="22"/>
        </w:rPr>
      </w:pPr>
    </w:p>
    <w:p w:rsidR="00935049" w:rsidRPr="00B405C0" w:rsidRDefault="00935049" w:rsidP="00935049">
      <w:pPr>
        <w:pStyle w:val="Ttulo3"/>
        <w:jc w:val="center"/>
        <w:rPr>
          <w:rFonts w:ascii="Times New Roman" w:eastAsia="MS Mincho" w:hAnsi="Times New Roman" w:cs="Times New Roman"/>
          <w:sz w:val="22"/>
          <w:szCs w:val="22"/>
        </w:rPr>
      </w:pPr>
      <w:r w:rsidRPr="00B405C0">
        <w:rPr>
          <w:rFonts w:ascii="Times New Roman" w:eastAsia="MS Mincho" w:hAnsi="Times New Roman" w:cs="Times New Roman"/>
          <w:sz w:val="22"/>
          <w:szCs w:val="22"/>
        </w:rPr>
        <w:t>ALCALDÍA DEL DISTRITO METROPOLITANO.- Distrito Metropolitano de Quito,</w:t>
      </w:r>
    </w:p>
    <w:p w:rsidR="00935049" w:rsidRPr="00736A1C" w:rsidRDefault="00935049" w:rsidP="00935049">
      <w:pPr>
        <w:rPr>
          <w:rFonts w:eastAsia="MS Mincho"/>
          <w:sz w:val="22"/>
          <w:szCs w:val="22"/>
        </w:rPr>
      </w:pPr>
    </w:p>
    <w:p w:rsidR="00935049" w:rsidRPr="00B405C0" w:rsidRDefault="00935049" w:rsidP="00935049">
      <w:pPr>
        <w:pStyle w:val="Ttulo1"/>
        <w:jc w:val="center"/>
        <w:rPr>
          <w:rFonts w:ascii="Times New Roman" w:eastAsia="MS Mincho" w:hAnsi="Times New Roman" w:cs="Times New Roman"/>
          <w:color w:val="auto"/>
          <w:sz w:val="22"/>
          <w:szCs w:val="22"/>
        </w:rPr>
      </w:pPr>
      <w:r w:rsidRPr="00B405C0">
        <w:rPr>
          <w:rFonts w:ascii="Times New Roman" w:eastAsia="MS Mincho" w:hAnsi="Times New Roman" w:cs="Times New Roman"/>
          <w:color w:val="auto"/>
          <w:sz w:val="22"/>
          <w:szCs w:val="22"/>
        </w:rPr>
        <w:t>EJECÚTESE:</w:t>
      </w:r>
    </w:p>
    <w:p w:rsidR="00935049" w:rsidRPr="00736A1C"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 xml:space="preserve">Dr. Jorge </w:t>
      </w:r>
      <w:proofErr w:type="spellStart"/>
      <w:r w:rsidRPr="00B405C0">
        <w:rPr>
          <w:rFonts w:ascii="Times New Roman" w:eastAsia="MS Mincho" w:hAnsi="Times New Roman"/>
          <w:sz w:val="22"/>
          <w:szCs w:val="22"/>
        </w:rPr>
        <w:t>Yunda</w:t>
      </w:r>
      <w:proofErr w:type="spellEnd"/>
      <w:r w:rsidRPr="00B405C0">
        <w:rPr>
          <w:rFonts w:ascii="Times New Roman" w:eastAsia="MS Mincho" w:hAnsi="Times New Roman"/>
          <w:sz w:val="22"/>
          <w:szCs w:val="22"/>
        </w:rPr>
        <w:t xml:space="preserve"> Machado</w:t>
      </w:r>
    </w:p>
    <w:p w:rsidR="00935049" w:rsidRPr="00B405C0" w:rsidRDefault="00935049" w:rsidP="00935049">
      <w:pPr>
        <w:pStyle w:val="Textosinformato"/>
        <w:jc w:val="center"/>
        <w:rPr>
          <w:rFonts w:ascii="Times New Roman" w:eastAsia="MS Mincho" w:hAnsi="Times New Roman"/>
          <w:b/>
          <w:bCs/>
          <w:sz w:val="22"/>
          <w:szCs w:val="22"/>
        </w:rPr>
      </w:pPr>
      <w:r w:rsidRPr="00B405C0">
        <w:rPr>
          <w:rFonts w:ascii="Times New Roman" w:eastAsia="MS Mincho" w:hAnsi="Times New Roman"/>
          <w:b/>
          <w:bCs/>
          <w:sz w:val="22"/>
          <w:szCs w:val="22"/>
        </w:rPr>
        <w:t>ALCALDE DEL DISTRITO METROPOLITANO DE QUITO</w:t>
      </w:r>
    </w:p>
    <w:p w:rsidR="00935049" w:rsidRPr="00B405C0"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b/>
          <w:bCs/>
          <w:sz w:val="22"/>
          <w:szCs w:val="22"/>
        </w:rPr>
        <w:t>CERTIFICO,</w:t>
      </w:r>
      <w:r w:rsidRPr="00B405C0">
        <w:rPr>
          <w:rFonts w:ascii="Times New Roman" w:eastAsia="MS Mincho" w:hAnsi="Times New Roman"/>
          <w:sz w:val="22"/>
          <w:szCs w:val="22"/>
        </w:rPr>
        <w:t xml:space="preserve"> que la presente ordenanza fue sancionada por el Dr. Jorge </w:t>
      </w:r>
      <w:proofErr w:type="spellStart"/>
      <w:r w:rsidRPr="00B405C0">
        <w:rPr>
          <w:rFonts w:ascii="Times New Roman" w:eastAsia="MS Mincho" w:hAnsi="Times New Roman"/>
          <w:sz w:val="22"/>
          <w:szCs w:val="22"/>
        </w:rPr>
        <w:t>Yunda</w:t>
      </w:r>
      <w:proofErr w:type="spellEnd"/>
      <w:r w:rsidRPr="00B405C0">
        <w:rPr>
          <w:rFonts w:ascii="Times New Roman" w:eastAsia="MS Mincho" w:hAnsi="Times New Roman"/>
          <w:sz w:val="22"/>
          <w:szCs w:val="22"/>
        </w:rPr>
        <w:t xml:space="preserve"> Machado</w:t>
      </w: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 Alcalde del Distrito Metropolitano de Quito, el</w:t>
      </w:r>
    </w:p>
    <w:p w:rsidR="00935049" w:rsidRPr="00B405C0" w:rsidRDefault="00935049" w:rsidP="00935049">
      <w:pPr>
        <w:pStyle w:val="Textosinformato"/>
        <w:tabs>
          <w:tab w:val="right" w:pos="8504"/>
        </w:tabs>
        <w:spacing w:line="276" w:lineRule="auto"/>
        <w:jc w:val="center"/>
        <w:rPr>
          <w:sz w:val="22"/>
          <w:szCs w:val="22"/>
        </w:rPr>
      </w:pPr>
      <w:r w:rsidRPr="00B405C0">
        <w:rPr>
          <w:rFonts w:ascii="Times New Roman" w:eastAsia="MS Mincho" w:hAnsi="Times New Roman"/>
          <w:sz w:val="22"/>
          <w:szCs w:val="22"/>
        </w:rPr>
        <w:t>.- Distrito Metropolitano de Quito,</w:t>
      </w:r>
    </w:p>
    <w:p w:rsidR="00E41473" w:rsidRDefault="00E41473"/>
    <w:sectPr w:rsidR="00E41473" w:rsidSect="005B6595">
      <w:headerReference w:type="even" r:id="rId10"/>
      <w:headerReference w:type="default" r:id="rId11"/>
      <w:footerReference w:type="default" r:id="rId12"/>
      <w:headerReference w:type="first" r:id="rId13"/>
      <w:pgSz w:w="11906" w:h="16838"/>
      <w:pgMar w:top="309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C7E" w:rsidRDefault="00031C7E" w:rsidP="00935049">
      <w:r>
        <w:separator/>
      </w:r>
    </w:p>
  </w:endnote>
  <w:endnote w:type="continuationSeparator" w:id="0">
    <w:p w:rsidR="00031C7E" w:rsidRDefault="00031C7E" w:rsidP="0093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941C3">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941C3">
      <w:rPr>
        <w:b/>
        <w:noProof/>
      </w:rPr>
      <w:t>12</w:t>
    </w:r>
    <w:r>
      <w:rPr>
        <w:b/>
        <w:sz w:val="24"/>
        <w:szCs w:val="24"/>
      </w:rPr>
      <w:fldChar w:fldCharType="end"/>
    </w:r>
  </w:p>
  <w:p w:rsidR="00B71A04" w:rsidRDefault="00031C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941C3">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941C3">
      <w:rPr>
        <w:b/>
        <w:noProof/>
      </w:rPr>
      <w:t>12</w:t>
    </w:r>
    <w:r>
      <w:rPr>
        <w:b/>
        <w:sz w:val="24"/>
        <w:szCs w:val="24"/>
      </w:rPr>
      <w:fldChar w:fldCharType="end"/>
    </w:r>
  </w:p>
  <w:p w:rsidR="00B71A04" w:rsidRDefault="00031C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941C3">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941C3">
      <w:rPr>
        <w:b/>
        <w:noProof/>
      </w:rPr>
      <w:t>12</w:t>
    </w:r>
    <w:r>
      <w:rPr>
        <w:b/>
        <w:sz w:val="24"/>
        <w:szCs w:val="24"/>
      </w:rPr>
      <w:fldChar w:fldCharType="end"/>
    </w:r>
  </w:p>
  <w:p w:rsidR="00B71A04" w:rsidRDefault="00031C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C7E" w:rsidRDefault="00031C7E" w:rsidP="00935049">
      <w:r>
        <w:separator/>
      </w:r>
    </w:p>
  </w:footnote>
  <w:footnote w:type="continuationSeparator" w:id="0">
    <w:p w:rsidR="00031C7E" w:rsidRDefault="00031C7E" w:rsidP="0093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031C7E">
    <w:pPr>
      <w:pStyle w:val="Encabezado"/>
      <w:rPr>
        <w:lang w:val="es-EC"/>
      </w:rPr>
    </w:pPr>
  </w:p>
  <w:p w:rsidR="00B71A04" w:rsidRDefault="00031C7E">
    <w:pPr>
      <w:pStyle w:val="Encabezado"/>
      <w:rPr>
        <w:lang w:val="es-EC"/>
      </w:rPr>
    </w:pPr>
  </w:p>
  <w:p w:rsidR="00B71A04" w:rsidRDefault="00031C7E">
    <w:pPr>
      <w:pStyle w:val="Encabezado"/>
      <w:rPr>
        <w:lang w:val="es-EC"/>
      </w:rPr>
    </w:pPr>
  </w:p>
  <w:p w:rsidR="00B71A04" w:rsidRDefault="00031C7E">
    <w:pPr>
      <w:pStyle w:val="Encabezado"/>
      <w:rPr>
        <w:lang w:val="es-EC"/>
      </w:rPr>
    </w:pPr>
  </w:p>
  <w:p w:rsidR="00B71A04" w:rsidRDefault="00031C7E" w:rsidP="00AD3778">
    <w:pPr>
      <w:rPr>
        <w:rFonts w:ascii="Palatino Linotype" w:hAnsi="Palatino Linotype" w:cs="Arial"/>
        <w:sz w:val="22"/>
        <w:szCs w:val="22"/>
      </w:rPr>
    </w:pPr>
  </w:p>
  <w:p w:rsidR="00B71A04" w:rsidRDefault="00031C7E" w:rsidP="00AD3778">
    <w:pPr>
      <w:rPr>
        <w:rFonts w:ascii="Palatino Linotype" w:hAnsi="Palatino Linotype" w:cs="Arial"/>
        <w:sz w:val="22"/>
        <w:szCs w:val="22"/>
      </w:rPr>
    </w:pPr>
  </w:p>
  <w:p w:rsidR="00B71A04" w:rsidRDefault="00031C7E" w:rsidP="00AD3778">
    <w:pPr>
      <w:rPr>
        <w:rFonts w:ascii="Palatino Linotype" w:hAnsi="Palatino Linotype" w:cs="Arial"/>
        <w:sz w:val="22"/>
        <w:szCs w:val="22"/>
      </w:rPr>
    </w:pPr>
  </w:p>
  <w:p w:rsidR="00B71A04" w:rsidRDefault="00031C7E" w:rsidP="00AD3778">
    <w:pPr>
      <w:rPr>
        <w:rFonts w:ascii="Palatino Linotype" w:hAnsi="Palatino Linotype" w:cs="Arial"/>
        <w:sz w:val="22"/>
        <w:szCs w:val="22"/>
      </w:rPr>
    </w:pPr>
  </w:p>
  <w:p w:rsidR="00B71A04" w:rsidRPr="00476B21" w:rsidRDefault="0036404F" w:rsidP="00AD3778">
    <w:pPr>
      <w:rPr>
        <w:rFonts w:ascii="Palatino Linotype" w:hAnsi="Palatino Linotype" w:cs="Arial"/>
        <w:sz w:val="22"/>
        <w:szCs w:val="22"/>
      </w:rPr>
    </w:pPr>
    <w:r w:rsidRPr="00716956">
      <w:rPr>
        <w:rFonts w:ascii="Palatino Linotype" w:hAnsi="Palatino Linotype" w:cs="Arial"/>
        <w:sz w:val="22"/>
        <w:szCs w:val="22"/>
      </w:rPr>
      <w:t>ORDENANZA No.</w:t>
    </w:r>
  </w:p>
  <w:p w:rsidR="00B71A04" w:rsidRPr="00150606" w:rsidRDefault="00031C7E">
    <w:pPr>
      <w:pStyle w:val="Encabezado"/>
      <w:rPr>
        <w:lang w:val="es-E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031C7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031C7E" w:rsidP="00935049">
    <w:pPr>
      <w:jc w:val="center"/>
      <w:rPr>
        <w:rFonts w:ascii="Palatino Linotype" w:hAnsi="Palatino Linotype" w:cs="Arial"/>
        <w:sz w:val="22"/>
        <w:szCs w:val="22"/>
      </w:rPr>
    </w:pPr>
  </w:p>
  <w:p w:rsidR="00B71A04" w:rsidRDefault="00031C7E" w:rsidP="00AD3778">
    <w:pPr>
      <w:rPr>
        <w:rFonts w:ascii="Palatino Linotype" w:hAnsi="Palatino Linotype" w:cs="Arial"/>
        <w:sz w:val="22"/>
        <w:szCs w:val="22"/>
      </w:rPr>
    </w:pPr>
  </w:p>
  <w:p w:rsidR="00B71A04" w:rsidRDefault="00031C7E" w:rsidP="00AD3778">
    <w:pPr>
      <w:rPr>
        <w:rFonts w:ascii="Palatino Linotype" w:hAnsi="Palatino Linotype" w:cs="Arial"/>
        <w:sz w:val="22"/>
        <w:szCs w:val="22"/>
      </w:rPr>
    </w:pPr>
  </w:p>
  <w:p w:rsidR="00B71A04" w:rsidRPr="009243E2" w:rsidRDefault="00031C7E" w:rsidP="009243E2"/>
  <w:p w:rsidR="00B71A04" w:rsidRPr="009243E2" w:rsidRDefault="0036404F" w:rsidP="00935049">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031C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1CD"/>
    <w:multiLevelType w:val="hybridMultilevel"/>
    <w:tmpl w:val="195433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49"/>
    <w:rsid w:val="00031C7E"/>
    <w:rsid w:val="0036404F"/>
    <w:rsid w:val="003941C3"/>
    <w:rsid w:val="008C072A"/>
    <w:rsid w:val="00935049"/>
    <w:rsid w:val="00E41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58B4-4A58-4549-8AD8-1B4C8080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04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93504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3504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935049"/>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935049"/>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49"/>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rsid w:val="00935049"/>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935049"/>
    <w:rPr>
      <w:rFonts w:ascii="Arial" w:eastAsia="Times New Roman" w:hAnsi="Arial" w:cs="Arial"/>
      <w:b/>
      <w:bCs/>
      <w:sz w:val="26"/>
      <w:szCs w:val="26"/>
      <w:lang w:eastAsia="es-ES"/>
    </w:rPr>
  </w:style>
  <w:style w:type="character" w:customStyle="1" w:styleId="Ttulo7Car">
    <w:name w:val="Título 7 Car"/>
    <w:basedOn w:val="Fuentedeprrafopredeter"/>
    <w:link w:val="Ttulo7"/>
    <w:rsid w:val="00935049"/>
    <w:rPr>
      <w:rFonts w:ascii="Calibri" w:eastAsia="Times New Roman" w:hAnsi="Calibri" w:cs="Times New Roman"/>
      <w:sz w:val="24"/>
      <w:szCs w:val="24"/>
      <w:lang w:eastAsia="es-ES"/>
    </w:rPr>
  </w:style>
  <w:style w:type="paragraph" w:styleId="Encabezado">
    <w:name w:val="header"/>
    <w:basedOn w:val="Normal"/>
    <w:link w:val="EncabezadoCar"/>
    <w:rsid w:val="00935049"/>
    <w:pPr>
      <w:tabs>
        <w:tab w:val="center" w:pos="4252"/>
        <w:tab w:val="right" w:pos="8504"/>
      </w:tabs>
    </w:pPr>
  </w:style>
  <w:style w:type="character" w:customStyle="1" w:styleId="EncabezadoCar">
    <w:name w:val="Encabezado Car"/>
    <w:basedOn w:val="Fuentedeprrafopredeter"/>
    <w:link w:val="Encabezado"/>
    <w:rsid w:val="0093504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35049"/>
    <w:pPr>
      <w:spacing w:after="120"/>
    </w:pPr>
  </w:style>
  <w:style w:type="character" w:customStyle="1" w:styleId="TextoindependienteCar">
    <w:name w:val="Texto independiente Car"/>
    <w:basedOn w:val="Fuentedeprrafopredeter"/>
    <w:link w:val="Textoindependiente"/>
    <w:rsid w:val="00935049"/>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35049"/>
    <w:rPr>
      <w:rFonts w:ascii="Courier New" w:hAnsi="Courier New"/>
    </w:rPr>
  </w:style>
  <w:style w:type="character" w:customStyle="1" w:styleId="TextosinformatoCar">
    <w:name w:val="Texto sin formato Car"/>
    <w:basedOn w:val="Fuentedeprrafopredeter"/>
    <w:link w:val="Textosinformato"/>
    <w:rsid w:val="00935049"/>
    <w:rPr>
      <w:rFonts w:ascii="Courier New" w:eastAsia="Times New Roman" w:hAnsi="Courier New" w:cs="Times New Roman"/>
      <w:sz w:val="20"/>
      <w:szCs w:val="20"/>
      <w:lang w:eastAsia="es-ES"/>
    </w:rPr>
  </w:style>
  <w:style w:type="paragraph" w:customStyle="1" w:styleId="Textopredeterminado">
    <w:name w:val="Texto predeterminado"/>
    <w:basedOn w:val="Normal"/>
    <w:rsid w:val="00935049"/>
    <w:rPr>
      <w:sz w:val="24"/>
      <w:lang w:val="es-ES_tradnl"/>
    </w:rPr>
  </w:style>
  <w:style w:type="paragraph" w:styleId="Piedepgina">
    <w:name w:val="footer"/>
    <w:basedOn w:val="Normal"/>
    <w:link w:val="PiedepginaCar"/>
    <w:uiPriority w:val="99"/>
    <w:rsid w:val="00935049"/>
    <w:pPr>
      <w:tabs>
        <w:tab w:val="center" w:pos="4419"/>
        <w:tab w:val="right" w:pos="8838"/>
      </w:tabs>
    </w:pPr>
  </w:style>
  <w:style w:type="character" w:customStyle="1" w:styleId="PiedepginaCar">
    <w:name w:val="Pie de página Car"/>
    <w:basedOn w:val="Fuentedeprrafopredeter"/>
    <w:link w:val="Piedepgina"/>
    <w:uiPriority w:val="99"/>
    <w:rsid w:val="00935049"/>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935049"/>
    <w:pPr>
      <w:spacing w:after="0" w:line="240" w:lineRule="auto"/>
    </w:pPr>
    <w:rPr>
      <w:rFonts w:ascii="Calibri" w:eastAsia="Calibri" w:hAnsi="Calibri" w:cs="Times New Roman"/>
      <w:lang w:val="es-EC"/>
    </w:rPr>
  </w:style>
  <w:style w:type="character" w:customStyle="1" w:styleId="TtuloCar">
    <w:name w:val="Título Car"/>
    <w:rsid w:val="00935049"/>
    <w:rPr>
      <w:b/>
      <w:bCs/>
      <w:sz w:val="24"/>
      <w:szCs w:val="24"/>
      <w:lang w:val="es-ES" w:eastAsia="es-ES"/>
    </w:rPr>
  </w:style>
  <w:style w:type="paragraph" w:styleId="Prrafodelista">
    <w:name w:val="List Paragraph"/>
    <w:basedOn w:val="Normal"/>
    <w:link w:val="PrrafodelistaCar"/>
    <w:uiPriority w:val="34"/>
    <w:qFormat/>
    <w:rsid w:val="00935049"/>
    <w:pPr>
      <w:ind w:left="708"/>
    </w:pPr>
  </w:style>
  <w:style w:type="character" w:customStyle="1" w:styleId="SinespaciadoCar">
    <w:name w:val="Sin espaciado Car"/>
    <w:link w:val="Sinespaciado"/>
    <w:uiPriority w:val="1"/>
    <w:rsid w:val="00935049"/>
    <w:rPr>
      <w:rFonts w:ascii="Calibri" w:eastAsia="Calibri" w:hAnsi="Calibri" w:cs="Times New Roman"/>
      <w:lang w:val="es-EC"/>
    </w:rPr>
  </w:style>
  <w:style w:type="paragraph" w:styleId="Puesto">
    <w:name w:val="Title"/>
    <w:basedOn w:val="Normal"/>
    <w:next w:val="Normal"/>
    <w:link w:val="PuestoCar"/>
    <w:uiPriority w:val="10"/>
    <w:qFormat/>
    <w:rsid w:val="0093504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5049"/>
    <w:rPr>
      <w:rFonts w:asciiTheme="majorHAnsi" w:eastAsiaTheme="majorEastAsia" w:hAnsiTheme="majorHAnsi" w:cstheme="majorBidi"/>
      <w:spacing w:val="-10"/>
      <w:kern w:val="28"/>
      <w:sz w:val="56"/>
      <w:szCs w:val="56"/>
      <w:lang w:eastAsia="es-ES"/>
    </w:rPr>
  </w:style>
  <w:style w:type="character" w:customStyle="1" w:styleId="PrrafodelistaCar">
    <w:name w:val="Párrafo de lista Car"/>
    <w:link w:val="Prrafodelista"/>
    <w:uiPriority w:val="34"/>
    <w:locked/>
    <w:rsid w:val="00935049"/>
    <w:rPr>
      <w:rFonts w:ascii="Times New Roman" w:eastAsia="Times New Roman" w:hAnsi="Times New Roman" w:cs="Times New Roman"/>
      <w:sz w:val="20"/>
      <w:szCs w:val="20"/>
      <w:lang w:eastAsia="es-ES"/>
    </w:rPr>
  </w:style>
  <w:style w:type="table" w:styleId="Tablaconcuadrcula">
    <w:name w:val="Table Grid"/>
    <w:basedOn w:val="Tablanormal"/>
    <w:uiPriority w:val="39"/>
    <w:rsid w:val="00935049"/>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35049"/>
    <w:pPr>
      <w:spacing w:after="120"/>
      <w:ind w:left="283"/>
    </w:pPr>
  </w:style>
  <w:style w:type="character" w:customStyle="1" w:styleId="SangradetextonormalCar">
    <w:name w:val="Sangría de texto normal Car"/>
    <w:basedOn w:val="Fuentedeprrafopredeter"/>
    <w:link w:val="Sangradetextonormal"/>
    <w:uiPriority w:val="99"/>
    <w:semiHidden/>
    <w:rsid w:val="00935049"/>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93504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35049"/>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4521</Words>
  <Characters>24871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Glenda Alexandra Allan Alegria</cp:lastModifiedBy>
  <cp:revision>2</cp:revision>
  <dcterms:created xsi:type="dcterms:W3CDTF">2020-04-17T00:19:00Z</dcterms:created>
  <dcterms:modified xsi:type="dcterms:W3CDTF">2020-04-17T00:19:00Z</dcterms:modified>
</cp:coreProperties>
</file>