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Default="00396B10" w:rsidP="004E782C">
      <w:pPr>
        <w:pStyle w:val="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1728" w:rsidRPr="009D3E21">
        <w:rPr>
          <w:rFonts w:ascii="Times New Roman" w:hAnsi="Times New Roman" w:cs="Times New Roman"/>
          <w:sz w:val="22"/>
          <w:szCs w:val="22"/>
        </w:rPr>
        <w:t>EXPOSICIÓN DE MOTIVOS</w:t>
      </w:r>
    </w:p>
    <w:p w:rsidR="00DB2668" w:rsidRPr="00DB2668" w:rsidRDefault="00DB2668" w:rsidP="00DB2668">
      <w:pPr>
        <w:pStyle w:val="Ttulo"/>
      </w:pPr>
    </w:p>
    <w:p w:rsidR="00A15C64" w:rsidRPr="009D3E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3E21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9D3E21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9D3E21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9D3E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</w:t>
      </w:r>
      <w:r w:rsidR="00DB2668">
        <w:rPr>
          <w:rFonts w:ascii="Times New Roman" w:hAnsi="Times New Roman" w:cs="Times New Roman"/>
          <w:b w:val="0"/>
          <w:sz w:val="22"/>
          <w:szCs w:val="22"/>
        </w:rPr>
        <w:t>Unidad Especial “Regula tu Barrio”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9D3E21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9D3E21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9D3E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9D3E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D532A3" w:rsidRPr="009D3E21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4E782C">
        <w:rPr>
          <w:rFonts w:ascii="Times New Roman" w:hAnsi="Times New Roman" w:cs="Times New Roman"/>
          <w:b w:val="0"/>
          <w:sz w:val="22"/>
          <w:szCs w:val="22"/>
        </w:rPr>
        <w:t>“Cuendina la Victoria II Etapa”</w:t>
      </w:r>
      <w:r w:rsidR="008F19E8" w:rsidRPr="009D3E21">
        <w:rPr>
          <w:rFonts w:ascii="Times New Roman" w:hAnsi="Times New Roman" w:cs="Times New Roman"/>
          <w:b w:val="0"/>
          <w:sz w:val="22"/>
          <w:szCs w:val="22"/>
        </w:rPr>
        <w:t>, ubicado</w:t>
      </w:r>
      <w:r w:rsidR="00A15C64" w:rsidRPr="009D3E21">
        <w:rPr>
          <w:rFonts w:ascii="Times New Roman" w:hAnsi="Times New Roman" w:cs="Times New Roman"/>
          <w:b w:val="0"/>
          <w:sz w:val="22"/>
          <w:szCs w:val="22"/>
        </w:rPr>
        <w:t xml:space="preserve"> en la parroquia </w:t>
      </w:r>
      <w:r w:rsidR="004E782C">
        <w:rPr>
          <w:rFonts w:ascii="Times New Roman" w:hAnsi="Times New Roman" w:cs="Times New Roman"/>
          <w:b w:val="0"/>
          <w:sz w:val="22"/>
          <w:szCs w:val="22"/>
        </w:rPr>
        <w:t>Amaguaña</w:t>
      </w:r>
      <w:r w:rsidR="00A15C64" w:rsidRPr="009D3E21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9D3E21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9D3E21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B95692" w:rsidRPr="00B8797B">
        <w:rPr>
          <w:rFonts w:ascii="Times New Roman" w:hAnsi="Times New Roman" w:cs="Times New Roman"/>
          <w:b w:val="0"/>
          <w:sz w:val="22"/>
          <w:szCs w:val="22"/>
        </w:rPr>
        <w:t>85.71%</w:t>
      </w:r>
      <w:r w:rsidR="00B95692">
        <w:rPr>
          <w:rFonts w:ascii="Times New Roman" w:hAnsi="Times New Roman" w:cs="Times New Roman"/>
          <w:sz w:val="22"/>
          <w:szCs w:val="22"/>
        </w:rPr>
        <w:t>;</w:t>
      </w:r>
      <w:r w:rsidR="00B95692" w:rsidRPr="00B8797B">
        <w:rPr>
          <w:rFonts w:ascii="Times New Roman" w:hAnsi="Times New Roman" w:cs="Times New Roman"/>
          <w:sz w:val="22"/>
          <w:szCs w:val="22"/>
        </w:rPr>
        <w:t xml:space="preserve"> 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B95692">
        <w:rPr>
          <w:rFonts w:ascii="Times New Roman" w:hAnsi="Times New Roman" w:cs="Times New Roman"/>
          <w:b w:val="0"/>
          <w:sz w:val="22"/>
          <w:szCs w:val="22"/>
        </w:rPr>
        <w:t>53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9D3E21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 sin </w:t>
      </w:r>
      <w:r w:rsidR="008F19E8" w:rsidRPr="009D3E21">
        <w:rPr>
          <w:rFonts w:ascii="Times New Roman" w:hAnsi="Times New Roman" w:cs="Times New Roman"/>
          <w:b w:val="0"/>
          <w:sz w:val="22"/>
          <w:szCs w:val="22"/>
        </w:rPr>
        <w:t>embargo,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 al momento de la sanción de la presente ordenanza el asentamiento cuenta con </w:t>
      </w:r>
      <w:r w:rsidR="00B95692">
        <w:rPr>
          <w:rFonts w:ascii="Times New Roman" w:hAnsi="Times New Roman" w:cs="Times New Roman"/>
          <w:b w:val="0"/>
          <w:sz w:val="22"/>
          <w:szCs w:val="22"/>
        </w:rPr>
        <w:t>54</w:t>
      </w:r>
      <w:r w:rsidR="008F19E8" w:rsidRPr="009D3E21">
        <w:rPr>
          <w:rFonts w:ascii="Times New Roman" w:hAnsi="Times New Roman" w:cs="Times New Roman"/>
          <w:b w:val="0"/>
          <w:sz w:val="22"/>
          <w:szCs w:val="22"/>
        </w:rPr>
        <w:t xml:space="preserve"> años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 de asentamiento</w:t>
      </w:r>
      <w:r w:rsidR="00D532A3" w:rsidRPr="009D3E2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95692">
        <w:rPr>
          <w:rFonts w:ascii="Times New Roman" w:hAnsi="Times New Roman" w:cs="Times New Roman"/>
          <w:b w:val="0"/>
          <w:sz w:val="22"/>
          <w:szCs w:val="22"/>
        </w:rPr>
        <w:t>14</w:t>
      </w:r>
      <w:r w:rsidR="008F19E8" w:rsidRPr="009D3E21">
        <w:rPr>
          <w:rFonts w:ascii="Times New Roman" w:hAnsi="Times New Roman" w:cs="Times New Roman"/>
          <w:b w:val="0"/>
          <w:sz w:val="22"/>
          <w:szCs w:val="22"/>
        </w:rPr>
        <w:t xml:space="preserve"> lotes</w:t>
      </w:r>
      <w:r w:rsidR="00AB3AA4" w:rsidRPr="009D3E21">
        <w:rPr>
          <w:rFonts w:ascii="Times New Roman" w:hAnsi="Times New Roman" w:cs="Times New Roman"/>
          <w:b w:val="0"/>
          <w:sz w:val="22"/>
          <w:szCs w:val="22"/>
        </w:rPr>
        <w:t xml:space="preserve"> a fraccionarse</w:t>
      </w:r>
      <w:r w:rsidR="006954C8" w:rsidRPr="009D3E21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B95692">
        <w:rPr>
          <w:rFonts w:ascii="Times New Roman" w:hAnsi="Times New Roman" w:cs="Times New Roman"/>
          <w:b w:val="0"/>
          <w:sz w:val="22"/>
          <w:szCs w:val="22"/>
        </w:rPr>
        <w:t>56</w:t>
      </w:r>
      <w:r w:rsidR="00AE6BF9" w:rsidRPr="009D3E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9D3E21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9D3E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3E21">
        <w:rPr>
          <w:rFonts w:ascii="Times New Roman" w:hAnsi="Times New Roman" w:cs="Times New Roman"/>
          <w:b w:val="0"/>
          <w:sz w:val="22"/>
          <w:szCs w:val="22"/>
        </w:rPr>
        <w:t>Dicho Asentamiento Humano de Hecho y Consolidado de Interés Social no cuenta con reconocimiento legal por parte de la Municipalidad, por lo</w:t>
      </w:r>
      <w:r w:rsidR="00D10366">
        <w:rPr>
          <w:rFonts w:ascii="Times New Roman" w:hAnsi="Times New Roman" w:cs="Times New Roman"/>
          <w:b w:val="0"/>
          <w:sz w:val="22"/>
          <w:szCs w:val="22"/>
        </w:rPr>
        <w:t xml:space="preserve"> que la Unidad Especial “Regula t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D10366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9D3E21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9D3E21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9D3E21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Default="00361728" w:rsidP="008113B3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3E21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9D3E21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9D3E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E782C">
        <w:rPr>
          <w:rFonts w:ascii="Times New Roman" w:hAnsi="Times New Roman" w:cs="Times New Roman"/>
          <w:b w:val="0"/>
          <w:sz w:val="22"/>
          <w:szCs w:val="22"/>
        </w:rPr>
        <w:t>“Cuendina la Victoria II Etapa”</w:t>
      </w:r>
      <w:r w:rsidR="00267DA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9D3E21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DB2668" w:rsidRPr="00DB2668" w:rsidRDefault="00DB2668" w:rsidP="00DB2668">
      <w:pPr>
        <w:pStyle w:val="Ttulo"/>
        <w:sectPr w:rsidR="00DB2668" w:rsidRPr="00DB2668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9D3E21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9D3E21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385E8D" w:rsidRPr="009D3E21" w:rsidRDefault="00F36FD8" w:rsidP="008F19E8">
      <w:pPr>
        <w:pStyle w:val="Textoindependiente"/>
        <w:jc w:val="both"/>
        <w:rPr>
          <w:sz w:val="22"/>
          <w:szCs w:val="22"/>
        </w:rPr>
      </w:pPr>
      <w:r w:rsidRPr="00341C8D">
        <w:rPr>
          <w:sz w:val="22"/>
          <w:szCs w:val="22"/>
        </w:rPr>
        <w:t>Visto el</w:t>
      </w:r>
      <w:r w:rsidR="005D68E1">
        <w:rPr>
          <w:sz w:val="22"/>
          <w:szCs w:val="22"/>
        </w:rPr>
        <w:t xml:space="preserve"> </w:t>
      </w:r>
      <w:r w:rsidR="00341C8D" w:rsidRPr="00DB2668">
        <w:rPr>
          <w:sz w:val="22"/>
          <w:szCs w:val="22"/>
        </w:rPr>
        <w:t>Informe No. IC</w:t>
      </w:r>
      <w:r w:rsidR="005D68E1" w:rsidRPr="00DB2668">
        <w:rPr>
          <w:sz w:val="22"/>
          <w:szCs w:val="22"/>
        </w:rPr>
        <w:t>-O-2019</w:t>
      </w:r>
      <w:r w:rsidR="00341C8D" w:rsidRPr="00DB2668">
        <w:rPr>
          <w:sz w:val="22"/>
          <w:szCs w:val="22"/>
        </w:rPr>
        <w:t>-</w:t>
      </w:r>
      <w:r w:rsidR="005D68E1" w:rsidRPr="00DB2668">
        <w:rPr>
          <w:sz w:val="22"/>
          <w:szCs w:val="22"/>
        </w:rPr>
        <w:t xml:space="preserve">XXX </w:t>
      </w:r>
      <w:r w:rsidR="00341C8D" w:rsidRPr="00DB2668">
        <w:rPr>
          <w:sz w:val="22"/>
          <w:szCs w:val="22"/>
        </w:rPr>
        <w:t xml:space="preserve">de fecha </w:t>
      </w:r>
      <w:r w:rsidR="005D68E1" w:rsidRPr="00DB2668">
        <w:rPr>
          <w:sz w:val="22"/>
          <w:szCs w:val="22"/>
        </w:rPr>
        <w:t>XX</w:t>
      </w:r>
      <w:r w:rsidR="00341C8D" w:rsidRPr="00DB2668">
        <w:rPr>
          <w:sz w:val="22"/>
          <w:szCs w:val="22"/>
        </w:rPr>
        <w:t xml:space="preserve"> de </w:t>
      </w:r>
      <w:r w:rsidR="005D68E1" w:rsidRPr="00DB2668">
        <w:rPr>
          <w:sz w:val="22"/>
          <w:szCs w:val="22"/>
        </w:rPr>
        <w:t>XXXX de 2019</w:t>
      </w:r>
      <w:r w:rsidR="00341C8D" w:rsidRPr="00DB2668">
        <w:rPr>
          <w:sz w:val="22"/>
          <w:szCs w:val="22"/>
        </w:rPr>
        <w:t xml:space="preserve"> </w:t>
      </w:r>
      <w:r w:rsidR="00082904" w:rsidRPr="00DB2668">
        <w:rPr>
          <w:sz w:val="22"/>
          <w:szCs w:val="22"/>
        </w:rPr>
        <w:t>de la Comisión de Ordenamiento Territorial</w:t>
      </w:r>
      <w:r w:rsidR="00DB2668">
        <w:rPr>
          <w:sz w:val="22"/>
          <w:szCs w:val="22"/>
        </w:rPr>
        <w:t>.</w:t>
      </w:r>
    </w:p>
    <w:p w:rsidR="00596910" w:rsidRPr="009D3E21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3E21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9D3E21" w:rsidRDefault="00086F22" w:rsidP="00086F22">
      <w:pPr>
        <w:rPr>
          <w:sz w:val="22"/>
          <w:szCs w:val="22"/>
        </w:rPr>
      </w:pP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</w:rPr>
        <w:t xml:space="preserve">Que, </w:t>
      </w:r>
      <w:r w:rsidRPr="009D3E21">
        <w:rPr>
          <w:rFonts w:ascii="Times New Roman" w:hAnsi="Times New Roman"/>
          <w:b/>
        </w:rPr>
        <w:tab/>
      </w:r>
      <w:r w:rsidRPr="009D3E21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9D3E21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9D3E21">
        <w:rPr>
          <w:rFonts w:ascii="Times New Roman" w:hAnsi="Times New Roman"/>
        </w:rPr>
        <w:t>”;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>el artículo 31 de la Constitución expresa que: “</w:t>
      </w:r>
      <w:r w:rsidRPr="009D3E21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9D3E21">
        <w:rPr>
          <w:rFonts w:ascii="Times New Roman" w:hAnsi="Times New Roman"/>
          <w:bCs/>
        </w:rPr>
        <w:t xml:space="preserve">”; </w:t>
      </w:r>
    </w:p>
    <w:p w:rsidR="00E928E4" w:rsidRPr="009D3E21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</w:rPr>
        <w:t>el artículo 240 de la Constitución establece que: “</w:t>
      </w:r>
      <w:r w:rsidRPr="009D3E21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9D3E21">
        <w:rPr>
          <w:rFonts w:ascii="Times New Roman" w:hAnsi="Times New Roman"/>
        </w:rPr>
        <w:t>”;</w:t>
      </w:r>
    </w:p>
    <w:p w:rsidR="00E928E4" w:rsidRPr="009D3E21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9D3E21">
        <w:rPr>
          <w:rFonts w:ascii="Times New Roman" w:hAnsi="Times New Roman"/>
          <w:b/>
        </w:rPr>
        <w:t>Que,</w:t>
      </w:r>
      <w:r w:rsidRPr="009D3E21">
        <w:rPr>
          <w:rFonts w:ascii="Times New Roman" w:hAnsi="Times New Roman"/>
        </w:rPr>
        <w:tab/>
        <w:t>el artículo 266 de la Constitución establece que</w:t>
      </w:r>
      <w:r w:rsidRPr="009D3E21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9D3E21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9D3E2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</w:rPr>
        <w:tab/>
      </w:r>
      <w:r w:rsidRPr="009D3E21">
        <w:rPr>
          <w:rFonts w:ascii="Times New Roman" w:hAnsi="Times New Roman"/>
          <w:bCs/>
        </w:rPr>
        <w:t>el literal c)</w:t>
      </w:r>
      <w:r w:rsidR="00164A30" w:rsidRPr="009D3E21">
        <w:rPr>
          <w:rFonts w:ascii="Times New Roman" w:hAnsi="Times New Roman"/>
          <w:bCs/>
        </w:rPr>
        <w:t xml:space="preserve"> </w:t>
      </w:r>
      <w:r w:rsidRPr="009D3E21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9D3E21">
        <w:rPr>
          <w:rFonts w:ascii="Times New Roman" w:hAnsi="Times New Roman"/>
          <w:bCs/>
          <w:i/>
        </w:rPr>
        <w:t>“</w:t>
      </w:r>
      <w:r w:rsidRPr="00942CD4">
        <w:rPr>
          <w:rFonts w:ascii="Times New Roman" w:hAnsi="Times New Roman"/>
          <w:i/>
        </w:rPr>
        <w:t>c)</w:t>
      </w:r>
      <w:r w:rsidRPr="009D3E21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9D3E2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>los literales a)</w:t>
      </w:r>
      <w:r w:rsidR="00721932" w:rsidRPr="009D3E21">
        <w:rPr>
          <w:rFonts w:ascii="Times New Roman" w:hAnsi="Times New Roman"/>
          <w:bCs/>
        </w:rPr>
        <w:t>,</w:t>
      </w:r>
      <w:r w:rsidR="00AE4123" w:rsidRPr="009D3E21">
        <w:rPr>
          <w:rFonts w:ascii="Times New Roman" w:hAnsi="Times New Roman"/>
          <w:bCs/>
        </w:rPr>
        <w:t xml:space="preserve"> y</w:t>
      </w:r>
      <w:r w:rsidR="00CD23C8" w:rsidRPr="009D3E21">
        <w:rPr>
          <w:rFonts w:ascii="Times New Roman" w:hAnsi="Times New Roman"/>
          <w:bCs/>
        </w:rPr>
        <w:t xml:space="preserve"> </w:t>
      </w:r>
      <w:r w:rsidRPr="009D3E21">
        <w:rPr>
          <w:rFonts w:ascii="Times New Roman" w:hAnsi="Times New Roman"/>
          <w:bCs/>
        </w:rPr>
        <w:t>x)</w:t>
      </w:r>
      <w:r w:rsidR="00742540" w:rsidRPr="009D3E21">
        <w:rPr>
          <w:rFonts w:ascii="Times New Roman" w:hAnsi="Times New Roman"/>
          <w:bCs/>
        </w:rPr>
        <w:t xml:space="preserve"> </w:t>
      </w:r>
      <w:r w:rsidRPr="009D3E21">
        <w:rPr>
          <w:rFonts w:ascii="Times New Roman" w:hAnsi="Times New Roman"/>
          <w:bCs/>
        </w:rPr>
        <w:t>d</w:t>
      </w:r>
      <w:r w:rsidRPr="009D3E21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9D3E21">
        <w:rPr>
          <w:rFonts w:ascii="Times New Roman" w:hAnsi="Times New Roman"/>
          <w:i/>
          <w:iCs/>
        </w:rPr>
        <w:t>“</w:t>
      </w:r>
      <w:r w:rsidRPr="009D3E21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9D3E21">
        <w:rPr>
          <w:rFonts w:ascii="Times New Roman" w:hAnsi="Times New Roman"/>
          <w:i/>
          <w:iCs/>
        </w:rPr>
        <w:t xml:space="preserve"> (…) x) </w:t>
      </w:r>
      <w:r w:rsidRPr="009D3E21">
        <w:rPr>
          <w:rFonts w:ascii="Times New Roman" w:hAnsi="Times New Roman"/>
          <w:i/>
        </w:rPr>
        <w:t xml:space="preserve">Regular mediante ordenanza la delimitación de los barrios y parroquias urbanas tomando en </w:t>
      </w:r>
      <w:r w:rsidRPr="009D3E21">
        <w:rPr>
          <w:rFonts w:ascii="Times New Roman" w:hAnsi="Times New Roman"/>
          <w:i/>
        </w:rPr>
        <w:lastRenderedPageBreak/>
        <w:t>cuenta la configuración territorial, identidad, historia, necesidades urbanísticas y administrativas y la aplicación del principio de equidad interbarrial</w:t>
      </w:r>
      <w:r w:rsidRPr="009D3E21">
        <w:rPr>
          <w:rFonts w:ascii="Times New Roman" w:hAnsi="Times New Roman"/>
          <w:i/>
          <w:iCs/>
        </w:rPr>
        <w:t>;</w:t>
      </w:r>
      <w:r w:rsidR="00A063D6" w:rsidRPr="009D3E21">
        <w:rPr>
          <w:rFonts w:ascii="Times New Roman" w:hAnsi="Times New Roman"/>
          <w:i/>
          <w:iCs/>
        </w:rPr>
        <w:t xml:space="preserve"> </w:t>
      </w:r>
      <w:r w:rsidR="00644C2D" w:rsidRPr="009D3E21">
        <w:rPr>
          <w:rFonts w:ascii="Times New Roman" w:hAnsi="Times New Roman"/>
          <w:i/>
          <w:iCs/>
        </w:rPr>
        <w:t xml:space="preserve"> 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 xml:space="preserve">Que,  </w:t>
      </w:r>
      <w:r w:rsidRPr="009D3E21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9D3E21">
        <w:rPr>
          <w:rFonts w:ascii="Times New Roman" w:hAnsi="Times New Roman"/>
          <w:b/>
          <w:bCs/>
        </w:rPr>
        <w:t xml:space="preserve">Que,    </w:t>
      </w:r>
      <w:r w:rsidRPr="009D3E21">
        <w:rPr>
          <w:rFonts w:ascii="Times New Roman" w:hAnsi="Times New Roman"/>
          <w:bCs/>
        </w:rPr>
        <w:t>el artículo 486 del COOTAD reformado establece que: “</w:t>
      </w:r>
      <w:r w:rsidRPr="009D3E21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9D3E21">
        <w:rPr>
          <w:rFonts w:ascii="Times New Roman" w:hAnsi="Times New Roman"/>
          <w:bCs/>
          <w:lang w:val="es-ES_tradnl"/>
        </w:rPr>
        <w:t>”</w:t>
      </w:r>
      <w:r w:rsidRPr="009D3E21">
        <w:rPr>
          <w:rFonts w:ascii="Times New Roman" w:hAnsi="Times New Roman"/>
          <w:bCs/>
        </w:rPr>
        <w:t>;</w:t>
      </w:r>
    </w:p>
    <w:p w:rsidR="00596910" w:rsidRPr="009D3E21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>la Disposición Transitoria Décima Cuarta del COOTAD, señala: “</w:t>
      </w:r>
      <w:r w:rsidRPr="009D3E21">
        <w:rPr>
          <w:rFonts w:ascii="Times New Roman" w:hAnsi="Times New Roman"/>
          <w:bCs/>
          <w:i/>
        </w:rPr>
        <w:t xml:space="preserve">(…) </w:t>
      </w:r>
      <w:r w:rsidRPr="009D3E21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9D3E21">
        <w:rPr>
          <w:rFonts w:ascii="Times New Roman" w:hAnsi="Times New Roman"/>
        </w:rPr>
        <w:t>.”;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9D3E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9D3E21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Que,   </w:t>
      </w:r>
      <w:r w:rsidRPr="009D3E21">
        <w:rPr>
          <w:bCs/>
          <w:sz w:val="22"/>
          <w:szCs w:val="22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E928E4" w:rsidRPr="009D3E21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Que,  </w:t>
      </w:r>
      <w:r w:rsidRPr="009D3E21">
        <w:rPr>
          <w:bCs/>
          <w:sz w:val="22"/>
          <w:szCs w:val="22"/>
        </w:rPr>
        <w:t>el libro IV.7., título II de la Ordenanza N</w:t>
      </w:r>
      <w:r w:rsidR="00082904" w:rsidRPr="009D3E21">
        <w:rPr>
          <w:bCs/>
          <w:sz w:val="22"/>
          <w:szCs w:val="22"/>
        </w:rPr>
        <w:t xml:space="preserve">o. 001 de 29 de marzo de 2019, </w:t>
      </w:r>
      <w:r w:rsidRPr="009D3E21">
        <w:rPr>
          <w:bCs/>
          <w:sz w:val="22"/>
          <w:szCs w:val="22"/>
        </w:rPr>
        <w:t>establece los procesos y procedimientos para la regularización integral de l</w:t>
      </w:r>
      <w:r w:rsidR="00082904" w:rsidRPr="009D3E21">
        <w:rPr>
          <w:bCs/>
          <w:sz w:val="22"/>
          <w:szCs w:val="22"/>
        </w:rPr>
        <w:t>os Asentamientos Humanos de Hecho y C</w:t>
      </w:r>
      <w:r w:rsidRPr="009D3E21">
        <w:rPr>
          <w:bCs/>
          <w:sz w:val="22"/>
          <w:szCs w:val="22"/>
        </w:rPr>
        <w:t>onsolidados, así como su declaratoria de interés social, para aquellos asentamientos que cumplen las condiciones socioeconómicas, legales y físicas establecidas para el efecto;</w:t>
      </w:r>
    </w:p>
    <w:p w:rsidR="00C70A83" w:rsidRPr="009D3E21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Pr="009D3E21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Que,  </w:t>
      </w:r>
      <w:r w:rsidR="00CA72BC" w:rsidRPr="009D3E21">
        <w:rPr>
          <w:b/>
          <w:bCs/>
          <w:sz w:val="22"/>
          <w:szCs w:val="22"/>
        </w:rPr>
        <w:t xml:space="preserve">  </w:t>
      </w:r>
      <w:r w:rsidRPr="009D3E21">
        <w:rPr>
          <w:bCs/>
          <w:sz w:val="22"/>
          <w:szCs w:val="22"/>
        </w:rPr>
        <w:t xml:space="preserve">el Art. IV.7.31, último párrafo de la Ordenanza No. 001 de 29 de marzo de </w:t>
      </w:r>
      <w:r w:rsidR="00D156F5" w:rsidRPr="009D3E21">
        <w:rPr>
          <w:bCs/>
          <w:sz w:val="22"/>
          <w:szCs w:val="22"/>
        </w:rPr>
        <w:t>2019, establece</w:t>
      </w:r>
      <w:r w:rsidRPr="009D3E21">
        <w:rPr>
          <w:bCs/>
          <w:sz w:val="22"/>
          <w:szCs w:val="22"/>
        </w:rPr>
        <w:t xml:space="preserve"> que con la declaratoria de interés social del Asentamiento Humano de Hecho y Consolidado dará lugar a la exoneración referentes a la contribución de áreas verdes;</w:t>
      </w:r>
    </w:p>
    <w:p w:rsidR="00C70A83" w:rsidRPr="009D3E21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942CD4" w:rsidRPr="000A7C26" w:rsidRDefault="00942CD4" w:rsidP="00942CD4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36225B">
        <w:rPr>
          <w:b/>
          <w:bCs/>
          <w:sz w:val="22"/>
          <w:szCs w:val="22"/>
        </w:rPr>
        <w:t>Que,</w:t>
      </w:r>
      <w:r w:rsidRPr="0036225B">
        <w:rPr>
          <w:b/>
          <w:bCs/>
          <w:sz w:val="22"/>
          <w:szCs w:val="22"/>
        </w:rPr>
        <w:tab/>
      </w:r>
      <w:r w:rsidRPr="0036225B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</w:t>
      </w:r>
      <w:r w:rsidRPr="0036225B">
        <w:rPr>
          <w:bCs/>
        </w:rPr>
        <w:t>“</w:t>
      </w:r>
      <w:r w:rsidRPr="0036225B">
        <w:rPr>
          <w:bCs/>
          <w:i/>
        </w:rPr>
        <w:t>(…)</w:t>
      </w:r>
      <w:r>
        <w:rPr>
          <w:bCs/>
          <w:i/>
        </w:rPr>
        <w:t xml:space="preserve"> </w:t>
      </w:r>
      <w:r w:rsidRPr="000A7C26">
        <w:rPr>
          <w:bCs/>
          <w:i/>
          <w:sz w:val="22"/>
          <w:szCs w:val="22"/>
        </w:rPr>
        <w:t>El faltante de áreas verdes será compensado pecuniariamente con excepción de los asentamientos declarados de interés social.”;</w:t>
      </w:r>
      <w:r w:rsidRPr="000A7C26">
        <w:rPr>
          <w:b/>
          <w:bCs/>
          <w:i/>
          <w:sz w:val="22"/>
          <w:szCs w:val="22"/>
        </w:rPr>
        <w:t xml:space="preserve"> </w:t>
      </w:r>
    </w:p>
    <w:p w:rsidR="00942CD4" w:rsidRPr="0036225B" w:rsidRDefault="00942CD4" w:rsidP="00942CD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 xml:space="preserve">Que, 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>
        <w:rPr>
          <w:rFonts w:ascii="Times New Roman" w:hAnsi="Times New Roman"/>
          <w:bCs/>
          <w:i/>
        </w:rPr>
        <w:t>“</w:t>
      </w:r>
      <w:r w:rsidRPr="0036225B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Pr="003020F7">
        <w:rPr>
          <w:rFonts w:ascii="Times New Roman" w:hAnsi="Times New Roman"/>
          <w:bCs/>
          <w:i/>
          <w:lang w:val="es-ES_tradnl"/>
        </w:rPr>
        <w:t xml:space="preserve"> </w:t>
      </w:r>
      <w:r w:rsidRPr="0036225B">
        <w:rPr>
          <w:rFonts w:ascii="Times New Roman" w:hAnsi="Times New Roman"/>
          <w:bCs/>
          <w:i/>
          <w:lang w:val="es-ES_tradnl"/>
        </w:rPr>
        <w:t>(…)</w:t>
      </w:r>
      <w:r w:rsidRPr="0036225B">
        <w:rPr>
          <w:rFonts w:ascii="Times New Roman" w:hAnsi="Times New Roman"/>
          <w:bCs/>
          <w:lang w:val="es-ES_tradnl"/>
        </w:rPr>
        <w:t>”</w:t>
      </w:r>
      <w:r w:rsidRPr="0036225B">
        <w:rPr>
          <w:rFonts w:ascii="Times New Roman" w:hAnsi="Times New Roman"/>
          <w:bCs/>
        </w:rPr>
        <w:t>;</w:t>
      </w:r>
    </w:p>
    <w:p w:rsidR="00E928E4" w:rsidRPr="009D3E21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D3E21">
        <w:rPr>
          <w:rFonts w:ascii="Times New Roman" w:hAnsi="Times New Roman"/>
          <w:b/>
          <w:bCs/>
        </w:rPr>
        <w:t>Que,</w:t>
      </w:r>
      <w:r w:rsidRPr="009D3E21">
        <w:rPr>
          <w:rFonts w:ascii="Times New Roman" w:hAnsi="Times New Roman"/>
          <w:bCs/>
        </w:rPr>
        <w:t xml:space="preserve">  </w:t>
      </w:r>
      <w:r w:rsidR="00CA72BC" w:rsidRPr="009D3E21">
        <w:rPr>
          <w:rFonts w:ascii="Times New Roman" w:hAnsi="Times New Roman"/>
          <w:bCs/>
        </w:rPr>
        <w:t xml:space="preserve">  </w:t>
      </w:r>
      <w:r w:rsidR="00082904" w:rsidRPr="009D3E21">
        <w:rPr>
          <w:rFonts w:ascii="Times New Roman" w:hAnsi="Times New Roman"/>
          <w:bCs/>
        </w:rPr>
        <w:t>e</w:t>
      </w:r>
      <w:r w:rsidR="00E928E4" w:rsidRPr="009D3E21">
        <w:rPr>
          <w:rFonts w:ascii="Times New Roman" w:hAnsi="Times New Roman"/>
          <w:bCs/>
        </w:rPr>
        <w:t>n concordancia con el considerando precedente,</w:t>
      </w:r>
      <w:r w:rsidR="00E928E4" w:rsidRPr="009D3E21">
        <w:rPr>
          <w:rFonts w:ascii="Times New Roman" w:hAnsi="Times New Roman"/>
          <w:b/>
          <w:bCs/>
        </w:rPr>
        <w:t xml:space="preserve"> </w:t>
      </w:r>
      <w:r w:rsidR="00E928E4" w:rsidRPr="009D3E21">
        <w:rPr>
          <w:rFonts w:ascii="Times New Roman" w:hAnsi="Times New Roman"/>
          <w:bCs/>
        </w:rPr>
        <w:t xml:space="preserve">la </w:t>
      </w:r>
      <w:r w:rsidRPr="009D3E21">
        <w:rPr>
          <w:rFonts w:ascii="Times New Roman" w:hAnsi="Times New Roman"/>
          <w:bCs/>
        </w:rPr>
        <w:t xml:space="preserve">Disposición Transitoria Segunda </w:t>
      </w:r>
      <w:r w:rsidR="00E928E4" w:rsidRPr="009D3E21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9D3E21">
        <w:rPr>
          <w:rFonts w:ascii="Times New Roman" w:hAnsi="Times New Roman"/>
          <w:bCs/>
        </w:rPr>
        <w:t xml:space="preserve">ularización del asentamiento; </w:t>
      </w:r>
    </w:p>
    <w:p w:rsidR="00E928E4" w:rsidRPr="009D3E21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D3E21">
        <w:rPr>
          <w:rFonts w:ascii="Times New Roman" w:hAnsi="Times New Roman"/>
          <w:b/>
          <w:bCs/>
        </w:rPr>
        <w:t xml:space="preserve">Que, </w:t>
      </w:r>
      <w:r w:rsidRPr="009D3E21">
        <w:rPr>
          <w:rFonts w:ascii="Times New Roman" w:hAnsi="Times New Roman"/>
          <w:b/>
          <w:bCs/>
        </w:rPr>
        <w:tab/>
      </w:r>
      <w:r w:rsidRPr="009D3E21">
        <w:rPr>
          <w:rFonts w:ascii="Times New Roman" w:hAnsi="Times New Roman"/>
          <w:bCs/>
        </w:rPr>
        <w:t>mediante Resolución No.</w:t>
      </w:r>
      <w:r w:rsidR="00A7613E" w:rsidRPr="009D3E21">
        <w:rPr>
          <w:rFonts w:ascii="Times New Roman" w:hAnsi="Times New Roman"/>
          <w:bCs/>
        </w:rPr>
        <w:t xml:space="preserve"> C</w:t>
      </w:r>
      <w:r w:rsidRPr="009D3E21">
        <w:rPr>
          <w:rFonts w:ascii="Times New Roman" w:hAnsi="Times New Roman"/>
          <w:bCs/>
        </w:rPr>
        <w:t xml:space="preserve"> 037-2019 reformada mediante Resolución No.</w:t>
      </w:r>
      <w:r w:rsidR="00A7613E" w:rsidRPr="009D3E21">
        <w:rPr>
          <w:rFonts w:ascii="Times New Roman" w:hAnsi="Times New Roman"/>
          <w:bCs/>
        </w:rPr>
        <w:t xml:space="preserve"> C</w:t>
      </w:r>
      <w:r w:rsidRPr="009D3E21">
        <w:rPr>
          <w:rFonts w:ascii="Times New Roman" w:hAnsi="Times New Roman"/>
          <w:bCs/>
        </w:rPr>
        <w:t xml:space="preserve"> 062-2019, se establecen los parámetros integrale</w:t>
      </w:r>
      <w:r w:rsidR="00BF5886" w:rsidRPr="009D3E21">
        <w:rPr>
          <w:rFonts w:ascii="Times New Roman" w:hAnsi="Times New Roman"/>
          <w:bCs/>
        </w:rPr>
        <w:t xml:space="preserve">s para la identificación de </w:t>
      </w:r>
      <w:r w:rsidRPr="009D3E21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:rsidR="00E51442" w:rsidRPr="00B95692" w:rsidRDefault="00B95692" w:rsidP="00B95692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B8797B">
        <w:rPr>
          <w:b/>
          <w:bCs/>
          <w:sz w:val="22"/>
          <w:szCs w:val="22"/>
        </w:rPr>
        <w:t>Que</w:t>
      </w:r>
      <w:r w:rsidRPr="000B4539">
        <w:rPr>
          <w:b/>
          <w:bCs/>
          <w:sz w:val="22"/>
          <w:szCs w:val="22"/>
        </w:rPr>
        <w:t>,</w:t>
      </w:r>
      <w:r w:rsidR="004C7A34">
        <w:rPr>
          <w:sz w:val="22"/>
          <w:szCs w:val="22"/>
        </w:rPr>
        <w:tab/>
      </w:r>
      <w:r w:rsidR="004C7A34">
        <w:rPr>
          <w:sz w:val="22"/>
          <w:szCs w:val="22"/>
        </w:rPr>
        <w:tab/>
        <w:t>la Mesa Institucional</w:t>
      </w:r>
      <w:r w:rsidRPr="000B4539">
        <w:rPr>
          <w:sz w:val="22"/>
          <w:szCs w:val="22"/>
        </w:rPr>
        <w:t xml:space="preserve">, reunida el 29 de noviembre del 2018  en la Administración Zonal Los Chillos, integrada por: Mg. Ivonne Endara,  Administradora Zona Los Chillos; Abg. María Augusta Carrera, Directora del Departamento Jurídico  Zona Los Chillos; Ing. Daniel Suárez, Director de Gestión de Territorio Zona Los Chillos; Arq. María Belén Cueva, Delegada de la Dirección Metropolitana de Catastro; Arq. Elizabeth Ortiz, Delegada de la Secretaría de Territorio, Hábitat y Vivienda; Ing. Luis Albán, Delegado de la Dirección Metropolitana de Gestión de Riesgo; Arq. Carlos </w:t>
      </w:r>
      <w:proofErr w:type="spellStart"/>
      <w:r w:rsidRPr="000B4539">
        <w:rPr>
          <w:sz w:val="22"/>
          <w:szCs w:val="22"/>
        </w:rPr>
        <w:t>Lizarzaburu</w:t>
      </w:r>
      <w:proofErr w:type="spellEnd"/>
      <w:r w:rsidRPr="000B4539">
        <w:rPr>
          <w:sz w:val="22"/>
          <w:szCs w:val="22"/>
        </w:rPr>
        <w:t xml:space="preserve">, Delegado de la Dirección de la </w:t>
      </w:r>
      <w:r w:rsidR="00DB2668">
        <w:rPr>
          <w:sz w:val="22"/>
          <w:szCs w:val="22"/>
        </w:rPr>
        <w:t>Unidad Especial “Regula tu Barrio”</w:t>
      </w:r>
      <w:r w:rsidRPr="000B4539">
        <w:rPr>
          <w:sz w:val="22"/>
          <w:szCs w:val="22"/>
        </w:rPr>
        <w:t xml:space="preserve"> y Socio-Organizativo; Dr. Fernando Quintana, Responsable Legal; y, Arq. Pablo Alcocer, Responsable Técnico, de la Unidad Especial “Regula Tu Barrio” Oficina Central, aprobaron  el Informe Socio O</w:t>
      </w:r>
      <w:r>
        <w:rPr>
          <w:sz w:val="22"/>
          <w:szCs w:val="22"/>
        </w:rPr>
        <w:t>rganizativo Legal y Técnico No.</w:t>
      </w:r>
      <w:r w:rsidRPr="000B4539">
        <w:rPr>
          <w:sz w:val="22"/>
          <w:szCs w:val="22"/>
        </w:rPr>
        <w:t>09-UERB-OC-SOLT-2018, de 29 de noviembre del 2018, habilitante de la Ordenanza de Reconocimiento del Asentamiento Humano de Hecho y Consolidado de Interés Social, denominado: “Cuendina La Victoria II Etapa”</w:t>
      </w:r>
      <w:r w:rsidRPr="000B4539">
        <w:rPr>
          <w:bCs/>
          <w:sz w:val="22"/>
          <w:szCs w:val="22"/>
        </w:rPr>
        <w:t>,</w:t>
      </w:r>
      <w:r w:rsidRPr="000B4539">
        <w:rPr>
          <w:b/>
          <w:sz w:val="22"/>
          <w:szCs w:val="22"/>
        </w:rPr>
        <w:t xml:space="preserve"> </w:t>
      </w:r>
      <w:r w:rsidRPr="000B4539">
        <w:rPr>
          <w:sz w:val="22"/>
          <w:szCs w:val="22"/>
        </w:rPr>
        <w:t xml:space="preserve"> a favor de sus copropietarios.</w:t>
      </w:r>
    </w:p>
    <w:p w:rsidR="00C67654" w:rsidRPr="009D3E21" w:rsidRDefault="00E928E4" w:rsidP="00630196">
      <w:pPr>
        <w:spacing w:after="240" w:line="276" w:lineRule="auto"/>
        <w:ind w:left="705" w:hanging="705"/>
        <w:jc w:val="both"/>
        <w:rPr>
          <w:b/>
          <w:bCs/>
          <w:sz w:val="22"/>
          <w:szCs w:val="22"/>
          <w:highlight w:val="yellow"/>
        </w:rPr>
      </w:pPr>
      <w:r w:rsidRPr="009D3E21">
        <w:rPr>
          <w:b/>
          <w:bCs/>
          <w:sz w:val="22"/>
          <w:szCs w:val="22"/>
        </w:rPr>
        <w:t xml:space="preserve">Que, </w:t>
      </w:r>
      <w:r w:rsidRPr="009D3E21">
        <w:rPr>
          <w:b/>
          <w:bCs/>
          <w:sz w:val="22"/>
          <w:szCs w:val="22"/>
        </w:rPr>
        <w:tab/>
      </w:r>
      <w:r w:rsidRPr="009D3E21">
        <w:rPr>
          <w:sz w:val="22"/>
          <w:szCs w:val="22"/>
        </w:rPr>
        <w:t xml:space="preserve">el informe </w:t>
      </w:r>
      <w:r w:rsidRPr="009D3E21">
        <w:rPr>
          <w:rFonts w:eastAsia="Calibri"/>
          <w:sz w:val="22"/>
          <w:szCs w:val="22"/>
          <w:lang w:val="es-EC" w:eastAsia="en-US"/>
        </w:rPr>
        <w:t xml:space="preserve">de la Dirección Metropolitana de Gestión de Riesgos No. </w:t>
      </w:r>
      <w:r w:rsidR="0091680D">
        <w:rPr>
          <w:rFonts w:eastAsia="Calibri"/>
          <w:sz w:val="22"/>
          <w:szCs w:val="22"/>
          <w:lang w:val="es-EC" w:eastAsia="en-US"/>
        </w:rPr>
        <w:t>206</w:t>
      </w:r>
      <w:r w:rsidR="008F19E8" w:rsidRPr="009D3E21">
        <w:rPr>
          <w:rFonts w:eastAsia="Calibri"/>
          <w:sz w:val="22"/>
          <w:szCs w:val="22"/>
          <w:lang w:val="es-EC" w:eastAsia="en-US"/>
        </w:rPr>
        <w:t>-AT-DMGR-201</w:t>
      </w:r>
      <w:r w:rsidR="00C67654" w:rsidRPr="009D3E21">
        <w:rPr>
          <w:rFonts w:eastAsia="Calibri"/>
          <w:sz w:val="22"/>
          <w:szCs w:val="22"/>
          <w:lang w:val="es-EC" w:eastAsia="en-US"/>
        </w:rPr>
        <w:t>8</w:t>
      </w:r>
      <w:r w:rsidR="0091680D">
        <w:rPr>
          <w:rFonts w:eastAsia="Calibri"/>
          <w:sz w:val="22"/>
          <w:szCs w:val="22"/>
          <w:lang w:val="es-EC" w:eastAsia="en-US"/>
        </w:rPr>
        <w:t>, de 27</w:t>
      </w:r>
      <w:r w:rsidRPr="009D3E21">
        <w:rPr>
          <w:rFonts w:eastAsia="Calibri"/>
          <w:sz w:val="22"/>
          <w:szCs w:val="22"/>
          <w:lang w:val="es-EC" w:eastAsia="en-US"/>
        </w:rPr>
        <w:t xml:space="preserve"> de </w:t>
      </w:r>
      <w:r w:rsidR="0091680D">
        <w:rPr>
          <w:rFonts w:eastAsia="Calibri"/>
          <w:sz w:val="22"/>
          <w:szCs w:val="22"/>
          <w:lang w:val="es-EC" w:eastAsia="en-US"/>
        </w:rPr>
        <w:t>julio</w:t>
      </w:r>
      <w:r w:rsidR="00EA59C2" w:rsidRPr="009D3E21">
        <w:rPr>
          <w:rFonts w:eastAsia="Calibri"/>
          <w:sz w:val="22"/>
          <w:szCs w:val="22"/>
          <w:lang w:val="es-EC" w:eastAsia="en-US"/>
        </w:rPr>
        <w:t xml:space="preserve"> de 201</w:t>
      </w:r>
      <w:r w:rsidR="00C67654" w:rsidRPr="009D3E21">
        <w:rPr>
          <w:rFonts w:eastAsia="Calibri"/>
          <w:sz w:val="22"/>
          <w:szCs w:val="22"/>
          <w:lang w:val="es-EC" w:eastAsia="en-US"/>
        </w:rPr>
        <w:t>8</w:t>
      </w:r>
      <w:r w:rsidR="00F850C7" w:rsidRPr="009D3E21">
        <w:rPr>
          <w:rFonts w:eastAsia="Calibri"/>
          <w:sz w:val="22"/>
          <w:szCs w:val="22"/>
          <w:lang w:val="es-EC" w:eastAsia="en-US"/>
        </w:rPr>
        <w:t xml:space="preserve">, califica al </w:t>
      </w:r>
      <w:r w:rsidR="00B95692">
        <w:rPr>
          <w:rFonts w:eastAsia="Calibri"/>
          <w:sz w:val="22"/>
          <w:szCs w:val="22"/>
          <w:lang w:val="es-EC" w:eastAsia="en-US"/>
        </w:rPr>
        <w:t xml:space="preserve">Asentamiento Humano de Hecho y Consolidado </w:t>
      </w:r>
      <w:r w:rsidR="00C67654" w:rsidRPr="009D3E21">
        <w:rPr>
          <w:rFonts w:eastAsia="Calibri"/>
          <w:sz w:val="22"/>
          <w:szCs w:val="22"/>
          <w:lang w:val="es-EC" w:eastAsia="en-US"/>
        </w:rPr>
        <w:t xml:space="preserve"> “</w:t>
      </w:r>
      <w:r w:rsidR="0091680D">
        <w:rPr>
          <w:rFonts w:eastAsia="Calibri"/>
          <w:sz w:val="22"/>
          <w:szCs w:val="22"/>
          <w:lang w:val="es-EC" w:eastAsia="en-US"/>
        </w:rPr>
        <w:t xml:space="preserve">Cuendina la Victoria II Etapa” </w:t>
      </w:r>
      <w:r w:rsidR="00C67654" w:rsidRPr="009D3E21">
        <w:rPr>
          <w:rFonts w:eastAsia="Calibri"/>
          <w:sz w:val="22"/>
          <w:szCs w:val="22"/>
          <w:lang w:val="es-EC" w:eastAsia="en-US"/>
        </w:rPr>
        <w:t xml:space="preserve">en general presenta un </w:t>
      </w:r>
      <w:r w:rsidR="00C67654" w:rsidRPr="009D3E21">
        <w:rPr>
          <w:rFonts w:eastAsia="Calibri"/>
          <w:b/>
          <w:bCs/>
          <w:sz w:val="22"/>
          <w:szCs w:val="22"/>
          <w:lang w:val="es-EC" w:eastAsia="en-US"/>
        </w:rPr>
        <w:t>Riesgo Bajo</w:t>
      </w:r>
      <w:r w:rsidR="00C67654" w:rsidRPr="009D3E21">
        <w:rPr>
          <w:rFonts w:eastAsia="Calibri"/>
          <w:sz w:val="22"/>
          <w:szCs w:val="22"/>
          <w:lang w:val="es-EC" w:eastAsia="en-US"/>
        </w:rPr>
        <w:t xml:space="preserve"> para los lotes expuestos</w:t>
      </w:r>
      <w:r w:rsidR="00E51442">
        <w:rPr>
          <w:rFonts w:eastAsia="Calibri"/>
          <w:sz w:val="22"/>
          <w:szCs w:val="22"/>
          <w:lang w:val="es-EC" w:eastAsia="en-US"/>
        </w:rPr>
        <w:t>.</w:t>
      </w:r>
      <w:r w:rsidR="00C67654" w:rsidRPr="009D3E21">
        <w:rPr>
          <w:b/>
          <w:bCs/>
          <w:sz w:val="22"/>
          <w:szCs w:val="22"/>
          <w:highlight w:val="yellow"/>
        </w:rPr>
        <w:t xml:space="preserve"> </w:t>
      </w:r>
    </w:p>
    <w:p w:rsidR="00C67654" w:rsidRPr="009D3E21" w:rsidRDefault="00E928E4" w:rsidP="005C1853">
      <w:pPr>
        <w:pStyle w:val="NormalWeb"/>
        <w:shd w:val="clear" w:color="auto" w:fill="FFFFFF"/>
        <w:spacing w:line="276" w:lineRule="auto"/>
        <w:ind w:left="700" w:hanging="70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D3E21">
        <w:rPr>
          <w:rFonts w:eastAsia="Calibri"/>
          <w:b/>
          <w:bCs/>
          <w:sz w:val="22"/>
          <w:szCs w:val="22"/>
          <w:lang w:eastAsia="en-US"/>
        </w:rPr>
        <w:lastRenderedPageBreak/>
        <w:t>Que,</w:t>
      </w:r>
      <w:r w:rsidRPr="009D3E21">
        <w:rPr>
          <w:rFonts w:eastAsia="Calibri"/>
          <w:sz w:val="22"/>
          <w:szCs w:val="22"/>
          <w:lang w:eastAsia="en-US"/>
        </w:rPr>
        <w:t xml:space="preserve"> </w:t>
      </w:r>
      <w:r w:rsidRPr="009D3E21">
        <w:rPr>
          <w:rFonts w:eastAsia="Calibri"/>
          <w:sz w:val="22"/>
          <w:szCs w:val="22"/>
          <w:lang w:eastAsia="en-US"/>
        </w:rPr>
        <w:tab/>
        <w:t>mediante Oficio Nro. GADDMQ-SGSG-DMGR-2019-</w:t>
      </w:r>
      <w:r w:rsidR="007F36A1">
        <w:rPr>
          <w:rFonts w:eastAsia="Calibri"/>
          <w:sz w:val="22"/>
          <w:szCs w:val="22"/>
          <w:lang w:eastAsia="en-US"/>
        </w:rPr>
        <w:t>0822</w:t>
      </w:r>
      <w:r w:rsidR="00554427" w:rsidRPr="009D3E21">
        <w:rPr>
          <w:rFonts w:eastAsia="Calibri"/>
          <w:sz w:val="22"/>
          <w:szCs w:val="22"/>
          <w:lang w:eastAsia="en-US"/>
        </w:rPr>
        <w:t xml:space="preserve">-OF, de fecha </w:t>
      </w:r>
      <w:r w:rsidR="007F36A1">
        <w:rPr>
          <w:rFonts w:eastAsia="Calibri"/>
          <w:sz w:val="22"/>
          <w:szCs w:val="22"/>
          <w:lang w:eastAsia="en-US"/>
        </w:rPr>
        <w:t xml:space="preserve">22 </w:t>
      </w:r>
      <w:r w:rsidRPr="009D3E21">
        <w:rPr>
          <w:rFonts w:eastAsia="Calibri"/>
          <w:sz w:val="22"/>
          <w:szCs w:val="22"/>
          <w:lang w:eastAsia="en-US"/>
        </w:rPr>
        <w:t xml:space="preserve">de </w:t>
      </w:r>
      <w:r w:rsidR="007F36A1">
        <w:rPr>
          <w:rFonts w:eastAsia="Calibri"/>
          <w:sz w:val="22"/>
          <w:szCs w:val="22"/>
          <w:lang w:eastAsia="en-US"/>
        </w:rPr>
        <w:t>octubre</w:t>
      </w:r>
      <w:r w:rsidRPr="009D3E21">
        <w:rPr>
          <w:rFonts w:eastAsia="Calibri"/>
          <w:sz w:val="22"/>
          <w:szCs w:val="22"/>
          <w:lang w:eastAsia="en-US"/>
        </w:rPr>
        <w:t xml:space="preserve"> de 2019, emitido por el Director Metropolitano de Gestión de Riesgos, de la Secretaría General de Seguridad y Gobernabilidad </w:t>
      </w:r>
      <w:r w:rsidR="00FC1938" w:rsidRPr="009D3E21">
        <w:rPr>
          <w:rFonts w:eastAsia="Calibri"/>
          <w:sz w:val="22"/>
          <w:szCs w:val="22"/>
          <w:lang w:eastAsia="en-US"/>
        </w:rPr>
        <w:t xml:space="preserve">se </w:t>
      </w:r>
      <w:r w:rsidRPr="009D3E21">
        <w:rPr>
          <w:rFonts w:eastAsia="Calibri"/>
          <w:sz w:val="22"/>
          <w:szCs w:val="22"/>
          <w:lang w:eastAsia="en-US"/>
        </w:rPr>
        <w:t xml:space="preserve">ratifica </w:t>
      </w:r>
      <w:r w:rsidR="00FC1938" w:rsidRPr="009D3E21">
        <w:rPr>
          <w:rFonts w:eastAsia="Calibri"/>
          <w:sz w:val="22"/>
          <w:szCs w:val="22"/>
          <w:lang w:eastAsia="en-US"/>
        </w:rPr>
        <w:t xml:space="preserve">en </w:t>
      </w:r>
      <w:r w:rsidRPr="009D3E21">
        <w:rPr>
          <w:rFonts w:eastAsia="Calibri"/>
          <w:sz w:val="22"/>
          <w:szCs w:val="22"/>
          <w:lang w:eastAsia="en-US"/>
        </w:rPr>
        <w:t>la calificación del nivel del ries</w:t>
      </w:r>
      <w:r w:rsidR="00554427" w:rsidRPr="009D3E21">
        <w:rPr>
          <w:rFonts w:eastAsia="Calibri"/>
          <w:sz w:val="22"/>
          <w:szCs w:val="22"/>
          <w:lang w:eastAsia="en-US"/>
        </w:rPr>
        <w:t>go frente a movimientos en masa</w:t>
      </w:r>
      <w:r w:rsidR="00FC1938" w:rsidRPr="009D3E21">
        <w:rPr>
          <w:rFonts w:eastAsia="Calibri"/>
          <w:sz w:val="22"/>
          <w:szCs w:val="22"/>
          <w:lang w:eastAsia="en-US"/>
        </w:rPr>
        <w:t xml:space="preserve">, indicando </w:t>
      </w:r>
      <w:r w:rsidRPr="009D3E21">
        <w:rPr>
          <w:rFonts w:eastAsia="Calibri"/>
          <w:sz w:val="22"/>
          <w:szCs w:val="22"/>
          <w:lang w:eastAsia="en-US"/>
        </w:rPr>
        <w:t xml:space="preserve">que el AHHYC </w:t>
      </w:r>
      <w:r w:rsidR="004E782C">
        <w:rPr>
          <w:rFonts w:eastAsia="Calibri"/>
          <w:sz w:val="22"/>
          <w:szCs w:val="22"/>
          <w:lang w:eastAsia="en-US"/>
        </w:rPr>
        <w:t>“Cuendina la Victoria II Etapa”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 en general presenta un </w:t>
      </w:r>
      <w:r w:rsidR="00C67654" w:rsidRPr="009D3E21">
        <w:rPr>
          <w:rFonts w:eastAsia="Calibri"/>
          <w:b/>
          <w:bCs/>
          <w:sz w:val="22"/>
          <w:szCs w:val="22"/>
          <w:lang w:eastAsia="en-US"/>
        </w:rPr>
        <w:t>Riesgo Bajo</w:t>
      </w:r>
      <w:r w:rsidR="007F36A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F36A1">
        <w:rPr>
          <w:rFonts w:eastAsia="Calibri"/>
          <w:bCs/>
          <w:sz w:val="22"/>
          <w:szCs w:val="22"/>
          <w:lang w:eastAsia="en-US"/>
        </w:rPr>
        <w:t>para todos los lotes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, sin embargo se debe rectificar indicando que el nivel de riesgo es Mitigable, en tal virtud y con las observaciones realizadas, la </w:t>
      </w:r>
      <w:r w:rsidR="00E51442" w:rsidRPr="009D3E21">
        <w:rPr>
          <w:rFonts w:eastAsia="Calibri"/>
          <w:sz w:val="22"/>
          <w:szCs w:val="22"/>
          <w:lang w:eastAsia="en-US"/>
        </w:rPr>
        <w:t>Dirección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 Metropolitana de </w:t>
      </w:r>
      <w:r w:rsidR="00E51442" w:rsidRPr="009D3E21">
        <w:rPr>
          <w:rFonts w:eastAsia="Calibri"/>
          <w:sz w:val="22"/>
          <w:szCs w:val="22"/>
          <w:lang w:eastAsia="en-US"/>
        </w:rPr>
        <w:t>Gestión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 de Riesgos indica que todos los lotes del AHHYC </w:t>
      </w:r>
      <w:r w:rsidR="004E782C">
        <w:rPr>
          <w:rFonts w:eastAsia="Calibri"/>
          <w:sz w:val="22"/>
          <w:szCs w:val="22"/>
          <w:lang w:eastAsia="en-US"/>
        </w:rPr>
        <w:t>“Cuendina la Victoria II Etapa”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 tienen una </w:t>
      </w:r>
      <w:r w:rsidR="00E51442" w:rsidRPr="009D3E21">
        <w:rPr>
          <w:rFonts w:eastAsia="Calibri"/>
          <w:sz w:val="22"/>
          <w:szCs w:val="22"/>
          <w:lang w:eastAsia="en-US"/>
        </w:rPr>
        <w:t>calificación</w:t>
      </w:r>
      <w:r w:rsidR="00C67654" w:rsidRPr="009D3E21">
        <w:rPr>
          <w:rFonts w:eastAsia="Calibri"/>
          <w:sz w:val="22"/>
          <w:szCs w:val="22"/>
          <w:lang w:eastAsia="en-US"/>
        </w:rPr>
        <w:t xml:space="preserve"> de </w:t>
      </w:r>
      <w:r w:rsidR="00C67654" w:rsidRPr="009D3E21">
        <w:rPr>
          <w:rFonts w:eastAsia="Calibri"/>
          <w:b/>
          <w:bCs/>
          <w:sz w:val="22"/>
          <w:szCs w:val="22"/>
          <w:lang w:eastAsia="en-US"/>
        </w:rPr>
        <w:t xml:space="preserve">Riesgo Bajo Mitigable. </w:t>
      </w:r>
    </w:p>
    <w:p w:rsidR="00D625C6" w:rsidRPr="009D3E21" w:rsidRDefault="00082904" w:rsidP="00C67654">
      <w:pPr>
        <w:spacing w:after="240" w:line="276" w:lineRule="auto"/>
        <w:ind w:left="705" w:hanging="705"/>
        <w:jc w:val="both"/>
        <w:rPr>
          <w:b/>
          <w:sz w:val="22"/>
          <w:szCs w:val="22"/>
        </w:rPr>
      </w:pPr>
      <w:r w:rsidRPr="009D3E21">
        <w:rPr>
          <w:b/>
          <w:sz w:val="22"/>
          <w:szCs w:val="22"/>
        </w:rPr>
        <w:t xml:space="preserve"> </w:t>
      </w:r>
      <w:r w:rsidR="00C67654" w:rsidRPr="009D3E21">
        <w:rPr>
          <w:b/>
          <w:sz w:val="22"/>
          <w:szCs w:val="22"/>
        </w:rPr>
        <w:tab/>
      </w:r>
      <w:r w:rsidR="00C67654" w:rsidRPr="009D3E21">
        <w:rPr>
          <w:b/>
          <w:sz w:val="22"/>
          <w:szCs w:val="22"/>
        </w:rPr>
        <w:tab/>
      </w:r>
      <w:r w:rsidR="00D625C6" w:rsidRPr="009D3E21">
        <w:rPr>
          <w:b/>
          <w:sz w:val="22"/>
          <w:szCs w:val="22"/>
        </w:rPr>
        <w:t>En ejercicio de sus atribuciones legales constantes en los artículos 30, 31</w:t>
      </w:r>
      <w:r w:rsidR="002D7709" w:rsidRPr="009D3E21">
        <w:rPr>
          <w:b/>
          <w:sz w:val="22"/>
          <w:szCs w:val="22"/>
        </w:rPr>
        <w:t xml:space="preserve">, </w:t>
      </w:r>
      <w:r w:rsidR="00D625C6" w:rsidRPr="009D3E21">
        <w:rPr>
          <w:b/>
          <w:sz w:val="22"/>
          <w:szCs w:val="22"/>
        </w:rPr>
        <w:t>240 numerales 1 y</w:t>
      </w:r>
      <w:r w:rsidR="00C67654" w:rsidRPr="009D3E21">
        <w:rPr>
          <w:b/>
          <w:sz w:val="22"/>
          <w:szCs w:val="22"/>
        </w:rPr>
        <w:t xml:space="preserve"> </w:t>
      </w:r>
      <w:r w:rsidR="00D625C6" w:rsidRPr="009D3E21">
        <w:rPr>
          <w:b/>
          <w:sz w:val="22"/>
          <w:szCs w:val="22"/>
        </w:rPr>
        <w:t xml:space="preserve">2 </w:t>
      </w:r>
      <w:r w:rsidR="002D7709" w:rsidRPr="009D3E21">
        <w:rPr>
          <w:b/>
          <w:sz w:val="22"/>
          <w:szCs w:val="22"/>
        </w:rPr>
        <w:t xml:space="preserve">y 266 </w:t>
      </w:r>
      <w:r w:rsidR="00D625C6" w:rsidRPr="009D3E21">
        <w:rPr>
          <w:b/>
          <w:sz w:val="22"/>
          <w:szCs w:val="22"/>
        </w:rPr>
        <w:t>de la Constitución de la República del Ecuador; Art. 84 literal c), Art. 87</w:t>
      </w:r>
      <w:r w:rsidR="00C67654" w:rsidRPr="009D3E21">
        <w:rPr>
          <w:b/>
          <w:sz w:val="22"/>
          <w:szCs w:val="22"/>
        </w:rPr>
        <w:t xml:space="preserve"> </w:t>
      </w:r>
      <w:r w:rsidR="00D625C6" w:rsidRPr="009D3E21">
        <w:rPr>
          <w:b/>
          <w:sz w:val="22"/>
          <w:szCs w:val="22"/>
        </w:rPr>
        <w:t>literales a) y x); Art. 322 del Código Orgánico de Organización Territorial Autonomía y Descentralización; Art. 2 numeral 1, y Art. 8 numeral 1 de la Ley de Régimen para el Distrito Metropolitano de Quito,</w:t>
      </w:r>
    </w:p>
    <w:p w:rsidR="00361728" w:rsidRPr="009D3E21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3E21">
        <w:rPr>
          <w:rFonts w:ascii="Times New Roman" w:hAnsi="Times New Roman" w:cs="Times New Roman"/>
          <w:color w:val="auto"/>
          <w:sz w:val="22"/>
          <w:szCs w:val="22"/>
        </w:rPr>
        <w:t>EXPIDE LA SIGUIENTE:</w:t>
      </w:r>
    </w:p>
    <w:p w:rsidR="00086F22" w:rsidRPr="009D3E21" w:rsidRDefault="00086F22" w:rsidP="00086F22">
      <w:pPr>
        <w:rPr>
          <w:sz w:val="22"/>
          <w:szCs w:val="22"/>
        </w:rPr>
      </w:pPr>
    </w:p>
    <w:p w:rsidR="00086F22" w:rsidRPr="009D3E21" w:rsidRDefault="00F75497" w:rsidP="00086F22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D3E21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9D3E21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9D3E21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082904" w:rsidRPr="009D3E21">
        <w:rPr>
          <w:rFonts w:ascii="Times New Roman" w:hAnsi="Times New Roman"/>
          <w:b/>
          <w:bCs/>
          <w:sz w:val="22"/>
          <w:szCs w:val="22"/>
        </w:rPr>
        <w:t>DE REGULARIZACIÓ</w:t>
      </w:r>
      <w:r w:rsidR="00363A17" w:rsidRPr="009D3E21">
        <w:rPr>
          <w:rFonts w:ascii="Times New Roman" w:hAnsi="Times New Roman"/>
          <w:b/>
          <w:bCs/>
          <w:sz w:val="22"/>
          <w:szCs w:val="22"/>
        </w:rPr>
        <w:t xml:space="preserve">N DEL ASENTAMIENTO </w:t>
      </w:r>
      <w:r w:rsidRPr="009D3E21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4E782C">
        <w:rPr>
          <w:rFonts w:ascii="Times New Roman" w:hAnsi="Times New Roman"/>
          <w:b/>
          <w:sz w:val="22"/>
          <w:szCs w:val="22"/>
        </w:rPr>
        <w:t>“</w:t>
      </w:r>
      <w:r w:rsidR="00B95692">
        <w:rPr>
          <w:rFonts w:ascii="Times New Roman" w:hAnsi="Times New Roman"/>
          <w:b/>
          <w:sz w:val="22"/>
          <w:szCs w:val="22"/>
        </w:rPr>
        <w:t>CUENDINA LA VICTORIA II ETAPA</w:t>
      </w:r>
      <w:r w:rsidR="004E782C">
        <w:rPr>
          <w:rFonts w:ascii="Times New Roman" w:hAnsi="Times New Roman"/>
          <w:b/>
          <w:sz w:val="22"/>
          <w:szCs w:val="22"/>
        </w:rPr>
        <w:t>”</w:t>
      </w:r>
    </w:p>
    <w:p w:rsidR="00363A17" w:rsidRPr="009D3E21" w:rsidRDefault="00363A17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sz w:val="22"/>
          <w:szCs w:val="22"/>
        </w:rPr>
        <w:t xml:space="preserve">Articulo 1.- Objeto.- </w:t>
      </w:r>
      <w:r w:rsidR="00DD59DA" w:rsidRPr="009D3E21">
        <w:rPr>
          <w:sz w:val="22"/>
          <w:szCs w:val="22"/>
        </w:rPr>
        <w:t>La presente ordenanza tiene por objeto</w:t>
      </w:r>
      <w:r w:rsidR="00DD59DA" w:rsidRPr="009D3E21">
        <w:rPr>
          <w:b/>
          <w:sz w:val="22"/>
          <w:szCs w:val="22"/>
        </w:rPr>
        <w:t xml:space="preserve"> </w:t>
      </w:r>
      <w:r w:rsidR="00DD59DA" w:rsidRPr="009D3E21">
        <w:rPr>
          <w:sz w:val="22"/>
          <w:szCs w:val="22"/>
        </w:rPr>
        <w:t>r</w:t>
      </w:r>
      <w:r w:rsidRPr="009D3E21">
        <w:rPr>
          <w:sz w:val="22"/>
          <w:szCs w:val="22"/>
        </w:rPr>
        <w:t xml:space="preserve">econocer y aprobar el fraccionamiento </w:t>
      </w:r>
      <w:r w:rsidR="00377387">
        <w:rPr>
          <w:sz w:val="22"/>
          <w:szCs w:val="22"/>
        </w:rPr>
        <w:t>de</w:t>
      </w:r>
      <w:r w:rsidR="004C7A34">
        <w:rPr>
          <w:sz w:val="22"/>
          <w:szCs w:val="22"/>
        </w:rPr>
        <w:t>l</w:t>
      </w:r>
      <w:r w:rsidR="00377387">
        <w:rPr>
          <w:sz w:val="22"/>
          <w:szCs w:val="22"/>
        </w:rPr>
        <w:t xml:space="preserve"> predio</w:t>
      </w:r>
      <w:r w:rsidR="00D532A3" w:rsidRPr="00E51442">
        <w:rPr>
          <w:sz w:val="22"/>
          <w:szCs w:val="22"/>
        </w:rPr>
        <w:t xml:space="preserve"> </w:t>
      </w:r>
      <w:r w:rsidR="00377387">
        <w:rPr>
          <w:bCs/>
          <w:sz w:val="22"/>
          <w:szCs w:val="22"/>
        </w:rPr>
        <w:t>5548792</w:t>
      </w:r>
      <w:r w:rsidR="00377387">
        <w:rPr>
          <w:sz w:val="22"/>
          <w:szCs w:val="22"/>
        </w:rPr>
        <w:t xml:space="preserve"> y sus </w:t>
      </w:r>
      <w:r w:rsidR="006D3A42" w:rsidRPr="009D3E21">
        <w:rPr>
          <w:sz w:val="22"/>
          <w:szCs w:val="22"/>
        </w:rPr>
        <w:t>pasaj</w:t>
      </w:r>
      <w:r w:rsidR="00267DA6">
        <w:rPr>
          <w:sz w:val="22"/>
          <w:szCs w:val="22"/>
        </w:rPr>
        <w:t>es</w:t>
      </w:r>
      <w:r w:rsidRPr="009D3E21">
        <w:rPr>
          <w:sz w:val="22"/>
          <w:szCs w:val="22"/>
        </w:rPr>
        <w:t xml:space="preserve"> sobre el que se encuentra e</w:t>
      </w:r>
      <w:r w:rsidR="001A5E4E" w:rsidRPr="009D3E21">
        <w:rPr>
          <w:sz w:val="22"/>
          <w:szCs w:val="22"/>
        </w:rPr>
        <w:t xml:space="preserve">l </w:t>
      </w:r>
      <w:r w:rsidR="00A16448" w:rsidRPr="009D3E21">
        <w:rPr>
          <w:sz w:val="22"/>
          <w:szCs w:val="22"/>
        </w:rPr>
        <w:t>Asentamiento Humano d</w:t>
      </w:r>
      <w:r w:rsidR="001A5E4E" w:rsidRPr="009D3E21">
        <w:rPr>
          <w:sz w:val="22"/>
          <w:szCs w:val="22"/>
        </w:rPr>
        <w:t>e Hecho y Consolidado d</w:t>
      </w:r>
      <w:r w:rsidR="00E62A62" w:rsidRPr="009D3E21">
        <w:rPr>
          <w:sz w:val="22"/>
          <w:szCs w:val="22"/>
        </w:rPr>
        <w:t>e Interés Social d</w:t>
      </w:r>
      <w:r w:rsidRPr="009D3E21">
        <w:rPr>
          <w:sz w:val="22"/>
          <w:szCs w:val="22"/>
        </w:rPr>
        <w:t>enominado</w:t>
      </w:r>
      <w:r w:rsidR="00972867" w:rsidRPr="009D3E21">
        <w:rPr>
          <w:sz w:val="22"/>
          <w:szCs w:val="22"/>
        </w:rPr>
        <w:t xml:space="preserve"> </w:t>
      </w:r>
      <w:r w:rsidR="004E782C">
        <w:rPr>
          <w:sz w:val="22"/>
          <w:szCs w:val="22"/>
        </w:rPr>
        <w:t>“Cuendina la Victoria II Etapa”</w:t>
      </w:r>
      <w:r w:rsidR="00D532A3" w:rsidRPr="009D3E21">
        <w:rPr>
          <w:sz w:val="22"/>
          <w:szCs w:val="22"/>
        </w:rPr>
        <w:t xml:space="preserve">, </w:t>
      </w:r>
      <w:r w:rsidR="001A5E4E" w:rsidRPr="009D3E21">
        <w:rPr>
          <w:sz w:val="22"/>
          <w:szCs w:val="22"/>
        </w:rPr>
        <w:t>a</w:t>
      </w:r>
      <w:r w:rsidRPr="009D3E21">
        <w:rPr>
          <w:sz w:val="22"/>
          <w:szCs w:val="22"/>
        </w:rPr>
        <w:t xml:space="preserve"> </w:t>
      </w:r>
      <w:r w:rsidR="00BF73D8" w:rsidRPr="009D3E21">
        <w:rPr>
          <w:sz w:val="22"/>
          <w:szCs w:val="22"/>
        </w:rPr>
        <w:t>f</w:t>
      </w:r>
      <w:r w:rsidRPr="009D3E21">
        <w:rPr>
          <w:sz w:val="22"/>
          <w:szCs w:val="22"/>
        </w:rPr>
        <w:t xml:space="preserve">avor </w:t>
      </w:r>
      <w:r w:rsidR="00BF73D8" w:rsidRPr="009D3E21">
        <w:rPr>
          <w:sz w:val="22"/>
          <w:szCs w:val="22"/>
        </w:rPr>
        <w:t>d</w:t>
      </w:r>
      <w:r w:rsidRPr="009D3E21">
        <w:rPr>
          <w:sz w:val="22"/>
          <w:szCs w:val="22"/>
        </w:rPr>
        <w:t xml:space="preserve">e </w:t>
      </w:r>
      <w:r w:rsidR="00BF73D8" w:rsidRPr="009D3E21">
        <w:rPr>
          <w:sz w:val="22"/>
          <w:szCs w:val="22"/>
        </w:rPr>
        <w:t>s</w:t>
      </w:r>
      <w:r w:rsidRPr="009D3E21">
        <w:rPr>
          <w:sz w:val="22"/>
          <w:szCs w:val="22"/>
        </w:rPr>
        <w:t xml:space="preserve">us </w:t>
      </w:r>
      <w:r w:rsidR="00BF73D8" w:rsidRPr="009D3E21">
        <w:rPr>
          <w:sz w:val="22"/>
          <w:szCs w:val="22"/>
        </w:rPr>
        <w:t>c</w:t>
      </w:r>
      <w:r w:rsidRPr="009D3E21">
        <w:rPr>
          <w:sz w:val="22"/>
          <w:szCs w:val="22"/>
        </w:rPr>
        <w:t>opropietarios</w:t>
      </w:r>
      <w:r w:rsidR="00C876E8" w:rsidRPr="009D3E21">
        <w:rPr>
          <w:sz w:val="22"/>
          <w:szCs w:val="22"/>
        </w:rPr>
        <w:t>.</w:t>
      </w:r>
    </w:p>
    <w:p w:rsidR="00630196" w:rsidRPr="009D3E21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Artículo </w:t>
      </w:r>
      <w:r w:rsidR="00363A17" w:rsidRPr="009D3E21">
        <w:rPr>
          <w:b/>
          <w:bCs/>
          <w:sz w:val="22"/>
          <w:szCs w:val="22"/>
        </w:rPr>
        <w:t>2</w:t>
      </w:r>
      <w:r w:rsidRPr="009D3E21">
        <w:rPr>
          <w:b/>
          <w:bCs/>
          <w:sz w:val="22"/>
          <w:szCs w:val="22"/>
        </w:rPr>
        <w:t xml:space="preserve">.- De los planos y documentos presentados.- </w:t>
      </w:r>
      <w:r w:rsidR="00596910" w:rsidRPr="009D3E21">
        <w:rPr>
          <w:sz w:val="22"/>
          <w:szCs w:val="22"/>
        </w:rPr>
        <w:t xml:space="preserve">Los planos y documentos presentados </w:t>
      </w:r>
      <w:r w:rsidR="00DD59DA" w:rsidRPr="009D3E21">
        <w:rPr>
          <w:sz w:val="22"/>
          <w:szCs w:val="22"/>
        </w:rPr>
        <w:t xml:space="preserve">para la aprobación del presente acto normativo </w:t>
      </w:r>
      <w:r w:rsidR="00596910" w:rsidRPr="009D3E21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4E782C">
        <w:rPr>
          <w:sz w:val="22"/>
          <w:szCs w:val="22"/>
        </w:rPr>
        <w:t>“Cuendina la Victoria II Etapa”</w:t>
      </w:r>
      <w:r w:rsidR="00D532A3" w:rsidRPr="00BD5A62">
        <w:rPr>
          <w:bCs/>
          <w:sz w:val="22"/>
          <w:szCs w:val="22"/>
        </w:rPr>
        <w:t>,</w:t>
      </w:r>
      <w:r w:rsidR="00D532A3" w:rsidRPr="009D3E21">
        <w:rPr>
          <w:b/>
          <w:bCs/>
          <w:sz w:val="22"/>
          <w:szCs w:val="22"/>
        </w:rPr>
        <w:t xml:space="preserve"> </w:t>
      </w:r>
      <w:r w:rsidR="00596910" w:rsidRPr="009D3E21">
        <w:rPr>
          <w:sz w:val="22"/>
          <w:szCs w:val="22"/>
        </w:rPr>
        <w:t xml:space="preserve">ubicado en la parroquia </w:t>
      </w:r>
      <w:r w:rsidR="004E782C">
        <w:rPr>
          <w:sz w:val="22"/>
          <w:szCs w:val="22"/>
        </w:rPr>
        <w:t>Amaguaña</w:t>
      </w:r>
      <w:r w:rsidR="00596910" w:rsidRPr="009D3E21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9D3E21">
        <w:rPr>
          <w:sz w:val="22"/>
          <w:szCs w:val="22"/>
        </w:rPr>
        <w:t>salvo que estos hayan sido inducidos a engaño o al error.</w:t>
      </w:r>
    </w:p>
    <w:p w:rsidR="00596910" w:rsidRPr="009D3E2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9D3E2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9D3E2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 xml:space="preserve">Los copropietarios del Asentamiento Humano de Hecho y Consolidado de Interés Social denominado </w:t>
      </w:r>
      <w:r w:rsidR="004E782C">
        <w:rPr>
          <w:sz w:val="22"/>
          <w:szCs w:val="22"/>
        </w:rPr>
        <w:t>“Cuendina la Victoria II Etapa”</w:t>
      </w:r>
      <w:r w:rsidR="00D532A3" w:rsidRPr="009D3E21">
        <w:rPr>
          <w:b/>
          <w:bCs/>
          <w:sz w:val="22"/>
          <w:szCs w:val="22"/>
        </w:rPr>
        <w:t xml:space="preserve">, </w:t>
      </w:r>
      <w:r w:rsidR="00502131" w:rsidRPr="009D3E21">
        <w:rPr>
          <w:sz w:val="22"/>
          <w:szCs w:val="22"/>
        </w:rPr>
        <w:t xml:space="preserve">ubicado en la parroquia </w:t>
      </w:r>
      <w:r w:rsidR="004E782C">
        <w:rPr>
          <w:sz w:val="22"/>
          <w:szCs w:val="22"/>
        </w:rPr>
        <w:t>Amaguaña</w:t>
      </w:r>
      <w:r w:rsidR="00502131" w:rsidRPr="009D3E21">
        <w:rPr>
          <w:sz w:val="22"/>
          <w:szCs w:val="22"/>
        </w:rPr>
        <w:t>,</w:t>
      </w:r>
      <w:r w:rsidRPr="009D3E21">
        <w:rPr>
          <w:sz w:val="22"/>
          <w:szCs w:val="22"/>
        </w:rPr>
        <w:t xml:space="preserve"> se comprometen </w:t>
      </w:r>
      <w:r w:rsidRPr="009D3E21">
        <w:rPr>
          <w:sz w:val="22"/>
          <w:szCs w:val="22"/>
        </w:rPr>
        <w:lastRenderedPageBreak/>
        <w:t>a respetar las características de los lotes establecidas en el Plano y en este instrumento; por tanto, no podrán fraccionarlos o dividirlos.</w:t>
      </w:r>
    </w:p>
    <w:p w:rsidR="00596910" w:rsidRPr="009D3E2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9D3E21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Artículo 3.- Declaratoria de Interés </w:t>
      </w:r>
      <w:r w:rsidR="00351A27" w:rsidRPr="009D3E21">
        <w:rPr>
          <w:b/>
          <w:bCs/>
          <w:sz w:val="22"/>
          <w:szCs w:val="22"/>
        </w:rPr>
        <w:t>Social. -</w:t>
      </w:r>
      <w:r w:rsidR="0024191F" w:rsidRPr="009D3E21">
        <w:rPr>
          <w:b/>
          <w:bCs/>
          <w:sz w:val="22"/>
          <w:szCs w:val="22"/>
        </w:rPr>
        <w:t xml:space="preserve"> </w:t>
      </w:r>
      <w:r w:rsidR="0024191F" w:rsidRPr="009D3E21">
        <w:rPr>
          <w:sz w:val="22"/>
          <w:szCs w:val="22"/>
        </w:rPr>
        <w:t>Por las condiciones del Asentamiento Humano de Hecho y Consolidado, s</w:t>
      </w:r>
      <w:r w:rsidRPr="009D3E21">
        <w:rPr>
          <w:sz w:val="22"/>
          <w:szCs w:val="22"/>
        </w:rPr>
        <w:t>e lo aprueba considerándolo de Interés S</w:t>
      </w:r>
      <w:r w:rsidR="0024191F" w:rsidRPr="009D3E21">
        <w:rPr>
          <w:sz w:val="22"/>
          <w:szCs w:val="22"/>
        </w:rPr>
        <w:t>ocial de conformidad con la normativa vigente.</w:t>
      </w:r>
    </w:p>
    <w:p w:rsidR="002C53FB" w:rsidRDefault="004C50AE" w:rsidP="00BA5E3B">
      <w:pPr>
        <w:pStyle w:val="Sinespaciado"/>
        <w:rPr>
          <w:rFonts w:ascii="Times New Roman" w:hAnsi="Times New Roman"/>
          <w:b/>
        </w:rPr>
      </w:pPr>
      <w:r w:rsidRPr="00BA5E3B">
        <w:rPr>
          <w:rFonts w:ascii="Times New Roman" w:hAnsi="Times New Roman"/>
          <w:b/>
        </w:rPr>
        <w:t xml:space="preserve">Artículo </w:t>
      </w:r>
      <w:r w:rsidR="0024191F" w:rsidRPr="00BA5E3B">
        <w:rPr>
          <w:rFonts w:ascii="Times New Roman" w:hAnsi="Times New Roman"/>
          <w:b/>
        </w:rPr>
        <w:t>4</w:t>
      </w:r>
      <w:r w:rsidR="00361728" w:rsidRPr="00BA5E3B">
        <w:rPr>
          <w:rFonts w:ascii="Times New Roman" w:hAnsi="Times New Roman"/>
          <w:b/>
        </w:rPr>
        <w:t xml:space="preserve">.- Especificaciones </w:t>
      </w:r>
      <w:r w:rsidR="00351A27" w:rsidRPr="00BA5E3B">
        <w:rPr>
          <w:rFonts w:ascii="Times New Roman" w:hAnsi="Times New Roman"/>
          <w:b/>
        </w:rPr>
        <w:t xml:space="preserve">Técnicas. </w:t>
      </w:r>
      <w:r w:rsidR="002C53FB" w:rsidRPr="00BA5E3B">
        <w:rPr>
          <w:rFonts w:ascii="Times New Roman" w:hAnsi="Times New Roman"/>
          <w:b/>
        </w:rPr>
        <w:t>–</w:t>
      </w:r>
    </w:p>
    <w:p w:rsidR="005C1853" w:rsidRPr="00BA5E3B" w:rsidRDefault="005C1853" w:rsidP="00BA5E3B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4253"/>
      </w:tblGrid>
      <w:tr w:rsidR="002C53FB" w:rsidRPr="00BA5E3B" w:rsidTr="005C1853">
        <w:trPr>
          <w:trHeight w:val="310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BA5E3B">
              <w:rPr>
                <w:rFonts w:ascii="Times New Roman" w:hAnsi="Times New Roman"/>
                <w:b/>
                <w:bCs/>
              </w:rPr>
              <w:t>Predio Número: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BA5E3B">
              <w:rPr>
                <w:rFonts w:ascii="Times New Roman" w:hAnsi="Times New Roman"/>
              </w:rPr>
              <w:t>5548792</w:t>
            </w:r>
          </w:p>
        </w:tc>
      </w:tr>
      <w:tr w:rsidR="002C53FB" w:rsidRPr="00BA5E3B" w:rsidTr="005C1853">
        <w:trPr>
          <w:trHeight w:val="306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b/>
              </w:rPr>
              <w:t>Zonificación actual: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</w:rPr>
              <w:t>C3(C303-70)</w:t>
            </w:r>
          </w:p>
        </w:tc>
      </w:tr>
      <w:tr w:rsidR="002C53FB" w:rsidRPr="00BA5E3B" w:rsidTr="005C1853">
        <w:trPr>
          <w:trHeight w:val="386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Lote mínimo: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300 m2</w:t>
            </w:r>
          </w:p>
        </w:tc>
      </w:tr>
      <w:tr w:rsidR="002C53FB" w:rsidRPr="00BA5E3B" w:rsidTr="005C1853">
        <w:trPr>
          <w:trHeight w:val="419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Forma ocupación del suelo: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</w:rPr>
              <w:t>(C) Continua con Retiro Frontal</w:t>
            </w:r>
          </w:p>
        </w:tc>
      </w:tr>
      <w:tr w:rsidR="002C53FB" w:rsidRPr="00BA5E3B" w:rsidTr="005C1853">
        <w:trPr>
          <w:trHeight w:val="423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Uso principal del suelo: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</w:rPr>
              <w:t>(RU1) Residencial Urbano 1</w:t>
            </w:r>
          </w:p>
        </w:tc>
      </w:tr>
      <w:tr w:rsidR="002C53FB" w:rsidRPr="00BA5E3B" w:rsidTr="005C1853">
        <w:trPr>
          <w:trHeight w:val="413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Clasificación del Suelo: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(SU) Suelo Urbano</w:t>
            </w:r>
          </w:p>
        </w:tc>
      </w:tr>
      <w:tr w:rsidR="002C53FB" w:rsidRPr="00BA5E3B" w:rsidTr="005C1853">
        <w:trPr>
          <w:trHeight w:val="289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b/>
              </w:rPr>
              <w:t>Número de lotes:</w:t>
            </w:r>
          </w:p>
        </w:tc>
        <w:tc>
          <w:tcPr>
            <w:tcW w:w="4253" w:type="dxa"/>
          </w:tcPr>
          <w:p w:rsidR="002C53FB" w:rsidRPr="005C1853" w:rsidRDefault="002C53FB" w:rsidP="00BA5E3B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5C1853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C53FB" w:rsidRPr="00BA5E3B" w:rsidTr="005C1853">
        <w:trPr>
          <w:trHeight w:val="321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Área útil de lotes: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4.236,94</w:t>
            </w:r>
            <w:r w:rsidRPr="00BA5E3B">
              <w:rPr>
                <w:rFonts w:ascii="Times New Roman" w:hAnsi="Times New Roman"/>
              </w:rPr>
              <w:t>m2</w:t>
            </w:r>
          </w:p>
        </w:tc>
      </w:tr>
      <w:tr w:rsidR="002C53FB" w:rsidRPr="00BA5E3B" w:rsidTr="005C1853">
        <w:trPr>
          <w:trHeight w:val="339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b/>
              </w:rPr>
              <w:t>Área de  Pasajes: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136,55</w:t>
            </w:r>
            <w:r w:rsidRPr="00BA5E3B">
              <w:rPr>
                <w:rFonts w:ascii="Times New Roman" w:hAnsi="Times New Roman"/>
              </w:rPr>
              <w:t>m2</w:t>
            </w:r>
          </w:p>
        </w:tc>
      </w:tr>
      <w:tr w:rsidR="002C53FB" w:rsidRPr="00BA5E3B" w:rsidTr="005C1853">
        <w:trPr>
          <w:trHeight w:val="357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Área de Afectación Vial (Lotes):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1.011,97m2</w:t>
            </w:r>
          </w:p>
        </w:tc>
      </w:tr>
      <w:tr w:rsidR="002C53FB" w:rsidRPr="00BA5E3B" w:rsidTr="005C1853">
        <w:trPr>
          <w:trHeight w:val="375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b/>
              </w:rPr>
              <w:t>Área de Afectación Vial (MACRO LOTE):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</w:rPr>
            </w:pPr>
            <w:r w:rsidRPr="00BA5E3B">
              <w:rPr>
                <w:rFonts w:ascii="Times New Roman" w:hAnsi="Times New Roman"/>
                <w:color w:val="000000" w:themeColor="text1"/>
              </w:rPr>
              <w:t>1.072,50</w:t>
            </w:r>
            <w:r w:rsidRPr="00BA5E3B">
              <w:rPr>
                <w:rFonts w:ascii="Times New Roman" w:hAnsi="Times New Roman"/>
              </w:rPr>
              <w:t>m2</w:t>
            </w:r>
          </w:p>
        </w:tc>
      </w:tr>
      <w:tr w:rsidR="002C53FB" w:rsidRPr="00BA5E3B" w:rsidTr="005C1853">
        <w:trPr>
          <w:trHeight w:val="410"/>
        </w:trPr>
        <w:tc>
          <w:tcPr>
            <w:tcW w:w="4606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  <w:b/>
              </w:rPr>
              <w:t>Área bruta del  terreno  (Área Total):</w:t>
            </w:r>
          </w:p>
        </w:tc>
        <w:tc>
          <w:tcPr>
            <w:tcW w:w="4253" w:type="dxa"/>
          </w:tcPr>
          <w:p w:rsidR="002C53FB" w:rsidRPr="00BA5E3B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BA5E3B">
              <w:rPr>
                <w:rFonts w:ascii="Times New Roman" w:hAnsi="Times New Roman"/>
              </w:rPr>
              <w:t>6</w:t>
            </w:r>
            <w:r w:rsidRPr="00BA5E3B">
              <w:rPr>
                <w:rFonts w:ascii="Times New Roman" w:hAnsi="Times New Roman"/>
                <w:color w:val="000000" w:themeColor="text1"/>
              </w:rPr>
              <w:t>.457,96</w:t>
            </w:r>
            <w:r w:rsidRPr="00BA5E3B">
              <w:rPr>
                <w:rFonts w:ascii="Times New Roman" w:hAnsi="Times New Roman"/>
              </w:rPr>
              <w:t>m2</w:t>
            </w:r>
          </w:p>
        </w:tc>
      </w:tr>
    </w:tbl>
    <w:p w:rsidR="00B95692" w:rsidRPr="009D3E21" w:rsidRDefault="00B95692" w:rsidP="00E14E2C">
      <w:pPr>
        <w:pStyle w:val="Textoindependiente"/>
        <w:spacing w:after="0" w:line="276" w:lineRule="auto"/>
        <w:jc w:val="both"/>
        <w:rPr>
          <w:sz w:val="22"/>
          <w:szCs w:val="22"/>
        </w:rPr>
      </w:pPr>
    </w:p>
    <w:p w:rsidR="0057335B" w:rsidRPr="009D3E21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>El número total de lotes</w:t>
      </w:r>
      <w:r w:rsidR="0024191F" w:rsidRPr="009D3E21">
        <w:rPr>
          <w:sz w:val="22"/>
          <w:szCs w:val="22"/>
        </w:rPr>
        <w:t>,</w:t>
      </w:r>
      <w:r w:rsidR="00F14104" w:rsidRPr="009D3E21">
        <w:rPr>
          <w:sz w:val="22"/>
          <w:szCs w:val="22"/>
        </w:rPr>
        <w:t xml:space="preserve"> producto del fraccionamiento</w:t>
      </w:r>
      <w:r w:rsidR="0024191F" w:rsidRPr="009D3E21">
        <w:rPr>
          <w:sz w:val="22"/>
          <w:szCs w:val="22"/>
        </w:rPr>
        <w:t>,</w:t>
      </w:r>
      <w:r w:rsidRPr="009D3E21">
        <w:rPr>
          <w:sz w:val="22"/>
          <w:szCs w:val="22"/>
        </w:rPr>
        <w:t xml:space="preserve"> </w:t>
      </w:r>
      <w:r w:rsidR="00082904" w:rsidRPr="009D3E21">
        <w:rPr>
          <w:sz w:val="22"/>
          <w:szCs w:val="22"/>
        </w:rPr>
        <w:t xml:space="preserve">es de </w:t>
      </w:r>
      <w:r w:rsidR="002C53FB">
        <w:rPr>
          <w:sz w:val="22"/>
          <w:szCs w:val="22"/>
        </w:rPr>
        <w:t>1</w:t>
      </w:r>
      <w:r w:rsidR="004C7A34">
        <w:rPr>
          <w:sz w:val="22"/>
          <w:szCs w:val="22"/>
        </w:rPr>
        <w:t>4</w:t>
      </w:r>
      <w:r w:rsidR="00C12D2E" w:rsidRPr="009D3E21">
        <w:rPr>
          <w:sz w:val="22"/>
          <w:szCs w:val="22"/>
        </w:rPr>
        <w:t xml:space="preserve">, signados del uno (1) al </w:t>
      </w:r>
      <w:r w:rsidR="002C53FB">
        <w:rPr>
          <w:sz w:val="22"/>
          <w:szCs w:val="22"/>
        </w:rPr>
        <w:t>catorce</w:t>
      </w:r>
      <w:r w:rsidR="00C12D2E" w:rsidRPr="009D3E21">
        <w:rPr>
          <w:sz w:val="22"/>
          <w:szCs w:val="22"/>
        </w:rPr>
        <w:t xml:space="preserve"> (</w:t>
      </w:r>
      <w:r w:rsidR="002C53FB">
        <w:rPr>
          <w:sz w:val="22"/>
          <w:szCs w:val="22"/>
        </w:rPr>
        <w:t>14</w:t>
      </w:r>
      <w:r w:rsidR="00C12D2E" w:rsidRPr="009D3E21">
        <w:rPr>
          <w:sz w:val="22"/>
          <w:szCs w:val="22"/>
        </w:rPr>
        <w:t xml:space="preserve">) </w:t>
      </w:r>
      <w:r w:rsidRPr="009D3E21">
        <w:rPr>
          <w:sz w:val="22"/>
          <w:szCs w:val="22"/>
        </w:rPr>
        <w:t>cuyo detalle es el que consta en los planos aprobatorios que forman parte de la presente Ordenanza.</w:t>
      </w:r>
      <w:r w:rsidR="000B7E01" w:rsidRPr="009D3E21">
        <w:rPr>
          <w:sz w:val="22"/>
          <w:szCs w:val="22"/>
        </w:rPr>
        <w:t xml:space="preserve"> </w:t>
      </w:r>
    </w:p>
    <w:p w:rsidR="0050154C" w:rsidRPr="002C53FB" w:rsidRDefault="00361728" w:rsidP="002C53FB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9D3E21">
        <w:rPr>
          <w:b/>
          <w:sz w:val="22"/>
          <w:szCs w:val="22"/>
        </w:rPr>
        <w:t xml:space="preserve">Artículo </w:t>
      </w:r>
      <w:r w:rsidR="0024191F" w:rsidRPr="009D3E21">
        <w:rPr>
          <w:b/>
          <w:sz w:val="22"/>
          <w:szCs w:val="22"/>
        </w:rPr>
        <w:t>5</w:t>
      </w:r>
      <w:r w:rsidRPr="009D3E21">
        <w:rPr>
          <w:b/>
          <w:sz w:val="22"/>
          <w:szCs w:val="22"/>
        </w:rPr>
        <w:t xml:space="preserve">.- Zonificación de los </w:t>
      </w:r>
      <w:r w:rsidR="009D3E21" w:rsidRPr="009D3E21">
        <w:rPr>
          <w:b/>
          <w:sz w:val="22"/>
          <w:szCs w:val="22"/>
        </w:rPr>
        <w:t>lotes. -</w:t>
      </w:r>
      <w:r w:rsidRPr="009D3E21">
        <w:rPr>
          <w:sz w:val="22"/>
          <w:szCs w:val="22"/>
        </w:rPr>
        <w:t xml:space="preserve"> </w:t>
      </w:r>
      <w:r w:rsidR="002C53FB" w:rsidRPr="00B8797B">
        <w:rPr>
          <w:sz w:val="22"/>
          <w:szCs w:val="22"/>
        </w:rPr>
        <w:t>Los lotes fraccionados</w:t>
      </w:r>
      <w:r w:rsidR="002C53FB">
        <w:rPr>
          <w:sz w:val="22"/>
          <w:szCs w:val="22"/>
        </w:rPr>
        <w:t xml:space="preserve"> mantendrán</w:t>
      </w:r>
      <w:r w:rsidR="002C53FB" w:rsidRPr="00B8797B">
        <w:rPr>
          <w:sz w:val="22"/>
          <w:szCs w:val="22"/>
        </w:rPr>
        <w:t xml:space="preserve"> la zonificación para los 14 lotes, conforme se detalla a continuación: </w:t>
      </w:r>
      <w:proofErr w:type="gramStart"/>
      <w:r w:rsidR="002C53FB">
        <w:rPr>
          <w:sz w:val="22"/>
          <w:szCs w:val="22"/>
        </w:rPr>
        <w:t>C3(</w:t>
      </w:r>
      <w:proofErr w:type="gramEnd"/>
      <w:r w:rsidR="002C53FB">
        <w:rPr>
          <w:sz w:val="22"/>
          <w:szCs w:val="22"/>
        </w:rPr>
        <w:t>C303-70)</w:t>
      </w:r>
      <w:r w:rsidR="002C53FB" w:rsidRPr="00B8797B">
        <w:rPr>
          <w:sz w:val="22"/>
          <w:szCs w:val="22"/>
        </w:rPr>
        <w:t xml:space="preserve">; </w:t>
      </w:r>
      <w:r w:rsidR="002C53FB" w:rsidRPr="00B8797B">
        <w:rPr>
          <w:color w:val="000000" w:themeColor="text1"/>
          <w:sz w:val="22"/>
          <w:szCs w:val="22"/>
        </w:rPr>
        <w:t xml:space="preserve">Lote mínimo: </w:t>
      </w:r>
      <w:r w:rsidR="002C53FB">
        <w:rPr>
          <w:color w:val="000000" w:themeColor="text1"/>
          <w:sz w:val="22"/>
          <w:szCs w:val="22"/>
        </w:rPr>
        <w:t>3</w:t>
      </w:r>
      <w:r w:rsidR="002C53FB" w:rsidRPr="00B8797B">
        <w:rPr>
          <w:sz w:val="22"/>
          <w:szCs w:val="22"/>
        </w:rPr>
        <w:t>00 m2</w:t>
      </w:r>
      <w:r w:rsidR="002C53FB" w:rsidRPr="00B8797B">
        <w:rPr>
          <w:color w:val="000000" w:themeColor="text1"/>
          <w:sz w:val="22"/>
          <w:szCs w:val="22"/>
        </w:rPr>
        <w:t xml:space="preserve">; </w:t>
      </w:r>
      <w:r w:rsidR="002C53FB" w:rsidRPr="00B8797B">
        <w:rPr>
          <w:sz w:val="22"/>
          <w:szCs w:val="22"/>
        </w:rPr>
        <w:t>Forma de Ocupación del Suelo</w:t>
      </w:r>
      <w:r w:rsidR="002C53FB">
        <w:rPr>
          <w:sz w:val="22"/>
          <w:szCs w:val="22"/>
        </w:rPr>
        <w:t>:</w:t>
      </w:r>
      <w:r w:rsidR="002C53FB" w:rsidRPr="00B8797B">
        <w:rPr>
          <w:sz w:val="22"/>
          <w:szCs w:val="22"/>
        </w:rPr>
        <w:t xml:space="preserve"> (</w:t>
      </w:r>
      <w:r w:rsidR="002C53FB">
        <w:rPr>
          <w:sz w:val="22"/>
          <w:szCs w:val="22"/>
        </w:rPr>
        <w:t>C</w:t>
      </w:r>
      <w:r w:rsidR="002C53FB" w:rsidRPr="00B8797B">
        <w:rPr>
          <w:sz w:val="22"/>
          <w:szCs w:val="22"/>
        </w:rPr>
        <w:t xml:space="preserve">) </w:t>
      </w:r>
      <w:r w:rsidR="002C53FB">
        <w:rPr>
          <w:sz w:val="22"/>
          <w:szCs w:val="22"/>
        </w:rPr>
        <w:t>Continua con Retiro Frontal</w:t>
      </w:r>
      <w:r w:rsidR="002C53FB" w:rsidRPr="00B8797B">
        <w:rPr>
          <w:sz w:val="22"/>
          <w:szCs w:val="22"/>
        </w:rPr>
        <w:t>; Uso Principal del Suelo  (R</w:t>
      </w:r>
      <w:r w:rsidR="002C53FB">
        <w:rPr>
          <w:sz w:val="22"/>
          <w:szCs w:val="22"/>
        </w:rPr>
        <w:t>U1) Residencial Urbano</w:t>
      </w:r>
      <w:r w:rsidR="002C53FB" w:rsidRPr="00B8797B">
        <w:rPr>
          <w:sz w:val="22"/>
          <w:szCs w:val="22"/>
        </w:rPr>
        <w:t xml:space="preserve"> 1</w:t>
      </w:r>
      <w:r w:rsidR="00EA59C2" w:rsidRPr="009D3E21">
        <w:rPr>
          <w:color w:val="000000" w:themeColor="text1"/>
          <w:sz w:val="22"/>
          <w:szCs w:val="22"/>
        </w:rPr>
        <w:t xml:space="preserve">; </w:t>
      </w:r>
      <w:r w:rsidR="00332708" w:rsidRPr="009D3E21">
        <w:rPr>
          <w:color w:val="000000" w:themeColor="text1"/>
          <w:sz w:val="22"/>
          <w:szCs w:val="22"/>
        </w:rPr>
        <w:t xml:space="preserve"> </w:t>
      </w:r>
      <w:r w:rsidR="00957006" w:rsidRPr="009D3E21">
        <w:rPr>
          <w:sz w:val="22"/>
          <w:szCs w:val="22"/>
        </w:rPr>
        <w:t>Número</w:t>
      </w:r>
      <w:r w:rsidR="00EA59C2" w:rsidRPr="009D3E21">
        <w:rPr>
          <w:sz w:val="22"/>
          <w:szCs w:val="22"/>
        </w:rPr>
        <w:t xml:space="preserve"> de pisos </w:t>
      </w:r>
      <w:r w:rsidR="009D3E21">
        <w:rPr>
          <w:sz w:val="22"/>
          <w:szCs w:val="22"/>
        </w:rPr>
        <w:t>3</w:t>
      </w:r>
      <w:r w:rsidR="00EA59C2" w:rsidRPr="009D3E21">
        <w:rPr>
          <w:sz w:val="22"/>
          <w:szCs w:val="22"/>
        </w:rPr>
        <w:t>, COS planta baja: 80</w:t>
      </w:r>
      <w:r w:rsidR="00957006" w:rsidRPr="009D3E21">
        <w:rPr>
          <w:sz w:val="22"/>
          <w:szCs w:val="22"/>
        </w:rPr>
        <w:t>%</w:t>
      </w:r>
      <w:r w:rsidR="00EA59C2" w:rsidRPr="009D3E21">
        <w:rPr>
          <w:sz w:val="22"/>
          <w:szCs w:val="22"/>
        </w:rPr>
        <w:t xml:space="preserve">, COS total: </w:t>
      </w:r>
      <w:r w:rsidR="009D3E21">
        <w:rPr>
          <w:sz w:val="22"/>
          <w:szCs w:val="22"/>
        </w:rPr>
        <w:t>24</w:t>
      </w:r>
      <w:r w:rsidR="00EA59C2" w:rsidRPr="009D3E21">
        <w:rPr>
          <w:sz w:val="22"/>
          <w:szCs w:val="22"/>
        </w:rPr>
        <w:t>0</w:t>
      </w:r>
      <w:r w:rsidR="00957006" w:rsidRPr="009D3E21">
        <w:rPr>
          <w:sz w:val="22"/>
          <w:szCs w:val="22"/>
        </w:rPr>
        <w:t>%.</w:t>
      </w:r>
      <w:r w:rsidRPr="009D3E21">
        <w:rPr>
          <w:b/>
          <w:sz w:val="22"/>
          <w:szCs w:val="22"/>
        </w:rPr>
        <w:t xml:space="preserve"> </w:t>
      </w:r>
    </w:p>
    <w:p w:rsidR="0050154C" w:rsidRPr="009D3E21" w:rsidRDefault="0050154C" w:rsidP="0050154C">
      <w:pPr>
        <w:spacing w:line="240" w:lineRule="atLeast"/>
        <w:jc w:val="both"/>
        <w:rPr>
          <w:b/>
          <w:sz w:val="22"/>
          <w:szCs w:val="22"/>
        </w:rPr>
      </w:pPr>
    </w:p>
    <w:p w:rsidR="0050154C" w:rsidRPr="009D3E21" w:rsidRDefault="00CA72BC" w:rsidP="0050154C">
      <w:pPr>
        <w:spacing w:line="240" w:lineRule="atLeast"/>
        <w:jc w:val="both"/>
        <w:rPr>
          <w:sz w:val="22"/>
          <w:szCs w:val="22"/>
        </w:rPr>
      </w:pPr>
      <w:r w:rsidRPr="009D3E21">
        <w:rPr>
          <w:b/>
          <w:sz w:val="22"/>
          <w:szCs w:val="22"/>
        </w:rPr>
        <w:t xml:space="preserve">Artículo </w:t>
      </w:r>
      <w:r w:rsidR="0024191F" w:rsidRPr="009D3E21">
        <w:rPr>
          <w:b/>
          <w:sz w:val="22"/>
          <w:szCs w:val="22"/>
        </w:rPr>
        <w:t>6</w:t>
      </w:r>
      <w:r w:rsidR="00361728" w:rsidRPr="009D3E21">
        <w:rPr>
          <w:b/>
          <w:sz w:val="22"/>
          <w:szCs w:val="22"/>
        </w:rPr>
        <w:t xml:space="preserve">.- Clasificación del </w:t>
      </w:r>
      <w:r w:rsidR="009D3E21" w:rsidRPr="009D3E21">
        <w:rPr>
          <w:b/>
          <w:sz w:val="22"/>
          <w:szCs w:val="22"/>
        </w:rPr>
        <w:t>Suelo. -</w:t>
      </w:r>
      <w:r w:rsidR="00361728" w:rsidRPr="009D3E21">
        <w:rPr>
          <w:b/>
          <w:sz w:val="22"/>
          <w:szCs w:val="22"/>
        </w:rPr>
        <w:t xml:space="preserve"> </w:t>
      </w:r>
      <w:r w:rsidR="00192470" w:rsidRPr="009D3E21">
        <w:rPr>
          <w:sz w:val="22"/>
          <w:szCs w:val="22"/>
        </w:rPr>
        <w:t xml:space="preserve">Los lotes fraccionados mantendrán la clasificación vigente esto es (SU) </w:t>
      </w:r>
      <w:r w:rsidR="00C12D2E" w:rsidRPr="009D3E21">
        <w:rPr>
          <w:bCs/>
          <w:sz w:val="22"/>
          <w:szCs w:val="22"/>
        </w:rPr>
        <w:t>Suelo Urbano</w:t>
      </w:r>
      <w:r w:rsidR="00332708" w:rsidRPr="009D3E21">
        <w:rPr>
          <w:sz w:val="22"/>
          <w:szCs w:val="22"/>
        </w:rPr>
        <w:t>.</w:t>
      </w:r>
    </w:p>
    <w:p w:rsidR="0050154C" w:rsidRPr="009D3E21" w:rsidRDefault="0050154C" w:rsidP="0050154C">
      <w:pPr>
        <w:spacing w:line="240" w:lineRule="atLeast"/>
        <w:jc w:val="both"/>
        <w:rPr>
          <w:sz w:val="22"/>
          <w:szCs w:val="22"/>
        </w:rPr>
      </w:pPr>
    </w:p>
    <w:p w:rsidR="00D12135" w:rsidRDefault="00387489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  <w:r w:rsidRPr="009D3E21">
        <w:rPr>
          <w:b/>
          <w:sz w:val="22"/>
          <w:szCs w:val="22"/>
        </w:rPr>
        <w:t xml:space="preserve">Artículo </w:t>
      </w:r>
      <w:r w:rsidR="0024191F" w:rsidRPr="009D3E21">
        <w:rPr>
          <w:b/>
          <w:sz w:val="22"/>
          <w:szCs w:val="22"/>
        </w:rPr>
        <w:t>7</w:t>
      </w:r>
      <w:r w:rsidRPr="009D3E21">
        <w:rPr>
          <w:b/>
          <w:sz w:val="22"/>
          <w:szCs w:val="22"/>
        </w:rPr>
        <w:t>.-</w:t>
      </w:r>
      <w:r w:rsidR="0024191F" w:rsidRPr="009D3E21">
        <w:rPr>
          <w:b/>
          <w:sz w:val="22"/>
          <w:szCs w:val="22"/>
        </w:rPr>
        <w:t xml:space="preserve"> </w:t>
      </w:r>
      <w:r w:rsidRPr="009D3E21">
        <w:rPr>
          <w:b/>
          <w:sz w:val="22"/>
          <w:szCs w:val="22"/>
        </w:rPr>
        <w:t xml:space="preserve">Lotes por </w:t>
      </w:r>
      <w:r w:rsidR="009D3E21" w:rsidRPr="009D3E21">
        <w:rPr>
          <w:b/>
          <w:sz w:val="22"/>
          <w:szCs w:val="22"/>
        </w:rPr>
        <w:t>excepción. -</w:t>
      </w:r>
      <w:r w:rsidRPr="009D3E21">
        <w:rPr>
          <w:b/>
          <w:sz w:val="22"/>
          <w:szCs w:val="22"/>
        </w:rPr>
        <w:t xml:space="preserve"> </w:t>
      </w:r>
      <w:r w:rsidR="00082904" w:rsidRPr="009D3E21">
        <w:rPr>
          <w:sz w:val="22"/>
          <w:szCs w:val="22"/>
        </w:rPr>
        <w:t>Por tratarse de un Asentamiento</w:t>
      </w:r>
      <w:r w:rsidR="00E14E2C" w:rsidRPr="009D3E21">
        <w:rPr>
          <w:sz w:val="22"/>
          <w:szCs w:val="22"/>
        </w:rPr>
        <w:t xml:space="preserve"> Humano</w:t>
      </w:r>
      <w:r w:rsidR="00082904" w:rsidRPr="009D3E21">
        <w:rPr>
          <w:sz w:val="22"/>
          <w:szCs w:val="22"/>
        </w:rPr>
        <w:t xml:space="preserve"> de Hecho y C</w:t>
      </w:r>
      <w:r w:rsidR="00267DA6">
        <w:rPr>
          <w:sz w:val="22"/>
          <w:szCs w:val="22"/>
        </w:rPr>
        <w:t>onsolidado de Interés S</w:t>
      </w:r>
      <w:r w:rsidR="006D3A42" w:rsidRPr="009D3E21">
        <w:rPr>
          <w:sz w:val="22"/>
          <w:szCs w:val="22"/>
        </w:rPr>
        <w:t>ocial, se aprueba</w:t>
      </w:r>
      <w:r w:rsidR="004C7A34">
        <w:rPr>
          <w:sz w:val="22"/>
          <w:szCs w:val="22"/>
        </w:rPr>
        <w:t>n por excepción, esto es, con á</w:t>
      </w:r>
      <w:r w:rsidR="006D3A42" w:rsidRPr="009D3E21">
        <w:rPr>
          <w:sz w:val="22"/>
          <w:szCs w:val="22"/>
        </w:rPr>
        <w:t xml:space="preserve">reas inferiores a las mínimas establecidas en la zonificación </w:t>
      </w:r>
      <w:r w:rsidR="00321C5A" w:rsidRPr="009D3E21">
        <w:rPr>
          <w:sz w:val="22"/>
          <w:szCs w:val="22"/>
        </w:rPr>
        <w:t>propuesta</w:t>
      </w:r>
      <w:r w:rsidR="006D3A42" w:rsidRPr="009D3E21">
        <w:rPr>
          <w:sz w:val="22"/>
          <w:szCs w:val="22"/>
        </w:rPr>
        <w:t xml:space="preserve">, </w:t>
      </w:r>
      <w:r w:rsidR="002C53FB">
        <w:rPr>
          <w:sz w:val="22"/>
          <w:szCs w:val="22"/>
        </w:rPr>
        <w:t>los</w:t>
      </w:r>
      <w:r w:rsidR="0036225B" w:rsidRPr="009D3E21">
        <w:rPr>
          <w:sz w:val="22"/>
          <w:szCs w:val="22"/>
        </w:rPr>
        <w:t xml:space="preserve"> lote</w:t>
      </w:r>
      <w:r w:rsidR="002C53FB">
        <w:rPr>
          <w:sz w:val="22"/>
          <w:szCs w:val="22"/>
        </w:rPr>
        <w:t>s</w:t>
      </w:r>
      <w:r w:rsidR="006D3A42" w:rsidRPr="009D3E21">
        <w:rPr>
          <w:sz w:val="22"/>
          <w:szCs w:val="22"/>
        </w:rPr>
        <w:t xml:space="preserve"> </w:t>
      </w:r>
      <w:r w:rsidR="002C53FB">
        <w:rPr>
          <w:sz w:val="22"/>
          <w:szCs w:val="22"/>
        </w:rPr>
        <w:t>6</w:t>
      </w:r>
      <w:r w:rsidR="004C7A34">
        <w:rPr>
          <w:sz w:val="22"/>
          <w:szCs w:val="22"/>
        </w:rPr>
        <w:t xml:space="preserve"> </w:t>
      </w:r>
      <w:r w:rsidR="002C53FB">
        <w:rPr>
          <w:sz w:val="22"/>
          <w:szCs w:val="22"/>
        </w:rPr>
        <w:t>y 13.</w:t>
      </w:r>
    </w:p>
    <w:p w:rsidR="00202AA6" w:rsidRDefault="00202AA6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</w:p>
    <w:p w:rsidR="00CD0ED3" w:rsidRPr="0087686C" w:rsidRDefault="00CE091E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  <w:r w:rsidRPr="009D3E21">
        <w:rPr>
          <w:b/>
          <w:sz w:val="22"/>
          <w:szCs w:val="22"/>
        </w:rPr>
        <w:t xml:space="preserve">Artículo </w:t>
      </w:r>
      <w:r>
        <w:rPr>
          <w:b/>
          <w:sz w:val="22"/>
          <w:szCs w:val="22"/>
        </w:rPr>
        <w:t>8</w:t>
      </w:r>
      <w:r w:rsidRPr="009D3E21">
        <w:rPr>
          <w:b/>
          <w:sz w:val="22"/>
          <w:szCs w:val="22"/>
        </w:rPr>
        <w:t xml:space="preserve">.- </w:t>
      </w:r>
      <w:r w:rsidR="00CD0ED3" w:rsidRPr="0087686C">
        <w:rPr>
          <w:b/>
          <w:sz w:val="22"/>
          <w:szCs w:val="22"/>
        </w:rPr>
        <w:t xml:space="preserve">Lotes </w:t>
      </w:r>
      <w:r w:rsidR="009F176B">
        <w:rPr>
          <w:b/>
          <w:sz w:val="22"/>
          <w:szCs w:val="22"/>
        </w:rPr>
        <w:t>con</w:t>
      </w:r>
      <w:r w:rsidR="00CD0ED3" w:rsidRPr="0087686C">
        <w:rPr>
          <w:b/>
          <w:sz w:val="22"/>
          <w:szCs w:val="22"/>
        </w:rPr>
        <w:t xml:space="preserve"> afectación</w:t>
      </w:r>
      <w:r w:rsidR="009F176B">
        <w:rPr>
          <w:b/>
          <w:sz w:val="22"/>
          <w:szCs w:val="22"/>
        </w:rPr>
        <w:t xml:space="preserve"> vial</w:t>
      </w:r>
      <w:r w:rsidR="00CD0ED3" w:rsidRPr="0087686C">
        <w:rPr>
          <w:b/>
          <w:sz w:val="22"/>
          <w:szCs w:val="22"/>
        </w:rPr>
        <w:t>.-</w:t>
      </w:r>
      <w:r w:rsidR="0087686C">
        <w:rPr>
          <w:b/>
          <w:sz w:val="22"/>
          <w:szCs w:val="22"/>
        </w:rPr>
        <w:t xml:space="preserve"> </w:t>
      </w:r>
      <w:r w:rsidR="00CC7D12" w:rsidRPr="0087686C">
        <w:rPr>
          <w:sz w:val="22"/>
          <w:szCs w:val="22"/>
        </w:rPr>
        <w:t xml:space="preserve">La </w:t>
      </w:r>
      <w:r w:rsidR="00CC7D12">
        <w:rPr>
          <w:sz w:val="22"/>
          <w:szCs w:val="22"/>
        </w:rPr>
        <w:t xml:space="preserve">Dirección de Gestión de Territorio de la Administración Los Chillos </w:t>
      </w:r>
      <w:r w:rsidR="00CC7D12" w:rsidRPr="0087686C">
        <w:rPr>
          <w:sz w:val="22"/>
          <w:szCs w:val="22"/>
        </w:rPr>
        <w:t xml:space="preserve"> en su oficio No. </w:t>
      </w:r>
      <w:r w:rsidR="00CC7D12">
        <w:rPr>
          <w:sz w:val="22"/>
          <w:szCs w:val="22"/>
        </w:rPr>
        <w:t xml:space="preserve">GU-DGT-AZVCH </w:t>
      </w:r>
      <w:r w:rsidR="00CC7D12" w:rsidRPr="0087686C">
        <w:rPr>
          <w:sz w:val="22"/>
          <w:szCs w:val="22"/>
        </w:rPr>
        <w:t xml:space="preserve"> de fecha  </w:t>
      </w:r>
      <w:r w:rsidR="00CC7D12">
        <w:rPr>
          <w:sz w:val="22"/>
          <w:szCs w:val="22"/>
        </w:rPr>
        <w:t>31 de julio de 201</w:t>
      </w:r>
      <w:r w:rsidR="00CC7D12" w:rsidRPr="0087686C">
        <w:rPr>
          <w:sz w:val="22"/>
          <w:szCs w:val="22"/>
        </w:rPr>
        <w:t xml:space="preserve">8, </w:t>
      </w:r>
      <w:r w:rsidR="009F176B">
        <w:rPr>
          <w:sz w:val="22"/>
          <w:szCs w:val="22"/>
        </w:rPr>
        <w:lastRenderedPageBreak/>
        <w:t>conforme al plano del trazado vial</w:t>
      </w:r>
      <w:r w:rsidR="00F779C7">
        <w:rPr>
          <w:sz w:val="22"/>
          <w:szCs w:val="22"/>
        </w:rPr>
        <w:t xml:space="preserve"> del sector</w:t>
      </w:r>
      <w:r w:rsidR="009F176B">
        <w:rPr>
          <w:sz w:val="22"/>
          <w:szCs w:val="22"/>
        </w:rPr>
        <w:t xml:space="preserve"> </w:t>
      </w:r>
      <w:r w:rsidR="00CC7D12" w:rsidRPr="0087686C">
        <w:rPr>
          <w:sz w:val="22"/>
          <w:szCs w:val="22"/>
        </w:rPr>
        <w:t xml:space="preserve">determina </w:t>
      </w:r>
      <w:r w:rsidR="00CC7D12">
        <w:rPr>
          <w:sz w:val="22"/>
          <w:szCs w:val="22"/>
        </w:rPr>
        <w:t>la</w:t>
      </w:r>
      <w:r w:rsidR="00681F54">
        <w:rPr>
          <w:sz w:val="22"/>
          <w:szCs w:val="22"/>
        </w:rPr>
        <w:t>s</w:t>
      </w:r>
      <w:r w:rsidR="00CC7D12">
        <w:rPr>
          <w:sz w:val="22"/>
          <w:szCs w:val="22"/>
        </w:rPr>
        <w:t xml:space="preserve"> siguiente</w:t>
      </w:r>
      <w:r w:rsidR="00230406">
        <w:rPr>
          <w:sz w:val="22"/>
          <w:szCs w:val="22"/>
        </w:rPr>
        <w:t>s afectaciones</w:t>
      </w:r>
      <w:r w:rsidR="00CC7D12">
        <w:rPr>
          <w:sz w:val="22"/>
          <w:szCs w:val="22"/>
        </w:rPr>
        <w:t>: “</w:t>
      </w:r>
      <w:r w:rsidR="00CC7D12" w:rsidRPr="00CC7D12">
        <w:rPr>
          <w:i/>
          <w:sz w:val="22"/>
          <w:szCs w:val="22"/>
        </w:rPr>
        <w:t>TRONCAL DISTRITAL: actualmente de 50.00 m de ancho de vía total medido a 25.00 m desde el eje a línea de fábrica, se observó que existe una afectación de 18.00m de fondo por todo el frente a esta vía…”</w:t>
      </w:r>
      <w:r w:rsidR="00F779C7">
        <w:rPr>
          <w:i/>
          <w:sz w:val="22"/>
          <w:szCs w:val="22"/>
        </w:rPr>
        <w:t>;</w:t>
      </w:r>
      <w:r w:rsidR="00230406">
        <w:rPr>
          <w:i/>
          <w:sz w:val="22"/>
          <w:szCs w:val="22"/>
        </w:rPr>
        <w:t xml:space="preserve"> </w:t>
      </w:r>
      <w:r w:rsidR="00CC7D12">
        <w:rPr>
          <w:sz w:val="22"/>
          <w:szCs w:val="22"/>
        </w:rPr>
        <w:t xml:space="preserve"> </w:t>
      </w:r>
      <w:r w:rsidR="00230406">
        <w:rPr>
          <w:sz w:val="22"/>
          <w:szCs w:val="22"/>
        </w:rPr>
        <w:t>“</w:t>
      </w:r>
      <w:r w:rsidR="00230406">
        <w:rPr>
          <w:i/>
          <w:sz w:val="22"/>
          <w:szCs w:val="22"/>
        </w:rPr>
        <w:t>CALLE SUR: Actualmente de 10.00 m de ancho de vía total medido a 5.00 m desde el eje a línea de fábrica, determinándose una afectación promedio de 1.00 m de fondo por todo el frente  a esta vía….”.</w:t>
      </w:r>
      <w:r w:rsidR="00271CE8" w:rsidRPr="00271CE8">
        <w:rPr>
          <w:sz w:val="22"/>
          <w:szCs w:val="22"/>
        </w:rPr>
        <w:t xml:space="preserve"> </w:t>
      </w:r>
      <w:r w:rsidR="00271CE8" w:rsidRPr="0087686C">
        <w:rPr>
          <w:sz w:val="22"/>
          <w:szCs w:val="22"/>
        </w:rPr>
        <w:t xml:space="preserve">Por lo cual el </w:t>
      </w:r>
      <w:r w:rsidR="00271CE8" w:rsidRPr="009D3E21">
        <w:rPr>
          <w:sz w:val="22"/>
          <w:szCs w:val="22"/>
        </w:rPr>
        <w:t xml:space="preserve">Asentamiento Humano de Hecho y Consolidado de Interés Social denominado </w:t>
      </w:r>
      <w:r w:rsidR="00271CE8">
        <w:rPr>
          <w:sz w:val="22"/>
          <w:szCs w:val="22"/>
        </w:rPr>
        <w:t>“</w:t>
      </w:r>
      <w:proofErr w:type="spellStart"/>
      <w:r w:rsidR="00271CE8">
        <w:rPr>
          <w:sz w:val="22"/>
          <w:szCs w:val="22"/>
        </w:rPr>
        <w:t>Cuendina</w:t>
      </w:r>
      <w:proofErr w:type="spellEnd"/>
      <w:r w:rsidR="00271CE8">
        <w:rPr>
          <w:sz w:val="22"/>
          <w:szCs w:val="22"/>
        </w:rPr>
        <w:t xml:space="preserve"> la Victoria II Etapa”</w:t>
      </w:r>
      <w:r w:rsidR="00271CE8" w:rsidRPr="009D3E21">
        <w:rPr>
          <w:b/>
          <w:bCs/>
          <w:sz w:val="22"/>
          <w:szCs w:val="22"/>
        </w:rPr>
        <w:t xml:space="preserve">, </w:t>
      </w:r>
      <w:r w:rsidR="00271CE8" w:rsidRPr="0087686C">
        <w:rPr>
          <w:sz w:val="22"/>
          <w:szCs w:val="22"/>
        </w:rPr>
        <w:t xml:space="preserve">se encuentra </w:t>
      </w:r>
      <w:r w:rsidR="00271CE8">
        <w:rPr>
          <w:sz w:val="22"/>
          <w:szCs w:val="22"/>
        </w:rPr>
        <w:t xml:space="preserve">con afectación </w:t>
      </w:r>
      <w:r w:rsidR="00271CE8" w:rsidRPr="0087686C">
        <w:rPr>
          <w:sz w:val="22"/>
          <w:szCs w:val="22"/>
        </w:rPr>
        <w:t xml:space="preserve"> </w:t>
      </w:r>
      <w:r w:rsidR="00271CE8">
        <w:rPr>
          <w:sz w:val="22"/>
          <w:szCs w:val="22"/>
        </w:rPr>
        <w:t xml:space="preserve">vial  </w:t>
      </w:r>
      <w:r w:rsidR="009F176B">
        <w:rPr>
          <w:sz w:val="22"/>
          <w:szCs w:val="22"/>
        </w:rPr>
        <w:t>por</w:t>
      </w:r>
      <w:r w:rsidR="00271CE8">
        <w:rPr>
          <w:sz w:val="22"/>
          <w:szCs w:val="22"/>
        </w:rPr>
        <w:t xml:space="preserve"> la Troncal Distrital</w:t>
      </w:r>
      <w:r w:rsidR="009F176B">
        <w:rPr>
          <w:sz w:val="22"/>
          <w:szCs w:val="22"/>
        </w:rPr>
        <w:t xml:space="preserve"> </w:t>
      </w:r>
      <w:r w:rsidR="00271CE8">
        <w:rPr>
          <w:sz w:val="22"/>
          <w:szCs w:val="22"/>
        </w:rPr>
        <w:t xml:space="preserve">los </w:t>
      </w:r>
      <w:r w:rsidR="00271CE8" w:rsidRPr="0087686C">
        <w:rPr>
          <w:sz w:val="22"/>
          <w:szCs w:val="22"/>
        </w:rPr>
        <w:t>lote</w:t>
      </w:r>
      <w:r w:rsidR="00681F54">
        <w:rPr>
          <w:sz w:val="22"/>
          <w:szCs w:val="22"/>
        </w:rPr>
        <w:t>s 01, 02</w:t>
      </w:r>
      <w:r w:rsidR="00271CE8">
        <w:rPr>
          <w:sz w:val="22"/>
          <w:szCs w:val="22"/>
        </w:rPr>
        <w:t xml:space="preserve">, 03 y 04; y </w:t>
      </w:r>
      <w:r w:rsidR="00F779C7">
        <w:rPr>
          <w:sz w:val="22"/>
          <w:szCs w:val="22"/>
        </w:rPr>
        <w:t xml:space="preserve">con </w:t>
      </w:r>
      <w:r w:rsidR="00271CE8">
        <w:rPr>
          <w:sz w:val="22"/>
          <w:szCs w:val="22"/>
        </w:rPr>
        <w:t xml:space="preserve">afectación vial </w:t>
      </w:r>
      <w:r w:rsidR="00230406">
        <w:rPr>
          <w:sz w:val="22"/>
          <w:szCs w:val="22"/>
        </w:rPr>
        <w:t xml:space="preserve">por la </w:t>
      </w:r>
      <w:r w:rsidR="00414EED">
        <w:rPr>
          <w:sz w:val="22"/>
          <w:szCs w:val="22"/>
        </w:rPr>
        <w:t xml:space="preserve">Calle </w:t>
      </w:r>
      <w:r w:rsidR="00271CE8">
        <w:rPr>
          <w:sz w:val="22"/>
          <w:szCs w:val="22"/>
        </w:rPr>
        <w:t xml:space="preserve">De </w:t>
      </w:r>
      <w:r w:rsidR="00414EED">
        <w:rPr>
          <w:sz w:val="22"/>
          <w:szCs w:val="22"/>
        </w:rPr>
        <w:t xml:space="preserve">Las </w:t>
      </w:r>
      <w:proofErr w:type="spellStart"/>
      <w:r w:rsidR="00414EED">
        <w:rPr>
          <w:sz w:val="22"/>
          <w:szCs w:val="22"/>
        </w:rPr>
        <w:t>Higeras</w:t>
      </w:r>
      <w:proofErr w:type="spellEnd"/>
      <w:r w:rsidR="00414EED">
        <w:rPr>
          <w:sz w:val="22"/>
          <w:szCs w:val="22"/>
        </w:rPr>
        <w:t xml:space="preserve"> </w:t>
      </w:r>
      <w:r w:rsidR="00271CE8">
        <w:rPr>
          <w:sz w:val="22"/>
          <w:szCs w:val="22"/>
        </w:rPr>
        <w:t xml:space="preserve"> los lotes </w:t>
      </w:r>
      <w:r w:rsidR="009F176B">
        <w:rPr>
          <w:sz w:val="22"/>
          <w:szCs w:val="22"/>
        </w:rPr>
        <w:t>04, 05</w:t>
      </w:r>
      <w:r w:rsidR="00F779C7">
        <w:rPr>
          <w:sz w:val="22"/>
          <w:szCs w:val="22"/>
        </w:rPr>
        <w:t>, 09</w:t>
      </w:r>
      <w:r w:rsidR="00414EED">
        <w:rPr>
          <w:sz w:val="22"/>
          <w:szCs w:val="22"/>
        </w:rPr>
        <w:t>, 10 ,13 y 14</w:t>
      </w:r>
      <w:r w:rsidR="0087686C" w:rsidRPr="0087686C">
        <w:rPr>
          <w:sz w:val="22"/>
          <w:szCs w:val="22"/>
        </w:rPr>
        <w:t xml:space="preserve"> conforme </w:t>
      </w:r>
      <w:r w:rsidR="00F779C7">
        <w:rPr>
          <w:sz w:val="22"/>
          <w:szCs w:val="22"/>
        </w:rPr>
        <w:t>consta en e</w:t>
      </w:r>
      <w:r w:rsidR="0087686C" w:rsidRPr="0087686C">
        <w:rPr>
          <w:sz w:val="22"/>
          <w:szCs w:val="22"/>
        </w:rPr>
        <w:t xml:space="preserve">l plano </w:t>
      </w:r>
      <w:r w:rsidR="00CC7D12" w:rsidRPr="0087686C">
        <w:rPr>
          <w:sz w:val="22"/>
          <w:szCs w:val="22"/>
        </w:rPr>
        <w:t>habilitante</w:t>
      </w:r>
      <w:r w:rsidR="0087686C" w:rsidRPr="0087686C">
        <w:rPr>
          <w:sz w:val="22"/>
          <w:szCs w:val="22"/>
        </w:rPr>
        <w:t xml:space="preserve"> de esta or</w:t>
      </w:r>
      <w:bookmarkStart w:id="0" w:name="_GoBack"/>
      <w:bookmarkEnd w:id="0"/>
      <w:r w:rsidR="0087686C" w:rsidRPr="0087686C">
        <w:rPr>
          <w:sz w:val="22"/>
          <w:szCs w:val="22"/>
        </w:rPr>
        <w:t>denanza.</w:t>
      </w:r>
      <w:r w:rsidR="00CD0ED3" w:rsidRPr="0087686C">
        <w:rPr>
          <w:sz w:val="22"/>
          <w:szCs w:val="22"/>
        </w:rPr>
        <w:t xml:space="preserve"> </w:t>
      </w:r>
    </w:p>
    <w:p w:rsidR="00230406" w:rsidRPr="009D3E21" w:rsidRDefault="00230406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</w:p>
    <w:p w:rsidR="0050154C" w:rsidRPr="009D3E21" w:rsidRDefault="00CE091E" w:rsidP="00086F22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Artículo 9</w:t>
      </w:r>
      <w:r w:rsidR="006D3A42" w:rsidRPr="009D3E21">
        <w:rPr>
          <w:b/>
          <w:sz w:val="22"/>
          <w:szCs w:val="22"/>
        </w:rPr>
        <w:t>.- Exoneración del porcentaje del área verde y de equipamiento comunal</w:t>
      </w:r>
      <w:r w:rsidR="006D3A42" w:rsidRPr="009D3E21">
        <w:rPr>
          <w:sz w:val="22"/>
          <w:szCs w:val="22"/>
        </w:rPr>
        <w:t>.- A los copropietarios del predio donde se encuentra el Asentamiento Humano de Hecho y Consolidado de Interés Social denominado</w:t>
      </w:r>
      <w:r w:rsidR="00C12D2E" w:rsidRPr="009D3E21">
        <w:rPr>
          <w:color w:val="000000" w:themeColor="text1"/>
          <w:sz w:val="22"/>
          <w:szCs w:val="22"/>
        </w:rPr>
        <w:t xml:space="preserve"> </w:t>
      </w:r>
      <w:r w:rsidR="004E782C">
        <w:rPr>
          <w:sz w:val="22"/>
          <w:szCs w:val="22"/>
        </w:rPr>
        <w:t>“Cuendina la Victoria II Etapa”</w:t>
      </w:r>
      <w:r w:rsidR="00C12D2E" w:rsidRPr="009D3E21">
        <w:rPr>
          <w:b/>
          <w:bCs/>
          <w:sz w:val="22"/>
          <w:szCs w:val="22"/>
        </w:rPr>
        <w:t>,</w:t>
      </w:r>
      <w:r w:rsidR="0036225B" w:rsidRPr="009D3E21">
        <w:rPr>
          <w:bCs/>
          <w:sz w:val="22"/>
          <w:szCs w:val="22"/>
        </w:rPr>
        <w:t xml:space="preserve"> </w:t>
      </w:r>
      <w:r w:rsidR="00332708" w:rsidRPr="009D3E21">
        <w:rPr>
          <w:bCs/>
          <w:sz w:val="22"/>
          <w:szCs w:val="22"/>
        </w:rPr>
        <w:t xml:space="preserve"> </w:t>
      </w:r>
      <w:r w:rsidR="006D3A42" w:rsidRPr="009D3E21">
        <w:rPr>
          <w:sz w:val="22"/>
          <w:szCs w:val="22"/>
        </w:rPr>
        <w:t>conforme a la normativa vigente se les exonera el 15%</w:t>
      </w:r>
      <w:r w:rsidR="00D701A9" w:rsidRPr="009D3E21">
        <w:rPr>
          <w:sz w:val="22"/>
          <w:szCs w:val="22"/>
        </w:rPr>
        <w:t xml:space="preserve"> como contribución</w:t>
      </w:r>
      <w:r w:rsidR="006D3A42" w:rsidRPr="009D3E21">
        <w:rPr>
          <w:sz w:val="22"/>
          <w:szCs w:val="22"/>
        </w:rPr>
        <w:t xml:space="preserve"> del área verde,</w:t>
      </w:r>
      <w:r w:rsidR="00E51442">
        <w:rPr>
          <w:sz w:val="22"/>
          <w:szCs w:val="22"/>
        </w:rPr>
        <w:t xml:space="preserve"> y</w:t>
      </w:r>
      <w:r w:rsidR="006D3A42" w:rsidRPr="009D3E21">
        <w:rPr>
          <w:sz w:val="22"/>
          <w:szCs w:val="22"/>
        </w:rPr>
        <w:t xml:space="preserve"> por ser considerado como un Asentamien</w:t>
      </w:r>
      <w:r w:rsidR="0050154C" w:rsidRPr="009D3E21">
        <w:rPr>
          <w:sz w:val="22"/>
          <w:szCs w:val="22"/>
        </w:rPr>
        <w:t xml:space="preserve">to declarado de Interés Social; </w:t>
      </w:r>
    </w:p>
    <w:p w:rsidR="009D3E21" w:rsidRPr="009D3E21" w:rsidRDefault="00361728" w:rsidP="0050154C">
      <w:pPr>
        <w:spacing w:after="240" w:line="276" w:lineRule="auto"/>
        <w:jc w:val="both"/>
        <w:rPr>
          <w:i/>
          <w:sz w:val="22"/>
          <w:szCs w:val="22"/>
        </w:rPr>
      </w:pPr>
      <w:r w:rsidRPr="009D3E21">
        <w:rPr>
          <w:b/>
          <w:sz w:val="22"/>
          <w:szCs w:val="22"/>
        </w:rPr>
        <w:t>Artí</w:t>
      </w:r>
      <w:r w:rsidR="007317A4" w:rsidRPr="009D3E21">
        <w:rPr>
          <w:b/>
          <w:sz w:val="22"/>
          <w:szCs w:val="22"/>
        </w:rPr>
        <w:t>cu</w:t>
      </w:r>
      <w:r w:rsidRPr="009D3E21">
        <w:rPr>
          <w:b/>
          <w:sz w:val="22"/>
          <w:szCs w:val="22"/>
        </w:rPr>
        <w:t xml:space="preserve">lo </w:t>
      </w:r>
      <w:r w:rsidR="00CE091E">
        <w:rPr>
          <w:b/>
          <w:sz w:val="22"/>
          <w:szCs w:val="22"/>
        </w:rPr>
        <w:t>10</w:t>
      </w:r>
      <w:r w:rsidRPr="009D3E21">
        <w:rPr>
          <w:b/>
          <w:bCs/>
          <w:sz w:val="22"/>
          <w:szCs w:val="22"/>
        </w:rPr>
        <w:t xml:space="preserve">.- </w:t>
      </w:r>
      <w:r w:rsidR="0024191F" w:rsidRPr="009D3E21">
        <w:rPr>
          <w:b/>
          <w:bCs/>
          <w:sz w:val="22"/>
          <w:szCs w:val="22"/>
        </w:rPr>
        <w:t>Calificación de Riesgos</w:t>
      </w:r>
      <w:r w:rsidR="00596910" w:rsidRPr="009D3E21">
        <w:rPr>
          <w:b/>
          <w:bCs/>
          <w:sz w:val="22"/>
          <w:szCs w:val="22"/>
        </w:rPr>
        <w:t xml:space="preserve">.- </w:t>
      </w:r>
      <w:r w:rsidR="00596910" w:rsidRPr="009D3E21">
        <w:rPr>
          <w:bCs/>
          <w:sz w:val="22"/>
          <w:szCs w:val="22"/>
        </w:rPr>
        <w:t xml:space="preserve"> </w:t>
      </w:r>
      <w:r w:rsidR="007E6037" w:rsidRPr="009D3E21">
        <w:rPr>
          <w:sz w:val="22"/>
          <w:szCs w:val="22"/>
        </w:rPr>
        <w:t>El Asentamiento Humano de Hecho y Consolidado de Interés Social</w:t>
      </w:r>
      <w:r w:rsidR="007E6037" w:rsidRPr="009D3E21">
        <w:rPr>
          <w:bCs/>
          <w:sz w:val="22"/>
          <w:szCs w:val="22"/>
        </w:rPr>
        <w:t xml:space="preserve"> denominado </w:t>
      </w:r>
      <w:r w:rsidR="004E782C">
        <w:rPr>
          <w:sz w:val="22"/>
          <w:szCs w:val="22"/>
        </w:rPr>
        <w:t>“Cuendina la Victoria II Etapa”</w:t>
      </w:r>
      <w:r w:rsidR="0036225B" w:rsidRPr="009D3E21">
        <w:rPr>
          <w:sz w:val="22"/>
          <w:szCs w:val="22"/>
        </w:rPr>
        <w:t xml:space="preserve">, </w:t>
      </w:r>
      <w:r w:rsidR="007E6037" w:rsidRPr="009D3E21">
        <w:rPr>
          <w:sz w:val="22"/>
          <w:szCs w:val="22"/>
        </w:rPr>
        <w:t xml:space="preserve">deberá cumplir y acatar las recomendaciones que se encuentran </w:t>
      </w:r>
      <w:r w:rsidR="00024AC0">
        <w:rPr>
          <w:sz w:val="22"/>
          <w:szCs w:val="22"/>
        </w:rPr>
        <w:t>determinadas en el</w:t>
      </w:r>
      <w:r w:rsidR="00024AC0" w:rsidRPr="009D3E21">
        <w:rPr>
          <w:sz w:val="22"/>
          <w:szCs w:val="22"/>
        </w:rPr>
        <w:t xml:space="preserve"> informe </w:t>
      </w:r>
      <w:r w:rsidR="00024AC0" w:rsidRPr="009D3E21">
        <w:rPr>
          <w:rFonts w:eastAsia="Calibri"/>
          <w:sz w:val="22"/>
          <w:szCs w:val="22"/>
          <w:lang w:val="es-EC" w:eastAsia="en-US"/>
        </w:rPr>
        <w:t xml:space="preserve">de la Dirección Metropolitana de Gestión de Riesgos No. </w:t>
      </w:r>
      <w:r w:rsidR="00024AC0">
        <w:rPr>
          <w:rFonts w:eastAsia="Calibri"/>
          <w:sz w:val="22"/>
          <w:szCs w:val="22"/>
          <w:lang w:val="es-EC" w:eastAsia="en-US"/>
        </w:rPr>
        <w:t>206</w:t>
      </w:r>
      <w:r w:rsidR="00024AC0" w:rsidRPr="009D3E21">
        <w:rPr>
          <w:rFonts w:eastAsia="Calibri"/>
          <w:sz w:val="22"/>
          <w:szCs w:val="22"/>
          <w:lang w:val="es-EC" w:eastAsia="en-US"/>
        </w:rPr>
        <w:t>-AT-DMGR-2018</w:t>
      </w:r>
      <w:r w:rsidR="00024AC0">
        <w:rPr>
          <w:rFonts w:eastAsia="Calibri"/>
          <w:sz w:val="22"/>
          <w:szCs w:val="22"/>
          <w:lang w:val="es-EC" w:eastAsia="en-US"/>
        </w:rPr>
        <w:t>, de 27</w:t>
      </w:r>
      <w:r w:rsidR="00024AC0" w:rsidRPr="009D3E21">
        <w:rPr>
          <w:rFonts w:eastAsia="Calibri"/>
          <w:sz w:val="22"/>
          <w:szCs w:val="22"/>
          <w:lang w:val="es-EC" w:eastAsia="en-US"/>
        </w:rPr>
        <w:t xml:space="preserve"> de </w:t>
      </w:r>
      <w:r w:rsidR="00024AC0">
        <w:rPr>
          <w:rFonts w:eastAsia="Calibri"/>
          <w:sz w:val="22"/>
          <w:szCs w:val="22"/>
          <w:lang w:val="es-EC" w:eastAsia="en-US"/>
        </w:rPr>
        <w:t>julio</w:t>
      </w:r>
      <w:r w:rsidR="00024AC0" w:rsidRPr="009D3E21">
        <w:rPr>
          <w:rFonts w:eastAsia="Calibri"/>
          <w:sz w:val="22"/>
          <w:szCs w:val="22"/>
          <w:lang w:val="es-EC" w:eastAsia="en-US"/>
        </w:rPr>
        <w:t xml:space="preserve"> de 2018, califica al AHHYC “</w:t>
      </w:r>
      <w:r w:rsidR="00024AC0">
        <w:rPr>
          <w:rFonts w:eastAsia="Calibri"/>
          <w:sz w:val="22"/>
          <w:szCs w:val="22"/>
          <w:lang w:val="es-EC" w:eastAsia="en-US"/>
        </w:rPr>
        <w:t xml:space="preserve">Cuendina la Victoria II Etapa” </w:t>
      </w:r>
      <w:r w:rsidR="00024AC0" w:rsidRPr="009D3E21">
        <w:rPr>
          <w:rFonts w:eastAsia="Calibri"/>
          <w:sz w:val="22"/>
          <w:szCs w:val="22"/>
          <w:lang w:val="es-EC" w:eastAsia="en-US"/>
        </w:rPr>
        <w:t xml:space="preserve">en general presenta un </w:t>
      </w:r>
      <w:r w:rsidR="00024AC0" w:rsidRPr="009D3E21">
        <w:rPr>
          <w:rFonts w:eastAsia="Calibri"/>
          <w:b/>
          <w:bCs/>
          <w:sz w:val="22"/>
          <w:szCs w:val="22"/>
          <w:lang w:val="es-EC" w:eastAsia="en-US"/>
        </w:rPr>
        <w:t>Riesgo Bajo</w:t>
      </w:r>
      <w:r w:rsidR="00024AC0" w:rsidRPr="009D3E21">
        <w:rPr>
          <w:rFonts w:eastAsia="Calibri"/>
          <w:sz w:val="22"/>
          <w:szCs w:val="22"/>
          <w:lang w:val="es-EC" w:eastAsia="en-US"/>
        </w:rPr>
        <w:t xml:space="preserve"> para los lotes expuestos</w:t>
      </w:r>
      <w:r w:rsidR="00024AC0">
        <w:rPr>
          <w:rFonts w:eastAsia="Calibri"/>
          <w:sz w:val="22"/>
          <w:szCs w:val="22"/>
          <w:lang w:val="es-EC" w:eastAsia="en-US"/>
        </w:rPr>
        <w:t>.</w:t>
      </w:r>
    </w:p>
    <w:p w:rsidR="00024AC0" w:rsidRPr="00344FA8" w:rsidRDefault="00024AC0" w:rsidP="00A92141">
      <w:pPr>
        <w:pStyle w:val="Textoindependiente"/>
        <w:spacing w:line="276" w:lineRule="auto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</w:t>
      </w:r>
      <w:r w:rsidRPr="009D3E21">
        <w:rPr>
          <w:rFonts w:eastAsia="Calibri"/>
          <w:sz w:val="22"/>
          <w:szCs w:val="22"/>
          <w:lang w:eastAsia="en-US"/>
        </w:rPr>
        <w:t>ediante Oficio Nro. GADDMQ-SGSG-DMGR-2019-</w:t>
      </w:r>
      <w:r>
        <w:rPr>
          <w:rFonts w:eastAsia="Calibri"/>
          <w:sz w:val="22"/>
          <w:szCs w:val="22"/>
          <w:lang w:eastAsia="en-US"/>
        </w:rPr>
        <w:t>0822</w:t>
      </w:r>
      <w:r w:rsidRPr="009D3E21">
        <w:rPr>
          <w:rFonts w:eastAsia="Calibri"/>
          <w:sz w:val="22"/>
          <w:szCs w:val="22"/>
          <w:lang w:eastAsia="en-US"/>
        </w:rPr>
        <w:t xml:space="preserve">-OF, de fecha </w:t>
      </w:r>
      <w:r>
        <w:rPr>
          <w:rFonts w:eastAsia="Calibri"/>
          <w:sz w:val="22"/>
          <w:szCs w:val="22"/>
          <w:lang w:eastAsia="en-US"/>
        </w:rPr>
        <w:t xml:space="preserve">22 </w:t>
      </w:r>
      <w:r w:rsidRPr="009D3E21">
        <w:rPr>
          <w:rFonts w:eastAsia="Calibri"/>
          <w:sz w:val="22"/>
          <w:szCs w:val="22"/>
          <w:lang w:eastAsia="en-US"/>
        </w:rPr>
        <w:t xml:space="preserve">de </w:t>
      </w:r>
      <w:r>
        <w:rPr>
          <w:rFonts w:eastAsia="Calibri"/>
          <w:sz w:val="22"/>
          <w:szCs w:val="22"/>
          <w:lang w:eastAsia="en-US"/>
        </w:rPr>
        <w:t>octubre</w:t>
      </w:r>
      <w:r w:rsidRPr="009D3E21">
        <w:rPr>
          <w:rFonts w:eastAsia="Calibri"/>
          <w:sz w:val="22"/>
          <w:szCs w:val="22"/>
          <w:lang w:eastAsia="en-US"/>
        </w:rPr>
        <w:t xml:space="preserve"> de 2019, emitido por el Director Metropolitano de Gestión de Riesgos, de la Secretaría General de Seguridad y Gobernabilidad </w:t>
      </w:r>
      <w:r w:rsidR="00344FA8" w:rsidRPr="00344FA8">
        <w:rPr>
          <w:rFonts w:eastAsia="Calibri"/>
          <w:i/>
          <w:sz w:val="22"/>
          <w:szCs w:val="22"/>
          <w:lang w:eastAsia="en-US"/>
        </w:rPr>
        <w:t>“</w:t>
      </w:r>
      <w:r w:rsidR="00344FA8">
        <w:rPr>
          <w:rFonts w:eastAsia="Calibri"/>
          <w:i/>
          <w:sz w:val="22"/>
          <w:szCs w:val="22"/>
          <w:lang w:eastAsia="en-US"/>
        </w:rPr>
        <w:t>(</w:t>
      </w:r>
      <w:r w:rsidR="00344FA8" w:rsidRPr="00344FA8">
        <w:rPr>
          <w:rFonts w:eastAsia="Calibri"/>
          <w:i/>
          <w:sz w:val="22"/>
          <w:szCs w:val="22"/>
          <w:lang w:eastAsia="en-US"/>
        </w:rPr>
        <w:t>…</w:t>
      </w:r>
      <w:r w:rsidR="00344FA8">
        <w:rPr>
          <w:rFonts w:eastAsia="Calibri"/>
          <w:i/>
          <w:sz w:val="22"/>
          <w:szCs w:val="22"/>
          <w:lang w:eastAsia="en-US"/>
        </w:rPr>
        <w:t xml:space="preserve">) </w:t>
      </w:r>
      <w:r w:rsidRPr="00344FA8">
        <w:rPr>
          <w:rFonts w:eastAsia="Calibri"/>
          <w:i/>
          <w:sz w:val="22"/>
          <w:szCs w:val="22"/>
          <w:lang w:eastAsia="en-US"/>
        </w:rPr>
        <w:t xml:space="preserve">se ratifica en la calificación del nivel del riesgo frente a movimientos en masa, indicando que el AHHYC “Cuendina la Victoria II Etapa” en general presenta un </w:t>
      </w:r>
      <w:r w:rsidRPr="00344FA8">
        <w:rPr>
          <w:rFonts w:eastAsia="Calibri"/>
          <w:b/>
          <w:bCs/>
          <w:i/>
          <w:sz w:val="22"/>
          <w:szCs w:val="22"/>
          <w:lang w:eastAsia="en-US"/>
        </w:rPr>
        <w:t xml:space="preserve">Riesgo Bajo </w:t>
      </w:r>
      <w:r w:rsidRPr="00344FA8">
        <w:rPr>
          <w:rFonts w:eastAsia="Calibri"/>
          <w:bCs/>
          <w:i/>
          <w:sz w:val="22"/>
          <w:szCs w:val="22"/>
          <w:lang w:eastAsia="en-US"/>
        </w:rPr>
        <w:t>para todos los lotes</w:t>
      </w:r>
      <w:r w:rsidRPr="00344FA8">
        <w:rPr>
          <w:rFonts w:eastAsia="Calibri"/>
          <w:i/>
          <w:sz w:val="22"/>
          <w:szCs w:val="22"/>
          <w:lang w:eastAsia="en-US"/>
        </w:rPr>
        <w:t xml:space="preserve">, sin embargo se debe rectificar indicando que el nivel de riesgo es Mitigable, en tal virtud y con las observaciones realizadas, la Dirección Metropolitana de Gestión de Riesgos indica que todos los lotes del AHHYC “Cuendina la Victoria II Etapa” tienen una calificación de </w:t>
      </w:r>
      <w:r w:rsidRPr="00344FA8">
        <w:rPr>
          <w:rFonts w:eastAsia="Calibri"/>
          <w:b/>
          <w:bCs/>
          <w:i/>
          <w:sz w:val="22"/>
          <w:szCs w:val="22"/>
          <w:lang w:eastAsia="en-US"/>
        </w:rPr>
        <w:t>Riesgo Bajo Mitigable</w:t>
      </w:r>
      <w:r w:rsidRPr="00344FA8">
        <w:rPr>
          <w:rFonts w:eastAsia="Calibri"/>
          <w:bCs/>
          <w:i/>
          <w:sz w:val="22"/>
          <w:szCs w:val="22"/>
          <w:lang w:eastAsia="en-US"/>
        </w:rPr>
        <w:t>.</w:t>
      </w:r>
      <w:r w:rsidR="00344FA8" w:rsidRPr="00344FA8">
        <w:rPr>
          <w:rFonts w:eastAsia="Calibri"/>
          <w:bCs/>
          <w:i/>
          <w:sz w:val="22"/>
          <w:szCs w:val="22"/>
          <w:lang w:eastAsia="en-US"/>
        </w:rPr>
        <w:t>”</w:t>
      </w:r>
      <w:r w:rsidRPr="00344FA8">
        <w:rPr>
          <w:rFonts w:eastAsia="Calibri"/>
          <w:bCs/>
          <w:i/>
          <w:sz w:val="22"/>
          <w:szCs w:val="22"/>
          <w:lang w:eastAsia="en-US"/>
        </w:rPr>
        <w:t xml:space="preserve"> </w:t>
      </w:r>
    </w:p>
    <w:p w:rsidR="00A92141" w:rsidRPr="009D3E21" w:rsidRDefault="00344FA8" w:rsidP="00A92141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="00A92141" w:rsidRPr="009D3E21">
        <w:rPr>
          <w:i/>
          <w:sz w:val="22"/>
          <w:szCs w:val="22"/>
        </w:rPr>
        <w:t>Finalmente solicitarle que el articulado referente a la realización del estudio y cronograma de obras de mitigación no sea incluido en el cuerpo de la Ordenanza de regularización de AHHYC debido a las condiciones de consolidación y físicas observadas en el asentamiento”.</w:t>
      </w:r>
    </w:p>
    <w:p w:rsidR="00596910" w:rsidRPr="009D3E21" w:rsidRDefault="00361728" w:rsidP="0050154C">
      <w:pPr>
        <w:spacing w:after="240" w:line="276" w:lineRule="auto"/>
        <w:contextualSpacing/>
        <w:jc w:val="both"/>
        <w:rPr>
          <w:sz w:val="22"/>
          <w:szCs w:val="22"/>
        </w:rPr>
      </w:pPr>
      <w:r w:rsidRPr="009D3E21">
        <w:rPr>
          <w:b/>
          <w:sz w:val="22"/>
          <w:szCs w:val="22"/>
        </w:rPr>
        <w:t xml:space="preserve">Articulo </w:t>
      </w:r>
      <w:r w:rsidR="00E8579E">
        <w:rPr>
          <w:b/>
          <w:sz w:val="22"/>
          <w:szCs w:val="22"/>
        </w:rPr>
        <w:t>11</w:t>
      </w:r>
      <w:r w:rsidRPr="009D3E21">
        <w:rPr>
          <w:b/>
          <w:sz w:val="22"/>
          <w:szCs w:val="22"/>
        </w:rPr>
        <w:t>.-</w:t>
      </w:r>
      <w:r w:rsidRPr="009D3E21">
        <w:rPr>
          <w:sz w:val="22"/>
          <w:szCs w:val="22"/>
        </w:rPr>
        <w:t xml:space="preserve"> </w:t>
      </w:r>
      <w:r w:rsidRPr="009D3E21">
        <w:rPr>
          <w:b/>
          <w:bCs/>
          <w:sz w:val="22"/>
          <w:szCs w:val="22"/>
        </w:rPr>
        <w:t>De</w:t>
      </w:r>
      <w:r w:rsidR="00AA4F40" w:rsidRPr="009D3E21">
        <w:rPr>
          <w:b/>
          <w:bCs/>
          <w:sz w:val="22"/>
          <w:szCs w:val="22"/>
        </w:rPr>
        <w:t xml:space="preserve"> </w:t>
      </w:r>
      <w:r w:rsidR="009D3E21" w:rsidRPr="009D3E21">
        <w:rPr>
          <w:b/>
          <w:bCs/>
          <w:sz w:val="22"/>
          <w:szCs w:val="22"/>
        </w:rPr>
        <w:t>los pasajes</w:t>
      </w:r>
      <w:r w:rsidR="0081387B" w:rsidRPr="009D3E21">
        <w:rPr>
          <w:b/>
          <w:bCs/>
          <w:sz w:val="22"/>
          <w:szCs w:val="22"/>
        </w:rPr>
        <w:t>. -</w:t>
      </w:r>
      <w:r w:rsidRPr="009D3E21">
        <w:rPr>
          <w:b/>
          <w:bCs/>
          <w:sz w:val="22"/>
          <w:szCs w:val="22"/>
        </w:rPr>
        <w:t xml:space="preserve"> </w:t>
      </w:r>
      <w:r w:rsidRPr="009D3E21">
        <w:rPr>
          <w:sz w:val="22"/>
          <w:szCs w:val="22"/>
        </w:rPr>
        <w:t xml:space="preserve">El </w:t>
      </w:r>
      <w:r w:rsidR="004615C3" w:rsidRPr="009D3E21">
        <w:rPr>
          <w:sz w:val="22"/>
          <w:szCs w:val="22"/>
        </w:rPr>
        <w:t>A</w:t>
      </w:r>
      <w:r w:rsidRPr="009D3E21">
        <w:rPr>
          <w:sz w:val="22"/>
          <w:szCs w:val="22"/>
        </w:rPr>
        <w:t xml:space="preserve">sentamiento </w:t>
      </w:r>
      <w:r w:rsidR="004615C3" w:rsidRPr="009D3E21">
        <w:rPr>
          <w:sz w:val="22"/>
          <w:szCs w:val="22"/>
        </w:rPr>
        <w:t>H</w:t>
      </w:r>
      <w:r w:rsidRPr="009D3E21">
        <w:rPr>
          <w:bCs/>
          <w:iCs/>
          <w:sz w:val="22"/>
          <w:szCs w:val="22"/>
        </w:rPr>
        <w:t xml:space="preserve">umano de </w:t>
      </w:r>
      <w:r w:rsidR="004615C3" w:rsidRPr="009D3E21">
        <w:rPr>
          <w:bCs/>
          <w:iCs/>
          <w:sz w:val="22"/>
          <w:szCs w:val="22"/>
        </w:rPr>
        <w:t>H</w:t>
      </w:r>
      <w:r w:rsidRPr="009D3E21">
        <w:rPr>
          <w:bCs/>
          <w:iCs/>
          <w:sz w:val="22"/>
          <w:szCs w:val="22"/>
        </w:rPr>
        <w:t xml:space="preserve">echo y </w:t>
      </w:r>
      <w:r w:rsidR="004615C3" w:rsidRPr="009D3E21">
        <w:rPr>
          <w:bCs/>
          <w:iCs/>
          <w:sz w:val="22"/>
          <w:szCs w:val="22"/>
        </w:rPr>
        <w:t>C</w:t>
      </w:r>
      <w:r w:rsidRPr="009D3E21">
        <w:rPr>
          <w:bCs/>
          <w:iCs/>
          <w:sz w:val="22"/>
          <w:szCs w:val="22"/>
        </w:rPr>
        <w:t xml:space="preserve">onsolidado de </w:t>
      </w:r>
      <w:r w:rsidR="004615C3" w:rsidRPr="009D3E21">
        <w:rPr>
          <w:bCs/>
          <w:iCs/>
          <w:sz w:val="22"/>
          <w:szCs w:val="22"/>
        </w:rPr>
        <w:t>I</w:t>
      </w:r>
      <w:r w:rsidRPr="009D3E21">
        <w:rPr>
          <w:bCs/>
          <w:iCs/>
          <w:sz w:val="22"/>
          <w:szCs w:val="22"/>
        </w:rPr>
        <w:t xml:space="preserve">nterés </w:t>
      </w:r>
      <w:r w:rsidR="004615C3" w:rsidRPr="009D3E21">
        <w:rPr>
          <w:bCs/>
          <w:iCs/>
          <w:sz w:val="22"/>
          <w:szCs w:val="22"/>
        </w:rPr>
        <w:t>S</w:t>
      </w:r>
      <w:r w:rsidRPr="009D3E21">
        <w:rPr>
          <w:bCs/>
          <w:iCs/>
          <w:sz w:val="22"/>
          <w:szCs w:val="22"/>
        </w:rPr>
        <w:t xml:space="preserve">ocial denominado </w:t>
      </w:r>
      <w:r w:rsidR="004E782C">
        <w:rPr>
          <w:sz w:val="22"/>
          <w:szCs w:val="22"/>
        </w:rPr>
        <w:t>“Cuendina la Victoria II Etapa”</w:t>
      </w:r>
      <w:r w:rsidR="00C12D2E" w:rsidRPr="009D3E21">
        <w:rPr>
          <w:b/>
          <w:bCs/>
          <w:sz w:val="22"/>
          <w:szCs w:val="22"/>
        </w:rPr>
        <w:t>,</w:t>
      </w:r>
      <w:r w:rsidR="00C12D2E" w:rsidRPr="009D3E21">
        <w:rPr>
          <w:sz w:val="22"/>
          <w:szCs w:val="22"/>
        </w:rPr>
        <w:t xml:space="preserve"> </w:t>
      </w:r>
      <w:r w:rsidRPr="009D3E21">
        <w:rPr>
          <w:sz w:val="22"/>
          <w:szCs w:val="22"/>
        </w:rPr>
        <w:t xml:space="preserve">contempla un sistema vial de uso público, debido a que éste es un asentamiento humano de hecho y consolidado de interés social de </w:t>
      </w:r>
      <w:r w:rsidR="00E51442">
        <w:rPr>
          <w:sz w:val="22"/>
          <w:szCs w:val="22"/>
        </w:rPr>
        <w:t>5</w:t>
      </w:r>
      <w:r w:rsidR="00942CD4">
        <w:rPr>
          <w:sz w:val="22"/>
          <w:szCs w:val="22"/>
        </w:rPr>
        <w:t>4</w:t>
      </w:r>
      <w:r w:rsidRPr="009D3E21">
        <w:rPr>
          <w:sz w:val="22"/>
          <w:szCs w:val="22"/>
        </w:rPr>
        <w:t xml:space="preserve"> años de existencia, con </w:t>
      </w:r>
      <w:r w:rsidR="004C7A34">
        <w:rPr>
          <w:sz w:val="22"/>
          <w:szCs w:val="22"/>
        </w:rPr>
        <w:t>85.71</w:t>
      </w:r>
      <w:r w:rsidR="001E1CA2" w:rsidRPr="00E51442">
        <w:rPr>
          <w:sz w:val="22"/>
          <w:szCs w:val="22"/>
        </w:rPr>
        <w:t>%</w:t>
      </w:r>
      <w:r w:rsidR="001E1CA2" w:rsidRPr="009D3E21">
        <w:rPr>
          <w:sz w:val="22"/>
          <w:szCs w:val="22"/>
        </w:rPr>
        <w:t xml:space="preserve"> </w:t>
      </w:r>
      <w:r w:rsidRPr="009D3E21">
        <w:rPr>
          <w:sz w:val="22"/>
          <w:szCs w:val="22"/>
        </w:rPr>
        <w:t xml:space="preserve">de consolidación de viviendas y se encuentra ejecutando obras de infraestructura, </w:t>
      </w:r>
      <w:r w:rsidR="00596910" w:rsidRPr="009D3E21">
        <w:rPr>
          <w:sz w:val="22"/>
          <w:szCs w:val="22"/>
        </w:rPr>
        <w:t xml:space="preserve">razón por la cual los anchos viales se sujetarán al plano adjunto a la presente ordenanza. </w:t>
      </w:r>
    </w:p>
    <w:p w:rsidR="00596910" w:rsidRPr="009D3E2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 xml:space="preserve">Se </w:t>
      </w:r>
      <w:r w:rsidR="003F5AD0" w:rsidRPr="009D3E21">
        <w:rPr>
          <w:sz w:val="22"/>
          <w:szCs w:val="22"/>
        </w:rPr>
        <w:t>regulariza</w:t>
      </w:r>
      <w:r w:rsidR="004C7A34">
        <w:rPr>
          <w:sz w:val="22"/>
          <w:szCs w:val="22"/>
        </w:rPr>
        <w:t>n</w:t>
      </w:r>
      <w:r w:rsidRPr="009D3E21">
        <w:rPr>
          <w:sz w:val="22"/>
          <w:szCs w:val="22"/>
        </w:rPr>
        <w:t xml:space="preserve"> </w:t>
      </w:r>
      <w:r w:rsidR="004C7A34">
        <w:rPr>
          <w:sz w:val="22"/>
          <w:szCs w:val="22"/>
        </w:rPr>
        <w:t>los</w:t>
      </w:r>
      <w:r w:rsidR="009D3E21" w:rsidRPr="009D3E21">
        <w:rPr>
          <w:sz w:val="22"/>
          <w:szCs w:val="22"/>
        </w:rPr>
        <w:t xml:space="preserve"> pasaje</w:t>
      </w:r>
      <w:r w:rsidR="004C7A34">
        <w:rPr>
          <w:sz w:val="22"/>
          <w:szCs w:val="22"/>
        </w:rPr>
        <w:t>s</w:t>
      </w:r>
      <w:r w:rsidRPr="009D3E21">
        <w:rPr>
          <w:sz w:val="22"/>
          <w:szCs w:val="22"/>
        </w:rPr>
        <w:t xml:space="preserve"> con el siguiente ancho: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86F22" w:rsidRPr="009D3E21" w:rsidTr="005C1853">
        <w:trPr>
          <w:trHeight w:val="404"/>
        </w:trPr>
        <w:tc>
          <w:tcPr>
            <w:tcW w:w="4395" w:type="dxa"/>
            <w:vAlign w:val="center"/>
          </w:tcPr>
          <w:p w:rsidR="00882965" w:rsidRPr="009D3E21" w:rsidRDefault="002C53FB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B8797B">
              <w:rPr>
                <w:color w:val="000000" w:themeColor="text1"/>
                <w:sz w:val="22"/>
                <w:szCs w:val="22"/>
                <w:lang w:val="es-EC"/>
              </w:rPr>
              <w:t xml:space="preserve">Pasaje </w:t>
            </w:r>
            <w:r>
              <w:rPr>
                <w:color w:val="000000" w:themeColor="text1"/>
                <w:sz w:val="22"/>
                <w:szCs w:val="22"/>
                <w:lang w:val="es-EC"/>
              </w:rPr>
              <w:t>E12D</w:t>
            </w:r>
          </w:p>
        </w:tc>
        <w:tc>
          <w:tcPr>
            <w:tcW w:w="4394" w:type="dxa"/>
            <w:vAlign w:val="center"/>
          </w:tcPr>
          <w:p w:rsidR="00AA4F40" w:rsidRPr="009D3E21" w:rsidRDefault="002C53FB" w:rsidP="00BA5E3B">
            <w:pPr>
              <w:spacing w:line="276" w:lineRule="auto"/>
              <w:jc w:val="center"/>
              <w:rPr>
                <w:sz w:val="22"/>
                <w:szCs w:val="22"/>
                <w:lang w:val="es-EC"/>
              </w:rPr>
            </w:pPr>
            <w:r>
              <w:rPr>
                <w:color w:val="000000" w:themeColor="text1"/>
                <w:sz w:val="22"/>
                <w:szCs w:val="22"/>
                <w:lang w:val="es-EC"/>
              </w:rPr>
              <w:t>4</w:t>
            </w:r>
            <w:r w:rsidRPr="00B8797B">
              <w:rPr>
                <w:color w:val="000000" w:themeColor="text1"/>
                <w:sz w:val="22"/>
                <w:szCs w:val="22"/>
                <w:lang w:val="es-EC"/>
              </w:rPr>
              <w:t>.00m</w:t>
            </w:r>
          </w:p>
        </w:tc>
      </w:tr>
      <w:tr w:rsidR="00C12D2E" w:rsidRPr="009D3E21" w:rsidTr="005C1853">
        <w:trPr>
          <w:trHeight w:val="409"/>
        </w:trPr>
        <w:tc>
          <w:tcPr>
            <w:tcW w:w="4395" w:type="dxa"/>
            <w:vAlign w:val="center"/>
          </w:tcPr>
          <w:p w:rsidR="00C12D2E" w:rsidRPr="009D3E21" w:rsidRDefault="002C53FB" w:rsidP="002C53FB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B8797B">
              <w:rPr>
                <w:color w:val="000000" w:themeColor="text1"/>
                <w:sz w:val="22"/>
                <w:szCs w:val="22"/>
                <w:lang w:val="es-EC"/>
              </w:rPr>
              <w:t xml:space="preserve">Pasaje </w:t>
            </w:r>
            <w:r>
              <w:rPr>
                <w:color w:val="000000" w:themeColor="text1"/>
                <w:sz w:val="22"/>
                <w:szCs w:val="22"/>
                <w:lang w:val="es-EC"/>
              </w:rPr>
              <w:t>E12E</w:t>
            </w:r>
          </w:p>
        </w:tc>
        <w:tc>
          <w:tcPr>
            <w:tcW w:w="4394" w:type="dxa"/>
            <w:vAlign w:val="center"/>
          </w:tcPr>
          <w:p w:rsidR="00C12D2E" w:rsidRPr="009D3E21" w:rsidRDefault="002C53FB" w:rsidP="00BA5E3B">
            <w:pPr>
              <w:spacing w:line="276" w:lineRule="auto"/>
              <w:jc w:val="center"/>
              <w:rPr>
                <w:sz w:val="22"/>
                <w:szCs w:val="22"/>
                <w:lang w:val="es-EC"/>
              </w:rPr>
            </w:pPr>
            <w:r>
              <w:rPr>
                <w:color w:val="000000" w:themeColor="text1"/>
                <w:sz w:val="22"/>
                <w:szCs w:val="22"/>
                <w:lang w:val="es-EC"/>
              </w:rPr>
              <w:t>VARIABLE 3.64m – 3.24m</w:t>
            </w:r>
          </w:p>
        </w:tc>
      </w:tr>
    </w:tbl>
    <w:p w:rsidR="0094723F" w:rsidRPr="009D3E21" w:rsidRDefault="002578F2" w:rsidP="00086F22">
      <w:pPr>
        <w:tabs>
          <w:tab w:val="left" w:pos="4935"/>
        </w:tabs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lastRenderedPageBreak/>
        <w:tab/>
      </w:r>
    </w:p>
    <w:p w:rsidR="00DA36A8" w:rsidRPr="009D3E2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Artículo </w:t>
      </w:r>
      <w:r w:rsidR="00C174B4" w:rsidRPr="009D3E21">
        <w:rPr>
          <w:b/>
          <w:bCs/>
          <w:sz w:val="22"/>
          <w:szCs w:val="22"/>
        </w:rPr>
        <w:t>1</w:t>
      </w:r>
      <w:r w:rsidR="00E8579E">
        <w:rPr>
          <w:b/>
          <w:bCs/>
          <w:sz w:val="22"/>
          <w:szCs w:val="22"/>
        </w:rPr>
        <w:t>2</w:t>
      </w:r>
      <w:r w:rsidRPr="009D3E21">
        <w:rPr>
          <w:b/>
          <w:bCs/>
          <w:sz w:val="22"/>
          <w:szCs w:val="22"/>
        </w:rPr>
        <w:t xml:space="preserve">.- De las obras a </w:t>
      </w:r>
      <w:r w:rsidR="0088568C" w:rsidRPr="009D3E21">
        <w:rPr>
          <w:b/>
          <w:bCs/>
          <w:sz w:val="22"/>
          <w:szCs w:val="22"/>
        </w:rPr>
        <w:t>ejecutarse. -</w:t>
      </w:r>
      <w:r w:rsidRPr="009D3E21">
        <w:rPr>
          <w:b/>
          <w:bCs/>
          <w:sz w:val="22"/>
          <w:szCs w:val="22"/>
        </w:rPr>
        <w:t xml:space="preserve"> </w:t>
      </w:r>
      <w:r w:rsidRPr="009D3E21">
        <w:rPr>
          <w:sz w:val="22"/>
          <w:szCs w:val="22"/>
        </w:rPr>
        <w:t>Las obras</w:t>
      </w:r>
      <w:r w:rsidR="00F14104" w:rsidRPr="009D3E21">
        <w:rPr>
          <w:sz w:val="22"/>
          <w:szCs w:val="22"/>
        </w:rPr>
        <w:t xml:space="preserve"> civiles y de infraestructura</w:t>
      </w:r>
      <w:r w:rsidR="00267DA6">
        <w:rPr>
          <w:sz w:val="22"/>
          <w:szCs w:val="22"/>
        </w:rPr>
        <w:t xml:space="preserve"> a ejecutarse en el Asentamiento Humano de Hecho y C</w:t>
      </w:r>
      <w:r w:rsidRPr="009D3E21">
        <w:rPr>
          <w:sz w:val="22"/>
          <w:szCs w:val="22"/>
        </w:rPr>
        <w:t xml:space="preserve">onsolidado de </w:t>
      </w:r>
      <w:r w:rsidR="00267DA6">
        <w:rPr>
          <w:sz w:val="22"/>
          <w:szCs w:val="22"/>
        </w:rPr>
        <w:t>Interés S</w:t>
      </w:r>
      <w:r w:rsidRPr="009D3E21">
        <w:rPr>
          <w:sz w:val="22"/>
          <w:szCs w:val="22"/>
        </w:rPr>
        <w:t xml:space="preserve">ocial, son las siguientes: 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465"/>
        <w:gridCol w:w="4394"/>
      </w:tblGrid>
      <w:tr w:rsidR="00086F22" w:rsidRPr="009D3E21" w:rsidTr="005C1853">
        <w:trPr>
          <w:trHeight w:val="416"/>
        </w:trPr>
        <w:tc>
          <w:tcPr>
            <w:tcW w:w="4465" w:type="dxa"/>
            <w:vAlign w:val="center"/>
          </w:tcPr>
          <w:p w:rsidR="00882965" w:rsidRPr="009D3E21" w:rsidRDefault="00882965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D3E21">
              <w:rPr>
                <w:bCs/>
                <w:sz w:val="22"/>
                <w:szCs w:val="22"/>
              </w:rPr>
              <w:t>Calzadas:</w:t>
            </w:r>
          </w:p>
        </w:tc>
        <w:tc>
          <w:tcPr>
            <w:tcW w:w="4394" w:type="dxa"/>
            <w:vAlign w:val="center"/>
          </w:tcPr>
          <w:p w:rsidR="00882965" w:rsidRPr="009D3E21" w:rsidRDefault="00AA4F40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D3E21"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9D3E21" w:rsidTr="005C1853">
        <w:trPr>
          <w:trHeight w:val="394"/>
        </w:trPr>
        <w:tc>
          <w:tcPr>
            <w:tcW w:w="4465" w:type="dxa"/>
            <w:vAlign w:val="center"/>
          </w:tcPr>
          <w:p w:rsidR="00AA4F40" w:rsidRPr="009D3E21" w:rsidRDefault="00AA4F40" w:rsidP="00086F2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3E21">
              <w:rPr>
                <w:bCs/>
                <w:sz w:val="22"/>
                <w:szCs w:val="22"/>
              </w:rPr>
              <w:t>Agua Potable</w:t>
            </w:r>
          </w:p>
        </w:tc>
        <w:tc>
          <w:tcPr>
            <w:tcW w:w="4394" w:type="dxa"/>
            <w:vAlign w:val="center"/>
          </w:tcPr>
          <w:p w:rsidR="00AA4F40" w:rsidRPr="009D3E21" w:rsidRDefault="002C53FB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12D2E" w:rsidRPr="009D3E21">
              <w:rPr>
                <w:bCs/>
                <w:sz w:val="22"/>
                <w:szCs w:val="22"/>
              </w:rPr>
              <w:t>0</w:t>
            </w:r>
            <w:r w:rsidR="00AA4F40" w:rsidRPr="009D3E21">
              <w:rPr>
                <w:bCs/>
                <w:sz w:val="22"/>
                <w:szCs w:val="22"/>
              </w:rPr>
              <w:t>%</w:t>
            </w:r>
          </w:p>
        </w:tc>
      </w:tr>
      <w:tr w:rsidR="00086F22" w:rsidRPr="009D3E21" w:rsidTr="005C1853">
        <w:trPr>
          <w:trHeight w:val="427"/>
        </w:trPr>
        <w:tc>
          <w:tcPr>
            <w:tcW w:w="4465" w:type="dxa"/>
            <w:vAlign w:val="center"/>
          </w:tcPr>
          <w:p w:rsidR="00882965" w:rsidRPr="009D3E21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D3E21">
              <w:rPr>
                <w:bCs/>
                <w:sz w:val="22"/>
                <w:szCs w:val="22"/>
              </w:rPr>
              <w:t>Alcantarillado</w:t>
            </w:r>
          </w:p>
        </w:tc>
        <w:tc>
          <w:tcPr>
            <w:tcW w:w="4394" w:type="dxa"/>
            <w:vAlign w:val="center"/>
          </w:tcPr>
          <w:p w:rsidR="00882965" w:rsidRPr="009D3E21" w:rsidRDefault="002C53FB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6225B" w:rsidRPr="009D3E21">
              <w:rPr>
                <w:bCs/>
                <w:sz w:val="22"/>
                <w:szCs w:val="22"/>
              </w:rPr>
              <w:t>0</w:t>
            </w:r>
            <w:r w:rsidR="00AA4F40" w:rsidRPr="009D3E21">
              <w:rPr>
                <w:bCs/>
                <w:sz w:val="22"/>
                <w:szCs w:val="22"/>
              </w:rPr>
              <w:t>%</w:t>
            </w:r>
          </w:p>
        </w:tc>
      </w:tr>
      <w:tr w:rsidR="00AA4F40" w:rsidRPr="009D3E21" w:rsidTr="005C1853">
        <w:trPr>
          <w:trHeight w:val="404"/>
        </w:trPr>
        <w:tc>
          <w:tcPr>
            <w:tcW w:w="4465" w:type="dxa"/>
            <w:vAlign w:val="center"/>
          </w:tcPr>
          <w:p w:rsidR="00AA4F40" w:rsidRPr="009D3E21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D3E21">
              <w:rPr>
                <w:bCs/>
                <w:sz w:val="22"/>
                <w:szCs w:val="22"/>
              </w:rPr>
              <w:t>Electricidad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A4F40" w:rsidRPr="009D3E21" w:rsidRDefault="002C53FB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6225B" w:rsidRPr="009D3E21">
              <w:rPr>
                <w:bCs/>
                <w:sz w:val="22"/>
                <w:szCs w:val="22"/>
              </w:rPr>
              <w:t>0</w:t>
            </w:r>
            <w:r w:rsidR="00AA4F40" w:rsidRPr="009D3E21">
              <w:rPr>
                <w:bCs/>
                <w:sz w:val="22"/>
                <w:szCs w:val="22"/>
              </w:rPr>
              <w:t>%</w:t>
            </w:r>
          </w:p>
        </w:tc>
      </w:tr>
    </w:tbl>
    <w:p w:rsidR="00DA36A8" w:rsidRPr="009D3E21" w:rsidRDefault="00DA36A8" w:rsidP="00086F22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596910" w:rsidRPr="009D3E21" w:rsidRDefault="00DA36A8" w:rsidP="00086F22">
      <w:pPr>
        <w:pStyle w:val="Textoindependiente"/>
        <w:spacing w:line="276" w:lineRule="auto"/>
        <w:jc w:val="both"/>
        <w:rPr>
          <w:iCs/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Artículo </w:t>
      </w:r>
      <w:r w:rsidR="00C174B4" w:rsidRPr="009D3E21">
        <w:rPr>
          <w:b/>
          <w:bCs/>
          <w:sz w:val="22"/>
          <w:szCs w:val="22"/>
        </w:rPr>
        <w:t>1</w:t>
      </w:r>
      <w:r w:rsidR="00E8579E">
        <w:rPr>
          <w:b/>
          <w:bCs/>
          <w:sz w:val="22"/>
          <w:szCs w:val="22"/>
        </w:rPr>
        <w:t>3</w:t>
      </w:r>
      <w:r w:rsidRPr="009D3E21">
        <w:rPr>
          <w:b/>
          <w:bCs/>
          <w:sz w:val="22"/>
          <w:szCs w:val="22"/>
        </w:rPr>
        <w:t>.- Del plazo de ejecución de las obras.-</w:t>
      </w:r>
      <w:r w:rsidRPr="009D3E21">
        <w:rPr>
          <w:sz w:val="22"/>
          <w:szCs w:val="22"/>
        </w:rPr>
        <w:t xml:space="preserve"> </w:t>
      </w:r>
      <w:r w:rsidR="00596910" w:rsidRPr="009D3E21">
        <w:rPr>
          <w:sz w:val="22"/>
          <w:szCs w:val="22"/>
          <w:lang w:val="es-EC"/>
        </w:rPr>
        <w:t xml:space="preserve">El plazo de ejecución de la totalidad de las obras civiles y de infraestructura, será de </w:t>
      </w:r>
      <w:r w:rsidR="00A4184B" w:rsidRPr="009D3E21">
        <w:rPr>
          <w:sz w:val="22"/>
          <w:szCs w:val="22"/>
          <w:lang w:val="es-EC"/>
        </w:rPr>
        <w:t>cinco</w:t>
      </w:r>
      <w:r w:rsidR="00596910" w:rsidRPr="009D3E21">
        <w:rPr>
          <w:sz w:val="22"/>
          <w:szCs w:val="22"/>
          <w:lang w:val="es-EC"/>
        </w:rPr>
        <w:t xml:space="preserve"> (</w:t>
      </w:r>
      <w:r w:rsidR="00D1200A" w:rsidRPr="009D3E21">
        <w:rPr>
          <w:sz w:val="22"/>
          <w:szCs w:val="22"/>
          <w:lang w:val="es-EC"/>
        </w:rPr>
        <w:t>5</w:t>
      </w:r>
      <w:r w:rsidR="00596910" w:rsidRPr="009D3E21">
        <w:rPr>
          <w:sz w:val="22"/>
          <w:szCs w:val="22"/>
          <w:lang w:val="es-EC"/>
        </w:rPr>
        <w:t xml:space="preserve">) años, </w:t>
      </w:r>
      <w:r w:rsidR="00596910" w:rsidRPr="009D3E21">
        <w:rPr>
          <w:iCs/>
          <w:sz w:val="22"/>
          <w:szCs w:val="22"/>
        </w:rPr>
        <w:t xml:space="preserve">de conformidad al cronograma de obras presentado por </w:t>
      </w:r>
      <w:r w:rsidR="00596910" w:rsidRPr="009D3E21">
        <w:rPr>
          <w:sz w:val="22"/>
          <w:szCs w:val="22"/>
        </w:rPr>
        <w:t>los cop</w:t>
      </w:r>
      <w:r w:rsidR="00F14104" w:rsidRPr="009D3E21">
        <w:rPr>
          <w:sz w:val="22"/>
          <w:szCs w:val="22"/>
        </w:rPr>
        <w:t>ropietarios</w:t>
      </w:r>
      <w:r w:rsidR="00596910" w:rsidRPr="009D3E21">
        <w:rPr>
          <w:sz w:val="22"/>
          <w:szCs w:val="22"/>
        </w:rPr>
        <w:t xml:space="preserve"> </w:t>
      </w:r>
      <w:r w:rsidR="00E14E2C" w:rsidRPr="009D3E21">
        <w:rPr>
          <w:sz w:val="22"/>
          <w:szCs w:val="22"/>
        </w:rPr>
        <w:t>del inmueble donde se ubica el Asentamiento Humano de Hecho y C</w:t>
      </w:r>
      <w:r w:rsidR="00267DA6">
        <w:rPr>
          <w:sz w:val="22"/>
          <w:szCs w:val="22"/>
        </w:rPr>
        <w:t>onsolidado de Interés S</w:t>
      </w:r>
      <w:r w:rsidR="00596910" w:rsidRPr="009D3E21">
        <w:rPr>
          <w:sz w:val="22"/>
          <w:szCs w:val="22"/>
        </w:rPr>
        <w:t>ocial</w:t>
      </w:r>
      <w:r w:rsidR="00596910" w:rsidRPr="009D3E21">
        <w:rPr>
          <w:b/>
          <w:sz w:val="22"/>
          <w:szCs w:val="22"/>
        </w:rPr>
        <w:t>,</w:t>
      </w:r>
      <w:r w:rsidR="00F14104" w:rsidRPr="009D3E21">
        <w:rPr>
          <w:b/>
          <w:sz w:val="22"/>
          <w:szCs w:val="22"/>
        </w:rPr>
        <w:t xml:space="preserve"> </w:t>
      </w:r>
      <w:r w:rsidR="00F14104" w:rsidRPr="009D3E21">
        <w:rPr>
          <w:sz w:val="22"/>
          <w:szCs w:val="22"/>
        </w:rPr>
        <w:t>y aprobado por la mesa institucional</w:t>
      </w:r>
      <w:r w:rsidR="00F14104" w:rsidRPr="009D3E21">
        <w:rPr>
          <w:b/>
          <w:sz w:val="22"/>
          <w:szCs w:val="22"/>
        </w:rPr>
        <w:t>,</w:t>
      </w:r>
      <w:r w:rsidR="00596910" w:rsidRPr="009D3E21">
        <w:rPr>
          <w:b/>
          <w:sz w:val="22"/>
          <w:szCs w:val="22"/>
        </w:rPr>
        <w:t xml:space="preserve"> </w:t>
      </w:r>
      <w:r w:rsidR="00596910" w:rsidRPr="009D3E21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:rsidR="009A0164" w:rsidRPr="009D3E21" w:rsidRDefault="009A0164" w:rsidP="00086F22">
      <w:pPr>
        <w:pStyle w:val="Textoindependiente"/>
        <w:spacing w:line="276" w:lineRule="auto"/>
        <w:jc w:val="both"/>
        <w:rPr>
          <w:bCs/>
          <w:sz w:val="22"/>
          <w:szCs w:val="22"/>
        </w:rPr>
      </w:pPr>
      <w:r w:rsidRPr="009D3E21">
        <w:rPr>
          <w:sz w:val="22"/>
          <w:szCs w:val="22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6D36F7" w:rsidRPr="009D3E21">
        <w:rPr>
          <w:sz w:val="22"/>
          <w:szCs w:val="22"/>
        </w:rPr>
        <w:t>IV.</w:t>
      </w:r>
      <w:r w:rsidRPr="009D3E21">
        <w:rPr>
          <w:sz w:val="22"/>
          <w:szCs w:val="22"/>
        </w:rPr>
        <w:t>7.72 de la Ordenanza No.001 de 29 de marzo de 2019, que contiene el Código Municipal</w:t>
      </w:r>
      <w:r w:rsidRPr="009D3E21">
        <w:rPr>
          <w:bCs/>
          <w:sz w:val="22"/>
          <w:szCs w:val="22"/>
        </w:rPr>
        <w:t>. E</w:t>
      </w:r>
      <w:r w:rsidRPr="009D3E21">
        <w:rPr>
          <w:sz w:val="22"/>
          <w:szCs w:val="22"/>
        </w:rPr>
        <w:t>l valor por contribución especial a mejoras se aplicará conforme la modalidad ejecutada.</w:t>
      </w:r>
    </w:p>
    <w:p w:rsidR="000E05EA" w:rsidRPr="009D3E2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sz w:val="22"/>
          <w:szCs w:val="22"/>
        </w:rPr>
        <w:t xml:space="preserve">Artículo </w:t>
      </w:r>
      <w:r w:rsidR="00C174B4" w:rsidRPr="009D3E21">
        <w:rPr>
          <w:b/>
          <w:bCs/>
          <w:sz w:val="22"/>
          <w:szCs w:val="22"/>
        </w:rPr>
        <w:t>1</w:t>
      </w:r>
      <w:r w:rsidR="00E8579E">
        <w:rPr>
          <w:b/>
          <w:bCs/>
          <w:sz w:val="22"/>
          <w:szCs w:val="22"/>
        </w:rPr>
        <w:t>4</w:t>
      </w:r>
      <w:r w:rsidRPr="009D3E21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351A27" w:rsidRPr="009D3E21">
        <w:rPr>
          <w:b/>
          <w:bCs/>
          <w:sz w:val="22"/>
          <w:szCs w:val="22"/>
          <w:lang w:val="es-ES_tradnl"/>
        </w:rPr>
        <w:t>obras. -</w:t>
      </w:r>
      <w:r w:rsidRPr="009D3E21">
        <w:rPr>
          <w:b/>
          <w:bCs/>
          <w:sz w:val="22"/>
          <w:szCs w:val="22"/>
          <w:lang w:val="es-ES_tradnl"/>
        </w:rPr>
        <w:t xml:space="preserve"> </w:t>
      </w:r>
      <w:r w:rsidRPr="009D3E21">
        <w:rPr>
          <w:sz w:val="22"/>
          <w:szCs w:val="22"/>
        </w:rPr>
        <w:t xml:space="preserve">La </w:t>
      </w:r>
      <w:r w:rsidR="00D31DEB" w:rsidRPr="009D3E21">
        <w:rPr>
          <w:sz w:val="22"/>
          <w:szCs w:val="22"/>
        </w:rPr>
        <w:t xml:space="preserve">Administración Zonal </w:t>
      </w:r>
      <w:r w:rsidR="001A53D5" w:rsidRPr="009D3E21">
        <w:rPr>
          <w:sz w:val="22"/>
          <w:szCs w:val="22"/>
        </w:rPr>
        <w:t>Los Chillos</w:t>
      </w:r>
      <w:r w:rsidRPr="009D3E21">
        <w:rPr>
          <w:sz w:val="22"/>
          <w:szCs w:val="22"/>
        </w:rPr>
        <w:t xml:space="preserve"> </w:t>
      </w:r>
      <w:r w:rsidRPr="009D3E21">
        <w:rPr>
          <w:iCs/>
          <w:sz w:val="22"/>
          <w:szCs w:val="22"/>
          <w:lang w:val="es-EC"/>
        </w:rPr>
        <w:t>r</w:t>
      </w:r>
      <w:r w:rsidRPr="009D3E21">
        <w:rPr>
          <w:sz w:val="22"/>
          <w:szCs w:val="22"/>
          <w:lang w:val="es-EC"/>
        </w:rPr>
        <w:t>ealizará</w:t>
      </w:r>
      <w:r w:rsidR="00F14104" w:rsidRPr="009D3E21">
        <w:rPr>
          <w:sz w:val="22"/>
          <w:szCs w:val="22"/>
          <w:lang w:val="es-EC"/>
        </w:rPr>
        <w:t xml:space="preserve"> de oficio,</w:t>
      </w:r>
      <w:r w:rsidRPr="009D3E21">
        <w:rPr>
          <w:sz w:val="22"/>
          <w:szCs w:val="22"/>
          <w:lang w:val="es-EC"/>
        </w:rPr>
        <w:t xml:space="preserve"> el seguimiento en la ejecución y avance de las obras civiles y de infraestructura hasta la terminación de las mismas, </w:t>
      </w:r>
      <w:r w:rsidRPr="009D3E21">
        <w:rPr>
          <w:sz w:val="22"/>
          <w:szCs w:val="22"/>
        </w:rPr>
        <w:t>para lo cual se emitirá un informe técnico tanto del departamento de fiscalización como del departamento de obras públicas cada semestre. Su informe favorable final</w:t>
      </w:r>
      <w:r w:rsidR="00F14104" w:rsidRPr="009D3E21">
        <w:rPr>
          <w:sz w:val="22"/>
          <w:szCs w:val="22"/>
        </w:rPr>
        <w:t xml:space="preserve">, expedido por la Administración Zonal </w:t>
      </w:r>
      <w:r w:rsidR="001A53D5" w:rsidRPr="009D3E21">
        <w:rPr>
          <w:sz w:val="22"/>
          <w:szCs w:val="22"/>
        </w:rPr>
        <w:t>Los Chillos</w:t>
      </w:r>
      <w:r w:rsidR="00F14104" w:rsidRPr="009D3E21">
        <w:rPr>
          <w:sz w:val="22"/>
          <w:szCs w:val="22"/>
        </w:rPr>
        <w:t>,</w:t>
      </w:r>
      <w:r w:rsidRPr="009D3E21">
        <w:rPr>
          <w:sz w:val="22"/>
          <w:szCs w:val="22"/>
        </w:rPr>
        <w:t xml:space="preserve"> será indispensable para cancelar la hipoteca.</w:t>
      </w:r>
    </w:p>
    <w:p w:rsidR="00DA36A8" w:rsidRPr="009D3E2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sz w:val="22"/>
          <w:szCs w:val="22"/>
        </w:rPr>
        <w:t>Artículo</w:t>
      </w:r>
      <w:r w:rsidRPr="009D3E21">
        <w:rPr>
          <w:b/>
          <w:bCs/>
          <w:sz w:val="22"/>
          <w:szCs w:val="22"/>
          <w:lang w:val="es-ES_tradnl"/>
        </w:rPr>
        <w:t xml:space="preserve"> 1</w:t>
      </w:r>
      <w:r w:rsidR="00E8579E">
        <w:rPr>
          <w:b/>
          <w:bCs/>
          <w:sz w:val="22"/>
          <w:szCs w:val="22"/>
          <w:lang w:val="es-ES_tradnl"/>
        </w:rPr>
        <w:t>5</w:t>
      </w:r>
      <w:r w:rsidRPr="009D3E21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351A27" w:rsidRPr="009D3E21">
        <w:rPr>
          <w:b/>
          <w:bCs/>
          <w:sz w:val="22"/>
          <w:szCs w:val="22"/>
          <w:lang w:val="es-ES_tradnl"/>
        </w:rPr>
        <w:t>obras. -</w:t>
      </w:r>
      <w:r w:rsidRPr="009D3E21">
        <w:rPr>
          <w:b/>
          <w:bCs/>
          <w:sz w:val="22"/>
          <w:szCs w:val="22"/>
          <w:lang w:val="es-ES_tradnl"/>
        </w:rPr>
        <w:t xml:space="preserve"> </w:t>
      </w:r>
      <w:r w:rsidRPr="009D3E21">
        <w:rPr>
          <w:sz w:val="22"/>
          <w:szCs w:val="22"/>
          <w:lang w:val="es-ES_tradnl"/>
        </w:rPr>
        <w:t xml:space="preserve">En caso de retraso en la ejecución de las obras </w:t>
      </w:r>
      <w:r w:rsidRPr="009D3E21">
        <w:rPr>
          <w:sz w:val="22"/>
          <w:szCs w:val="22"/>
          <w:lang w:val="es-EC"/>
        </w:rPr>
        <w:t>civiles y de infraestructura</w:t>
      </w:r>
      <w:r w:rsidRPr="009D3E21">
        <w:rPr>
          <w:sz w:val="22"/>
          <w:szCs w:val="22"/>
          <w:lang w:val="es-ES_tradnl"/>
        </w:rPr>
        <w:t>,</w:t>
      </w:r>
      <w:r w:rsidRPr="009D3E21">
        <w:rPr>
          <w:sz w:val="22"/>
          <w:szCs w:val="22"/>
        </w:rPr>
        <w:t xml:space="preserve"> los copropietarios del inmueble sobre el cual se ubica el </w:t>
      </w:r>
      <w:r w:rsidR="004615C3" w:rsidRPr="009D3E21">
        <w:rPr>
          <w:sz w:val="22"/>
          <w:szCs w:val="22"/>
        </w:rPr>
        <w:t>A</w:t>
      </w:r>
      <w:r w:rsidRPr="009D3E21">
        <w:rPr>
          <w:sz w:val="22"/>
          <w:szCs w:val="22"/>
        </w:rPr>
        <w:t xml:space="preserve">sentamiento </w:t>
      </w:r>
      <w:r w:rsidR="004615C3" w:rsidRPr="009D3E21">
        <w:rPr>
          <w:sz w:val="22"/>
          <w:szCs w:val="22"/>
        </w:rPr>
        <w:t>H</w:t>
      </w:r>
      <w:r w:rsidRPr="009D3E21">
        <w:rPr>
          <w:sz w:val="22"/>
          <w:szCs w:val="22"/>
        </w:rPr>
        <w:t xml:space="preserve">umano de </w:t>
      </w:r>
      <w:r w:rsidR="004615C3" w:rsidRPr="009D3E21">
        <w:rPr>
          <w:sz w:val="22"/>
          <w:szCs w:val="22"/>
        </w:rPr>
        <w:t>H</w:t>
      </w:r>
      <w:r w:rsidRPr="009D3E21">
        <w:rPr>
          <w:sz w:val="22"/>
          <w:szCs w:val="22"/>
        </w:rPr>
        <w:t xml:space="preserve">echo y </w:t>
      </w:r>
      <w:r w:rsidR="004615C3" w:rsidRPr="009D3E21">
        <w:rPr>
          <w:sz w:val="22"/>
          <w:szCs w:val="22"/>
        </w:rPr>
        <w:t>C</w:t>
      </w:r>
      <w:r w:rsidRPr="009D3E21">
        <w:rPr>
          <w:sz w:val="22"/>
          <w:szCs w:val="22"/>
        </w:rPr>
        <w:t xml:space="preserve">onsolidado de </w:t>
      </w:r>
      <w:r w:rsidR="004615C3" w:rsidRPr="009D3E21">
        <w:rPr>
          <w:sz w:val="22"/>
          <w:szCs w:val="22"/>
        </w:rPr>
        <w:t>I</w:t>
      </w:r>
      <w:r w:rsidRPr="009D3E21">
        <w:rPr>
          <w:sz w:val="22"/>
          <w:szCs w:val="22"/>
        </w:rPr>
        <w:t xml:space="preserve">nterés </w:t>
      </w:r>
      <w:r w:rsidR="004615C3" w:rsidRPr="009D3E21">
        <w:rPr>
          <w:sz w:val="22"/>
          <w:szCs w:val="22"/>
        </w:rPr>
        <w:t>S</w:t>
      </w:r>
      <w:r w:rsidRPr="009D3E21">
        <w:rPr>
          <w:sz w:val="22"/>
          <w:szCs w:val="22"/>
        </w:rPr>
        <w:t>ocial</w:t>
      </w:r>
      <w:r w:rsidRPr="009D3E21">
        <w:rPr>
          <w:b/>
          <w:sz w:val="22"/>
          <w:szCs w:val="22"/>
        </w:rPr>
        <w:t xml:space="preserve"> </w:t>
      </w:r>
      <w:r w:rsidRPr="009D3E21">
        <w:rPr>
          <w:sz w:val="22"/>
          <w:szCs w:val="22"/>
        </w:rPr>
        <w:t xml:space="preserve">denominado </w:t>
      </w:r>
      <w:r w:rsidR="004E782C">
        <w:rPr>
          <w:sz w:val="22"/>
          <w:szCs w:val="22"/>
        </w:rPr>
        <w:t>“Cuendina la Victoria II Etapa”</w:t>
      </w:r>
      <w:r w:rsidR="00351A27" w:rsidRPr="009D3E21">
        <w:rPr>
          <w:b/>
          <w:bCs/>
          <w:sz w:val="22"/>
          <w:szCs w:val="22"/>
        </w:rPr>
        <w:t>,</w:t>
      </w:r>
      <w:r w:rsidR="00351A27" w:rsidRPr="009D3E21">
        <w:rPr>
          <w:sz w:val="22"/>
          <w:szCs w:val="22"/>
        </w:rPr>
        <w:t xml:space="preserve"> se</w:t>
      </w:r>
      <w:r w:rsidRPr="009D3E21">
        <w:rPr>
          <w:bCs/>
          <w:sz w:val="22"/>
          <w:szCs w:val="22"/>
        </w:rPr>
        <w:t xml:space="preserve"> sujetará a las sanciones contempladas en el Ordenamiento Jurídico Nacional y Metropolitano.</w:t>
      </w:r>
    </w:p>
    <w:p w:rsidR="00C708ED" w:rsidRPr="009D3E2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b/>
          <w:bCs/>
          <w:iCs/>
          <w:sz w:val="22"/>
          <w:szCs w:val="22"/>
        </w:rPr>
        <w:t>Artículo 1</w:t>
      </w:r>
      <w:r w:rsidR="00E8579E">
        <w:rPr>
          <w:b/>
          <w:bCs/>
          <w:iCs/>
          <w:sz w:val="22"/>
          <w:szCs w:val="22"/>
        </w:rPr>
        <w:t>6</w:t>
      </w:r>
      <w:r w:rsidRPr="009D3E21">
        <w:rPr>
          <w:b/>
          <w:bCs/>
          <w:iCs/>
          <w:sz w:val="22"/>
          <w:szCs w:val="22"/>
        </w:rPr>
        <w:t xml:space="preserve">.- De la garantía de ejecución de las obras.- </w:t>
      </w:r>
      <w:r w:rsidRPr="009D3E21">
        <w:rPr>
          <w:sz w:val="22"/>
          <w:szCs w:val="22"/>
        </w:rPr>
        <w:t>Los lotes producto del fraccionamiento</w:t>
      </w:r>
      <w:r w:rsidR="004615C3" w:rsidRPr="009D3E21">
        <w:rPr>
          <w:sz w:val="22"/>
          <w:szCs w:val="22"/>
        </w:rPr>
        <w:t xml:space="preserve"> donde se encuentra ubicado el A</w:t>
      </w:r>
      <w:r w:rsidRPr="009D3E21">
        <w:rPr>
          <w:sz w:val="22"/>
          <w:szCs w:val="22"/>
        </w:rPr>
        <w:t xml:space="preserve">sentamiento </w:t>
      </w:r>
      <w:r w:rsidR="004615C3" w:rsidRPr="009D3E21">
        <w:rPr>
          <w:sz w:val="22"/>
          <w:szCs w:val="22"/>
        </w:rPr>
        <w:t>H</w:t>
      </w:r>
      <w:r w:rsidRPr="009D3E21">
        <w:rPr>
          <w:sz w:val="22"/>
          <w:szCs w:val="22"/>
        </w:rPr>
        <w:t xml:space="preserve">umano de </w:t>
      </w:r>
      <w:r w:rsidR="004615C3" w:rsidRPr="009D3E21">
        <w:rPr>
          <w:sz w:val="22"/>
          <w:szCs w:val="22"/>
        </w:rPr>
        <w:t>H</w:t>
      </w:r>
      <w:r w:rsidRPr="009D3E21">
        <w:rPr>
          <w:sz w:val="22"/>
          <w:szCs w:val="22"/>
        </w:rPr>
        <w:t xml:space="preserve">echo y </w:t>
      </w:r>
      <w:r w:rsidR="004615C3" w:rsidRPr="009D3E21">
        <w:rPr>
          <w:sz w:val="22"/>
          <w:szCs w:val="22"/>
        </w:rPr>
        <w:t>C</w:t>
      </w:r>
      <w:r w:rsidRPr="009D3E21">
        <w:rPr>
          <w:sz w:val="22"/>
          <w:szCs w:val="22"/>
        </w:rPr>
        <w:t xml:space="preserve">onsolidado de </w:t>
      </w:r>
      <w:r w:rsidR="004615C3" w:rsidRPr="009D3E21">
        <w:rPr>
          <w:sz w:val="22"/>
          <w:szCs w:val="22"/>
        </w:rPr>
        <w:t>Interés S</w:t>
      </w:r>
      <w:r w:rsidRPr="009D3E21">
        <w:rPr>
          <w:sz w:val="22"/>
          <w:szCs w:val="22"/>
        </w:rPr>
        <w:t xml:space="preserve">ocial denominado </w:t>
      </w:r>
      <w:r w:rsidR="004E782C">
        <w:rPr>
          <w:sz w:val="22"/>
          <w:szCs w:val="22"/>
        </w:rPr>
        <w:t>“Cuendina la Victoria II Etapa”</w:t>
      </w:r>
      <w:r w:rsidR="001A53D5" w:rsidRPr="009D3E21">
        <w:rPr>
          <w:b/>
          <w:bCs/>
          <w:sz w:val="22"/>
          <w:szCs w:val="22"/>
        </w:rPr>
        <w:t>,</w:t>
      </w:r>
      <w:r w:rsidR="001A53D5" w:rsidRPr="009D3E21">
        <w:rPr>
          <w:sz w:val="22"/>
          <w:szCs w:val="22"/>
        </w:rPr>
        <w:t xml:space="preserve"> </w:t>
      </w:r>
      <w:r w:rsidR="0036225B" w:rsidRPr="009D3E21">
        <w:rPr>
          <w:sz w:val="22"/>
          <w:szCs w:val="22"/>
        </w:rPr>
        <w:t xml:space="preserve"> </w:t>
      </w:r>
      <w:r w:rsidRPr="009D3E21">
        <w:rPr>
          <w:sz w:val="22"/>
          <w:szCs w:val="22"/>
        </w:rPr>
        <w:t xml:space="preserve">quedan gravados con primera, especial y preferente hipoteca a favor del Municipio del Distrito Metropolitano de Quito, gravamen que regirá una vez que se adjudiquen los lotes a sus respectivos beneficiarios y que subsistirá hasta la terminación de la ejecución de las obras </w:t>
      </w:r>
      <w:r w:rsidRPr="009D3E21">
        <w:rPr>
          <w:sz w:val="22"/>
          <w:szCs w:val="22"/>
          <w:lang w:val="es-EC"/>
        </w:rPr>
        <w:t>civiles y de infraestructura</w:t>
      </w:r>
      <w:r w:rsidRPr="009D3E21">
        <w:rPr>
          <w:sz w:val="22"/>
          <w:szCs w:val="22"/>
        </w:rPr>
        <w:t>.</w:t>
      </w:r>
      <w:r w:rsidR="00F14104" w:rsidRPr="009D3E21">
        <w:rPr>
          <w:sz w:val="22"/>
          <w:szCs w:val="22"/>
        </w:rPr>
        <w:t xml:space="preserve"> El gravamen constituido a favor de </w:t>
      </w:r>
      <w:r w:rsidR="001E2E3A" w:rsidRPr="009D3E21">
        <w:rPr>
          <w:sz w:val="22"/>
          <w:szCs w:val="22"/>
        </w:rPr>
        <w:t>la Municipalidad deberá constar en cada escritura individualizada.</w:t>
      </w:r>
    </w:p>
    <w:p w:rsidR="00361728" w:rsidRPr="009D3E21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b/>
          <w:bCs/>
          <w:sz w:val="22"/>
          <w:szCs w:val="22"/>
        </w:rPr>
        <w:t>Artículo</w:t>
      </w:r>
      <w:r w:rsidRPr="009D3E21">
        <w:rPr>
          <w:b/>
          <w:bCs/>
          <w:sz w:val="22"/>
          <w:szCs w:val="22"/>
          <w:lang w:val="es-ES_tradnl"/>
        </w:rPr>
        <w:t xml:space="preserve"> 1</w:t>
      </w:r>
      <w:r w:rsidR="00E8579E">
        <w:rPr>
          <w:b/>
          <w:bCs/>
          <w:sz w:val="22"/>
          <w:szCs w:val="22"/>
          <w:lang w:val="es-ES_tradnl"/>
        </w:rPr>
        <w:t>7</w:t>
      </w:r>
      <w:r w:rsidRPr="009D3E21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9D3E21">
        <w:rPr>
          <w:b/>
          <w:bCs/>
          <w:sz w:val="22"/>
          <w:szCs w:val="22"/>
          <w:lang w:val="es-ES_tradnl"/>
        </w:rPr>
        <w:t>Ordenanza. -</w:t>
      </w:r>
      <w:r w:rsidRPr="009D3E21">
        <w:rPr>
          <w:b/>
          <w:bCs/>
          <w:sz w:val="22"/>
          <w:szCs w:val="22"/>
          <w:lang w:val="es-ES_tradnl"/>
        </w:rPr>
        <w:t xml:space="preserve">  </w:t>
      </w:r>
      <w:r w:rsidRPr="009D3E21">
        <w:rPr>
          <w:sz w:val="22"/>
          <w:szCs w:val="22"/>
          <w:lang w:val="es-EC"/>
        </w:rPr>
        <w:t xml:space="preserve">Los copropietarios del predio del </w:t>
      </w:r>
      <w:r w:rsidR="00BE4CA3" w:rsidRPr="009D3E21">
        <w:rPr>
          <w:sz w:val="22"/>
          <w:szCs w:val="22"/>
        </w:rPr>
        <w:t xml:space="preserve">Asentamiento Humano de Hecho y Consolidado de </w:t>
      </w:r>
      <w:r w:rsidR="00CC33DF" w:rsidRPr="009D3E21">
        <w:rPr>
          <w:sz w:val="22"/>
          <w:szCs w:val="22"/>
        </w:rPr>
        <w:t>I</w:t>
      </w:r>
      <w:r w:rsidR="00BE4CA3" w:rsidRPr="009D3E21">
        <w:rPr>
          <w:sz w:val="22"/>
          <w:szCs w:val="22"/>
        </w:rPr>
        <w:t>nterés</w:t>
      </w:r>
      <w:r w:rsidR="00BE4CA3" w:rsidRPr="009D3E21">
        <w:rPr>
          <w:bCs/>
          <w:sz w:val="22"/>
          <w:szCs w:val="22"/>
        </w:rPr>
        <w:t xml:space="preserve"> </w:t>
      </w:r>
      <w:r w:rsidR="00CC33DF" w:rsidRPr="009D3E21">
        <w:rPr>
          <w:bCs/>
          <w:sz w:val="22"/>
          <w:szCs w:val="22"/>
        </w:rPr>
        <w:t>S</w:t>
      </w:r>
      <w:r w:rsidR="00922C0D" w:rsidRPr="009D3E21">
        <w:rPr>
          <w:bCs/>
          <w:sz w:val="22"/>
          <w:szCs w:val="22"/>
        </w:rPr>
        <w:t>ocial</w:t>
      </w:r>
      <w:r w:rsidR="007E6037" w:rsidRPr="009D3E21">
        <w:rPr>
          <w:bCs/>
          <w:sz w:val="22"/>
          <w:szCs w:val="22"/>
        </w:rPr>
        <w:t xml:space="preserve"> denominado</w:t>
      </w:r>
      <w:r w:rsidR="00922C0D" w:rsidRPr="009D3E21">
        <w:rPr>
          <w:bCs/>
          <w:sz w:val="22"/>
          <w:szCs w:val="22"/>
        </w:rPr>
        <w:t xml:space="preserve"> </w:t>
      </w:r>
      <w:r w:rsidR="004E782C">
        <w:rPr>
          <w:sz w:val="22"/>
          <w:szCs w:val="22"/>
        </w:rPr>
        <w:lastRenderedPageBreak/>
        <w:t>“Cuendina la Victoria II Etapa”</w:t>
      </w:r>
      <w:r w:rsidR="001A53D5" w:rsidRPr="009D3E21">
        <w:rPr>
          <w:b/>
          <w:bCs/>
          <w:sz w:val="22"/>
          <w:szCs w:val="22"/>
        </w:rPr>
        <w:t>,</w:t>
      </w:r>
      <w:r w:rsidR="001A53D5" w:rsidRPr="009D3E21">
        <w:rPr>
          <w:sz w:val="22"/>
          <w:szCs w:val="22"/>
        </w:rPr>
        <w:t xml:space="preserve"> </w:t>
      </w:r>
      <w:r w:rsidR="00C94AA7" w:rsidRPr="009D3E21">
        <w:rPr>
          <w:sz w:val="22"/>
          <w:szCs w:val="22"/>
          <w:lang w:val="es-ES_tradnl"/>
        </w:rPr>
        <w:t>deberán</w:t>
      </w:r>
      <w:r w:rsidRPr="009D3E21">
        <w:rPr>
          <w:sz w:val="22"/>
          <w:szCs w:val="22"/>
          <w:lang w:val="es-ES_tradnl"/>
        </w:rPr>
        <w:t xml:space="preserve"> </w:t>
      </w:r>
      <w:r w:rsidRPr="009D3E21">
        <w:rPr>
          <w:sz w:val="22"/>
          <w:szCs w:val="22"/>
          <w:lang w:val="es-EC"/>
        </w:rPr>
        <w:t>protocolizar la presente Ordenanza ante</w:t>
      </w:r>
      <w:r w:rsidR="00E14E2C" w:rsidRPr="009D3E21">
        <w:rPr>
          <w:sz w:val="22"/>
          <w:szCs w:val="22"/>
          <w:lang w:val="es-EC"/>
        </w:rPr>
        <w:t xml:space="preserve"> un</w:t>
      </w:r>
      <w:r w:rsidRPr="009D3E21">
        <w:rPr>
          <w:sz w:val="22"/>
          <w:szCs w:val="22"/>
          <w:lang w:val="es-EC"/>
        </w:rPr>
        <w:t xml:space="preserve"> Notario Público e inscribirla en el Registro de la Propiedad del Distrito Metropolitano de Quito, </w:t>
      </w:r>
      <w:r w:rsidRPr="009D3E21">
        <w:rPr>
          <w:sz w:val="22"/>
          <w:szCs w:val="22"/>
          <w:lang w:val="es-ES_tradnl"/>
        </w:rPr>
        <w:t xml:space="preserve">con todos sus documentos </w:t>
      </w:r>
      <w:r w:rsidR="003A2B74" w:rsidRPr="009D3E21">
        <w:rPr>
          <w:sz w:val="22"/>
          <w:szCs w:val="22"/>
          <w:lang w:val="es-ES_tradnl"/>
        </w:rPr>
        <w:t>habilitantes</w:t>
      </w:r>
      <w:r w:rsidR="003A2B74" w:rsidRPr="009D3E21">
        <w:rPr>
          <w:sz w:val="22"/>
          <w:szCs w:val="22"/>
          <w:lang w:val="es-EC"/>
        </w:rPr>
        <w:t>;</w:t>
      </w:r>
      <w:r w:rsidR="00BE22D3" w:rsidRPr="009D3E21">
        <w:rPr>
          <w:sz w:val="22"/>
          <w:szCs w:val="22"/>
          <w:lang w:val="es-ES_tradnl"/>
        </w:rPr>
        <w:t xml:space="preserve"> </w:t>
      </w:r>
    </w:p>
    <w:p w:rsidR="00942CD4" w:rsidRPr="0036225B" w:rsidRDefault="00942CD4" w:rsidP="00942CD4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36225B">
        <w:rPr>
          <w:sz w:val="22"/>
          <w:szCs w:val="22"/>
          <w:lang w:val="es-ES_tradnl"/>
        </w:rPr>
        <w:t xml:space="preserve">En caso de no </w:t>
      </w:r>
      <w:r>
        <w:rPr>
          <w:sz w:val="22"/>
          <w:szCs w:val="22"/>
          <w:lang w:val="es-ES_tradnl"/>
        </w:rPr>
        <w:t>inscribir</w:t>
      </w:r>
      <w:r w:rsidRPr="0036225B">
        <w:rPr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36225B">
        <w:rPr>
          <w:rFonts w:eastAsiaTheme="minorHAnsi"/>
          <w:sz w:val="22"/>
          <w:szCs w:val="22"/>
          <w:lang w:val="es-EC" w:eastAsia="en-US"/>
        </w:rPr>
        <w:t>IV.7.64 de la Ordenanza No. 001 de 29 de marzo de 2019.</w:t>
      </w:r>
    </w:p>
    <w:p w:rsidR="009E010D" w:rsidRPr="009D3E21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>Artículo 1</w:t>
      </w:r>
      <w:r w:rsidR="00E8579E">
        <w:rPr>
          <w:b/>
          <w:sz w:val="22"/>
          <w:szCs w:val="22"/>
          <w:lang w:val="es-ES_tradnl"/>
        </w:rPr>
        <w:t>8</w:t>
      </w:r>
      <w:r w:rsidRPr="009D3E21">
        <w:rPr>
          <w:b/>
          <w:sz w:val="22"/>
          <w:szCs w:val="22"/>
          <w:lang w:val="es-ES_tradnl"/>
        </w:rPr>
        <w:t xml:space="preserve">.- De la partición y </w:t>
      </w:r>
      <w:r w:rsidR="00351A27" w:rsidRPr="009D3E21">
        <w:rPr>
          <w:b/>
          <w:sz w:val="22"/>
          <w:szCs w:val="22"/>
          <w:lang w:val="es-ES_tradnl"/>
        </w:rPr>
        <w:t>adjudicación. -</w:t>
      </w:r>
      <w:r w:rsidRPr="009D3E21">
        <w:rPr>
          <w:sz w:val="22"/>
          <w:szCs w:val="22"/>
          <w:lang w:val="es-ES_tradnl"/>
        </w:rPr>
        <w:t xml:space="preserve"> </w:t>
      </w:r>
      <w:r w:rsidR="005F405A" w:rsidRPr="009D3E21">
        <w:rPr>
          <w:sz w:val="22"/>
          <w:szCs w:val="22"/>
          <w:lang w:val="es-ES_tradnl"/>
        </w:rPr>
        <w:t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</w:t>
      </w:r>
      <w:r w:rsidR="00E14E2C" w:rsidRPr="009D3E21">
        <w:rPr>
          <w:sz w:val="22"/>
          <w:szCs w:val="22"/>
          <w:lang w:val="es-ES_tradnl"/>
        </w:rPr>
        <w:t xml:space="preserve">cionado, estas serán conocidas y resueltas por </w:t>
      </w:r>
      <w:r w:rsidR="005F405A" w:rsidRPr="009D3E21">
        <w:rPr>
          <w:sz w:val="22"/>
          <w:szCs w:val="22"/>
          <w:lang w:val="es-ES_tradnl"/>
        </w:rPr>
        <w:t xml:space="preserve">el juez competente en juicio ordinario.  </w:t>
      </w:r>
      <w:r w:rsidRPr="009D3E21">
        <w:rPr>
          <w:sz w:val="22"/>
          <w:szCs w:val="22"/>
          <w:lang w:val="es-ES_tradnl"/>
        </w:rPr>
        <w:t xml:space="preserve"> </w:t>
      </w:r>
    </w:p>
    <w:p w:rsidR="007F193F" w:rsidRPr="009D3E21" w:rsidRDefault="009E010D" w:rsidP="007F193F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>Artículo 1</w:t>
      </w:r>
      <w:r w:rsidR="00E8579E">
        <w:rPr>
          <w:b/>
          <w:sz w:val="22"/>
          <w:szCs w:val="22"/>
          <w:lang w:val="es-ES_tradnl"/>
        </w:rPr>
        <w:t>9</w:t>
      </w:r>
      <w:r w:rsidRPr="009D3E21">
        <w:rPr>
          <w:b/>
          <w:sz w:val="22"/>
          <w:szCs w:val="22"/>
          <w:lang w:val="es-ES_tradnl"/>
        </w:rPr>
        <w:t xml:space="preserve">.- Solicitudes de ampliación de </w:t>
      </w:r>
      <w:r w:rsidR="00351A27" w:rsidRPr="009D3E21">
        <w:rPr>
          <w:b/>
          <w:sz w:val="22"/>
          <w:szCs w:val="22"/>
          <w:lang w:val="es-ES_tradnl"/>
        </w:rPr>
        <w:t>plazo. -</w:t>
      </w:r>
      <w:r w:rsidRPr="009D3E21">
        <w:rPr>
          <w:b/>
          <w:sz w:val="22"/>
          <w:szCs w:val="22"/>
          <w:lang w:val="es-ES_tradnl"/>
        </w:rPr>
        <w:t xml:space="preserve"> </w:t>
      </w:r>
      <w:r w:rsidR="007F193F">
        <w:rPr>
          <w:sz w:val="22"/>
          <w:szCs w:val="22"/>
          <w:lang w:val="es-ES_tradnl"/>
        </w:rPr>
        <w:t>La</w:t>
      </w:r>
      <w:r w:rsidR="007F193F" w:rsidRPr="009D3E21">
        <w:rPr>
          <w:sz w:val="22"/>
          <w:szCs w:val="22"/>
          <w:lang w:val="es-ES_tradnl"/>
        </w:rPr>
        <w:t xml:space="preserve"> Administración Zonal</w:t>
      </w:r>
      <w:r w:rsidR="007F193F">
        <w:rPr>
          <w:sz w:val="22"/>
          <w:szCs w:val="22"/>
          <w:lang w:val="es-ES_tradnl"/>
        </w:rPr>
        <w:t xml:space="preserve"> Los Chillos queda plenamente facultada para resolver y aprobar las</w:t>
      </w:r>
      <w:r w:rsidR="007F193F" w:rsidRPr="009D3E21">
        <w:rPr>
          <w:sz w:val="22"/>
          <w:szCs w:val="22"/>
          <w:lang w:val="es-ES_tradnl"/>
        </w:rPr>
        <w:t xml:space="preserve"> solicitudes de ampliación de plazo para ejecución de obras civiles </w:t>
      </w:r>
      <w:r w:rsidR="007F193F" w:rsidRPr="009D3E21">
        <w:rPr>
          <w:sz w:val="22"/>
          <w:szCs w:val="22"/>
          <w:lang w:val="es-EC"/>
        </w:rPr>
        <w:t>y de infraestructura</w:t>
      </w:r>
      <w:r w:rsidR="007F193F">
        <w:rPr>
          <w:sz w:val="22"/>
          <w:szCs w:val="22"/>
          <w:lang w:val="es-EC"/>
        </w:rPr>
        <w:t>.</w:t>
      </w:r>
    </w:p>
    <w:p w:rsidR="001E2E3A" w:rsidRPr="009D3E21" w:rsidRDefault="001E2E3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sz w:val="22"/>
          <w:szCs w:val="22"/>
          <w:lang w:val="es-ES_tradnl"/>
        </w:rPr>
        <w:t xml:space="preserve">La Administración Zonal </w:t>
      </w:r>
      <w:r w:rsidR="001A53D5" w:rsidRPr="009D3E21">
        <w:rPr>
          <w:sz w:val="22"/>
          <w:szCs w:val="22"/>
          <w:lang w:val="es-ES_tradnl"/>
        </w:rPr>
        <w:t>Los Chillos</w:t>
      </w:r>
      <w:r w:rsidR="00E6477A" w:rsidRPr="009D3E21">
        <w:rPr>
          <w:sz w:val="22"/>
          <w:szCs w:val="22"/>
          <w:lang w:val="es-ES_tradnl"/>
        </w:rPr>
        <w:t xml:space="preserve"> </w:t>
      </w:r>
      <w:r w:rsidRPr="009D3E21">
        <w:rPr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:rsidR="001E2E3A" w:rsidRPr="009D3E21" w:rsidRDefault="003663CF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sz w:val="22"/>
          <w:szCs w:val="22"/>
          <w:lang w:val="es-ES_tradnl"/>
        </w:rPr>
        <w:t>Dicha solicitud para ser evaluada, deberá ser presentada</w:t>
      </w:r>
      <w:r w:rsidR="001E2E3A" w:rsidRPr="009D3E21">
        <w:rPr>
          <w:sz w:val="22"/>
          <w:szCs w:val="22"/>
          <w:lang w:val="es-ES_tradnl"/>
        </w:rPr>
        <w:t xml:space="preserve"> con al menos tres meses de anticipación a la conclusión del plazo establecido para la ejecución de las obras refer</w:t>
      </w:r>
      <w:r w:rsidR="00E14E2C" w:rsidRPr="009D3E21">
        <w:rPr>
          <w:sz w:val="22"/>
          <w:szCs w:val="22"/>
          <w:lang w:val="es-ES_tradnl"/>
        </w:rPr>
        <w:t xml:space="preserve">idas y </w:t>
      </w:r>
      <w:r w:rsidR="001E2E3A" w:rsidRPr="009D3E21">
        <w:rPr>
          <w:sz w:val="22"/>
          <w:szCs w:val="22"/>
          <w:lang w:val="es-ES_tradnl"/>
        </w:rPr>
        <w:t>debidamente justificadas.</w:t>
      </w:r>
    </w:p>
    <w:p w:rsidR="005F405A" w:rsidRPr="009D3E21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 xml:space="preserve">Artículo </w:t>
      </w:r>
      <w:r w:rsidR="00E8579E">
        <w:rPr>
          <w:b/>
          <w:sz w:val="22"/>
          <w:szCs w:val="22"/>
          <w:lang w:val="es-ES_tradnl"/>
        </w:rPr>
        <w:t>20</w:t>
      </w:r>
      <w:r w:rsidR="00361728" w:rsidRPr="009D3E21">
        <w:rPr>
          <w:b/>
          <w:sz w:val="22"/>
          <w:szCs w:val="22"/>
          <w:lang w:val="es-ES_tradnl"/>
        </w:rPr>
        <w:t xml:space="preserve">.- Potestad de </w:t>
      </w:r>
      <w:r w:rsidR="00351A27" w:rsidRPr="009D3E21">
        <w:rPr>
          <w:b/>
          <w:sz w:val="22"/>
          <w:szCs w:val="22"/>
          <w:lang w:val="es-ES_tradnl"/>
        </w:rPr>
        <w:t>ejecución. -</w:t>
      </w:r>
      <w:r w:rsidR="00361728" w:rsidRPr="009D3E21">
        <w:rPr>
          <w:sz w:val="22"/>
          <w:szCs w:val="22"/>
          <w:lang w:val="es-ES_tradnl"/>
        </w:rPr>
        <w:t xml:space="preserve"> </w:t>
      </w:r>
      <w:r w:rsidRPr="009D3E21">
        <w:rPr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9D3E21">
        <w:rPr>
          <w:b/>
          <w:sz w:val="22"/>
          <w:szCs w:val="22"/>
          <w:lang w:val="es-ES_tradnl"/>
        </w:rPr>
        <w:t xml:space="preserve"> </w:t>
      </w:r>
    </w:p>
    <w:p w:rsidR="00351A27" w:rsidRDefault="00351A27" w:rsidP="00351A27">
      <w:pPr>
        <w:rPr>
          <w:lang w:val="es-ES_tradnl"/>
        </w:rPr>
      </w:pPr>
    </w:p>
    <w:p w:rsidR="00351A27" w:rsidRPr="00351A27" w:rsidRDefault="00351A27" w:rsidP="00351A27">
      <w:pPr>
        <w:rPr>
          <w:lang w:val="es-ES_tradnl"/>
        </w:rPr>
      </w:pPr>
    </w:p>
    <w:p w:rsidR="005F405A" w:rsidRPr="00351A27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51A27">
        <w:rPr>
          <w:rFonts w:ascii="Times New Roman" w:hAnsi="Times New Roman" w:cs="Times New Roman"/>
          <w:sz w:val="24"/>
          <w:szCs w:val="24"/>
          <w:lang w:val="es-ES_tradnl"/>
        </w:rPr>
        <w:t>Disposiciones Generales</w:t>
      </w:r>
    </w:p>
    <w:p w:rsidR="00086F22" w:rsidRPr="009D3E21" w:rsidRDefault="00086F22" w:rsidP="00086F22">
      <w:pPr>
        <w:rPr>
          <w:sz w:val="22"/>
          <w:szCs w:val="22"/>
          <w:lang w:val="es-ES_tradnl"/>
        </w:rPr>
      </w:pPr>
    </w:p>
    <w:p w:rsidR="005F405A" w:rsidRDefault="00351A27" w:rsidP="005C1853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>Primera. -</w:t>
      </w:r>
      <w:r w:rsidR="005F405A" w:rsidRPr="009D3E21">
        <w:rPr>
          <w:b/>
          <w:sz w:val="22"/>
          <w:szCs w:val="22"/>
          <w:lang w:val="es-ES_tradnl"/>
        </w:rPr>
        <w:t xml:space="preserve"> </w:t>
      </w:r>
      <w:r w:rsidR="005F405A" w:rsidRPr="009D3E21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="005F405A" w:rsidRPr="009D3E21">
        <w:rPr>
          <w:b/>
          <w:sz w:val="22"/>
          <w:szCs w:val="22"/>
          <w:lang w:val="es-ES_tradnl"/>
        </w:rPr>
        <w:t>.</w:t>
      </w:r>
    </w:p>
    <w:p w:rsidR="005F405A" w:rsidRDefault="00351A27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>Segunda</w:t>
      </w:r>
      <w:r w:rsidRPr="00351A27">
        <w:rPr>
          <w:b/>
          <w:sz w:val="22"/>
          <w:szCs w:val="22"/>
          <w:lang w:val="es-ES_tradnl"/>
        </w:rPr>
        <w:t>. -</w:t>
      </w:r>
      <w:r w:rsidR="005F405A" w:rsidRPr="00351A27">
        <w:rPr>
          <w:b/>
          <w:sz w:val="22"/>
          <w:szCs w:val="22"/>
          <w:lang w:val="es-ES_tradnl"/>
        </w:rPr>
        <w:t xml:space="preserve">  </w:t>
      </w:r>
      <w:r w:rsidR="005F405A" w:rsidRPr="00351A27">
        <w:rPr>
          <w:sz w:val="22"/>
          <w:szCs w:val="22"/>
          <w:lang w:val="es-ES_tradnl"/>
        </w:rPr>
        <w:t xml:space="preserve">De acuerdo al </w:t>
      </w:r>
      <w:r w:rsidR="0068376E" w:rsidRPr="0068376E">
        <w:rPr>
          <w:rFonts w:ascii="Times" w:eastAsiaTheme="minorHAnsi" w:hAnsi="Times" w:cs="Times"/>
          <w:bCs/>
          <w:sz w:val="22"/>
          <w:szCs w:val="22"/>
          <w:lang w:eastAsia="en-US"/>
        </w:rPr>
        <w:t xml:space="preserve">Oficio Nro. GADDMQ-SGSG-DMGR-2019-0822-OF, </w:t>
      </w:r>
      <w:r w:rsidR="0068376E" w:rsidRPr="0068376E">
        <w:rPr>
          <w:sz w:val="22"/>
          <w:szCs w:val="22"/>
        </w:rPr>
        <w:t xml:space="preserve">de fecha </w:t>
      </w:r>
      <w:r w:rsidR="0068376E" w:rsidRPr="0068376E">
        <w:rPr>
          <w:rFonts w:ascii="Times" w:eastAsiaTheme="minorHAnsi" w:hAnsi="Times" w:cs="Times"/>
          <w:bCs/>
          <w:sz w:val="22"/>
          <w:szCs w:val="22"/>
          <w:lang w:eastAsia="en-US"/>
        </w:rPr>
        <w:t>22 de octubre de 2019</w:t>
      </w:r>
      <w:r w:rsidR="00C5601A" w:rsidRPr="0068376E">
        <w:rPr>
          <w:sz w:val="22"/>
          <w:szCs w:val="22"/>
        </w:rPr>
        <w:t>,</w:t>
      </w:r>
      <w:r w:rsidR="00C5601A" w:rsidRPr="00351A27">
        <w:rPr>
          <w:sz w:val="22"/>
          <w:szCs w:val="22"/>
        </w:rPr>
        <w:t xml:space="preserve"> </w:t>
      </w:r>
      <w:r w:rsidR="00032D16" w:rsidRPr="00351A27">
        <w:rPr>
          <w:sz w:val="22"/>
          <w:szCs w:val="22"/>
          <w:lang w:val="es-ES_tradnl"/>
        </w:rPr>
        <w:t>los copropietarios del A</w:t>
      </w:r>
      <w:r w:rsidR="005F405A" w:rsidRPr="00351A27">
        <w:rPr>
          <w:sz w:val="22"/>
          <w:szCs w:val="22"/>
          <w:lang w:val="es-ES_tradnl"/>
        </w:rPr>
        <w:t>sentamiento deberán cumpl</w:t>
      </w:r>
      <w:r w:rsidR="0068376E">
        <w:rPr>
          <w:sz w:val="22"/>
          <w:szCs w:val="22"/>
          <w:lang w:val="es-ES_tradnl"/>
        </w:rPr>
        <w:t xml:space="preserve">ir las siguientes </w:t>
      </w:r>
      <w:r w:rsidR="006A68E9" w:rsidRPr="00351A27">
        <w:rPr>
          <w:sz w:val="22"/>
          <w:szCs w:val="22"/>
          <w:lang w:val="es-ES_tradnl"/>
        </w:rPr>
        <w:t xml:space="preserve">disposiciones, además de las recomendaciones generales y normativa legal vigente contenida en este mismo oficio y en el informe </w:t>
      </w:r>
      <w:r w:rsidR="006A68E9" w:rsidRPr="006334DA">
        <w:rPr>
          <w:sz w:val="22"/>
          <w:szCs w:val="22"/>
          <w:lang w:val="es-ES_tradnl"/>
        </w:rPr>
        <w:t>No.</w:t>
      </w:r>
      <w:r w:rsidR="00344FA8">
        <w:rPr>
          <w:sz w:val="22"/>
          <w:szCs w:val="22"/>
          <w:lang w:val="es-ES_tradnl"/>
        </w:rPr>
        <w:t>206</w:t>
      </w:r>
      <w:r w:rsidR="00631818" w:rsidRPr="006334DA">
        <w:rPr>
          <w:sz w:val="22"/>
          <w:szCs w:val="22"/>
          <w:lang w:val="es-ES_tradnl"/>
        </w:rPr>
        <w:t xml:space="preserve">-AT-DMGR-2018 de </w:t>
      </w:r>
      <w:r w:rsidR="00344FA8">
        <w:rPr>
          <w:sz w:val="22"/>
          <w:szCs w:val="22"/>
          <w:lang w:val="es-ES_tradnl"/>
        </w:rPr>
        <w:t>27</w:t>
      </w:r>
      <w:r w:rsidR="006A68E9" w:rsidRPr="006334DA">
        <w:rPr>
          <w:sz w:val="22"/>
          <w:szCs w:val="22"/>
          <w:lang w:val="es-ES_tradnl"/>
        </w:rPr>
        <w:t xml:space="preserve"> de </w:t>
      </w:r>
      <w:r w:rsidR="00344FA8">
        <w:rPr>
          <w:sz w:val="22"/>
          <w:szCs w:val="22"/>
          <w:lang w:val="es-ES_tradnl"/>
        </w:rPr>
        <w:t>julio</w:t>
      </w:r>
      <w:r w:rsidR="00215976" w:rsidRPr="006334DA">
        <w:rPr>
          <w:sz w:val="22"/>
          <w:szCs w:val="22"/>
          <w:lang w:val="es-ES_tradnl"/>
        </w:rPr>
        <w:t xml:space="preserve"> del 201</w:t>
      </w:r>
      <w:r w:rsidRPr="006334DA">
        <w:rPr>
          <w:sz w:val="22"/>
          <w:szCs w:val="22"/>
          <w:lang w:val="es-ES_tradnl"/>
        </w:rPr>
        <w:t>8</w:t>
      </w:r>
      <w:r w:rsidR="006A68E9" w:rsidRPr="006334DA">
        <w:rPr>
          <w:sz w:val="22"/>
          <w:szCs w:val="22"/>
          <w:lang w:val="es-ES_tradnl"/>
        </w:rPr>
        <w:t>.</w:t>
      </w:r>
    </w:p>
    <w:p w:rsidR="0068376E" w:rsidRPr="0068376E" w:rsidRDefault="0068376E" w:rsidP="005C1853">
      <w:pPr>
        <w:autoSpaceDE w:val="0"/>
        <w:autoSpaceDN w:val="0"/>
        <w:adjustRightInd w:val="0"/>
        <w:spacing w:line="276" w:lineRule="auto"/>
        <w:jc w:val="both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6334DA" w:rsidRPr="00344FA8" w:rsidRDefault="006334DA" w:rsidP="005C18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344FA8">
        <w:rPr>
          <w:sz w:val="22"/>
          <w:szCs w:val="22"/>
          <w:lang w:val="es-ES_tradnl"/>
        </w:rPr>
        <w:lastRenderedPageBreak/>
        <w:t>Se dispone que los propietarios/posesionarios de los lotes de “Cuendina La Victoria II” no deben realizar excavaciones o desbanques de tierra en los lotes hasta que culmine el proceso de regularización y se establezca su normativa de edificabilidad específica.</w:t>
      </w:r>
    </w:p>
    <w:p w:rsidR="00344FA8" w:rsidRPr="006334DA" w:rsidRDefault="00344FA8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</w:p>
    <w:p w:rsidR="006334DA" w:rsidRPr="00344FA8" w:rsidRDefault="006334DA" w:rsidP="005C18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344FA8">
        <w:rPr>
          <w:sz w:val="22"/>
          <w:szCs w:val="22"/>
          <w:lang w:val="es-ES_tradnl"/>
        </w:rPr>
        <w:t>Se dispone que los propietarios y/o posesionarios actuales no construyan más viviendas en el macrolote evaluado, ni aumenten pisos sobre las edificaciones existentes, hasta que el proceso de regularización del asentamiento culmine y se determine su normativa de edificabilidad específica que deberá constar en sus respectivos Informes de Regulación Metropolitana individuales, previa emisión de la licencia de construcción de la autoridad competente.</w:t>
      </w:r>
    </w:p>
    <w:p w:rsidR="006334DA" w:rsidRDefault="006334DA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</w:p>
    <w:p w:rsidR="006334DA" w:rsidRPr="00344FA8" w:rsidRDefault="006334DA" w:rsidP="005C18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344FA8">
        <w:rPr>
          <w:sz w:val="22"/>
          <w:szCs w:val="22"/>
          <w:lang w:val="es-ES_tradnl"/>
        </w:rPr>
        <w:t xml:space="preserve">Se dispone que posterior a la regularización del </w:t>
      </w:r>
      <w:r w:rsidR="007F193F" w:rsidRPr="00344FA8">
        <w:rPr>
          <w:sz w:val="22"/>
          <w:szCs w:val="22"/>
          <w:lang w:val="es-ES_tradnl"/>
        </w:rPr>
        <w:t>Asentamiento Humano de Hecho y Consolidado</w:t>
      </w:r>
      <w:r w:rsidR="009820E9">
        <w:rPr>
          <w:sz w:val="22"/>
          <w:szCs w:val="22"/>
          <w:lang w:val="es-ES_tradnl"/>
        </w:rPr>
        <w:t xml:space="preserve"> </w:t>
      </w:r>
      <w:r w:rsidR="009820E9" w:rsidRPr="009D3E21">
        <w:rPr>
          <w:sz w:val="22"/>
          <w:szCs w:val="22"/>
        </w:rPr>
        <w:t>de Interés Social denominado</w:t>
      </w:r>
      <w:r w:rsidRPr="00344FA8">
        <w:rPr>
          <w:sz w:val="22"/>
          <w:szCs w:val="22"/>
          <w:lang w:val="es-ES_tradnl"/>
        </w:rPr>
        <w:t xml:space="preserve"> “Cuendina La Victoria II”, las edificaciones en proceso de construcción, aumento en planta o elevación y demás edificaciones dentro del área en análisis, que no dispongan de un diseño estructural o algún tipo de asesoría técnica, los propietarios deberán contratar a un especialista (Ingeniero/a Civil), para que realice evaluaciones estructurales de las viviendas y proponga alternativas de reparación y/o reforzamiento estructural en caso de ameritarlo.</w:t>
      </w:r>
    </w:p>
    <w:p w:rsidR="006334DA" w:rsidRPr="006334DA" w:rsidRDefault="006334DA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</w:p>
    <w:p w:rsidR="006334DA" w:rsidRPr="00344FA8" w:rsidRDefault="00CB263A" w:rsidP="005C18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344FA8">
        <w:rPr>
          <w:sz w:val="22"/>
          <w:szCs w:val="22"/>
          <w:lang w:val="es-ES_tradnl"/>
        </w:rPr>
        <w:t>La</w:t>
      </w:r>
      <w:r w:rsidR="006334DA" w:rsidRPr="00344FA8">
        <w:rPr>
          <w:sz w:val="22"/>
          <w:szCs w:val="22"/>
          <w:lang w:val="es-ES_tradnl"/>
        </w:rPr>
        <w:t xml:space="preserve"> Unidad Especial </w:t>
      </w:r>
      <w:r w:rsidR="009820E9">
        <w:rPr>
          <w:sz w:val="22"/>
          <w:szCs w:val="22"/>
          <w:lang w:val="es-ES_tradnl"/>
        </w:rPr>
        <w:t>“</w:t>
      </w:r>
      <w:r w:rsidR="006334DA" w:rsidRPr="00344FA8">
        <w:rPr>
          <w:sz w:val="22"/>
          <w:szCs w:val="22"/>
          <w:lang w:val="es-ES_tradnl"/>
        </w:rPr>
        <w:t xml:space="preserve">Regula </w:t>
      </w:r>
      <w:r w:rsidR="009820E9">
        <w:rPr>
          <w:sz w:val="22"/>
          <w:szCs w:val="22"/>
          <w:lang w:val="es-ES_tradnl"/>
        </w:rPr>
        <w:t>t</w:t>
      </w:r>
      <w:r w:rsidR="006334DA" w:rsidRPr="00344FA8">
        <w:rPr>
          <w:sz w:val="22"/>
          <w:szCs w:val="22"/>
          <w:lang w:val="es-ES_tradnl"/>
        </w:rPr>
        <w:t>u Barrio</w:t>
      </w:r>
      <w:r w:rsidR="009820E9">
        <w:rPr>
          <w:sz w:val="22"/>
          <w:szCs w:val="22"/>
          <w:lang w:val="es-ES_tradnl"/>
        </w:rPr>
        <w:t>”</w:t>
      </w:r>
      <w:r w:rsidR="006334DA" w:rsidRPr="00344FA8">
        <w:rPr>
          <w:sz w:val="22"/>
          <w:szCs w:val="22"/>
          <w:lang w:val="es-ES_tradnl"/>
        </w:rPr>
        <w:t xml:space="preserve"> deberá comunicar a la comunidad del </w:t>
      </w:r>
      <w:r w:rsidR="007F193F" w:rsidRPr="00344FA8">
        <w:rPr>
          <w:sz w:val="22"/>
          <w:szCs w:val="22"/>
          <w:lang w:val="es-ES_tradnl"/>
        </w:rPr>
        <w:t>Asentamiento Humano de Hecho y Consolidado</w:t>
      </w:r>
      <w:r w:rsidR="009820E9">
        <w:rPr>
          <w:sz w:val="22"/>
          <w:szCs w:val="22"/>
          <w:lang w:val="es-ES_tradnl"/>
        </w:rPr>
        <w:t xml:space="preserve"> </w:t>
      </w:r>
      <w:r w:rsidR="009820E9" w:rsidRPr="009D3E21">
        <w:rPr>
          <w:sz w:val="22"/>
          <w:szCs w:val="22"/>
        </w:rPr>
        <w:t>de Interés Social denominado</w:t>
      </w:r>
      <w:r w:rsidR="006334DA" w:rsidRPr="00344FA8">
        <w:rPr>
          <w:sz w:val="22"/>
          <w:szCs w:val="22"/>
          <w:lang w:val="es-ES_tradnl"/>
        </w:rPr>
        <w:t xml:space="preserve"> “Cuendina La Victoria II” lo descrito en el presente informe, especialmente la calificación del riesgo ante las diferentes amenazas analizadas y las respectivas recomendaciones técnicas.</w:t>
      </w:r>
    </w:p>
    <w:p w:rsidR="006334DA" w:rsidRPr="00351A27" w:rsidRDefault="006334DA" w:rsidP="005C185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s-ES_tradnl"/>
        </w:rPr>
      </w:pPr>
    </w:p>
    <w:p w:rsidR="00361728" w:rsidRPr="009D3E21" w:rsidRDefault="00361728" w:rsidP="005C185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D3E21">
        <w:rPr>
          <w:b/>
          <w:sz w:val="22"/>
          <w:szCs w:val="22"/>
          <w:lang w:val="es-ES_tradnl"/>
        </w:rPr>
        <w:t xml:space="preserve">Disposición Final.- </w:t>
      </w:r>
      <w:r w:rsidRPr="009D3E21">
        <w:rPr>
          <w:sz w:val="22"/>
          <w:szCs w:val="22"/>
          <w:lang w:val="es-ES_tradnl"/>
        </w:rPr>
        <w:t xml:space="preserve"> Esta ordenanza entrará en vigencia a partir de la fecha de su sanción, sin perjuicio de su publicación </w:t>
      </w:r>
      <w:r w:rsidR="00D701A9" w:rsidRPr="009D3E21">
        <w:rPr>
          <w:sz w:val="22"/>
          <w:szCs w:val="22"/>
          <w:lang w:val="es-ES_tradnl"/>
        </w:rPr>
        <w:t xml:space="preserve">en el Registro Oficial, Gaceta Municipal o </w:t>
      </w:r>
      <w:r w:rsidRPr="009D3E21">
        <w:rPr>
          <w:sz w:val="22"/>
          <w:szCs w:val="22"/>
          <w:lang w:val="es-ES_tradnl"/>
        </w:rPr>
        <w:t>la página web institucional de la Municipalidad.</w:t>
      </w:r>
    </w:p>
    <w:p w:rsidR="00562DB6" w:rsidRPr="009D3E21" w:rsidRDefault="00562DB6" w:rsidP="005C185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9D3E21" w:rsidRDefault="0049591B" w:rsidP="005C1853">
      <w:pPr>
        <w:pStyle w:val="Textoindependiente"/>
        <w:spacing w:line="276" w:lineRule="auto"/>
        <w:jc w:val="both"/>
        <w:rPr>
          <w:sz w:val="22"/>
          <w:szCs w:val="22"/>
        </w:rPr>
      </w:pPr>
      <w:r w:rsidRPr="009D3E21">
        <w:rPr>
          <w:sz w:val="22"/>
          <w:szCs w:val="22"/>
        </w:rPr>
        <w:t xml:space="preserve">Dada, en la Sala de Sesiones del Concejo Metropolitano de Quito, </w:t>
      </w:r>
      <w:proofErr w:type="gramStart"/>
      <w:r w:rsidRPr="009D3E21">
        <w:rPr>
          <w:sz w:val="22"/>
          <w:szCs w:val="22"/>
        </w:rPr>
        <w:t>el.……</w:t>
      </w:r>
      <w:proofErr w:type="gramEnd"/>
      <w:r w:rsidRPr="009D3E21">
        <w:rPr>
          <w:sz w:val="22"/>
          <w:szCs w:val="22"/>
        </w:rPr>
        <w:t xml:space="preserve"> de …………. del 201...</w:t>
      </w:r>
    </w:p>
    <w:p w:rsidR="00532C34" w:rsidRPr="009D3E21" w:rsidRDefault="00532C34" w:rsidP="005C1853">
      <w:pPr>
        <w:spacing w:line="276" w:lineRule="auto"/>
        <w:jc w:val="both"/>
        <w:rPr>
          <w:sz w:val="22"/>
          <w:szCs w:val="22"/>
        </w:rPr>
      </w:pPr>
    </w:p>
    <w:p w:rsidR="00532C34" w:rsidRPr="009D3E21" w:rsidRDefault="00532C34" w:rsidP="005C1853">
      <w:pPr>
        <w:spacing w:line="276" w:lineRule="auto"/>
        <w:jc w:val="both"/>
        <w:rPr>
          <w:sz w:val="22"/>
          <w:szCs w:val="22"/>
        </w:rPr>
      </w:pPr>
    </w:p>
    <w:p w:rsidR="0049591B" w:rsidRPr="009D3E2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701901" w:rsidRDefault="00701901" w:rsidP="00701901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>
        <w:rPr>
          <w:rFonts w:ascii="Times New Roman" w:eastAsia="MS Mincho" w:hAnsi="Times New Roman"/>
          <w:sz w:val="22"/>
          <w:szCs w:val="22"/>
        </w:rPr>
        <w:t>Ortíz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701901" w:rsidRDefault="00701901" w:rsidP="00701901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:rsidR="00532C34" w:rsidRPr="009D3E21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9D3E21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9D3E2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9D3E21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9D3E21">
        <w:rPr>
          <w:rFonts w:ascii="Times New Roman" w:eastAsia="MS Mincho" w:hAnsi="Times New Roman" w:cs="Times New Roman"/>
          <w:color w:val="auto"/>
          <w:sz w:val="22"/>
          <w:szCs w:val="22"/>
        </w:rPr>
        <w:t>CERTIFICADO DE DISCUSIÓN</w:t>
      </w:r>
    </w:p>
    <w:p w:rsidR="0049591B" w:rsidRPr="009D3E21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9D3E21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9D3E21">
        <w:rPr>
          <w:rFonts w:eastAsia="MS Mincho"/>
          <w:sz w:val="22"/>
          <w:szCs w:val="22"/>
        </w:rPr>
        <w:lastRenderedPageBreak/>
        <w:t>La infrascrita Secretaria General del Concejo Metropolitano de Quito, certifica que la presente ordenanza fue discutida y aprobada en dos debates, en sesiones de …</w:t>
      </w:r>
      <w:proofErr w:type="gramStart"/>
      <w:r w:rsidRPr="009D3E21">
        <w:rPr>
          <w:rFonts w:eastAsia="MS Mincho"/>
          <w:sz w:val="22"/>
          <w:szCs w:val="22"/>
        </w:rPr>
        <w:t>..de</w:t>
      </w:r>
      <w:proofErr w:type="gramEnd"/>
      <w:r w:rsidRPr="009D3E21">
        <w:rPr>
          <w:rFonts w:eastAsia="MS Mincho"/>
          <w:sz w:val="22"/>
          <w:szCs w:val="22"/>
        </w:rPr>
        <w:t xml:space="preserve"> ……..  </w:t>
      </w:r>
      <w:proofErr w:type="gramStart"/>
      <w:r w:rsidRPr="009D3E21">
        <w:rPr>
          <w:rFonts w:eastAsia="MS Mincho"/>
          <w:sz w:val="22"/>
          <w:szCs w:val="22"/>
        </w:rPr>
        <w:t>y</w:t>
      </w:r>
      <w:proofErr w:type="gramEnd"/>
      <w:r w:rsidRPr="009D3E21">
        <w:rPr>
          <w:rFonts w:eastAsia="MS Mincho"/>
          <w:sz w:val="22"/>
          <w:szCs w:val="22"/>
        </w:rPr>
        <w:t xml:space="preserve"> ….. </w:t>
      </w:r>
      <w:proofErr w:type="gramStart"/>
      <w:r w:rsidRPr="009D3E21">
        <w:rPr>
          <w:rFonts w:eastAsia="MS Mincho"/>
          <w:sz w:val="22"/>
          <w:szCs w:val="22"/>
        </w:rPr>
        <w:t>de</w:t>
      </w:r>
      <w:proofErr w:type="gramEnd"/>
      <w:r w:rsidRPr="009D3E21">
        <w:rPr>
          <w:rFonts w:eastAsia="MS Mincho"/>
          <w:sz w:val="22"/>
          <w:szCs w:val="22"/>
        </w:rPr>
        <w:t xml:space="preserve"> …………. de 201...- Quito,</w:t>
      </w:r>
    </w:p>
    <w:p w:rsidR="0049591B" w:rsidRPr="009D3E21" w:rsidRDefault="0049591B" w:rsidP="00086F22">
      <w:pPr>
        <w:rPr>
          <w:rFonts w:eastAsia="MS Mincho"/>
          <w:sz w:val="22"/>
          <w:szCs w:val="22"/>
        </w:rPr>
      </w:pPr>
    </w:p>
    <w:p w:rsidR="0049591B" w:rsidRDefault="0049591B" w:rsidP="00841CD8">
      <w:pPr>
        <w:rPr>
          <w:rFonts w:eastAsia="MS Mincho"/>
          <w:sz w:val="22"/>
          <w:szCs w:val="22"/>
        </w:rPr>
      </w:pPr>
    </w:p>
    <w:p w:rsidR="00701901" w:rsidRPr="009D3E21" w:rsidRDefault="00701901" w:rsidP="00841CD8">
      <w:pPr>
        <w:rPr>
          <w:rFonts w:eastAsia="MS Mincho"/>
          <w:sz w:val="22"/>
          <w:szCs w:val="22"/>
        </w:rPr>
      </w:pPr>
    </w:p>
    <w:p w:rsidR="00343618" w:rsidRPr="0036225B" w:rsidRDefault="00343618" w:rsidP="0034361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 xml:space="preserve">Abg. </w:t>
      </w:r>
      <w:r>
        <w:rPr>
          <w:rFonts w:ascii="Times New Roman" w:eastAsia="MS Mincho" w:hAnsi="Times New Roman"/>
          <w:sz w:val="22"/>
          <w:szCs w:val="22"/>
        </w:rPr>
        <w:t xml:space="preserve">Damaris Priscila </w:t>
      </w:r>
      <w:proofErr w:type="spellStart"/>
      <w:r>
        <w:rPr>
          <w:rFonts w:ascii="Times New Roman" w:eastAsia="MS Mincho" w:hAnsi="Times New Roman"/>
          <w:sz w:val="22"/>
          <w:szCs w:val="22"/>
        </w:rPr>
        <w:t>Ortíz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343618" w:rsidRPr="0036225B" w:rsidRDefault="00343618" w:rsidP="00343618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</w:t>
      </w:r>
      <w:r w:rsidRPr="0036225B">
        <w:rPr>
          <w:rFonts w:ascii="Times New Roman" w:eastAsia="MS Mincho" w:hAnsi="Times New Roman"/>
          <w:b/>
          <w:bCs/>
          <w:sz w:val="22"/>
          <w:szCs w:val="22"/>
        </w:rPr>
        <w:t xml:space="preserve"> GENERAL DEL CONCEJO METROPOLITANO DE QUITO</w:t>
      </w:r>
      <w:r>
        <w:rPr>
          <w:rFonts w:ascii="Times New Roman" w:eastAsia="MS Mincho" w:hAnsi="Times New Roman"/>
          <w:b/>
          <w:bCs/>
          <w:sz w:val="22"/>
          <w:szCs w:val="22"/>
        </w:rPr>
        <w:t xml:space="preserve"> (E)</w:t>
      </w:r>
    </w:p>
    <w:p w:rsidR="0049591B" w:rsidRPr="009D3E21" w:rsidRDefault="0049591B" w:rsidP="00841CD8">
      <w:pPr>
        <w:rPr>
          <w:rFonts w:eastAsia="MS Mincho"/>
          <w:sz w:val="22"/>
          <w:szCs w:val="22"/>
        </w:rPr>
      </w:pPr>
    </w:p>
    <w:p w:rsidR="0049591B" w:rsidRPr="009D3E21" w:rsidRDefault="0049591B" w:rsidP="00086F22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D3E21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9D3E21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9D3E21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086F22" w:rsidRPr="009D3E21" w:rsidRDefault="00086F22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49591B" w:rsidRPr="009D3E21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9D3E21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9D3E21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D3E21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49591B" w:rsidRPr="009D3E21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D3E21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9D3E21" w:rsidRDefault="0049591B" w:rsidP="00841CD8">
      <w:pPr>
        <w:rPr>
          <w:rFonts w:eastAsia="MS Mincho"/>
          <w:sz w:val="22"/>
          <w:szCs w:val="22"/>
        </w:rPr>
      </w:pPr>
    </w:p>
    <w:p w:rsidR="0049591B" w:rsidRPr="009D3E21" w:rsidRDefault="0049591B" w:rsidP="00841CD8">
      <w:pPr>
        <w:rPr>
          <w:rFonts w:eastAsia="MS Mincho"/>
          <w:sz w:val="22"/>
          <w:szCs w:val="22"/>
        </w:rPr>
      </w:pPr>
    </w:p>
    <w:p w:rsidR="00086F22" w:rsidRPr="009D3E21" w:rsidRDefault="00086F22" w:rsidP="00841CD8">
      <w:pPr>
        <w:rPr>
          <w:rFonts w:eastAsia="MS Mincho"/>
          <w:sz w:val="22"/>
          <w:szCs w:val="22"/>
        </w:rPr>
      </w:pPr>
    </w:p>
    <w:p w:rsidR="00A37108" w:rsidRPr="009D3E21" w:rsidRDefault="00A37108" w:rsidP="00841CD8">
      <w:pPr>
        <w:rPr>
          <w:rFonts w:eastAsia="MS Mincho"/>
          <w:sz w:val="22"/>
          <w:szCs w:val="22"/>
        </w:rPr>
      </w:pPr>
    </w:p>
    <w:p w:rsidR="0049591B" w:rsidRPr="009D3E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D3E21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9D3E21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49591B" w:rsidRPr="009D3E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D3E21">
        <w:rPr>
          <w:rFonts w:ascii="Times New Roman" w:eastAsia="MS Mincho" w:hAnsi="Times New Roman"/>
          <w:sz w:val="22"/>
          <w:szCs w:val="22"/>
        </w:rPr>
        <w:t xml:space="preserve">, Alcalde </w:t>
      </w:r>
      <w:r w:rsidR="00CC69B0" w:rsidRPr="009D3E21">
        <w:rPr>
          <w:rFonts w:ascii="Times New Roman" w:eastAsia="MS Mincho" w:hAnsi="Times New Roman"/>
          <w:sz w:val="22"/>
          <w:szCs w:val="22"/>
        </w:rPr>
        <w:t xml:space="preserve">  </w:t>
      </w:r>
      <w:r w:rsidRPr="009D3E21">
        <w:rPr>
          <w:rFonts w:ascii="Times New Roman" w:eastAsia="MS Mincho" w:hAnsi="Times New Roman"/>
          <w:sz w:val="22"/>
          <w:szCs w:val="22"/>
        </w:rPr>
        <w:t xml:space="preserve"> del Distrito Metropolitano de Quito, el</w:t>
      </w:r>
    </w:p>
    <w:p w:rsidR="00AD3778" w:rsidRPr="009D3E21" w:rsidRDefault="0049591B" w:rsidP="00344FA8">
      <w:pPr>
        <w:pStyle w:val="Textosinformato"/>
        <w:tabs>
          <w:tab w:val="right" w:pos="8504"/>
        </w:tabs>
        <w:spacing w:line="276" w:lineRule="auto"/>
        <w:jc w:val="center"/>
        <w:rPr>
          <w:sz w:val="22"/>
          <w:szCs w:val="22"/>
        </w:rPr>
      </w:pPr>
      <w:r w:rsidRPr="009D3E21">
        <w:rPr>
          <w:rFonts w:ascii="Times New Roman" w:eastAsia="MS Mincho" w:hAnsi="Times New Roman"/>
          <w:sz w:val="22"/>
          <w:szCs w:val="22"/>
        </w:rPr>
        <w:t>.- Distrito Metropolitano de Quito,</w:t>
      </w:r>
    </w:p>
    <w:sectPr w:rsidR="00AD3778" w:rsidRPr="009D3E21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7B" w:rsidRDefault="0032107B">
      <w:r>
        <w:separator/>
      </w:r>
    </w:p>
  </w:endnote>
  <w:endnote w:type="continuationSeparator" w:id="0">
    <w:p w:rsidR="0032107B" w:rsidRDefault="0032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1F54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7B" w:rsidRDefault="0032107B">
      <w:r>
        <w:separator/>
      </w:r>
    </w:p>
  </w:footnote>
  <w:footnote w:type="continuationSeparator" w:id="0">
    <w:p w:rsidR="0032107B" w:rsidRDefault="0032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CB03DB0"/>
    <w:multiLevelType w:val="hybridMultilevel"/>
    <w:tmpl w:val="B248F4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0737"/>
    <w:multiLevelType w:val="hybridMultilevel"/>
    <w:tmpl w:val="82F8EE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64240"/>
    <w:multiLevelType w:val="hybridMultilevel"/>
    <w:tmpl w:val="B38C9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0"/>
  </w:num>
  <w:num w:numId="6">
    <w:abstractNumId w:val="13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2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2035D"/>
    <w:rsid w:val="00022E75"/>
    <w:rsid w:val="00023FAD"/>
    <w:rsid w:val="00024AC0"/>
    <w:rsid w:val="000314C0"/>
    <w:rsid w:val="00032D16"/>
    <w:rsid w:val="00042667"/>
    <w:rsid w:val="00060266"/>
    <w:rsid w:val="00063281"/>
    <w:rsid w:val="0007425E"/>
    <w:rsid w:val="00082904"/>
    <w:rsid w:val="00086F22"/>
    <w:rsid w:val="00093383"/>
    <w:rsid w:val="00094F57"/>
    <w:rsid w:val="000B7E01"/>
    <w:rsid w:val="000C069F"/>
    <w:rsid w:val="000D39A4"/>
    <w:rsid w:val="000E05EA"/>
    <w:rsid w:val="000E3F3B"/>
    <w:rsid w:val="00130E73"/>
    <w:rsid w:val="00137EFC"/>
    <w:rsid w:val="001479B2"/>
    <w:rsid w:val="0015428B"/>
    <w:rsid w:val="00164A30"/>
    <w:rsid w:val="001732B0"/>
    <w:rsid w:val="00173584"/>
    <w:rsid w:val="001824A5"/>
    <w:rsid w:val="00192470"/>
    <w:rsid w:val="001A53D5"/>
    <w:rsid w:val="001A5E4E"/>
    <w:rsid w:val="001B4536"/>
    <w:rsid w:val="001C179D"/>
    <w:rsid w:val="001C6677"/>
    <w:rsid w:val="001D7099"/>
    <w:rsid w:val="001E1CA2"/>
    <w:rsid w:val="001E1EA0"/>
    <w:rsid w:val="001E2E3A"/>
    <w:rsid w:val="001E41B8"/>
    <w:rsid w:val="001F4C88"/>
    <w:rsid w:val="00202AA6"/>
    <w:rsid w:val="00213D93"/>
    <w:rsid w:val="00215976"/>
    <w:rsid w:val="00230406"/>
    <w:rsid w:val="00235024"/>
    <w:rsid w:val="0024191F"/>
    <w:rsid w:val="00242929"/>
    <w:rsid w:val="002578F2"/>
    <w:rsid w:val="00264F1D"/>
    <w:rsid w:val="00266076"/>
    <w:rsid w:val="00266F8E"/>
    <w:rsid w:val="00267DA6"/>
    <w:rsid w:val="00271C6D"/>
    <w:rsid w:val="00271CE8"/>
    <w:rsid w:val="002930CE"/>
    <w:rsid w:val="00296C41"/>
    <w:rsid w:val="002B2BD8"/>
    <w:rsid w:val="002B6340"/>
    <w:rsid w:val="002C53FB"/>
    <w:rsid w:val="002D5A0F"/>
    <w:rsid w:val="002D7709"/>
    <w:rsid w:val="002F5FCE"/>
    <w:rsid w:val="0030415D"/>
    <w:rsid w:val="00316263"/>
    <w:rsid w:val="00316973"/>
    <w:rsid w:val="0032107B"/>
    <w:rsid w:val="00321C5A"/>
    <w:rsid w:val="00325915"/>
    <w:rsid w:val="00332708"/>
    <w:rsid w:val="00335B5A"/>
    <w:rsid w:val="00340E24"/>
    <w:rsid w:val="00341C8D"/>
    <w:rsid w:val="00342FD0"/>
    <w:rsid w:val="00343618"/>
    <w:rsid w:val="00344FA8"/>
    <w:rsid w:val="00351A27"/>
    <w:rsid w:val="00361728"/>
    <w:rsid w:val="0036225B"/>
    <w:rsid w:val="00363A17"/>
    <w:rsid w:val="003663CF"/>
    <w:rsid w:val="00377387"/>
    <w:rsid w:val="00385DE9"/>
    <w:rsid w:val="00385E8D"/>
    <w:rsid w:val="00387489"/>
    <w:rsid w:val="00396B10"/>
    <w:rsid w:val="003A2B74"/>
    <w:rsid w:val="003B1F9D"/>
    <w:rsid w:val="003C2823"/>
    <w:rsid w:val="003D125D"/>
    <w:rsid w:val="003E3B0F"/>
    <w:rsid w:val="003E56B8"/>
    <w:rsid w:val="003F5AD0"/>
    <w:rsid w:val="00410912"/>
    <w:rsid w:val="00414EED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C7A34"/>
    <w:rsid w:val="004E327F"/>
    <w:rsid w:val="004E782C"/>
    <w:rsid w:val="004F380C"/>
    <w:rsid w:val="0050154C"/>
    <w:rsid w:val="00502131"/>
    <w:rsid w:val="00520190"/>
    <w:rsid w:val="0052751A"/>
    <w:rsid w:val="0053116D"/>
    <w:rsid w:val="00532C34"/>
    <w:rsid w:val="0054068C"/>
    <w:rsid w:val="005479C2"/>
    <w:rsid w:val="00550771"/>
    <w:rsid w:val="00554427"/>
    <w:rsid w:val="00554E19"/>
    <w:rsid w:val="00560C74"/>
    <w:rsid w:val="00560FD7"/>
    <w:rsid w:val="00561828"/>
    <w:rsid w:val="00562DB6"/>
    <w:rsid w:val="0057335B"/>
    <w:rsid w:val="00576A9F"/>
    <w:rsid w:val="00590276"/>
    <w:rsid w:val="00590C70"/>
    <w:rsid w:val="005938DA"/>
    <w:rsid w:val="00595523"/>
    <w:rsid w:val="00596889"/>
    <w:rsid w:val="00596910"/>
    <w:rsid w:val="005A36B6"/>
    <w:rsid w:val="005A753B"/>
    <w:rsid w:val="005C1853"/>
    <w:rsid w:val="005C20B8"/>
    <w:rsid w:val="005C3577"/>
    <w:rsid w:val="005D1D84"/>
    <w:rsid w:val="005D68E1"/>
    <w:rsid w:val="005E4505"/>
    <w:rsid w:val="005F405A"/>
    <w:rsid w:val="005F7459"/>
    <w:rsid w:val="00606374"/>
    <w:rsid w:val="0061073C"/>
    <w:rsid w:val="00630196"/>
    <w:rsid w:val="00631818"/>
    <w:rsid w:val="006334DA"/>
    <w:rsid w:val="006411D2"/>
    <w:rsid w:val="00642CAB"/>
    <w:rsid w:val="0064351E"/>
    <w:rsid w:val="00644C2D"/>
    <w:rsid w:val="0065581E"/>
    <w:rsid w:val="00664F79"/>
    <w:rsid w:val="00673C25"/>
    <w:rsid w:val="00673D81"/>
    <w:rsid w:val="00681F54"/>
    <w:rsid w:val="0068376E"/>
    <w:rsid w:val="0068550F"/>
    <w:rsid w:val="006954C8"/>
    <w:rsid w:val="00696669"/>
    <w:rsid w:val="006A2A65"/>
    <w:rsid w:val="006A4617"/>
    <w:rsid w:val="006A68E9"/>
    <w:rsid w:val="006B5511"/>
    <w:rsid w:val="006B5DBB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700ACA"/>
    <w:rsid w:val="00701901"/>
    <w:rsid w:val="0071397E"/>
    <w:rsid w:val="00713EB4"/>
    <w:rsid w:val="00721932"/>
    <w:rsid w:val="007317A4"/>
    <w:rsid w:val="0074203E"/>
    <w:rsid w:val="00742540"/>
    <w:rsid w:val="00745F5F"/>
    <w:rsid w:val="00746AD5"/>
    <w:rsid w:val="00751C41"/>
    <w:rsid w:val="007720D0"/>
    <w:rsid w:val="00782806"/>
    <w:rsid w:val="00783C8A"/>
    <w:rsid w:val="007A292B"/>
    <w:rsid w:val="007C06DC"/>
    <w:rsid w:val="007C7247"/>
    <w:rsid w:val="007D7DF9"/>
    <w:rsid w:val="007E2D75"/>
    <w:rsid w:val="007E6037"/>
    <w:rsid w:val="007E6816"/>
    <w:rsid w:val="007F193F"/>
    <w:rsid w:val="007F36A1"/>
    <w:rsid w:val="007F64B8"/>
    <w:rsid w:val="007F6ADE"/>
    <w:rsid w:val="00803017"/>
    <w:rsid w:val="008113B3"/>
    <w:rsid w:val="0081387B"/>
    <w:rsid w:val="00815311"/>
    <w:rsid w:val="00815646"/>
    <w:rsid w:val="008254C4"/>
    <w:rsid w:val="00830545"/>
    <w:rsid w:val="00837892"/>
    <w:rsid w:val="00841CD8"/>
    <w:rsid w:val="0084467A"/>
    <w:rsid w:val="00857037"/>
    <w:rsid w:val="00857330"/>
    <w:rsid w:val="00867AD0"/>
    <w:rsid w:val="0087686C"/>
    <w:rsid w:val="00882965"/>
    <w:rsid w:val="0088568C"/>
    <w:rsid w:val="0089127D"/>
    <w:rsid w:val="008970EF"/>
    <w:rsid w:val="008B126B"/>
    <w:rsid w:val="008C57B8"/>
    <w:rsid w:val="008C62CE"/>
    <w:rsid w:val="008D35AE"/>
    <w:rsid w:val="008D4A2E"/>
    <w:rsid w:val="008D4CD5"/>
    <w:rsid w:val="008F19E8"/>
    <w:rsid w:val="008F4124"/>
    <w:rsid w:val="00904797"/>
    <w:rsid w:val="00910A14"/>
    <w:rsid w:val="00911E00"/>
    <w:rsid w:val="0091680D"/>
    <w:rsid w:val="00922B82"/>
    <w:rsid w:val="00922C0D"/>
    <w:rsid w:val="009243E2"/>
    <w:rsid w:val="009342B6"/>
    <w:rsid w:val="00942CD4"/>
    <w:rsid w:val="0094723F"/>
    <w:rsid w:val="00957006"/>
    <w:rsid w:val="009636B4"/>
    <w:rsid w:val="00972867"/>
    <w:rsid w:val="0097387E"/>
    <w:rsid w:val="009820E9"/>
    <w:rsid w:val="009856E7"/>
    <w:rsid w:val="009858EA"/>
    <w:rsid w:val="0099341B"/>
    <w:rsid w:val="009A0164"/>
    <w:rsid w:val="009A56CB"/>
    <w:rsid w:val="009A75E7"/>
    <w:rsid w:val="009B0E5E"/>
    <w:rsid w:val="009B714B"/>
    <w:rsid w:val="009C04E3"/>
    <w:rsid w:val="009C1383"/>
    <w:rsid w:val="009C4D56"/>
    <w:rsid w:val="009C5339"/>
    <w:rsid w:val="009D3E21"/>
    <w:rsid w:val="009D7773"/>
    <w:rsid w:val="009D7D5B"/>
    <w:rsid w:val="009E010D"/>
    <w:rsid w:val="009F176B"/>
    <w:rsid w:val="00A00E1B"/>
    <w:rsid w:val="00A0361F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516C8"/>
    <w:rsid w:val="00A66EEB"/>
    <w:rsid w:val="00A674D5"/>
    <w:rsid w:val="00A75696"/>
    <w:rsid w:val="00A7613E"/>
    <w:rsid w:val="00A774F3"/>
    <w:rsid w:val="00A85D9B"/>
    <w:rsid w:val="00A90817"/>
    <w:rsid w:val="00A92141"/>
    <w:rsid w:val="00AA4F40"/>
    <w:rsid w:val="00AA61AB"/>
    <w:rsid w:val="00AB3AA4"/>
    <w:rsid w:val="00AC4D7D"/>
    <w:rsid w:val="00AC767C"/>
    <w:rsid w:val="00AD3778"/>
    <w:rsid w:val="00AD5A83"/>
    <w:rsid w:val="00AE4123"/>
    <w:rsid w:val="00AE6BF9"/>
    <w:rsid w:val="00AE7433"/>
    <w:rsid w:val="00AF5285"/>
    <w:rsid w:val="00B1225C"/>
    <w:rsid w:val="00B14402"/>
    <w:rsid w:val="00B15BE8"/>
    <w:rsid w:val="00B23AE5"/>
    <w:rsid w:val="00B25919"/>
    <w:rsid w:val="00B32E48"/>
    <w:rsid w:val="00B4214D"/>
    <w:rsid w:val="00B422A1"/>
    <w:rsid w:val="00B463A7"/>
    <w:rsid w:val="00B95692"/>
    <w:rsid w:val="00BA5E3B"/>
    <w:rsid w:val="00BB0DEA"/>
    <w:rsid w:val="00BB58B0"/>
    <w:rsid w:val="00BD5A62"/>
    <w:rsid w:val="00BE22D3"/>
    <w:rsid w:val="00BE4CA3"/>
    <w:rsid w:val="00BF5886"/>
    <w:rsid w:val="00BF73D8"/>
    <w:rsid w:val="00C00975"/>
    <w:rsid w:val="00C07688"/>
    <w:rsid w:val="00C112CC"/>
    <w:rsid w:val="00C12D2E"/>
    <w:rsid w:val="00C1419F"/>
    <w:rsid w:val="00C174B4"/>
    <w:rsid w:val="00C21944"/>
    <w:rsid w:val="00C5601A"/>
    <w:rsid w:val="00C67654"/>
    <w:rsid w:val="00C708ED"/>
    <w:rsid w:val="00C70A83"/>
    <w:rsid w:val="00C876E8"/>
    <w:rsid w:val="00C94AA7"/>
    <w:rsid w:val="00CA41CE"/>
    <w:rsid w:val="00CA598F"/>
    <w:rsid w:val="00CA6F0F"/>
    <w:rsid w:val="00CA72BC"/>
    <w:rsid w:val="00CB263A"/>
    <w:rsid w:val="00CB5CCD"/>
    <w:rsid w:val="00CC33DF"/>
    <w:rsid w:val="00CC4462"/>
    <w:rsid w:val="00CC520A"/>
    <w:rsid w:val="00CC69B0"/>
    <w:rsid w:val="00CC7D12"/>
    <w:rsid w:val="00CD0ED3"/>
    <w:rsid w:val="00CD23C8"/>
    <w:rsid w:val="00CD4045"/>
    <w:rsid w:val="00CE091E"/>
    <w:rsid w:val="00CE2FEF"/>
    <w:rsid w:val="00CE30C7"/>
    <w:rsid w:val="00CE68F8"/>
    <w:rsid w:val="00CF2925"/>
    <w:rsid w:val="00CF4531"/>
    <w:rsid w:val="00D00F9F"/>
    <w:rsid w:val="00D02D19"/>
    <w:rsid w:val="00D04ABD"/>
    <w:rsid w:val="00D10366"/>
    <w:rsid w:val="00D1200A"/>
    <w:rsid w:val="00D12135"/>
    <w:rsid w:val="00D13ABD"/>
    <w:rsid w:val="00D156F5"/>
    <w:rsid w:val="00D15792"/>
    <w:rsid w:val="00D2437B"/>
    <w:rsid w:val="00D26964"/>
    <w:rsid w:val="00D30B6A"/>
    <w:rsid w:val="00D31DEB"/>
    <w:rsid w:val="00D47AF9"/>
    <w:rsid w:val="00D532A3"/>
    <w:rsid w:val="00D61E64"/>
    <w:rsid w:val="00D625C6"/>
    <w:rsid w:val="00D701A9"/>
    <w:rsid w:val="00D909F8"/>
    <w:rsid w:val="00DA36A8"/>
    <w:rsid w:val="00DB2668"/>
    <w:rsid w:val="00DB3F61"/>
    <w:rsid w:val="00DB4645"/>
    <w:rsid w:val="00DB6E9D"/>
    <w:rsid w:val="00DC7010"/>
    <w:rsid w:val="00DD2256"/>
    <w:rsid w:val="00DD3442"/>
    <w:rsid w:val="00DD4D97"/>
    <w:rsid w:val="00DD59DA"/>
    <w:rsid w:val="00DF68CD"/>
    <w:rsid w:val="00E14E2C"/>
    <w:rsid w:val="00E15EFC"/>
    <w:rsid w:val="00E2247A"/>
    <w:rsid w:val="00E51442"/>
    <w:rsid w:val="00E51E44"/>
    <w:rsid w:val="00E60C17"/>
    <w:rsid w:val="00E62A62"/>
    <w:rsid w:val="00E62FDF"/>
    <w:rsid w:val="00E6477A"/>
    <w:rsid w:val="00E752E2"/>
    <w:rsid w:val="00E765B3"/>
    <w:rsid w:val="00E76AB7"/>
    <w:rsid w:val="00E82890"/>
    <w:rsid w:val="00E8579E"/>
    <w:rsid w:val="00E902B7"/>
    <w:rsid w:val="00E928E4"/>
    <w:rsid w:val="00EA415E"/>
    <w:rsid w:val="00EA59C2"/>
    <w:rsid w:val="00EA7B08"/>
    <w:rsid w:val="00EC5B30"/>
    <w:rsid w:val="00ED70A1"/>
    <w:rsid w:val="00ED7620"/>
    <w:rsid w:val="00ED7DF9"/>
    <w:rsid w:val="00EF33AF"/>
    <w:rsid w:val="00EF740B"/>
    <w:rsid w:val="00EF79AD"/>
    <w:rsid w:val="00F0764C"/>
    <w:rsid w:val="00F14104"/>
    <w:rsid w:val="00F2151C"/>
    <w:rsid w:val="00F36FD8"/>
    <w:rsid w:val="00F5123A"/>
    <w:rsid w:val="00F52799"/>
    <w:rsid w:val="00F54BCA"/>
    <w:rsid w:val="00F57C55"/>
    <w:rsid w:val="00F62CE2"/>
    <w:rsid w:val="00F72905"/>
    <w:rsid w:val="00F75497"/>
    <w:rsid w:val="00F779C7"/>
    <w:rsid w:val="00F850C7"/>
    <w:rsid w:val="00F87EDD"/>
    <w:rsid w:val="00F87FE6"/>
    <w:rsid w:val="00F9008F"/>
    <w:rsid w:val="00F95C87"/>
    <w:rsid w:val="00FA411B"/>
    <w:rsid w:val="00FB1571"/>
    <w:rsid w:val="00FB42DF"/>
    <w:rsid w:val="00FC191E"/>
    <w:rsid w:val="00FC1938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654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654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631F-EAF4-4A22-83D0-56AB1229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4132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fquintana</cp:lastModifiedBy>
  <cp:revision>25</cp:revision>
  <cp:lastPrinted>2019-10-30T20:12:00Z</cp:lastPrinted>
  <dcterms:created xsi:type="dcterms:W3CDTF">2019-10-15T20:23:00Z</dcterms:created>
  <dcterms:modified xsi:type="dcterms:W3CDTF">2019-11-20T17:22:00Z</dcterms:modified>
</cp:coreProperties>
</file>