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D91F6" w14:textId="77777777" w:rsidR="00B52C4F" w:rsidRPr="00B82F65" w:rsidRDefault="00B52C4F" w:rsidP="0099767B">
      <w:pPr>
        <w:pStyle w:val="Ttulo"/>
        <w:spacing w:after="240" w:line="276" w:lineRule="auto"/>
        <w:rPr>
          <w:sz w:val="22"/>
          <w:szCs w:val="22"/>
        </w:rPr>
      </w:pPr>
      <w:bookmarkStart w:id="0" w:name="_GoBack"/>
      <w:bookmarkEnd w:id="0"/>
      <w:r w:rsidRPr="00B82F65">
        <w:rPr>
          <w:sz w:val="22"/>
          <w:szCs w:val="22"/>
        </w:rPr>
        <w:t>EXPOSICIÓN DE MOTIVOS</w:t>
      </w:r>
    </w:p>
    <w:p w14:paraId="78455212" w14:textId="15246EBD" w:rsidR="008235B8" w:rsidRPr="00B82F65" w:rsidRDefault="008235B8" w:rsidP="00965D60">
      <w:pPr>
        <w:spacing w:after="240" w:line="276" w:lineRule="auto"/>
        <w:jc w:val="both"/>
        <w:rPr>
          <w:b/>
          <w:sz w:val="22"/>
          <w:szCs w:val="22"/>
        </w:rPr>
      </w:pPr>
      <w:r w:rsidRPr="00B82F65">
        <w:rPr>
          <w:sz w:val="22"/>
          <w:szCs w:val="22"/>
        </w:rPr>
        <w:t>La Constitución de la República del Ecuador, en su artículo 30, garantiza a las personas el “</w:t>
      </w:r>
      <w:r w:rsidRPr="00B82F65">
        <w:rPr>
          <w:i/>
          <w:sz w:val="22"/>
          <w:szCs w:val="22"/>
        </w:rPr>
        <w:t>derecho a un hábitat seguro y saludable, y a una vivienda adecuada y digna, con independencia de su situación social y económica</w:t>
      </w:r>
      <w:r w:rsidR="002D3D3B" w:rsidRPr="00B82F65">
        <w:rPr>
          <w:sz w:val="22"/>
          <w:szCs w:val="22"/>
        </w:rPr>
        <w:t>”</w:t>
      </w:r>
      <w:r w:rsidRPr="00B82F65">
        <w:rPr>
          <w:sz w:val="22"/>
          <w:szCs w:val="22"/>
        </w:rPr>
        <w:t xml:space="preserve">. </w:t>
      </w:r>
    </w:p>
    <w:p w14:paraId="166A763A" w14:textId="31B91790" w:rsidR="008235B8" w:rsidRPr="00B82F65" w:rsidRDefault="008235B8" w:rsidP="00965D60">
      <w:pPr>
        <w:spacing w:after="240" w:line="276" w:lineRule="auto"/>
        <w:jc w:val="both"/>
        <w:rPr>
          <w:b/>
          <w:sz w:val="22"/>
          <w:szCs w:val="22"/>
        </w:rPr>
      </w:pPr>
      <w:r w:rsidRPr="00B82F65">
        <w:rPr>
          <w:sz w:val="22"/>
          <w:szCs w:val="22"/>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7EFF2CDF" w14:textId="3433793F" w:rsidR="004640E3" w:rsidRPr="00B82F65" w:rsidRDefault="004640E3" w:rsidP="00965D60">
      <w:pPr>
        <w:pStyle w:val="Ttulo"/>
        <w:spacing w:after="240" w:line="276" w:lineRule="auto"/>
        <w:jc w:val="both"/>
        <w:rPr>
          <w:b w:val="0"/>
          <w:sz w:val="22"/>
          <w:szCs w:val="22"/>
        </w:rPr>
      </w:pPr>
      <w:r w:rsidRPr="00B82F65">
        <w:rPr>
          <w:b w:val="0"/>
          <w:sz w:val="22"/>
          <w:szCs w:val="22"/>
        </w:rPr>
        <w:t xml:space="preserve">El Asentamiento Humano de Hecho y Consolidado de Interés Social denominado </w:t>
      </w:r>
      <w:r w:rsidR="00CB4844" w:rsidRPr="00B82F65">
        <w:rPr>
          <w:b w:val="0"/>
          <w:sz w:val="22"/>
          <w:szCs w:val="22"/>
        </w:rPr>
        <w:t>Comité Pro-Mejoras del Barrio “18 de Septiembre”</w:t>
      </w:r>
      <w:r w:rsidRPr="00B82F65">
        <w:rPr>
          <w:b w:val="0"/>
          <w:sz w:val="22"/>
          <w:szCs w:val="22"/>
        </w:rPr>
        <w:t>,</w:t>
      </w:r>
      <w:r w:rsidRPr="00B82F65">
        <w:rPr>
          <w:sz w:val="22"/>
          <w:szCs w:val="22"/>
        </w:rPr>
        <w:t xml:space="preserve"> </w:t>
      </w:r>
      <w:r w:rsidR="003B274D" w:rsidRPr="00B82F65">
        <w:rPr>
          <w:b w:val="0"/>
          <w:sz w:val="22"/>
          <w:szCs w:val="22"/>
        </w:rPr>
        <w:t xml:space="preserve">se compone de cuatro macrolotes, de los cuales los predios No. 544999, 3674829 y 3674832 se encuentran </w:t>
      </w:r>
      <w:r w:rsidRPr="00B82F65">
        <w:rPr>
          <w:b w:val="0"/>
          <w:sz w:val="22"/>
          <w:szCs w:val="22"/>
        </w:rPr>
        <w:t>ubicado</w:t>
      </w:r>
      <w:r w:rsidR="003B274D" w:rsidRPr="00B82F65">
        <w:rPr>
          <w:b w:val="0"/>
          <w:sz w:val="22"/>
          <w:szCs w:val="22"/>
        </w:rPr>
        <w:t>s</w:t>
      </w:r>
      <w:r w:rsidRPr="00B82F65">
        <w:rPr>
          <w:b w:val="0"/>
          <w:sz w:val="22"/>
          <w:szCs w:val="22"/>
        </w:rPr>
        <w:t xml:space="preserve"> en la </w:t>
      </w:r>
      <w:r w:rsidR="003B274D" w:rsidRPr="00B82F65">
        <w:rPr>
          <w:b w:val="0"/>
          <w:sz w:val="22"/>
          <w:szCs w:val="22"/>
        </w:rPr>
        <w:t>parroquia</w:t>
      </w:r>
      <w:r w:rsidR="0059480A" w:rsidRPr="00B82F65">
        <w:rPr>
          <w:b w:val="0"/>
          <w:sz w:val="22"/>
          <w:szCs w:val="22"/>
        </w:rPr>
        <w:t xml:space="preserve"> San Isidro del Inca y </w:t>
      </w:r>
      <w:r w:rsidR="003B274D" w:rsidRPr="00B82F65">
        <w:rPr>
          <w:b w:val="0"/>
          <w:sz w:val="22"/>
          <w:szCs w:val="22"/>
        </w:rPr>
        <w:t xml:space="preserve">el predio No. 3674831 en la parroquia </w:t>
      </w:r>
      <w:r w:rsidR="0059480A" w:rsidRPr="00B82F65">
        <w:rPr>
          <w:b w:val="0"/>
          <w:sz w:val="22"/>
          <w:szCs w:val="22"/>
        </w:rPr>
        <w:t>Llano Chico</w:t>
      </w:r>
      <w:r w:rsidR="003B274D" w:rsidRPr="00B82F65">
        <w:rPr>
          <w:b w:val="0"/>
          <w:sz w:val="22"/>
          <w:szCs w:val="22"/>
        </w:rPr>
        <w:t>;</w:t>
      </w:r>
      <w:r w:rsidRPr="00B82F65">
        <w:rPr>
          <w:sz w:val="22"/>
          <w:szCs w:val="22"/>
        </w:rPr>
        <w:t xml:space="preserve"> </w:t>
      </w:r>
      <w:r w:rsidRPr="00B82F65">
        <w:rPr>
          <w:b w:val="0"/>
          <w:sz w:val="22"/>
          <w:szCs w:val="22"/>
        </w:rPr>
        <w:t xml:space="preserve">tiene una consolidación del </w:t>
      </w:r>
      <w:r w:rsidR="00CB4844" w:rsidRPr="00B82F65">
        <w:rPr>
          <w:b w:val="0"/>
          <w:sz w:val="22"/>
          <w:szCs w:val="22"/>
        </w:rPr>
        <w:t>79,36%</w:t>
      </w:r>
      <w:r w:rsidR="003B274D" w:rsidRPr="00B82F65">
        <w:rPr>
          <w:b w:val="0"/>
          <w:sz w:val="22"/>
          <w:szCs w:val="22"/>
        </w:rPr>
        <w:t xml:space="preserve"> y</w:t>
      </w:r>
      <w:r w:rsidRPr="00B82F65">
        <w:rPr>
          <w:b w:val="0"/>
          <w:sz w:val="22"/>
          <w:szCs w:val="22"/>
        </w:rPr>
        <w:t xml:space="preserve"> al inicio del proceso de regularización contaba con más de 1</w:t>
      </w:r>
      <w:r w:rsidR="00CB4844" w:rsidRPr="00B82F65">
        <w:rPr>
          <w:b w:val="0"/>
          <w:sz w:val="22"/>
          <w:szCs w:val="22"/>
        </w:rPr>
        <w:t>9</w:t>
      </w:r>
      <w:r w:rsidRPr="00B82F65">
        <w:rPr>
          <w:b w:val="0"/>
          <w:sz w:val="22"/>
          <w:szCs w:val="22"/>
        </w:rPr>
        <w:t xml:space="preserve"> años de existencia; sin embargo al momento de la sanción de la presente ordenanza el asentamiento cuenta con </w:t>
      </w:r>
      <w:r w:rsidR="00CB4844" w:rsidRPr="00B82F65">
        <w:rPr>
          <w:b w:val="0"/>
          <w:sz w:val="22"/>
          <w:szCs w:val="22"/>
        </w:rPr>
        <w:t>25</w:t>
      </w:r>
      <w:r w:rsidRPr="00B82F65">
        <w:rPr>
          <w:b w:val="0"/>
          <w:sz w:val="22"/>
          <w:szCs w:val="22"/>
        </w:rPr>
        <w:t xml:space="preserve"> años de asentamiento</w:t>
      </w:r>
      <w:r w:rsidR="00015353" w:rsidRPr="00B82F65">
        <w:rPr>
          <w:b w:val="0"/>
          <w:sz w:val="22"/>
          <w:szCs w:val="22"/>
        </w:rPr>
        <w:t xml:space="preserve">, 126 lotes a fraccionarse </w:t>
      </w:r>
      <w:r w:rsidRPr="00B82F65">
        <w:rPr>
          <w:b w:val="0"/>
          <w:sz w:val="22"/>
          <w:szCs w:val="22"/>
        </w:rPr>
        <w:t xml:space="preserve">y </w:t>
      </w:r>
      <w:r w:rsidR="00CB4844" w:rsidRPr="00B82F65">
        <w:rPr>
          <w:b w:val="0"/>
          <w:sz w:val="22"/>
          <w:szCs w:val="22"/>
        </w:rPr>
        <w:t xml:space="preserve">504 </w:t>
      </w:r>
      <w:r w:rsidRPr="00B82F65">
        <w:rPr>
          <w:b w:val="0"/>
          <w:sz w:val="22"/>
          <w:szCs w:val="22"/>
        </w:rPr>
        <w:t>beneficiarios.</w:t>
      </w:r>
    </w:p>
    <w:p w14:paraId="5B5CC791" w14:textId="67A8CD0F" w:rsidR="008235B8" w:rsidRPr="00B82F65" w:rsidRDefault="00CB4844" w:rsidP="00965D60">
      <w:pPr>
        <w:spacing w:after="240" w:line="276" w:lineRule="auto"/>
        <w:jc w:val="both"/>
        <w:rPr>
          <w:b/>
          <w:sz w:val="22"/>
          <w:szCs w:val="22"/>
        </w:rPr>
      </w:pPr>
      <w:r w:rsidRPr="00B82F65">
        <w:rPr>
          <w:sz w:val="22"/>
          <w:szCs w:val="22"/>
        </w:rPr>
        <w:t>Dicho Asentamiento Humano de Hecho y Consolidado de Interés Social fue reconocido mediante Ordenanza No. 0473</w:t>
      </w:r>
      <w:r w:rsidR="00015353" w:rsidRPr="00B82F65">
        <w:rPr>
          <w:sz w:val="22"/>
          <w:szCs w:val="22"/>
        </w:rPr>
        <w:t xml:space="preserve">, </w:t>
      </w:r>
      <w:r w:rsidRPr="00B82F65">
        <w:rPr>
          <w:sz w:val="22"/>
          <w:szCs w:val="22"/>
        </w:rPr>
        <w:t>sancio</w:t>
      </w:r>
      <w:r w:rsidR="00ED38ED" w:rsidRPr="00B82F65">
        <w:rPr>
          <w:sz w:val="22"/>
          <w:szCs w:val="22"/>
        </w:rPr>
        <w:t>nada el 26 de diciembre de 2013, con</w:t>
      </w:r>
      <w:r w:rsidRPr="00B82F65">
        <w:rPr>
          <w:sz w:val="22"/>
          <w:szCs w:val="22"/>
        </w:rPr>
        <w:t xml:space="preserve"> FE DE ERRATAS No. 0473, </w:t>
      </w:r>
      <w:r w:rsidR="00ED38ED" w:rsidRPr="00B82F65">
        <w:rPr>
          <w:sz w:val="22"/>
          <w:szCs w:val="22"/>
        </w:rPr>
        <w:t>del</w:t>
      </w:r>
      <w:r w:rsidRPr="00B82F65">
        <w:rPr>
          <w:sz w:val="22"/>
          <w:szCs w:val="22"/>
        </w:rPr>
        <w:t xml:space="preserve"> 25 de febrero de 2014</w:t>
      </w:r>
      <w:r w:rsidR="00015353" w:rsidRPr="00B82F65">
        <w:rPr>
          <w:sz w:val="22"/>
          <w:szCs w:val="22"/>
        </w:rPr>
        <w:t xml:space="preserve">, </w:t>
      </w:r>
      <w:r w:rsidR="00ED38ED" w:rsidRPr="00B82F65">
        <w:rPr>
          <w:sz w:val="22"/>
          <w:szCs w:val="22"/>
        </w:rPr>
        <w:t xml:space="preserve">último instrumento normativo emitido </w:t>
      </w:r>
      <w:r w:rsidR="00AB5849" w:rsidRPr="00B82F65">
        <w:rPr>
          <w:sz w:val="22"/>
          <w:szCs w:val="22"/>
        </w:rPr>
        <w:t xml:space="preserve">en razón de que en </w:t>
      </w:r>
      <w:r w:rsidR="00015353" w:rsidRPr="00B82F65">
        <w:rPr>
          <w:sz w:val="22"/>
          <w:szCs w:val="22"/>
        </w:rPr>
        <w:t xml:space="preserve">el tercer y segundo incisos de los artículos 2 y </w:t>
      </w:r>
      <w:r w:rsidR="00A86854" w:rsidRPr="00B82F65">
        <w:rPr>
          <w:sz w:val="22"/>
          <w:szCs w:val="22"/>
        </w:rPr>
        <w:t xml:space="preserve">3, de la </w:t>
      </w:r>
      <w:r w:rsidR="00AB5849" w:rsidRPr="00B82F65">
        <w:rPr>
          <w:sz w:val="22"/>
          <w:szCs w:val="22"/>
        </w:rPr>
        <w:t>O</w:t>
      </w:r>
      <w:r w:rsidR="00A86854" w:rsidRPr="00B82F65">
        <w:rPr>
          <w:sz w:val="22"/>
          <w:szCs w:val="22"/>
        </w:rPr>
        <w:t>rdenanza No. 0</w:t>
      </w:r>
      <w:r w:rsidR="00AB5849" w:rsidRPr="00B82F65">
        <w:rPr>
          <w:sz w:val="22"/>
          <w:szCs w:val="22"/>
        </w:rPr>
        <w:t>473</w:t>
      </w:r>
      <w:r w:rsidR="00A86854" w:rsidRPr="00B82F65">
        <w:rPr>
          <w:sz w:val="22"/>
          <w:szCs w:val="22"/>
        </w:rPr>
        <w:t xml:space="preserve"> </w:t>
      </w:r>
      <w:r w:rsidR="00AB5849" w:rsidRPr="00B82F65">
        <w:rPr>
          <w:sz w:val="22"/>
          <w:szCs w:val="22"/>
        </w:rPr>
        <w:t xml:space="preserve">respectivamente, </w:t>
      </w:r>
      <w:r w:rsidR="00A86854" w:rsidRPr="00B82F65">
        <w:rPr>
          <w:sz w:val="22"/>
          <w:szCs w:val="22"/>
        </w:rPr>
        <w:t>en la enumeración de lotes se dispone que se elimine el lote No. 26</w:t>
      </w:r>
      <w:r w:rsidR="00AB5849" w:rsidRPr="00B82F65">
        <w:rPr>
          <w:sz w:val="22"/>
          <w:szCs w:val="22"/>
        </w:rPr>
        <w:t xml:space="preserve"> por cuanto no se encontraba enmarcado dentro de las condiciones determinadas en los artículos citados</w:t>
      </w:r>
      <w:r w:rsidR="00ED38ED" w:rsidRPr="00B82F65">
        <w:rPr>
          <w:sz w:val="22"/>
          <w:szCs w:val="22"/>
        </w:rPr>
        <w:t xml:space="preserve">; </w:t>
      </w:r>
      <w:r w:rsidR="00AB5849" w:rsidRPr="00B82F65">
        <w:rPr>
          <w:sz w:val="22"/>
          <w:szCs w:val="22"/>
        </w:rPr>
        <w:t xml:space="preserve">además de </w:t>
      </w:r>
      <w:r w:rsidRPr="00B82F65">
        <w:rPr>
          <w:sz w:val="22"/>
          <w:szCs w:val="22"/>
        </w:rPr>
        <w:t xml:space="preserve">que </w:t>
      </w:r>
      <w:r w:rsidR="00AB5849" w:rsidRPr="00B82F65">
        <w:rPr>
          <w:sz w:val="22"/>
          <w:szCs w:val="22"/>
        </w:rPr>
        <w:t xml:space="preserve">se detectaron </w:t>
      </w:r>
      <w:r w:rsidRPr="00B82F65">
        <w:rPr>
          <w:sz w:val="22"/>
          <w:szCs w:val="22"/>
        </w:rPr>
        <w:t>errores técnicos de cabida en uno de los macrolotes del Asentamiento Humano</w:t>
      </w:r>
      <w:r w:rsidR="009B0D1A" w:rsidRPr="00B82F65">
        <w:rPr>
          <w:sz w:val="22"/>
          <w:szCs w:val="22"/>
        </w:rPr>
        <w:t xml:space="preserve"> y, al proponerse la inclusión de </w:t>
      </w:r>
      <w:r w:rsidR="00EC6510" w:rsidRPr="00B82F65">
        <w:rPr>
          <w:sz w:val="22"/>
          <w:szCs w:val="22"/>
        </w:rPr>
        <w:t xml:space="preserve">nuevos artículos que contienen disposiciones legales vigentes que van en beneficio de la comunidad, </w:t>
      </w:r>
      <w:r w:rsidR="001A7A12" w:rsidRPr="00B82F65">
        <w:rPr>
          <w:sz w:val="22"/>
          <w:szCs w:val="22"/>
        </w:rPr>
        <w:t>la</w:t>
      </w:r>
      <w:r w:rsidR="00B52C4F" w:rsidRPr="00B82F65">
        <w:rPr>
          <w:sz w:val="22"/>
          <w:szCs w:val="22"/>
        </w:rPr>
        <w:t xml:space="preserve"> Unidad Especial </w:t>
      </w:r>
      <w:r w:rsidR="002B6D23" w:rsidRPr="00B82F65">
        <w:rPr>
          <w:sz w:val="22"/>
          <w:szCs w:val="22"/>
        </w:rPr>
        <w:t>“</w:t>
      </w:r>
      <w:r w:rsidR="00B52C4F" w:rsidRPr="00B82F65">
        <w:rPr>
          <w:sz w:val="22"/>
          <w:szCs w:val="22"/>
        </w:rPr>
        <w:t>Regula Tu Barrio</w:t>
      </w:r>
      <w:r w:rsidR="002B6D23" w:rsidRPr="00B82F65">
        <w:rPr>
          <w:sz w:val="22"/>
          <w:szCs w:val="22"/>
        </w:rPr>
        <w:t>”</w:t>
      </w:r>
      <w:r w:rsidR="00B52C4F" w:rsidRPr="00B82F65">
        <w:rPr>
          <w:sz w:val="22"/>
          <w:szCs w:val="22"/>
        </w:rPr>
        <w:t xml:space="preserve"> </w:t>
      </w:r>
      <w:r w:rsidR="00EC6510" w:rsidRPr="00B82F65">
        <w:rPr>
          <w:sz w:val="22"/>
          <w:szCs w:val="22"/>
        </w:rPr>
        <w:t xml:space="preserve">gestionó </w:t>
      </w:r>
      <w:r w:rsidR="00B52C4F" w:rsidRPr="00B82F65">
        <w:rPr>
          <w:sz w:val="22"/>
          <w:szCs w:val="22"/>
        </w:rPr>
        <w:t xml:space="preserve">el proceso tendiente a </w:t>
      </w:r>
      <w:r w:rsidR="00ED38ED" w:rsidRPr="00B82F65">
        <w:rPr>
          <w:sz w:val="22"/>
          <w:szCs w:val="22"/>
        </w:rPr>
        <w:t xml:space="preserve">sustituir </w:t>
      </w:r>
      <w:r w:rsidR="009B0D1A" w:rsidRPr="00B82F65">
        <w:rPr>
          <w:sz w:val="22"/>
          <w:szCs w:val="22"/>
        </w:rPr>
        <w:t>la</w:t>
      </w:r>
      <w:r w:rsidR="00B52C4F" w:rsidRPr="00B82F65">
        <w:rPr>
          <w:sz w:val="22"/>
          <w:szCs w:val="22"/>
        </w:rPr>
        <w:t xml:space="preserve"> Ordenanza</w:t>
      </w:r>
      <w:r w:rsidR="009B0D1A" w:rsidRPr="00B82F65">
        <w:rPr>
          <w:sz w:val="22"/>
          <w:szCs w:val="22"/>
        </w:rPr>
        <w:t xml:space="preserve"> No. </w:t>
      </w:r>
      <w:r w:rsidRPr="00B82F65">
        <w:rPr>
          <w:sz w:val="22"/>
          <w:szCs w:val="22"/>
        </w:rPr>
        <w:t>0473</w:t>
      </w:r>
      <w:r w:rsidR="009B0D1A" w:rsidRPr="00B82F65">
        <w:rPr>
          <w:sz w:val="22"/>
          <w:szCs w:val="22"/>
        </w:rPr>
        <w:t xml:space="preserve">, sancionada el </w:t>
      </w:r>
      <w:r w:rsidRPr="00B82F65">
        <w:rPr>
          <w:sz w:val="22"/>
          <w:szCs w:val="22"/>
        </w:rPr>
        <w:t>26</w:t>
      </w:r>
      <w:r w:rsidR="009B0D1A" w:rsidRPr="00B82F65">
        <w:rPr>
          <w:sz w:val="22"/>
          <w:szCs w:val="22"/>
        </w:rPr>
        <w:t xml:space="preserve"> de </w:t>
      </w:r>
      <w:r w:rsidRPr="00B82F65">
        <w:rPr>
          <w:sz w:val="22"/>
          <w:szCs w:val="22"/>
        </w:rPr>
        <w:t>diciembre</w:t>
      </w:r>
      <w:r w:rsidR="009B0D1A" w:rsidRPr="00B82F65">
        <w:rPr>
          <w:sz w:val="22"/>
          <w:szCs w:val="22"/>
        </w:rPr>
        <w:t xml:space="preserve"> de 2013</w:t>
      </w:r>
      <w:r w:rsidR="00B52C4F" w:rsidRPr="00B82F65">
        <w:rPr>
          <w:sz w:val="22"/>
          <w:szCs w:val="22"/>
        </w:rPr>
        <w:t xml:space="preserve">, </w:t>
      </w:r>
      <w:r w:rsidR="008235B8" w:rsidRPr="00B82F65">
        <w:rPr>
          <w:sz w:val="22"/>
          <w:szCs w:val="22"/>
        </w:rPr>
        <w:t>a fin de dotar a la población beneficiaria de servicios básicos</w:t>
      </w:r>
      <w:r w:rsidR="009B0D1A" w:rsidRPr="00B82F65">
        <w:rPr>
          <w:sz w:val="22"/>
          <w:szCs w:val="22"/>
        </w:rPr>
        <w:t>; así como</w:t>
      </w:r>
      <w:r w:rsidR="008235B8" w:rsidRPr="00B82F65">
        <w:rPr>
          <w:sz w:val="22"/>
          <w:szCs w:val="22"/>
        </w:rPr>
        <w:t xml:space="preserve"> permitir que los legítimos propietarios cuenten con el título de dominio que garanticen su propiedad y el ejercicio del derecho a la vivienda, adecuada y digna, conforme lo prevé la Constitución del Ecuador.</w:t>
      </w:r>
    </w:p>
    <w:p w14:paraId="1160D9AC" w14:textId="0592CC06" w:rsidR="00B52C4F" w:rsidRPr="00B82F65" w:rsidRDefault="00EC6510" w:rsidP="00965D60">
      <w:pPr>
        <w:spacing w:after="240" w:line="276" w:lineRule="auto"/>
        <w:jc w:val="both"/>
        <w:rPr>
          <w:sz w:val="22"/>
          <w:szCs w:val="22"/>
        </w:rPr>
      </w:pPr>
      <w:r w:rsidRPr="00B82F65">
        <w:rPr>
          <w:sz w:val="22"/>
          <w:szCs w:val="22"/>
        </w:rPr>
        <w:t>En este sentido, la presente ordenanza contiene la normativa tendiente al fraccionamiento del predio sobre el que se encuentra el Asentamiento Humano de Hecho y Consolidado de Interés Social denominado</w:t>
      </w:r>
      <w:r w:rsidR="00B52C4F" w:rsidRPr="00B82F65">
        <w:rPr>
          <w:sz w:val="22"/>
          <w:szCs w:val="22"/>
        </w:rPr>
        <w:t xml:space="preserve"> </w:t>
      </w:r>
      <w:r w:rsidR="00CB4844" w:rsidRPr="00B82F65">
        <w:rPr>
          <w:sz w:val="22"/>
          <w:szCs w:val="22"/>
        </w:rPr>
        <w:t>Comité Pro-Mejoras del Barrio “18 de Septiembre”</w:t>
      </w:r>
      <w:r w:rsidR="003B274D" w:rsidRPr="00B82F65">
        <w:rPr>
          <w:sz w:val="22"/>
          <w:szCs w:val="22"/>
        </w:rPr>
        <w:t xml:space="preserve"> ubicado en las parroquias San Isidro del Inca y Llano Chico</w:t>
      </w:r>
      <w:r w:rsidRPr="00B82F65">
        <w:rPr>
          <w:sz w:val="22"/>
          <w:szCs w:val="22"/>
        </w:rPr>
        <w:t>, a fin de garantizar a los beneficiarios el ejercicio de su derecho a la vivienda y el acceso a servicios básicos de calidad.</w:t>
      </w:r>
    </w:p>
    <w:p w14:paraId="4B8B66B6" w14:textId="77777777" w:rsidR="009F4A97" w:rsidRPr="00B82F65" w:rsidRDefault="009F4A97" w:rsidP="005C24F4">
      <w:pPr>
        <w:pStyle w:val="Ttulo"/>
        <w:spacing w:after="240" w:line="276" w:lineRule="auto"/>
        <w:ind w:firstLine="708"/>
        <w:jc w:val="both"/>
        <w:rPr>
          <w:b w:val="0"/>
          <w:sz w:val="22"/>
          <w:szCs w:val="22"/>
        </w:rPr>
      </w:pPr>
    </w:p>
    <w:p w14:paraId="3DF03C0B" w14:textId="77777777" w:rsidR="009F4A97" w:rsidRPr="00B82F65" w:rsidRDefault="009F4A97" w:rsidP="005C24F4">
      <w:pPr>
        <w:pStyle w:val="Ttulo"/>
        <w:spacing w:after="240" w:line="276" w:lineRule="auto"/>
        <w:ind w:firstLine="708"/>
        <w:jc w:val="both"/>
        <w:rPr>
          <w:b w:val="0"/>
          <w:sz w:val="22"/>
          <w:szCs w:val="22"/>
        </w:rPr>
      </w:pPr>
    </w:p>
    <w:p w14:paraId="59295FDB" w14:textId="77777777" w:rsidR="00AE6CBB" w:rsidRPr="00B82F65" w:rsidRDefault="00AE6CBB" w:rsidP="00AE6CBB">
      <w:pPr>
        <w:spacing w:after="240" w:line="276" w:lineRule="auto"/>
        <w:jc w:val="center"/>
        <w:rPr>
          <w:b/>
          <w:bCs/>
          <w:sz w:val="22"/>
          <w:szCs w:val="22"/>
        </w:rPr>
      </w:pPr>
      <w:r w:rsidRPr="00B82F65">
        <w:rPr>
          <w:b/>
          <w:bCs/>
          <w:sz w:val="22"/>
          <w:szCs w:val="22"/>
        </w:rPr>
        <w:lastRenderedPageBreak/>
        <w:t>EL CONCEJO METROPOLITANO DE QUITO</w:t>
      </w:r>
    </w:p>
    <w:p w14:paraId="234F2F4D" w14:textId="21138A3D" w:rsidR="00AE6CBB" w:rsidRPr="00B82F65" w:rsidRDefault="00AE6CBB" w:rsidP="00AE6CBB">
      <w:pPr>
        <w:spacing w:after="240" w:line="276" w:lineRule="auto"/>
        <w:jc w:val="both"/>
        <w:rPr>
          <w:sz w:val="22"/>
          <w:szCs w:val="22"/>
        </w:rPr>
      </w:pPr>
      <w:r w:rsidRPr="00B82F65">
        <w:rPr>
          <w:sz w:val="22"/>
          <w:szCs w:val="22"/>
        </w:rPr>
        <w:t>Visto</w:t>
      </w:r>
      <w:r w:rsidR="004654E8" w:rsidRPr="00B82F65">
        <w:rPr>
          <w:sz w:val="22"/>
          <w:szCs w:val="22"/>
        </w:rPr>
        <w:t xml:space="preserve"> el</w:t>
      </w:r>
      <w:r w:rsidRPr="00B82F65">
        <w:rPr>
          <w:sz w:val="22"/>
          <w:szCs w:val="22"/>
        </w:rPr>
        <w:t xml:space="preserve"> Informe No</w:t>
      </w:r>
      <w:r w:rsidR="004654E8" w:rsidRPr="00B82F65">
        <w:rPr>
          <w:sz w:val="22"/>
          <w:szCs w:val="22"/>
        </w:rPr>
        <w:t xml:space="preserve"> </w:t>
      </w:r>
      <w:r w:rsidRPr="00B82F65">
        <w:rPr>
          <w:sz w:val="22"/>
          <w:szCs w:val="22"/>
        </w:rPr>
        <w:t>……………………………………….., expedido por la Comisión de Ordenamiento Territorial.</w:t>
      </w:r>
    </w:p>
    <w:p w14:paraId="342587D6" w14:textId="77777777" w:rsidR="00EC6510" w:rsidRPr="00B82F65" w:rsidRDefault="00EC6510" w:rsidP="00EC6510">
      <w:pPr>
        <w:spacing w:after="240" w:line="276" w:lineRule="auto"/>
        <w:jc w:val="center"/>
        <w:rPr>
          <w:b/>
          <w:sz w:val="22"/>
          <w:szCs w:val="22"/>
        </w:rPr>
      </w:pPr>
      <w:r w:rsidRPr="00B82F65">
        <w:rPr>
          <w:b/>
          <w:sz w:val="22"/>
          <w:szCs w:val="22"/>
        </w:rPr>
        <w:t>CONSIDERANDO:</w:t>
      </w:r>
    </w:p>
    <w:p w14:paraId="1ED8FD07" w14:textId="77777777" w:rsidR="00EC6510" w:rsidRPr="00B82F65" w:rsidRDefault="00EC6510" w:rsidP="00EC6510">
      <w:pPr>
        <w:pStyle w:val="Sinespaciado"/>
        <w:spacing w:after="240" w:line="276" w:lineRule="auto"/>
        <w:ind w:left="709" w:hanging="709"/>
        <w:jc w:val="both"/>
        <w:rPr>
          <w:rFonts w:ascii="Times New Roman" w:hAnsi="Times New Roman"/>
        </w:rPr>
      </w:pPr>
      <w:r w:rsidRPr="00B82F65">
        <w:rPr>
          <w:rFonts w:ascii="Times New Roman" w:hAnsi="Times New Roman"/>
          <w:b/>
        </w:rPr>
        <w:t xml:space="preserve">Que, </w:t>
      </w:r>
      <w:r w:rsidRPr="00B82F65">
        <w:rPr>
          <w:rFonts w:ascii="Times New Roman" w:hAnsi="Times New Roman"/>
          <w:b/>
        </w:rPr>
        <w:tab/>
      </w:r>
      <w:r w:rsidRPr="00B82F65">
        <w:rPr>
          <w:rFonts w:ascii="Times New Roman" w:hAnsi="Times New Roman"/>
        </w:rPr>
        <w:t>el artículo 30 de la Constitución de la República del Ecuador (en adelante “Constitución”) establece que: “</w:t>
      </w:r>
      <w:r w:rsidRPr="00B82F65">
        <w:rPr>
          <w:rFonts w:ascii="Times New Roman" w:hAnsi="Times New Roman"/>
          <w:i/>
        </w:rPr>
        <w:t>Las personas tienen derecho a un hábitat seguro y saludable, y a una vivienda adecuada y digna, con independencia de su situación social y económica.</w:t>
      </w:r>
      <w:r w:rsidRPr="00B82F65">
        <w:rPr>
          <w:rFonts w:ascii="Times New Roman" w:hAnsi="Times New Roman"/>
        </w:rPr>
        <w:t>”;</w:t>
      </w:r>
    </w:p>
    <w:p w14:paraId="056FB8AF" w14:textId="77777777" w:rsidR="00EC6510" w:rsidRPr="00B82F65" w:rsidRDefault="00EC6510" w:rsidP="00EC6510">
      <w:pPr>
        <w:pStyle w:val="Sinespaciado"/>
        <w:spacing w:after="240" w:line="276" w:lineRule="auto"/>
        <w:ind w:left="709" w:hanging="709"/>
        <w:jc w:val="both"/>
        <w:rPr>
          <w:rFonts w:ascii="Times New Roman" w:hAnsi="Times New Roman"/>
          <w:bCs/>
        </w:rPr>
      </w:pPr>
      <w:r w:rsidRPr="00B82F65">
        <w:rPr>
          <w:rFonts w:ascii="Times New Roman" w:hAnsi="Times New Roman"/>
          <w:b/>
          <w:bCs/>
        </w:rPr>
        <w:t>Que,</w:t>
      </w:r>
      <w:r w:rsidRPr="00B82F65">
        <w:rPr>
          <w:rFonts w:ascii="Times New Roman" w:hAnsi="Times New Roman"/>
          <w:b/>
          <w:bCs/>
        </w:rPr>
        <w:tab/>
      </w:r>
      <w:r w:rsidRPr="00B82F65">
        <w:rPr>
          <w:rFonts w:ascii="Times New Roman" w:hAnsi="Times New Roman"/>
          <w:bCs/>
        </w:rPr>
        <w:t>el artículo 31 de la Constitución expresa que: “</w:t>
      </w:r>
      <w:r w:rsidRPr="00B82F6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82F65">
        <w:rPr>
          <w:rFonts w:ascii="Times New Roman" w:hAnsi="Times New Roman"/>
          <w:bCs/>
        </w:rPr>
        <w:t xml:space="preserve">”; </w:t>
      </w:r>
    </w:p>
    <w:p w14:paraId="2A0CBB76" w14:textId="77777777" w:rsidR="00EC6510" w:rsidRPr="00B82F65" w:rsidRDefault="00EC6510" w:rsidP="00EC6510">
      <w:pPr>
        <w:pStyle w:val="Sinespaciado"/>
        <w:spacing w:after="240" w:line="276" w:lineRule="auto"/>
        <w:ind w:left="709" w:hanging="709"/>
        <w:jc w:val="both"/>
        <w:rPr>
          <w:rFonts w:ascii="Times New Roman" w:hAnsi="Times New Roman"/>
        </w:rPr>
      </w:pPr>
      <w:r w:rsidRPr="00B82F65">
        <w:rPr>
          <w:rFonts w:ascii="Times New Roman" w:hAnsi="Times New Roman"/>
          <w:b/>
          <w:bCs/>
        </w:rPr>
        <w:t>Que,</w:t>
      </w:r>
      <w:r w:rsidRPr="00B82F65">
        <w:rPr>
          <w:rFonts w:ascii="Times New Roman" w:hAnsi="Times New Roman"/>
          <w:b/>
          <w:bCs/>
        </w:rPr>
        <w:tab/>
      </w:r>
      <w:r w:rsidRPr="00B82F65">
        <w:rPr>
          <w:rFonts w:ascii="Times New Roman" w:hAnsi="Times New Roman"/>
        </w:rPr>
        <w:t>el artículo 240 de la Constitución establece que: “</w:t>
      </w:r>
      <w:r w:rsidRPr="00B82F6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B82F65">
        <w:rPr>
          <w:rFonts w:ascii="Times New Roman" w:hAnsi="Times New Roman"/>
        </w:rPr>
        <w:t>”;</w:t>
      </w:r>
    </w:p>
    <w:p w14:paraId="458065F3" w14:textId="77777777" w:rsidR="00EC6510" w:rsidRPr="00B82F65" w:rsidRDefault="00EC6510" w:rsidP="00EC6510">
      <w:pPr>
        <w:pStyle w:val="Sinespaciado"/>
        <w:spacing w:after="240" w:line="276" w:lineRule="auto"/>
        <w:ind w:left="709" w:hanging="709"/>
        <w:jc w:val="both"/>
        <w:rPr>
          <w:rFonts w:ascii="Times New Roman" w:hAnsi="Times New Roman"/>
          <w:i/>
        </w:rPr>
      </w:pPr>
      <w:r w:rsidRPr="00B82F65">
        <w:rPr>
          <w:rFonts w:ascii="Times New Roman" w:hAnsi="Times New Roman"/>
          <w:b/>
          <w:bCs/>
        </w:rPr>
        <w:t>Que,</w:t>
      </w:r>
      <w:r w:rsidRPr="00B82F65">
        <w:rPr>
          <w:rFonts w:ascii="Times New Roman" w:hAnsi="Times New Roman"/>
          <w:b/>
          <w:bCs/>
        </w:rPr>
        <w:tab/>
      </w:r>
      <w:r w:rsidRPr="00B82F65">
        <w:rPr>
          <w:rFonts w:ascii="Times New Roman" w:hAnsi="Times New Roman"/>
        </w:rPr>
        <w:t>el artículo 266 de la Constitución establece que: “</w:t>
      </w:r>
      <w:r w:rsidRPr="00B82F6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9D3EB13" w14:textId="77777777" w:rsidR="00EC6510" w:rsidRPr="00B82F65" w:rsidRDefault="00EC6510" w:rsidP="00EC6510">
      <w:pPr>
        <w:pStyle w:val="Sinespaciado"/>
        <w:spacing w:after="240" w:line="276" w:lineRule="auto"/>
        <w:ind w:left="709" w:hanging="709"/>
        <w:jc w:val="both"/>
        <w:rPr>
          <w:rFonts w:ascii="Times New Roman" w:hAnsi="Times New Roman"/>
          <w:i/>
        </w:rPr>
      </w:pPr>
      <w:r w:rsidRPr="00B82F65">
        <w:rPr>
          <w:rFonts w:ascii="Times New Roman" w:hAnsi="Times New Roman"/>
          <w:i/>
        </w:rPr>
        <w:t xml:space="preserve">            En el ámbito de sus competencias y territorio, y en uso de sus facultades, expedirán ordenanzas distritales.”</w:t>
      </w:r>
    </w:p>
    <w:p w14:paraId="01EE22E7" w14:textId="77777777" w:rsidR="00EC6510" w:rsidRPr="00B82F65" w:rsidRDefault="00EC6510" w:rsidP="00EC6510">
      <w:pPr>
        <w:pStyle w:val="Sinespaciado"/>
        <w:spacing w:after="240" w:line="276" w:lineRule="auto"/>
        <w:ind w:left="709" w:hanging="709"/>
        <w:jc w:val="both"/>
        <w:rPr>
          <w:rFonts w:ascii="Times New Roman" w:hAnsi="Times New Roman"/>
          <w:i/>
        </w:rPr>
      </w:pPr>
      <w:r w:rsidRPr="00B82F65">
        <w:rPr>
          <w:rFonts w:ascii="Times New Roman" w:hAnsi="Times New Roman"/>
          <w:b/>
          <w:bCs/>
        </w:rPr>
        <w:t>Que,</w:t>
      </w:r>
      <w:r w:rsidRPr="00B82F65">
        <w:rPr>
          <w:rFonts w:ascii="Times New Roman" w:hAnsi="Times New Roman"/>
        </w:rPr>
        <w:tab/>
      </w:r>
      <w:r w:rsidRPr="00B82F6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B82F65">
        <w:rPr>
          <w:rFonts w:ascii="Times New Roman" w:hAnsi="Times New Roman"/>
          <w:bCs/>
          <w:i/>
        </w:rPr>
        <w:t>“</w:t>
      </w:r>
      <w:r w:rsidRPr="00B82F65">
        <w:rPr>
          <w:rFonts w:ascii="Times New Roman" w:hAnsi="Times New Roman"/>
          <w:b/>
          <w:i/>
        </w:rPr>
        <w:t>c)</w:t>
      </w:r>
      <w:r w:rsidRPr="00B82F6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7BDBA15" w14:textId="05AAF79E" w:rsidR="00EC6510" w:rsidRPr="00B82F65" w:rsidRDefault="00EC6510" w:rsidP="00EC6510">
      <w:pPr>
        <w:pStyle w:val="Sinespaciado"/>
        <w:spacing w:after="240" w:line="276" w:lineRule="auto"/>
        <w:ind w:left="709" w:hanging="709"/>
        <w:jc w:val="both"/>
        <w:rPr>
          <w:rFonts w:ascii="Times New Roman" w:hAnsi="Times New Roman"/>
        </w:rPr>
      </w:pPr>
      <w:r w:rsidRPr="00B82F65">
        <w:rPr>
          <w:rFonts w:ascii="Times New Roman" w:hAnsi="Times New Roman"/>
          <w:b/>
          <w:bCs/>
        </w:rPr>
        <w:t>Que,</w:t>
      </w:r>
      <w:r w:rsidRPr="00B82F65">
        <w:rPr>
          <w:rFonts w:ascii="Times New Roman" w:hAnsi="Times New Roman"/>
          <w:b/>
          <w:bCs/>
        </w:rPr>
        <w:tab/>
      </w:r>
      <w:r w:rsidRPr="00B82F65">
        <w:rPr>
          <w:rFonts w:ascii="Times New Roman" w:hAnsi="Times New Roman"/>
          <w:bCs/>
        </w:rPr>
        <w:t>los literales a), y x)</w:t>
      </w:r>
      <w:r w:rsidR="004654E8" w:rsidRPr="00B82F65">
        <w:rPr>
          <w:rFonts w:ascii="Times New Roman" w:hAnsi="Times New Roman"/>
          <w:bCs/>
        </w:rPr>
        <w:t xml:space="preserve"> </w:t>
      </w:r>
      <w:r w:rsidRPr="00B82F65">
        <w:rPr>
          <w:rFonts w:ascii="Times New Roman" w:hAnsi="Times New Roman"/>
          <w:bCs/>
        </w:rPr>
        <w:t>d</w:t>
      </w:r>
      <w:r w:rsidRPr="00B82F65">
        <w:rPr>
          <w:rFonts w:ascii="Times New Roman" w:hAnsi="Times New Roman"/>
        </w:rPr>
        <w:t xml:space="preserve">el artículo 87 del COOTAD, establece que las funciones del Concejo Metropolitano, entre otras, son: </w:t>
      </w:r>
      <w:r w:rsidRPr="00B82F65">
        <w:rPr>
          <w:rFonts w:ascii="Times New Roman" w:hAnsi="Times New Roman"/>
          <w:i/>
          <w:iCs/>
        </w:rPr>
        <w:t>“</w:t>
      </w:r>
      <w:r w:rsidRPr="00B82F6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B82F65">
        <w:rPr>
          <w:rFonts w:ascii="Times New Roman" w:hAnsi="Times New Roman"/>
          <w:i/>
          <w:iCs/>
        </w:rPr>
        <w:t xml:space="preserve"> (…) x) </w:t>
      </w:r>
      <w:r w:rsidRPr="00B82F65">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B82F65">
        <w:rPr>
          <w:rFonts w:ascii="Times New Roman" w:hAnsi="Times New Roman"/>
          <w:i/>
          <w:iCs/>
        </w:rPr>
        <w:t xml:space="preserve">;  </w:t>
      </w:r>
    </w:p>
    <w:p w14:paraId="34987A05" w14:textId="77777777" w:rsidR="00EC6510" w:rsidRPr="00B82F65" w:rsidRDefault="00EC6510" w:rsidP="00EC6510">
      <w:pPr>
        <w:pStyle w:val="Sinespaciado"/>
        <w:spacing w:after="240" w:line="276" w:lineRule="auto"/>
        <w:ind w:left="709" w:hanging="709"/>
        <w:jc w:val="both"/>
        <w:rPr>
          <w:rFonts w:ascii="Times New Roman" w:hAnsi="Times New Roman"/>
        </w:rPr>
      </w:pPr>
      <w:r w:rsidRPr="00B82F65">
        <w:rPr>
          <w:rFonts w:ascii="Times New Roman" w:hAnsi="Times New Roman"/>
          <w:b/>
          <w:bCs/>
        </w:rPr>
        <w:t xml:space="preserve">Que,  </w:t>
      </w:r>
      <w:r w:rsidRPr="00B82F65">
        <w:rPr>
          <w:rFonts w:ascii="Times New Roman" w:hAnsi="Times New Roman"/>
        </w:rPr>
        <w:t>el artículo 322 del COOTAD establece el procedimiento para la aprobación de las ordenanzas municipales;</w:t>
      </w:r>
    </w:p>
    <w:p w14:paraId="588DD9BF" w14:textId="77777777" w:rsidR="00EC6510" w:rsidRPr="00B82F65" w:rsidRDefault="00EC6510" w:rsidP="00EC6510">
      <w:pPr>
        <w:pStyle w:val="Sinespaciado"/>
        <w:spacing w:after="240" w:line="276" w:lineRule="auto"/>
        <w:ind w:left="709" w:hanging="709"/>
        <w:jc w:val="both"/>
        <w:rPr>
          <w:rFonts w:ascii="Times New Roman" w:hAnsi="Times New Roman"/>
          <w:bCs/>
        </w:rPr>
      </w:pPr>
      <w:r w:rsidRPr="00B82F65">
        <w:rPr>
          <w:rFonts w:ascii="Times New Roman" w:hAnsi="Times New Roman"/>
          <w:b/>
          <w:bCs/>
        </w:rPr>
        <w:t xml:space="preserve">Que,    </w:t>
      </w:r>
      <w:r w:rsidRPr="00B82F65">
        <w:rPr>
          <w:rFonts w:ascii="Times New Roman" w:hAnsi="Times New Roman"/>
          <w:bCs/>
        </w:rPr>
        <w:t>el artículo 486 del COOTAD reformado establece que: “</w:t>
      </w:r>
      <w:r w:rsidRPr="00B82F65">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82F65">
        <w:rPr>
          <w:rFonts w:ascii="Times New Roman" w:hAnsi="Times New Roman"/>
          <w:bCs/>
          <w:lang w:val="es-ES_tradnl"/>
        </w:rPr>
        <w:t>”</w:t>
      </w:r>
      <w:r w:rsidRPr="00B82F65">
        <w:rPr>
          <w:rFonts w:ascii="Times New Roman" w:hAnsi="Times New Roman"/>
          <w:bCs/>
        </w:rPr>
        <w:t>;</w:t>
      </w:r>
    </w:p>
    <w:p w14:paraId="7F143C7D" w14:textId="5F70593A" w:rsidR="00ED38ED" w:rsidRPr="00B82F65" w:rsidRDefault="00ED38ED" w:rsidP="00EC6510">
      <w:pPr>
        <w:pStyle w:val="Sinespaciado"/>
        <w:spacing w:after="240" w:line="276" w:lineRule="auto"/>
        <w:ind w:left="709" w:hanging="709"/>
        <w:jc w:val="both"/>
        <w:rPr>
          <w:rFonts w:ascii="Times New Roman" w:hAnsi="Times New Roman"/>
          <w:b/>
          <w:bCs/>
        </w:rPr>
      </w:pPr>
      <w:r w:rsidRPr="00B82F65">
        <w:rPr>
          <w:rFonts w:ascii="Times New Roman" w:hAnsi="Times New Roman"/>
          <w:b/>
          <w:bCs/>
        </w:rPr>
        <w:t>Que,</w:t>
      </w:r>
      <w:r w:rsidRPr="00B82F65">
        <w:rPr>
          <w:rFonts w:ascii="Times New Roman" w:hAnsi="Times New Roman"/>
          <w:b/>
          <w:bCs/>
        </w:rPr>
        <w:tab/>
      </w:r>
      <w:r w:rsidRPr="00B82F65">
        <w:rPr>
          <w:rFonts w:ascii="Times New Roman" w:hAnsi="Times New Roman"/>
          <w:bCs/>
        </w:rPr>
        <w:t xml:space="preserve">la Disposición Transitoria Décima Cuarta del COOTAD, señala: </w:t>
      </w:r>
      <w:r w:rsidRPr="00B82F65">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4AD8BFE9" w14:textId="77777777" w:rsidR="00EC6510" w:rsidRPr="00B82F65" w:rsidRDefault="00EC6510" w:rsidP="00EC6510">
      <w:pPr>
        <w:pStyle w:val="Sinespaciado"/>
        <w:spacing w:after="240" w:line="276" w:lineRule="auto"/>
        <w:ind w:left="709" w:hanging="709"/>
        <w:jc w:val="both"/>
        <w:rPr>
          <w:rFonts w:ascii="Times New Roman" w:hAnsi="Times New Roman"/>
          <w:bCs/>
        </w:rPr>
      </w:pPr>
      <w:r w:rsidRPr="00B82F65">
        <w:rPr>
          <w:rFonts w:ascii="Times New Roman" w:hAnsi="Times New Roman"/>
          <w:b/>
          <w:bCs/>
        </w:rPr>
        <w:t>Que,</w:t>
      </w:r>
      <w:r w:rsidRPr="00B82F65">
        <w:rPr>
          <w:rFonts w:ascii="Times New Roman" w:hAnsi="Times New Roman"/>
          <w:b/>
          <w:bCs/>
        </w:rPr>
        <w:tab/>
      </w:r>
      <w:r w:rsidRPr="00B82F6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3A52695" w14:textId="7847356B" w:rsidR="00AE6CBB" w:rsidRPr="00B82F65" w:rsidRDefault="00EC6510" w:rsidP="00EC6510">
      <w:pPr>
        <w:spacing w:after="240" w:line="276" w:lineRule="auto"/>
        <w:ind w:left="709" w:hanging="709"/>
        <w:jc w:val="both"/>
        <w:rPr>
          <w:bCs/>
          <w:sz w:val="22"/>
          <w:szCs w:val="22"/>
        </w:rPr>
      </w:pPr>
      <w:r w:rsidRPr="00B82F65">
        <w:rPr>
          <w:b/>
          <w:bCs/>
          <w:sz w:val="22"/>
          <w:szCs w:val="22"/>
        </w:rPr>
        <w:t>Que,</w:t>
      </w:r>
      <w:r w:rsidRPr="00B82F65">
        <w:rPr>
          <w:b/>
          <w:bCs/>
          <w:sz w:val="22"/>
          <w:szCs w:val="22"/>
        </w:rPr>
        <w:tab/>
      </w:r>
      <w:r w:rsidRPr="00B82F65">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AAE992" w14:textId="21817B3D" w:rsidR="00EC6510" w:rsidRPr="00B82F65" w:rsidRDefault="00EC6510" w:rsidP="00EC6510">
      <w:pPr>
        <w:pStyle w:val="Sinespaciado"/>
        <w:ind w:left="708" w:hanging="708"/>
        <w:jc w:val="both"/>
        <w:rPr>
          <w:rFonts w:ascii="Times New Roman" w:eastAsia="Times New Roman" w:hAnsi="Times New Roman"/>
          <w:bCs/>
          <w:lang w:val="es-ES" w:eastAsia="es-ES"/>
        </w:rPr>
      </w:pPr>
      <w:r w:rsidRPr="00B82F65">
        <w:rPr>
          <w:rFonts w:ascii="Times New Roman" w:hAnsi="Times New Roman"/>
          <w:b/>
        </w:rPr>
        <w:t>Que,</w:t>
      </w:r>
      <w:r w:rsidRPr="00B82F65">
        <w:rPr>
          <w:rFonts w:ascii="Times New Roman" w:hAnsi="Times New Roman"/>
          <w:b/>
        </w:rPr>
        <w:tab/>
      </w:r>
      <w:r w:rsidR="00CB4844" w:rsidRPr="00B82F65">
        <w:rPr>
          <w:rFonts w:ascii="Times New Roman" w:eastAsia="Times New Roman" w:hAnsi="Times New Roman"/>
          <w:bCs/>
          <w:lang w:val="es-ES" w:eastAsia="es-ES"/>
        </w:rPr>
        <w:t>mediante Ordenanza No. 0473, sancionada el 26 de diciembre de 2013, se reconoce y aprueba el Asentamiento Humano de Hecho y Consolidado de Interés Social denominado Comité Pro-mejoras “18 de septiembre”</w:t>
      </w:r>
      <w:r w:rsidR="00E56E24" w:rsidRPr="00B82F65">
        <w:rPr>
          <w:rFonts w:ascii="Times New Roman" w:eastAsia="Times New Roman" w:hAnsi="Times New Roman"/>
          <w:bCs/>
          <w:lang w:val="es-ES" w:eastAsia="es-ES"/>
        </w:rPr>
        <w:t xml:space="preserve"> a favor de sus copropietarios</w:t>
      </w:r>
      <w:r w:rsidR="00CB4844" w:rsidRPr="00B82F65">
        <w:rPr>
          <w:rFonts w:ascii="Times New Roman" w:eastAsia="Times New Roman" w:hAnsi="Times New Roman"/>
          <w:bCs/>
          <w:lang w:val="es-ES" w:eastAsia="es-ES"/>
        </w:rPr>
        <w:t xml:space="preserve">; y, FE DE ERRATAS </w:t>
      </w:r>
      <w:r w:rsidR="00E56E24" w:rsidRPr="00B82F65">
        <w:rPr>
          <w:rFonts w:ascii="Times New Roman" w:eastAsia="Times New Roman" w:hAnsi="Times New Roman"/>
          <w:bCs/>
          <w:lang w:val="es-ES" w:eastAsia="es-ES"/>
        </w:rPr>
        <w:t xml:space="preserve">No. 0473 </w:t>
      </w:r>
      <w:r w:rsidR="00CB4844" w:rsidRPr="00B82F65">
        <w:rPr>
          <w:rFonts w:ascii="Times New Roman" w:eastAsia="Times New Roman" w:hAnsi="Times New Roman"/>
          <w:bCs/>
          <w:lang w:val="es-ES" w:eastAsia="es-ES"/>
        </w:rPr>
        <w:t>emitida el 25 de febrero de 2014.</w:t>
      </w:r>
    </w:p>
    <w:p w14:paraId="58090893" w14:textId="77777777" w:rsidR="00CB4844" w:rsidRPr="00B82F65" w:rsidRDefault="00CB4844" w:rsidP="00EC6510">
      <w:pPr>
        <w:pStyle w:val="Sinespaciado"/>
        <w:ind w:left="708" w:hanging="708"/>
        <w:jc w:val="both"/>
        <w:rPr>
          <w:rFonts w:ascii="Times New Roman" w:eastAsia="Times New Roman" w:hAnsi="Times New Roman"/>
          <w:bCs/>
          <w:lang w:val="es-ES" w:eastAsia="es-ES"/>
        </w:rPr>
      </w:pPr>
    </w:p>
    <w:p w14:paraId="71C5D66D" w14:textId="77777777" w:rsidR="00AE6CBB" w:rsidRPr="00B82F65" w:rsidRDefault="00AE6CBB" w:rsidP="00AE6CBB">
      <w:pPr>
        <w:spacing w:after="240" w:line="276" w:lineRule="auto"/>
        <w:ind w:left="709" w:hanging="709"/>
        <w:jc w:val="both"/>
        <w:rPr>
          <w:rFonts w:eastAsia="Calibri"/>
          <w:sz w:val="22"/>
          <w:szCs w:val="22"/>
          <w:lang w:val="es-EC" w:eastAsia="en-US"/>
        </w:rPr>
      </w:pPr>
      <w:r w:rsidRPr="00B82F65">
        <w:rPr>
          <w:rFonts w:eastAsia="Calibri"/>
          <w:b/>
          <w:sz w:val="22"/>
          <w:szCs w:val="22"/>
          <w:lang w:val="es-EC" w:eastAsia="en-US"/>
        </w:rPr>
        <w:t>Que,</w:t>
      </w:r>
      <w:r w:rsidRPr="00B82F65">
        <w:rPr>
          <w:rFonts w:eastAsia="Calibri"/>
          <w:sz w:val="22"/>
          <w:szCs w:val="22"/>
          <w:lang w:val="es-EC" w:eastAsia="en-US"/>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7A8770B" w14:textId="6D5377D4" w:rsidR="00016E32" w:rsidRPr="00B82F65" w:rsidRDefault="00016E32" w:rsidP="00016E32">
      <w:pPr>
        <w:spacing w:after="240" w:line="276" w:lineRule="auto"/>
        <w:ind w:left="705" w:hanging="705"/>
        <w:jc w:val="both"/>
        <w:rPr>
          <w:bCs/>
          <w:sz w:val="22"/>
          <w:szCs w:val="22"/>
        </w:rPr>
      </w:pPr>
      <w:r w:rsidRPr="00B82F65">
        <w:rPr>
          <w:b/>
          <w:bCs/>
          <w:sz w:val="22"/>
          <w:szCs w:val="22"/>
        </w:rPr>
        <w:t xml:space="preserve">Que,  </w:t>
      </w:r>
      <w:r w:rsidR="00BD008E" w:rsidRPr="00B82F65">
        <w:rPr>
          <w:b/>
          <w:bCs/>
          <w:sz w:val="22"/>
          <w:szCs w:val="22"/>
        </w:rPr>
        <w:tab/>
      </w:r>
      <w:r w:rsidRPr="00B82F65">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4F59B5B1" w14:textId="5575F328" w:rsidR="00ED38ED" w:rsidRPr="00B82F65" w:rsidRDefault="00ED38ED" w:rsidP="00016E32">
      <w:pPr>
        <w:spacing w:after="240" w:line="276" w:lineRule="auto"/>
        <w:ind w:left="705" w:hanging="705"/>
        <w:jc w:val="both"/>
        <w:rPr>
          <w:bCs/>
          <w:sz w:val="22"/>
          <w:szCs w:val="22"/>
        </w:rPr>
      </w:pPr>
      <w:r w:rsidRPr="00B82F65">
        <w:rPr>
          <w:b/>
          <w:bCs/>
          <w:sz w:val="22"/>
          <w:szCs w:val="22"/>
        </w:rPr>
        <w:t>Que,</w:t>
      </w:r>
      <w:r w:rsidRPr="00B82F65">
        <w:rPr>
          <w:b/>
          <w:bCs/>
          <w:sz w:val="22"/>
          <w:szCs w:val="22"/>
        </w:rPr>
        <w:tab/>
      </w:r>
      <w:r w:rsidRPr="00B82F65">
        <w:rPr>
          <w:bCs/>
          <w:sz w:val="22"/>
          <w:szCs w:val="22"/>
        </w:rPr>
        <w:t xml:space="preserve">el artículo IV.7.45 de la Ordenanza No. 001 de 29 de marzo de 2019 en su parte pertinente de la excepción de las áreas verdes dispone: </w:t>
      </w:r>
      <w:r w:rsidRPr="00B82F65">
        <w:rPr>
          <w:bCs/>
          <w:i/>
          <w:sz w:val="22"/>
          <w:szCs w:val="22"/>
        </w:rPr>
        <w:t>“… El faltante de áreas verdes será compensado pecuniariamente con excepción de los asentamientos declarados de interés social...”</w:t>
      </w:r>
    </w:p>
    <w:p w14:paraId="12F56F36" w14:textId="7F9E791B" w:rsidR="00016E32" w:rsidRPr="00B82F65" w:rsidRDefault="00016E32" w:rsidP="00016E32">
      <w:pPr>
        <w:spacing w:after="240" w:line="276" w:lineRule="auto"/>
        <w:ind w:left="705" w:hanging="705"/>
        <w:jc w:val="both"/>
        <w:rPr>
          <w:bCs/>
          <w:sz w:val="22"/>
          <w:szCs w:val="22"/>
        </w:rPr>
      </w:pPr>
      <w:r w:rsidRPr="00B82F65">
        <w:rPr>
          <w:b/>
          <w:bCs/>
          <w:sz w:val="22"/>
          <w:szCs w:val="22"/>
        </w:rPr>
        <w:t xml:space="preserve">Que,  </w:t>
      </w:r>
      <w:r w:rsidR="00CB4844" w:rsidRPr="00B82F65">
        <w:rPr>
          <w:b/>
          <w:bCs/>
          <w:sz w:val="22"/>
          <w:szCs w:val="22"/>
        </w:rPr>
        <w:tab/>
      </w:r>
      <w:r w:rsidRPr="00B82F65">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CB817CC" w14:textId="77777777" w:rsidR="00016E32" w:rsidRPr="00B82F6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B82F65">
        <w:rPr>
          <w:rFonts w:ascii="Times New Roman" w:eastAsia="Times New Roman" w:hAnsi="Times New Roman"/>
          <w:b/>
          <w:bCs/>
          <w:lang w:val="es-ES" w:eastAsia="es-ES"/>
        </w:rPr>
        <w:t>Que</w:t>
      </w:r>
      <w:r w:rsidRPr="00B82F65">
        <w:rPr>
          <w:rFonts w:ascii="Times New Roman" w:eastAsia="Times New Roman" w:hAnsi="Times New Roman"/>
          <w:bCs/>
          <w:lang w:val="es-ES" w:eastAsia="es-ES"/>
        </w:rPr>
        <w:t xml:space="preserve">, </w:t>
      </w:r>
      <w:r w:rsidRPr="00B82F65">
        <w:rPr>
          <w:rFonts w:ascii="Times New Roman" w:eastAsia="Times New Roman" w:hAnsi="Times New Roman"/>
          <w:bCs/>
          <w:lang w:val="es-ES" w:eastAsia="es-ES"/>
        </w:rPr>
        <w:tab/>
        <w:t>la Ordenanza No. 001 de 29 de marzo de 2019, determina en su disposición derogatoria lo siguiente: “…</w:t>
      </w:r>
      <w:r w:rsidRPr="00B82F65">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B82F65">
        <w:rPr>
          <w:rFonts w:ascii="Times New Roman" w:eastAsia="Times New Roman" w:hAnsi="Times New Roman"/>
          <w:bCs/>
          <w:lang w:val="es-ES" w:eastAsia="es-ES"/>
        </w:rPr>
        <w:t xml:space="preserve">” </w:t>
      </w:r>
    </w:p>
    <w:p w14:paraId="6D75DB40" w14:textId="518FB9CE" w:rsidR="00016E32" w:rsidRPr="00B82F65" w:rsidRDefault="00016E32" w:rsidP="00016E32">
      <w:pPr>
        <w:pStyle w:val="Sinespaciado"/>
        <w:spacing w:after="240" w:line="276" w:lineRule="auto"/>
        <w:ind w:left="709" w:hanging="709"/>
        <w:jc w:val="both"/>
        <w:rPr>
          <w:rFonts w:ascii="Times New Roman" w:hAnsi="Times New Roman"/>
          <w:bCs/>
        </w:rPr>
      </w:pPr>
      <w:r w:rsidRPr="00B82F65">
        <w:rPr>
          <w:rFonts w:ascii="Times New Roman" w:eastAsia="Times New Roman" w:hAnsi="Times New Roman"/>
          <w:b/>
          <w:bCs/>
          <w:lang w:val="es-ES" w:eastAsia="es-ES"/>
        </w:rPr>
        <w:t>Que</w:t>
      </w:r>
      <w:r w:rsidRPr="00B82F65">
        <w:rPr>
          <w:rFonts w:ascii="Times New Roman" w:eastAsia="Times New Roman" w:hAnsi="Times New Roman"/>
          <w:bCs/>
          <w:lang w:val="es-ES" w:eastAsia="es-ES"/>
        </w:rPr>
        <w:t xml:space="preserve">, </w:t>
      </w:r>
      <w:r w:rsidR="00BD008E" w:rsidRPr="00B82F65">
        <w:rPr>
          <w:rFonts w:ascii="Times New Roman" w:eastAsia="Times New Roman" w:hAnsi="Times New Roman"/>
          <w:bCs/>
          <w:lang w:val="es-ES" w:eastAsia="es-ES"/>
        </w:rPr>
        <w:tab/>
      </w:r>
      <w:r w:rsidR="004654E8" w:rsidRPr="00B82F65">
        <w:rPr>
          <w:rFonts w:ascii="Times New Roman" w:eastAsia="Times New Roman" w:hAnsi="Times New Roman"/>
          <w:bCs/>
          <w:lang w:val="es-ES" w:eastAsia="es-ES"/>
        </w:rPr>
        <w:t>e</w:t>
      </w:r>
      <w:r w:rsidRPr="00B82F65">
        <w:rPr>
          <w:rFonts w:ascii="Times New Roman" w:eastAsia="Times New Roman" w:hAnsi="Times New Roman"/>
          <w:bCs/>
          <w:lang w:val="es-ES" w:eastAsia="es-ES"/>
        </w:rPr>
        <w:t>n concordancia con el considerando precedente, la Disposición Transitoria Segunda de la Ordenanza No. 0147 de 9 de diciembre de 2016, determina que en los procesos de regularización de</w:t>
      </w:r>
      <w:r w:rsidRPr="00B82F65">
        <w:rPr>
          <w:rFonts w:ascii="Times New Roman" w:hAnsi="Times New Roman"/>
          <w:bCs/>
        </w:rPr>
        <w:t xml:space="preserve"> asentamientos humanos de hecho y consolidados que se encuentren en trámite, se aplicará la norma más beneficiosa para la regularización del asentamiento; y,</w:t>
      </w:r>
    </w:p>
    <w:p w14:paraId="4427D7AF" w14:textId="3ED894FE" w:rsidR="004816DA" w:rsidRPr="00B82F6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B82F65">
        <w:rPr>
          <w:rFonts w:ascii="Times New Roman" w:hAnsi="Times New Roman"/>
          <w:b/>
          <w:bCs/>
        </w:rPr>
        <w:t>Que,</w:t>
      </w:r>
      <w:r w:rsidRPr="00B82F65">
        <w:rPr>
          <w:rFonts w:ascii="Times New Roman" w:hAnsi="Times New Roman"/>
          <w:bCs/>
        </w:rPr>
        <w:t xml:space="preserve"> </w:t>
      </w:r>
      <w:r w:rsidRPr="00B82F65">
        <w:rPr>
          <w:rFonts w:ascii="Times New Roman" w:hAnsi="Times New Roman"/>
          <w:bCs/>
        </w:rPr>
        <w:tab/>
        <w:t xml:space="preserve">mediante Resolución No. </w:t>
      </w:r>
      <w:r w:rsidR="004654E8" w:rsidRPr="00B82F65">
        <w:rPr>
          <w:rFonts w:ascii="Times New Roman" w:hAnsi="Times New Roman"/>
          <w:bCs/>
        </w:rPr>
        <w:t>C</w:t>
      </w:r>
      <w:r w:rsidRPr="00B82F65">
        <w:rPr>
          <w:rFonts w:ascii="Times New Roman" w:hAnsi="Times New Roman"/>
          <w:bCs/>
        </w:rPr>
        <w:t xml:space="preserve">037-2019 reformada mediante Resolución No. </w:t>
      </w:r>
      <w:r w:rsidR="004654E8" w:rsidRPr="00B82F65">
        <w:rPr>
          <w:rFonts w:ascii="Times New Roman" w:hAnsi="Times New Roman"/>
          <w:bCs/>
        </w:rPr>
        <w:t>C</w:t>
      </w:r>
      <w:r w:rsidRPr="00B82F6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w:t>
      </w:r>
    </w:p>
    <w:p w14:paraId="5F22DB96" w14:textId="61A4BE78" w:rsidR="00892747" w:rsidRPr="00B82F65" w:rsidRDefault="00B52C4F" w:rsidP="00C12CE5">
      <w:pPr>
        <w:pStyle w:val="Sinespaciado"/>
        <w:spacing w:after="240"/>
        <w:ind w:left="709" w:hanging="709"/>
        <w:jc w:val="both"/>
        <w:rPr>
          <w:rFonts w:ascii="Times New Roman" w:hAnsi="Times New Roman"/>
        </w:rPr>
      </w:pPr>
      <w:r w:rsidRPr="00B82F65">
        <w:rPr>
          <w:rFonts w:ascii="Times New Roman" w:hAnsi="Times New Roman"/>
          <w:b/>
        </w:rPr>
        <w:t>Que,</w:t>
      </w:r>
      <w:r w:rsidRPr="00B82F65">
        <w:rPr>
          <w:rFonts w:ascii="Times New Roman" w:hAnsi="Times New Roman"/>
        </w:rPr>
        <w:t xml:space="preserve">  </w:t>
      </w:r>
      <w:r w:rsidRPr="00B82F65">
        <w:rPr>
          <w:rFonts w:ascii="Times New Roman" w:hAnsi="Times New Roman"/>
        </w:rPr>
        <w:tab/>
      </w:r>
      <w:r w:rsidR="00CB4844" w:rsidRPr="00B82F65">
        <w:rPr>
          <w:rFonts w:ascii="Times New Roman" w:hAnsi="Times New Roman"/>
          <w:bCs/>
        </w:rPr>
        <w:t>la Mesa Institucional, reunida el 18 de diciembre del 2018 en la Administración Zonal Eugenio Espejo, integrada por: Sr. Boris Mata Reyes, Administrador Zonal Eugenio Espejo; Dra. Martha Suárez Romero, Directora Jurídica Zonal Eugenio Espejo; Ing. Luis Albán, Delegado de la Dirección Metropolitana de Gestión de Riesgos; Arq. María Belén Cueva, Delegada de la Dirección Metropolitana de Catastro; Arq. Elizabeth Ortiz, Delegada de la Secretaría de Territorio, Hábitat y Vivienda; Arq. Juan Carlos Echeverría, Coordinador UERB- AZLD; Arq. Yessica Burbano, Responsable Técnica UERB-AZLD; Ab. Lucia Jurado Orna, Responsable Legal UERB-AZLD; aprobaron  el Informe Socio Organizativo Legal y Técnico Nº 005-UERB-AZEE-SOLT-2018, de 14 de diciembre del 2018, habilitante de la Ordenanza Reformatoria de reconocimiento del Asentamiento Humano de Hecho y Consolidado Interés Social Denominado Comité Pro-Mejoras del Barrio “18 de Septiembre”, a favor de sus copropietarios</w:t>
      </w:r>
      <w:r w:rsidR="00C12CE5">
        <w:rPr>
          <w:rFonts w:ascii="Times New Roman" w:hAnsi="Times New Roman"/>
        </w:rPr>
        <w:t>.</w:t>
      </w:r>
    </w:p>
    <w:p w14:paraId="1956AE84" w14:textId="2A2E93F0" w:rsidR="00016E32" w:rsidRPr="00B82F65" w:rsidRDefault="00016E32" w:rsidP="00016E32">
      <w:pPr>
        <w:spacing w:after="240" w:line="276" w:lineRule="auto"/>
        <w:ind w:left="705" w:hanging="705"/>
        <w:jc w:val="both"/>
        <w:rPr>
          <w:sz w:val="22"/>
          <w:szCs w:val="22"/>
        </w:rPr>
      </w:pPr>
      <w:r w:rsidRPr="00B82F65">
        <w:rPr>
          <w:b/>
          <w:bCs/>
          <w:sz w:val="22"/>
          <w:szCs w:val="22"/>
        </w:rPr>
        <w:t xml:space="preserve">Que, </w:t>
      </w:r>
      <w:r w:rsidRPr="00B82F65">
        <w:rPr>
          <w:b/>
          <w:bCs/>
          <w:sz w:val="22"/>
          <w:szCs w:val="22"/>
        </w:rPr>
        <w:tab/>
      </w:r>
      <w:r w:rsidRPr="00B82F65">
        <w:rPr>
          <w:sz w:val="22"/>
          <w:szCs w:val="22"/>
        </w:rPr>
        <w:t>el Informe de la Dirección Metropolitana de Ge</w:t>
      </w:r>
      <w:r w:rsidR="003A39E8" w:rsidRPr="00B82F65">
        <w:rPr>
          <w:sz w:val="22"/>
          <w:szCs w:val="22"/>
        </w:rPr>
        <w:t xml:space="preserve">stión de Riesgos Dirección No. </w:t>
      </w:r>
      <w:r w:rsidR="005B3090" w:rsidRPr="00B82F65">
        <w:rPr>
          <w:sz w:val="22"/>
          <w:szCs w:val="22"/>
        </w:rPr>
        <w:t>264-AT-DMGR-2018, de fecha 19 de septiembre de 2018</w:t>
      </w:r>
      <w:r w:rsidRPr="00B82F65">
        <w:rPr>
          <w:sz w:val="22"/>
          <w:szCs w:val="22"/>
        </w:rPr>
        <w:t xml:space="preserve">, califica al AHHYC </w:t>
      </w:r>
      <w:r w:rsidR="005B3090" w:rsidRPr="00B82F65">
        <w:rPr>
          <w:sz w:val="22"/>
          <w:szCs w:val="22"/>
        </w:rPr>
        <w:t>Comité Pro-Mejoras del Barrio “18 de Septiembre”</w:t>
      </w:r>
      <w:r w:rsidRPr="00B82F65">
        <w:rPr>
          <w:sz w:val="22"/>
          <w:szCs w:val="22"/>
        </w:rPr>
        <w:t xml:space="preserve"> </w:t>
      </w:r>
      <w:r w:rsidR="005B3090" w:rsidRPr="00B82F65">
        <w:rPr>
          <w:sz w:val="22"/>
          <w:szCs w:val="22"/>
        </w:rPr>
        <w:t>presenta:</w:t>
      </w:r>
      <w:r w:rsidR="005B3090" w:rsidRPr="00B82F65">
        <w:rPr>
          <w:i/>
          <w:sz w:val="22"/>
          <w:szCs w:val="22"/>
        </w:rPr>
        <w:t xml:space="preserve"> “…un </w:t>
      </w:r>
      <w:r w:rsidR="005B3090" w:rsidRPr="00670254">
        <w:rPr>
          <w:i/>
          <w:sz w:val="22"/>
          <w:szCs w:val="22"/>
        </w:rPr>
        <w:t>Riesgo Muy Alto</w:t>
      </w:r>
      <w:r w:rsidR="005B3090" w:rsidRPr="00B82F65">
        <w:rPr>
          <w:i/>
          <w:sz w:val="22"/>
          <w:szCs w:val="22"/>
        </w:rPr>
        <w:t xml:space="preserve"> para los lotes 01, 02, 03, 04, 05, 14, 15, 16, 17, 22, 23, 24, 25, 26, 72 y 104; </w:t>
      </w:r>
      <w:r w:rsidR="005B3090" w:rsidRPr="00670254">
        <w:rPr>
          <w:i/>
          <w:sz w:val="22"/>
          <w:szCs w:val="22"/>
        </w:rPr>
        <w:t>Riesgo Alto</w:t>
      </w:r>
      <w:r w:rsidR="005B3090" w:rsidRPr="00B82F65">
        <w:rPr>
          <w:i/>
          <w:sz w:val="22"/>
          <w:szCs w:val="22"/>
        </w:rPr>
        <w:t xml:space="preserve"> para los lotes 06, 07, 08, 09, 10, 11, 12, 13, 18, 19, 20, 21, 41, 42, 43, 45, 53, 54, 68, 70, 72, 73, 80, 81, 82, 83, 84, 85, 86, 87, 88, 89, 90, 91, 93, 94, 95, 102, 103 y 112; </w:t>
      </w:r>
      <w:r w:rsidR="005B3090" w:rsidRPr="00670254">
        <w:rPr>
          <w:i/>
          <w:sz w:val="22"/>
          <w:szCs w:val="22"/>
        </w:rPr>
        <w:t>Riesgo Moderado</w:t>
      </w:r>
      <w:r w:rsidR="005B3090" w:rsidRPr="00B82F65">
        <w:rPr>
          <w:i/>
          <w:sz w:val="22"/>
          <w:szCs w:val="22"/>
        </w:rPr>
        <w:t xml:space="preserve"> para los lotes 30, 33, 34, 35, 37, 39, 46, 47, 55, 56, 57, 58, 59, 60, 61, 62, 66, 67, 92, 96, 97, 98, 99, 100, 101, 105, 31, 36, 38, 40, 48, 49, 50, 51, 52, 69, 71, 106, 107, 108, 110, 113, 114, 116, 125; y </w:t>
      </w:r>
      <w:r w:rsidR="005B3090" w:rsidRPr="00670254">
        <w:rPr>
          <w:i/>
          <w:sz w:val="22"/>
          <w:szCs w:val="22"/>
        </w:rPr>
        <w:t>Riesgo Bajo</w:t>
      </w:r>
      <w:r w:rsidR="005B3090" w:rsidRPr="00B82F65">
        <w:rPr>
          <w:i/>
          <w:sz w:val="22"/>
          <w:szCs w:val="22"/>
        </w:rPr>
        <w:t xml:space="preserve"> para los lotes restantes. Los lotes calificados como </w:t>
      </w:r>
      <w:r w:rsidR="005B3090" w:rsidRPr="00670254">
        <w:rPr>
          <w:i/>
          <w:sz w:val="22"/>
          <w:szCs w:val="22"/>
        </w:rPr>
        <w:t>Riesgo Muy Alto</w:t>
      </w:r>
      <w:r w:rsidR="005B3090" w:rsidRPr="00B82F65">
        <w:rPr>
          <w:i/>
          <w:sz w:val="22"/>
          <w:szCs w:val="22"/>
        </w:rPr>
        <w:t xml:space="preserve"> se ubican en una zona colindante con la quebrada San Antonio”</w:t>
      </w:r>
      <w:r w:rsidR="00E56E24" w:rsidRPr="00B82F65">
        <w:rPr>
          <w:sz w:val="22"/>
          <w:szCs w:val="22"/>
        </w:rPr>
        <w:t xml:space="preserve"> </w:t>
      </w:r>
      <w:r w:rsidRPr="00B82F65">
        <w:rPr>
          <w:sz w:val="22"/>
          <w:szCs w:val="22"/>
        </w:rPr>
        <w:t xml:space="preserve">y, </w:t>
      </w:r>
    </w:p>
    <w:p w14:paraId="79B2C51B" w14:textId="3AFDE5DD" w:rsidR="005B3090" w:rsidRPr="00B82F65" w:rsidRDefault="00016E32" w:rsidP="005B3090">
      <w:pPr>
        <w:spacing w:after="240" w:line="276" w:lineRule="auto"/>
        <w:ind w:left="705" w:hanging="705"/>
        <w:jc w:val="both"/>
        <w:rPr>
          <w:sz w:val="22"/>
          <w:szCs w:val="22"/>
        </w:rPr>
      </w:pPr>
      <w:r w:rsidRPr="00B82F65">
        <w:rPr>
          <w:b/>
          <w:bCs/>
          <w:sz w:val="22"/>
          <w:szCs w:val="22"/>
        </w:rPr>
        <w:t xml:space="preserve">Que, </w:t>
      </w:r>
      <w:r w:rsidRPr="00B82F65">
        <w:rPr>
          <w:sz w:val="22"/>
          <w:szCs w:val="22"/>
        </w:rPr>
        <w:tab/>
      </w:r>
      <w:r w:rsidRPr="00B82F65">
        <w:rPr>
          <w:bCs/>
          <w:sz w:val="22"/>
          <w:szCs w:val="22"/>
        </w:rPr>
        <w:t>mediante</w:t>
      </w:r>
      <w:r w:rsidRPr="00B82F65">
        <w:rPr>
          <w:b/>
          <w:bCs/>
          <w:sz w:val="22"/>
          <w:szCs w:val="22"/>
        </w:rPr>
        <w:t xml:space="preserve"> </w:t>
      </w:r>
      <w:r w:rsidRPr="00B82F65">
        <w:rPr>
          <w:sz w:val="22"/>
          <w:szCs w:val="22"/>
        </w:rPr>
        <w:t>Oficio N</w:t>
      </w:r>
      <w:r w:rsidR="003A39E8" w:rsidRPr="00B82F65">
        <w:rPr>
          <w:sz w:val="22"/>
          <w:szCs w:val="22"/>
        </w:rPr>
        <w:t xml:space="preserve">o. </w:t>
      </w:r>
      <w:r w:rsidR="005B3090" w:rsidRPr="00B82F65">
        <w:rPr>
          <w:sz w:val="22"/>
          <w:szCs w:val="22"/>
        </w:rPr>
        <w:t>GADDMQ-SGSG-DMGR-2019-0743-OF</w:t>
      </w:r>
      <w:r w:rsidR="003A39E8" w:rsidRPr="00B82F65">
        <w:rPr>
          <w:sz w:val="22"/>
          <w:szCs w:val="22"/>
        </w:rPr>
        <w:t xml:space="preserve">, de fecha </w:t>
      </w:r>
      <w:r w:rsidRPr="00B82F65">
        <w:rPr>
          <w:sz w:val="22"/>
          <w:szCs w:val="22"/>
        </w:rPr>
        <w:t>1</w:t>
      </w:r>
      <w:r w:rsidR="003A39E8" w:rsidRPr="00B82F65">
        <w:rPr>
          <w:sz w:val="22"/>
          <w:szCs w:val="22"/>
        </w:rPr>
        <w:t>8</w:t>
      </w:r>
      <w:r w:rsidRPr="00B82F65">
        <w:rPr>
          <w:sz w:val="22"/>
          <w:szCs w:val="22"/>
        </w:rPr>
        <w:t xml:space="preserve"> de </w:t>
      </w:r>
      <w:r w:rsidR="003A39E8" w:rsidRPr="00B82F65">
        <w:rPr>
          <w:sz w:val="22"/>
          <w:szCs w:val="22"/>
        </w:rPr>
        <w:t>Septiembre</w:t>
      </w:r>
      <w:r w:rsidRPr="00B82F65">
        <w:rPr>
          <w:sz w:val="22"/>
          <w:szCs w:val="22"/>
        </w:rPr>
        <w:t xml:space="preserve"> de 2019, emitido por el Director Metropolitano de Gestión de Riesgos, de la Secretaría General de Seguridad y Gobernabilidad</w:t>
      </w:r>
      <w:r w:rsidR="003A39E8" w:rsidRPr="00B82F65">
        <w:rPr>
          <w:sz w:val="22"/>
          <w:szCs w:val="22"/>
        </w:rPr>
        <w:t xml:space="preserve">, en el cual </w:t>
      </w:r>
      <w:r w:rsidR="003A39E8" w:rsidRPr="00B82F65">
        <w:rPr>
          <w:i/>
          <w:sz w:val="22"/>
          <w:szCs w:val="22"/>
        </w:rPr>
        <w:t>“…</w:t>
      </w:r>
      <w:r w:rsidR="005B3090" w:rsidRPr="00B82F65">
        <w:rPr>
          <w:i/>
          <w:sz w:val="22"/>
          <w:szCs w:val="22"/>
        </w:rPr>
        <w:t xml:space="preserve">se </w:t>
      </w:r>
      <w:r w:rsidR="005B3090" w:rsidRPr="00670254">
        <w:rPr>
          <w:i/>
          <w:sz w:val="22"/>
          <w:szCs w:val="22"/>
        </w:rPr>
        <w:t>ratifica</w:t>
      </w:r>
      <w:r w:rsidR="005B3090" w:rsidRPr="00B82F65">
        <w:rPr>
          <w:i/>
          <w:sz w:val="22"/>
          <w:szCs w:val="22"/>
        </w:rPr>
        <w:t xml:space="preserve"> en la calificación del nivel del riesgo frente a movimientos en masa, indicando que el AHHYC “18 de Septiembre” presenta varios niveles de riesgo, sin embargo se debe </w:t>
      </w:r>
      <w:r w:rsidR="005B3090" w:rsidRPr="00670254">
        <w:rPr>
          <w:i/>
          <w:sz w:val="22"/>
          <w:szCs w:val="22"/>
        </w:rPr>
        <w:t>rectificar</w:t>
      </w:r>
      <w:r w:rsidR="005B3090" w:rsidRPr="00B82F65">
        <w:rPr>
          <w:i/>
          <w:sz w:val="22"/>
          <w:szCs w:val="22"/>
        </w:rPr>
        <w:t xml:space="preserve"> indicando que el nivel de </w:t>
      </w:r>
      <w:r w:rsidR="005B3090" w:rsidRPr="00670254">
        <w:rPr>
          <w:i/>
          <w:sz w:val="22"/>
          <w:szCs w:val="22"/>
        </w:rPr>
        <w:t>riesgo es mitigable</w:t>
      </w:r>
      <w:r w:rsidR="005B3090" w:rsidRPr="00B82F65">
        <w:rPr>
          <w:i/>
          <w:sz w:val="22"/>
          <w:szCs w:val="22"/>
        </w:rPr>
        <w:t xml:space="preserve">, en tal virtud y con las observaciones realizadas, la Dirección Metropolitana de Gestión de Riesgos indica que los lotes del AHHYC “18 de Septiembre” presenta un </w:t>
      </w:r>
      <w:r w:rsidR="005B3090" w:rsidRPr="00670254">
        <w:rPr>
          <w:i/>
          <w:sz w:val="22"/>
          <w:szCs w:val="22"/>
        </w:rPr>
        <w:t>Riesgo Muy Alto</w:t>
      </w:r>
      <w:r w:rsidR="005B3090" w:rsidRPr="00B82F65">
        <w:rPr>
          <w:i/>
          <w:sz w:val="22"/>
          <w:szCs w:val="22"/>
        </w:rPr>
        <w:t xml:space="preserve"> para los lotes 01, 02, 03, 04, 05, 14, 15, 16, 17, 22, 23, 24, 25, 26, 72 y 104; </w:t>
      </w:r>
      <w:r w:rsidR="005B3090" w:rsidRPr="00670254">
        <w:rPr>
          <w:i/>
          <w:sz w:val="22"/>
          <w:szCs w:val="22"/>
        </w:rPr>
        <w:t>Riesgo Alto</w:t>
      </w:r>
      <w:r w:rsidR="005B3090" w:rsidRPr="00B82F65">
        <w:rPr>
          <w:i/>
          <w:sz w:val="22"/>
          <w:szCs w:val="22"/>
        </w:rPr>
        <w:t xml:space="preserve"> para los lotes 06, 07, 08, 09, 10, 11, 12, 13, 18, 19, 20, 21, 41, 42, 43, 45, 53, 54, 68, 70, 72, 73, 80, 81, 82, 83, 84, 85, 86, 87, 88, 89, 90, 91, 93, 94, 95, 102, 103 y 112; </w:t>
      </w:r>
      <w:r w:rsidR="005B3090" w:rsidRPr="00216C61">
        <w:rPr>
          <w:b/>
          <w:i/>
          <w:sz w:val="22"/>
          <w:szCs w:val="22"/>
        </w:rPr>
        <w:t>Riesgo Moderado para los lotes 30, 33, 34, 35, 37, 39, 46, 47, 55, 56, 57, 58, 59, 60, 61, 62, 66, 67, 92, 96, 97, 98, 99, 100, 101, 105, 31, 36, 38, 40, 48, 49, 50, 51, 52, 69, 71, 106, 107, 108, 110, 113, 114, 116, 125; y Riesgo Bajo para los lotes restantes.”</w:t>
      </w:r>
    </w:p>
    <w:p w14:paraId="061864EE" w14:textId="20AF4F78" w:rsidR="00BD008E" w:rsidRPr="00B82F65" w:rsidRDefault="00BD008E" w:rsidP="00BD008E">
      <w:pPr>
        <w:autoSpaceDE w:val="0"/>
        <w:autoSpaceDN w:val="0"/>
        <w:adjustRightInd w:val="0"/>
        <w:ind w:left="705" w:hanging="705"/>
        <w:jc w:val="both"/>
        <w:rPr>
          <w:rFonts w:eastAsiaTheme="minorHAnsi"/>
          <w:sz w:val="22"/>
          <w:szCs w:val="22"/>
          <w:lang w:val="es-EC" w:eastAsia="en-US"/>
        </w:rPr>
      </w:pPr>
      <w:r w:rsidRPr="00B82F65">
        <w:rPr>
          <w:b/>
          <w:bCs/>
          <w:sz w:val="22"/>
          <w:szCs w:val="22"/>
        </w:rPr>
        <w:t xml:space="preserve">Que, </w:t>
      </w:r>
      <w:r w:rsidRPr="00B82F65">
        <w:rPr>
          <w:sz w:val="22"/>
          <w:szCs w:val="22"/>
        </w:rPr>
        <w:tab/>
      </w:r>
      <w:r w:rsidRPr="00B82F65">
        <w:rPr>
          <w:bCs/>
          <w:sz w:val="22"/>
          <w:szCs w:val="22"/>
        </w:rPr>
        <w:t xml:space="preserve">mediante Oficio Nro. STHV-DMGT-2019-0420-O, de fecha 30 de septiembre de 2019, emitido por el Director Metropolitano de Gestión Territorial, de la Secretaría de Territorio, conforme a las </w:t>
      </w:r>
      <w:r w:rsidRPr="00B82F65">
        <w:rPr>
          <w:rFonts w:eastAsiaTheme="minorHAnsi"/>
          <w:sz w:val="22"/>
          <w:szCs w:val="22"/>
          <w:lang w:val="es-EC" w:eastAsia="en-US"/>
        </w:rPr>
        <w:t>Actas de Mesa de Trabajo existentes, la Dirección Metropolitana de Gestión Territorial de la Secretaría de Territorio, Hábitat y Vivienda acoge los cambios de zonificación propuestos por la Unidad Especial Regula “Tu Barrio”.</w:t>
      </w:r>
    </w:p>
    <w:p w14:paraId="2280B4A8" w14:textId="77777777" w:rsidR="00BD008E" w:rsidRPr="00B82F65" w:rsidRDefault="00BD008E" w:rsidP="00BD008E">
      <w:pPr>
        <w:autoSpaceDE w:val="0"/>
        <w:autoSpaceDN w:val="0"/>
        <w:adjustRightInd w:val="0"/>
        <w:ind w:left="705" w:hanging="705"/>
        <w:jc w:val="both"/>
        <w:rPr>
          <w:bCs/>
          <w:sz w:val="22"/>
          <w:szCs w:val="22"/>
          <w:lang w:val="es-EC"/>
        </w:rPr>
      </w:pPr>
    </w:p>
    <w:p w14:paraId="71BF0DF1" w14:textId="77777777" w:rsidR="00387F5C" w:rsidRDefault="00387F5C" w:rsidP="0032353B">
      <w:pPr>
        <w:spacing w:before="240" w:after="240" w:line="276" w:lineRule="auto"/>
        <w:jc w:val="both"/>
        <w:rPr>
          <w:b/>
          <w:sz w:val="22"/>
          <w:szCs w:val="22"/>
        </w:rPr>
      </w:pPr>
      <w:r w:rsidRPr="00B82F65">
        <w:rPr>
          <w:b/>
          <w:sz w:val="22"/>
          <w:szCs w:val="22"/>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469BE49" w14:textId="77777777" w:rsidR="0032353B" w:rsidRPr="0032353B" w:rsidRDefault="0032353B" w:rsidP="0032353B">
      <w:pPr>
        <w:spacing w:before="240" w:after="240" w:line="276" w:lineRule="auto"/>
        <w:jc w:val="both"/>
        <w:rPr>
          <w:b/>
          <w:sz w:val="10"/>
          <w:szCs w:val="10"/>
        </w:rPr>
      </w:pPr>
    </w:p>
    <w:p w14:paraId="4986C0CD" w14:textId="77777777" w:rsidR="00387F5C" w:rsidRPr="00B82F65" w:rsidRDefault="00387F5C" w:rsidP="0032353B">
      <w:pPr>
        <w:spacing w:before="240" w:after="240" w:line="276" w:lineRule="auto"/>
        <w:jc w:val="center"/>
        <w:rPr>
          <w:b/>
          <w:bCs/>
          <w:sz w:val="22"/>
          <w:szCs w:val="22"/>
        </w:rPr>
      </w:pPr>
      <w:r w:rsidRPr="00B82F65">
        <w:rPr>
          <w:b/>
          <w:sz w:val="22"/>
          <w:szCs w:val="22"/>
        </w:rPr>
        <w:t>EXPIDE LA SIGUIENTE:</w:t>
      </w:r>
    </w:p>
    <w:p w14:paraId="2390F927" w14:textId="2373B7E2" w:rsidR="00B52C4F" w:rsidRPr="00B82F65" w:rsidRDefault="00427E2B" w:rsidP="00387F5C">
      <w:pPr>
        <w:jc w:val="center"/>
        <w:rPr>
          <w:b/>
          <w:sz w:val="22"/>
          <w:szCs w:val="22"/>
        </w:rPr>
      </w:pPr>
      <w:r w:rsidRPr="00B82F65">
        <w:rPr>
          <w:b/>
          <w:bCs/>
          <w:sz w:val="22"/>
          <w:szCs w:val="22"/>
        </w:rPr>
        <w:t xml:space="preserve">ORDENANZA </w:t>
      </w:r>
      <w:r w:rsidR="00ED38ED" w:rsidRPr="00B82F65">
        <w:rPr>
          <w:b/>
          <w:bCs/>
          <w:sz w:val="22"/>
          <w:szCs w:val="22"/>
        </w:rPr>
        <w:t>SUSTITUTIVA</w:t>
      </w:r>
      <w:r w:rsidRPr="00B82F65">
        <w:rPr>
          <w:b/>
          <w:bCs/>
          <w:sz w:val="22"/>
          <w:szCs w:val="22"/>
        </w:rPr>
        <w:t xml:space="preserve"> DE LA ORDENANZA No. </w:t>
      </w:r>
      <w:r w:rsidR="005B3090" w:rsidRPr="00B82F65">
        <w:rPr>
          <w:b/>
          <w:bCs/>
          <w:sz w:val="22"/>
          <w:szCs w:val="22"/>
        </w:rPr>
        <w:t>0473, SANCIONADA EL 26 DE DICIEMBRE DE 2013</w:t>
      </w:r>
      <w:r w:rsidRPr="00B82F65">
        <w:rPr>
          <w:b/>
          <w:bCs/>
          <w:sz w:val="22"/>
          <w:szCs w:val="22"/>
        </w:rPr>
        <w:t xml:space="preserve">, QUE APRUEBA EL </w:t>
      </w:r>
      <w:r w:rsidR="004456FB">
        <w:rPr>
          <w:b/>
          <w:bCs/>
          <w:sz w:val="22"/>
          <w:szCs w:val="22"/>
        </w:rPr>
        <w:t>PROCESO INTEGRAL DE REGULARIZACIÓN DEL A</w:t>
      </w:r>
      <w:r w:rsidRPr="00B82F65">
        <w:rPr>
          <w:b/>
          <w:bCs/>
          <w:sz w:val="22"/>
          <w:szCs w:val="22"/>
        </w:rPr>
        <w:t xml:space="preserve">SENTAMIENTO HUMANO DE HECHO Y CONSOLIDADO DENOMINADO </w:t>
      </w:r>
      <w:r w:rsidR="005B3090" w:rsidRPr="00B82F65">
        <w:rPr>
          <w:b/>
          <w:bCs/>
          <w:sz w:val="22"/>
          <w:szCs w:val="22"/>
        </w:rPr>
        <w:t>COMITÉ PRO-MEJORAS DEL BARRIO “18 DE SEPTIEMBRE”</w:t>
      </w:r>
      <w:r w:rsidR="00525BC8" w:rsidRPr="00B82F65">
        <w:rPr>
          <w:b/>
          <w:bCs/>
          <w:sz w:val="22"/>
          <w:szCs w:val="22"/>
        </w:rPr>
        <w:t xml:space="preserve"> A FAVOR DE SUS COPROPIETARIOS</w:t>
      </w:r>
      <w:r w:rsidR="002B6D23" w:rsidRPr="00B82F65">
        <w:rPr>
          <w:b/>
          <w:bCs/>
          <w:sz w:val="22"/>
          <w:szCs w:val="22"/>
        </w:rPr>
        <w:t>.</w:t>
      </w:r>
    </w:p>
    <w:p w14:paraId="675E5A58" w14:textId="77777777" w:rsidR="005F7AC3" w:rsidRPr="00B82F65" w:rsidRDefault="005F7AC3" w:rsidP="005F7AC3">
      <w:pPr>
        <w:rPr>
          <w:i/>
          <w:sz w:val="22"/>
          <w:szCs w:val="22"/>
        </w:rPr>
      </w:pPr>
    </w:p>
    <w:p w14:paraId="2CF002F6" w14:textId="7F9EBC37" w:rsidR="00387F5C" w:rsidRPr="004456FB" w:rsidRDefault="00F60F33" w:rsidP="005C24F4">
      <w:pPr>
        <w:spacing w:after="240" w:line="276" w:lineRule="auto"/>
        <w:jc w:val="both"/>
        <w:rPr>
          <w:b/>
          <w:bCs/>
          <w:i/>
          <w:sz w:val="22"/>
          <w:szCs w:val="22"/>
        </w:rPr>
      </w:pPr>
      <w:r w:rsidRPr="004456FB">
        <w:rPr>
          <w:b/>
          <w:bCs/>
          <w:sz w:val="22"/>
          <w:szCs w:val="22"/>
        </w:rPr>
        <w:t xml:space="preserve">Artículo </w:t>
      </w:r>
      <w:r w:rsidR="004456FB" w:rsidRPr="004456FB">
        <w:rPr>
          <w:b/>
          <w:bCs/>
          <w:sz w:val="22"/>
          <w:szCs w:val="22"/>
        </w:rPr>
        <w:t>1</w:t>
      </w:r>
      <w:r w:rsidR="00BD5C4A" w:rsidRPr="004456FB">
        <w:rPr>
          <w:b/>
          <w:bCs/>
          <w:sz w:val="22"/>
          <w:szCs w:val="22"/>
        </w:rPr>
        <w:t xml:space="preserve">.- </w:t>
      </w:r>
      <w:r w:rsidR="00670254">
        <w:rPr>
          <w:b/>
          <w:bCs/>
          <w:color w:val="000000" w:themeColor="text1"/>
          <w:sz w:val="22"/>
          <w:szCs w:val="22"/>
        </w:rPr>
        <w:t xml:space="preserve">Objeto. - </w:t>
      </w:r>
      <w:r w:rsidR="00387F5C" w:rsidRPr="004456FB">
        <w:rPr>
          <w:bCs/>
          <w:color w:val="000000" w:themeColor="text1"/>
          <w:sz w:val="22"/>
          <w:szCs w:val="22"/>
        </w:rPr>
        <w:t>La presente ordenanza tiene por objeto reconocer y aprobar el fraccionamiento de</w:t>
      </w:r>
      <w:r w:rsidR="0059480A" w:rsidRPr="004456FB">
        <w:rPr>
          <w:bCs/>
          <w:color w:val="000000" w:themeColor="text1"/>
          <w:sz w:val="22"/>
          <w:szCs w:val="22"/>
        </w:rPr>
        <w:t xml:space="preserve"> </w:t>
      </w:r>
      <w:r w:rsidR="00387F5C" w:rsidRPr="004456FB">
        <w:rPr>
          <w:bCs/>
          <w:color w:val="000000" w:themeColor="text1"/>
          <w:sz w:val="22"/>
          <w:szCs w:val="22"/>
        </w:rPr>
        <w:t>l</w:t>
      </w:r>
      <w:r w:rsidR="0059480A" w:rsidRPr="004456FB">
        <w:rPr>
          <w:bCs/>
          <w:color w:val="000000" w:themeColor="text1"/>
          <w:sz w:val="22"/>
          <w:szCs w:val="22"/>
        </w:rPr>
        <w:t>os</w:t>
      </w:r>
      <w:r w:rsidR="00387F5C" w:rsidRPr="004456FB">
        <w:rPr>
          <w:bCs/>
          <w:color w:val="000000" w:themeColor="text1"/>
          <w:sz w:val="22"/>
          <w:szCs w:val="22"/>
        </w:rPr>
        <w:t xml:space="preserve"> predio</w:t>
      </w:r>
      <w:r w:rsidR="0059480A" w:rsidRPr="004456FB">
        <w:rPr>
          <w:bCs/>
          <w:color w:val="000000" w:themeColor="text1"/>
          <w:sz w:val="22"/>
          <w:szCs w:val="22"/>
        </w:rPr>
        <w:t>s</w:t>
      </w:r>
      <w:r w:rsidR="00387F5C" w:rsidRPr="004456FB">
        <w:rPr>
          <w:bCs/>
          <w:color w:val="000000" w:themeColor="text1"/>
          <w:sz w:val="22"/>
          <w:szCs w:val="22"/>
        </w:rPr>
        <w:t xml:space="preserve"> No</w:t>
      </w:r>
      <w:r w:rsidR="0059480A" w:rsidRPr="004456FB">
        <w:rPr>
          <w:bCs/>
          <w:color w:val="000000" w:themeColor="text1"/>
          <w:sz w:val="22"/>
          <w:szCs w:val="22"/>
        </w:rPr>
        <w:t>s</w:t>
      </w:r>
      <w:r w:rsidR="00387F5C" w:rsidRPr="004456FB">
        <w:rPr>
          <w:bCs/>
          <w:color w:val="000000" w:themeColor="text1"/>
          <w:sz w:val="22"/>
          <w:szCs w:val="22"/>
        </w:rPr>
        <w:t>.</w:t>
      </w:r>
      <w:r w:rsidR="0059480A" w:rsidRPr="004456FB">
        <w:rPr>
          <w:sz w:val="22"/>
          <w:szCs w:val="22"/>
        </w:rPr>
        <w:t xml:space="preserve"> 544999; 3674829; 3674832; y, 3674831, </w:t>
      </w:r>
      <w:r w:rsidR="00275A10" w:rsidRPr="004456FB">
        <w:rPr>
          <w:bCs/>
          <w:color w:val="000000" w:themeColor="text1"/>
          <w:sz w:val="22"/>
          <w:szCs w:val="22"/>
        </w:rPr>
        <w:t xml:space="preserve">sus </w:t>
      </w:r>
      <w:r w:rsidR="00282623" w:rsidRPr="004456FB">
        <w:rPr>
          <w:bCs/>
          <w:color w:val="000000" w:themeColor="text1"/>
          <w:sz w:val="22"/>
          <w:szCs w:val="22"/>
        </w:rPr>
        <w:t>vías, pasajes</w:t>
      </w:r>
      <w:r w:rsidR="0059480A" w:rsidRPr="004456FB">
        <w:rPr>
          <w:bCs/>
          <w:color w:val="000000" w:themeColor="text1"/>
          <w:sz w:val="22"/>
          <w:szCs w:val="22"/>
        </w:rPr>
        <w:t>, escalinatas</w:t>
      </w:r>
      <w:r w:rsidR="00C12CE5" w:rsidRPr="004456FB">
        <w:rPr>
          <w:bCs/>
          <w:color w:val="000000" w:themeColor="text1"/>
          <w:sz w:val="22"/>
          <w:szCs w:val="22"/>
        </w:rPr>
        <w:t xml:space="preserve">, </w:t>
      </w:r>
      <w:r w:rsidR="00670254">
        <w:rPr>
          <w:bCs/>
          <w:color w:val="000000" w:themeColor="text1"/>
          <w:sz w:val="22"/>
          <w:szCs w:val="22"/>
        </w:rPr>
        <w:t>modificar</w:t>
      </w:r>
      <w:r w:rsidR="00282623" w:rsidRPr="004456FB">
        <w:rPr>
          <w:bCs/>
          <w:color w:val="000000" w:themeColor="text1"/>
          <w:sz w:val="22"/>
          <w:szCs w:val="22"/>
        </w:rPr>
        <w:t xml:space="preserve"> </w:t>
      </w:r>
      <w:r w:rsidR="00670254">
        <w:rPr>
          <w:bCs/>
          <w:color w:val="000000" w:themeColor="text1"/>
          <w:sz w:val="22"/>
          <w:szCs w:val="22"/>
        </w:rPr>
        <w:t>su</w:t>
      </w:r>
      <w:r w:rsidR="00282623" w:rsidRPr="004456FB">
        <w:rPr>
          <w:bCs/>
          <w:color w:val="000000" w:themeColor="text1"/>
          <w:sz w:val="22"/>
          <w:szCs w:val="22"/>
        </w:rPr>
        <w:t xml:space="preserve"> zonificación</w:t>
      </w:r>
      <w:r w:rsidR="00C12CE5" w:rsidRPr="004456FB">
        <w:rPr>
          <w:bCs/>
          <w:color w:val="000000" w:themeColor="text1"/>
          <w:sz w:val="22"/>
          <w:szCs w:val="22"/>
        </w:rPr>
        <w:t xml:space="preserve">, </w:t>
      </w:r>
      <w:r w:rsidR="004456FB">
        <w:rPr>
          <w:bCs/>
          <w:color w:val="000000" w:themeColor="text1"/>
          <w:sz w:val="22"/>
          <w:szCs w:val="22"/>
        </w:rPr>
        <w:t xml:space="preserve">transferencia de </w:t>
      </w:r>
      <w:r w:rsidR="00C12CE5" w:rsidRPr="004456FB">
        <w:rPr>
          <w:bCs/>
          <w:color w:val="000000" w:themeColor="text1"/>
          <w:sz w:val="22"/>
          <w:szCs w:val="22"/>
        </w:rPr>
        <w:t xml:space="preserve">área verde, </w:t>
      </w:r>
      <w:r w:rsidR="004456FB">
        <w:rPr>
          <w:bCs/>
          <w:color w:val="000000" w:themeColor="text1"/>
          <w:sz w:val="22"/>
          <w:szCs w:val="22"/>
        </w:rPr>
        <w:t xml:space="preserve">transferencia de área comunal </w:t>
      </w:r>
      <w:r w:rsidR="00C12CE5" w:rsidRPr="004456FB">
        <w:rPr>
          <w:bCs/>
          <w:color w:val="000000" w:themeColor="text1"/>
          <w:sz w:val="22"/>
          <w:szCs w:val="22"/>
        </w:rPr>
        <w:t>y</w:t>
      </w:r>
      <w:r w:rsidR="004456FB">
        <w:rPr>
          <w:bCs/>
          <w:color w:val="000000" w:themeColor="text1"/>
          <w:sz w:val="22"/>
          <w:szCs w:val="22"/>
        </w:rPr>
        <w:t xml:space="preserve"> transferencia de áreas </w:t>
      </w:r>
      <w:r w:rsidR="00C12CE5" w:rsidRPr="004456FB">
        <w:rPr>
          <w:bCs/>
          <w:color w:val="000000" w:themeColor="text1"/>
          <w:sz w:val="22"/>
          <w:szCs w:val="22"/>
        </w:rPr>
        <w:t>municipales</w:t>
      </w:r>
      <w:r w:rsidR="00282623" w:rsidRPr="004456FB">
        <w:rPr>
          <w:bCs/>
          <w:color w:val="000000" w:themeColor="text1"/>
          <w:sz w:val="22"/>
          <w:szCs w:val="22"/>
        </w:rPr>
        <w:t xml:space="preserve"> </w:t>
      </w:r>
      <w:r w:rsidR="00387F5C" w:rsidRPr="004456FB">
        <w:rPr>
          <w:bCs/>
          <w:color w:val="000000" w:themeColor="text1"/>
          <w:sz w:val="22"/>
          <w:szCs w:val="22"/>
        </w:rPr>
        <w:t>sobre el que se encuentra el Asentamiento Humano de Hecho y Consolidado d</w:t>
      </w:r>
      <w:r w:rsidR="0059480A" w:rsidRPr="004456FB">
        <w:rPr>
          <w:bCs/>
          <w:color w:val="000000" w:themeColor="text1"/>
          <w:sz w:val="22"/>
          <w:szCs w:val="22"/>
        </w:rPr>
        <w:t>e Interés Social Denominado Comité Pro-Mejoras Del Barrio “18 de Septiembre”</w:t>
      </w:r>
      <w:r w:rsidR="00525BC8" w:rsidRPr="004456FB">
        <w:rPr>
          <w:bCs/>
          <w:color w:val="000000" w:themeColor="text1"/>
          <w:sz w:val="22"/>
          <w:szCs w:val="22"/>
        </w:rPr>
        <w:t xml:space="preserve"> </w:t>
      </w:r>
      <w:r w:rsidR="00525BC8" w:rsidRPr="004456FB">
        <w:rPr>
          <w:sz w:val="22"/>
          <w:szCs w:val="22"/>
        </w:rPr>
        <w:t>ubicado en las parroquias San Isidro del Inca y Llano Chico.</w:t>
      </w:r>
    </w:p>
    <w:p w14:paraId="68906FAE" w14:textId="3F9C331E" w:rsidR="00BD5C4A" w:rsidRPr="00B82F65" w:rsidRDefault="00387F5C" w:rsidP="005C24F4">
      <w:pPr>
        <w:spacing w:after="240" w:line="276" w:lineRule="auto"/>
        <w:jc w:val="both"/>
        <w:rPr>
          <w:bCs/>
          <w:sz w:val="22"/>
          <w:szCs w:val="22"/>
        </w:rPr>
      </w:pPr>
      <w:r w:rsidRPr="00B82F65">
        <w:rPr>
          <w:b/>
          <w:bCs/>
          <w:sz w:val="22"/>
          <w:szCs w:val="22"/>
        </w:rPr>
        <w:t xml:space="preserve">Artículo </w:t>
      </w:r>
      <w:r w:rsidR="004456FB">
        <w:rPr>
          <w:b/>
          <w:bCs/>
          <w:sz w:val="22"/>
          <w:szCs w:val="22"/>
        </w:rPr>
        <w:t>2</w:t>
      </w:r>
      <w:r w:rsidRPr="00B82F65">
        <w:rPr>
          <w:b/>
          <w:bCs/>
          <w:sz w:val="22"/>
          <w:szCs w:val="22"/>
        </w:rPr>
        <w:t>.-</w:t>
      </w:r>
      <w:r w:rsidRPr="00B82F65">
        <w:rPr>
          <w:bCs/>
          <w:sz w:val="22"/>
          <w:szCs w:val="22"/>
        </w:rPr>
        <w:t xml:space="preserve"> </w:t>
      </w:r>
      <w:r w:rsidR="00BD5C4A" w:rsidRPr="00B82F65">
        <w:rPr>
          <w:bCs/>
          <w:sz w:val="22"/>
          <w:szCs w:val="22"/>
        </w:rPr>
        <w:t xml:space="preserve">Sustitúyase el artículo 1 de la </w:t>
      </w:r>
      <w:r w:rsidR="0059480A" w:rsidRPr="00B82F65">
        <w:rPr>
          <w:bCs/>
          <w:sz w:val="22"/>
          <w:szCs w:val="22"/>
        </w:rPr>
        <w:t>Ordenanza No. 0473, sancionada el 26 de diciembre de 2013</w:t>
      </w:r>
      <w:r w:rsidR="00BD5C4A" w:rsidRPr="00B82F65">
        <w:rPr>
          <w:bCs/>
          <w:sz w:val="22"/>
          <w:szCs w:val="22"/>
        </w:rPr>
        <w:t>, por el siguiente:</w:t>
      </w:r>
    </w:p>
    <w:p w14:paraId="34D33C3F" w14:textId="6CEB9471" w:rsidR="00427E2B" w:rsidRPr="00C12CE5" w:rsidRDefault="00BD5C4A" w:rsidP="00427E2B">
      <w:pPr>
        <w:spacing w:after="240" w:line="276" w:lineRule="auto"/>
        <w:jc w:val="both"/>
        <w:rPr>
          <w:i/>
        </w:rPr>
      </w:pPr>
      <w:r w:rsidRPr="00C12CE5">
        <w:rPr>
          <w:b/>
          <w:bCs/>
          <w:i/>
        </w:rPr>
        <w:t xml:space="preserve">“Artículo 1.- De los planos y documentos presentados.- </w:t>
      </w:r>
      <w:r w:rsidR="00427E2B" w:rsidRPr="00C12CE5">
        <w:rPr>
          <w:i/>
        </w:rPr>
        <w:t>Los planos y documentos presentados para la aprobación del presente acto normativo son de exclusiva responsabilidad del proyectista y de los copropietarios del Asentamiento Humano de Hecho y Consolidado de Interés Social denominado</w:t>
      </w:r>
      <w:r w:rsidR="00D06BF7" w:rsidRPr="00C12CE5">
        <w:rPr>
          <w:i/>
        </w:rPr>
        <w:t xml:space="preserve"> </w:t>
      </w:r>
      <w:r w:rsidR="0059480A" w:rsidRPr="00C12CE5">
        <w:rPr>
          <w:i/>
        </w:rPr>
        <w:t>Comité Pro-Mejoras Del Barrio “18 de Septiembre”</w:t>
      </w:r>
      <w:r w:rsidR="008952CC" w:rsidRPr="00C12CE5">
        <w:rPr>
          <w:i/>
        </w:rPr>
        <w:t xml:space="preserve">, </w:t>
      </w:r>
      <w:r w:rsidRPr="00C12CE5">
        <w:rPr>
          <w:i/>
        </w:rPr>
        <w:t>ubicado en la</w:t>
      </w:r>
      <w:r w:rsidR="0059480A" w:rsidRPr="00C12CE5">
        <w:rPr>
          <w:i/>
        </w:rPr>
        <w:t>s</w:t>
      </w:r>
      <w:r w:rsidRPr="00C12CE5">
        <w:rPr>
          <w:i/>
        </w:rPr>
        <w:t xml:space="preserve"> </w:t>
      </w:r>
      <w:r w:rsidR="0059480A" w:rsidRPr="00C12CE5">
        <w:rPr>
          <w:i/>
        </w:rPr>
        <w:t xml:space="preserve">parroquias San Isidro del Inca y Llano Chico, </w:t>
      </w:r>
      <w:r w:rsidR="00427E2B" w:rsidRPr="00C12CE5">
        <w:rPr>
          <w:i/>
        </w:rPr>
        <w:t>y de los funcionarios municipales que revisaron los planos y los documentos legales y/o emitieron los informes técnicos habilitantes de este procedimiento de regularización, salvo que estos hayan sido inducidos al engaño o al error.</w:t>
      </w:r>
    </w:p>
    <w:p w14:paraId="26BB1C92" w14:textId="77777777" w:rsidR="00427E2B" w:rsidRPr="00C12CE5" w:rsidRDefault="00427E2B" w:rsidP="00427E2B">
      <w:pPr>
        <w:spacing w:after="240" w:line="276" w:lineRule="auto"/>
        <w:jc w:val="both"/>
        <w:rPr>
          <w:i/>
        </w:rPr>
      </w:pPr>
      <w:r w:rsidRPr="00C12CE5">
        <w:rPr>
          <w:i/>
        </w:rPr>
        <w:t>En caso de comprobarse ocultación o falsedad en planos, datos, documentos, o de existir reclamos de terceros afectados, será de exclusiva responsabilidad del técnico y de los copropietarios del predio.</w:t>
      </w:r>
    </w:p>
    <w:p w14:paraId="237EC62E" w14:textId="7343E527" w:rsidR="00BD5C4A" w:rsidRPr="00C12CE5" w:rsidRDefault="00427E2B" w:rsidP="00427E2B">
      <w:pPr>
        <w:jc w:val="both"/>
        <w:rPr>
          <w:i/>
        </w:rPr>
      </w:pPr>
      <w:r w:rsidRPr="00C12CE5">
        <w:rPr>
          <w:i/>
        </w:rPr>
        <w:t>Las dimensiones y superficies de los lotes son las determinadas en el plano aprobatorio que forma parte integrante de esta Ordenanza.</w:t>
      </w:r>
    </w:p>
    <w:p w14:paraId="2E7B3134" w14:textId="77777777" w:rsidR="00427E2B" w:rsidRPr="00C12CE5" w:rsidRDefault="00427E2B" w:rsidP="00427E2B">
      <w:pPr>
        <w:jc w:val="both"/>
        <w:rPr>
          <w:i/>
        </w:rPr>
      </w:pPr>
    </w:p>
    <w:p w14:paraId="51858ECD" w14:textId="10752A92" w:rsidR="00BD5C4A" w:rsidRPr="00C12CE5" w:rsidRDefault="00427E2B" w:rsidP="00BD5C4A">
      <w:pPr>
        <w:spacing w:after="240" w:line="276" w:lineRule="auto"/>
        <w:jc w:val="both"/>
        <w:rPr>
          <w:i/>
        </w:rPr>
      </w:pPr>
      <w:r w:rsidRPr="00C12CE5">
        <w:rPr>
          <w:i/>
        </w:rPr>
        <w:t xml:space="preserve">Los copropietarios del Asentamiento Humano de Hecho y Consolidado de Interés Social denominado </w:t>
      </w:r>
      <w:r w:rsidR="0059480A" w:rsidRPr="00C12CE5">
        <w:rPr>
          <w:i/>
        </w:rPr>
        <w:t>Comité Pro-Mejoras Del Barrio “18 de Septiembre”</w:t>
      </w:r>
      <w:r w:rsidR="00525BC8" w:rsidRPr="00C12CE5">
        <w:rPr>
          <w:i/>
        </w:rPr>
        <w:t xml:space="preserve"> ubicado en las parroquias San Isidro del Inca y Llano Chico</w:t>
      </w:r>
      <w:r w:rsidR="00BD5C4A" w:rsidRPr="00C12CE5">
        <w:rPr>
          <w:bCs/>
          <w:i/>
        </w:rPr>
        <w:t>,</w:t>
      </w:r>
      <w:r w:rsidR="00BD5C4A" w:rsidRPr="00C12CE5">
        <w:rPr>
          <w:i/>
        </w:rPr>
        <w:t xml:space="preserve"> se comprometen a respe</w:t>
      </w:r>
      <w:r w:rsidR="00A56C6F" w:rsidRPr="00C12CE5">
        <w:rPr>
          <w:i/>
        </w:rPr>
        <w:t>tar las características de los l</w:t>
      </w:r>
      <w:r w:rsidR="00BD5C4A" w:rsidRPr="00C12CE5">
        <w:rPr>
          <w:i/>
        </w:rPr>
        <w:t xml:space="preserve">otes establecidas en el Plano y en este instrumento; por tanto, no podrán fraccionarlos o dividirlos. </w:t>
      </w:r>
    </w:p>
    <w:p w14:paraId="0BC4423E" w14:textId="5B2F718C" w:rsidR="00BD5C4A" w:rsidRPr="00B82F65" w:rsidRDefault="00525BC8" w:rsidP="00BD5C4A">
      <w:pPr>
        <w:spacing w:after="240" w:line="276" w:lineRule="auto"/>
        <w:jc w:val="both"/>
        <w:rPr>
          <w:i/>
          <w:sz w:val="22"/>
          <w:szCs w:val="22"/>
        </w:rPr>
      </w:pPr>
      <w:r w:rsidRPr="00C12CE5">
        <w:rPr>
          <w:i/>
        </w:rPr>
        <w:t>El incumplimiento de lo</w:t>
      </w:r>
      <w:r w:rsidR="00BD5C4A" w:rsidRPr="00C12CE5">
        <w:rPr>
          <w:i/>
        </w:rPr>
        <w:t xml:space="preserve"> dispuesto en la presente Ordenanza y en la normativa metropolitana y nacional vigente al respecto, dará lugar a la imposición de las sanciones correspondientes.</w:t>
      </w:r>
      <w:r w:rsidR="00427E2B" w:rsidRPr="00C12CE5">
        <w:rPr>
          <w:i/>
        </w:rPr>
        <w:t>”</w:t>
      </w:r>
    </w:p>
    <w:p w14:paraId="4DCEF15A" w14:textId="7524279C" w:rsidR="00B46EA4" w:rsidRPr="00C12CE5" w:rsidRDefault="00B46EA4" w:rsidP="00B46EA4">
      <w:pPr>
        <w:spacing w:after="240" w:line="276" w:lineRule="auto"/>
        <w:jc w:val="both"/>
        <w:rPr>
          <w:i/>
        </w:rPr>
      </w:pPr>
      <w:r w:rsidRPr="00B82F65">
        <w:rPr>
          <w:b/>
          <w:sz w:val="22"/>
          <w:szCs w:val="22"/>
          <w:lang w:val="es-EC"/>
        </w:rPr>
        <w:t xml:space="preserve">Artículo </w:t>
      </w:r>
      <w:r w:rsidR="004456FB">
        <w:rPr>
          <w:b/>
          <w:sz w:val="22"/>
          <w:szCs w:val="22"/>
          <w:lang w:val="es-EC"/>
        </w:rPr>
        <w:t>3</w:t>
      </w:r>
      <w:r w:rsidRPr="00B82F65">
        <w:rPr>
          <w:b/>
          <w:sz w:val="22"/>
          <w:szCs w:val="22"/>
          <w:lang w:val="es-EC"/>
        </w:rPr>
        <w:t>.-</w:t>
      </w:r>
      <w:r w:rsidRPr="00B82F65">
        <w:rPr>
          <w:sz w:val="22"/>
          <w:szCs w:val="22"/>
          <w:lang w:val="es-EC"/>
        </w:rPr>
        <w:t xml:space="preserve"> </w:t>
      </w:r>
      <w:r w:rsidRPr="004456FB">
        <w:rPr>
          <w:b/>
          <w:sz w:val="22"/>
          <w:szCs w:val="22"/>
          <w:lang w:val="es-EC"/>
        </w:rPr>
        <w:t>Declaratoria de Interés Social.-</w:t>
      </w:r>
      <w:r w:rsidRPr="00C12CE5">
        <w:rPr>
          <w:b/>
          <w:bCs/>
          <w:i/>
        </w:rPr>
        <w:t xml:space="preserve"> </w:t>
      </w:r>
      <w:r w:rsidRPr="004456FB">
        <w:rPr>
          <w:bCs/>
          <w:sz w:val="22"/>
          <w:szCs w:val="22"/>
        </w:rPr>
        <w:t>Por las condiciones del Asentamiento Humano de Hecho y Consolidado, se lo aprueba considerándolo de Interés Social de confor</w:t>
      </w:r>
      <w:r w:rsidR="004456FB">
        <w:rPr>
          <w:bCs/>
          <w:sz w:val="22"/>
          <w:szCs w:val="22"/>
        </w:rPr>
        <w:t>midad con la normativa vigente.</w:t>
      </w:r>
    </w:p>
    <w:p w14:paraId="137661DC" w14:textId="21235E81" w:rsidR="00B52C4F" w:rsidRPr="00B82F65" w:rsidRDefault="00B52C4F" w:rsidP="005C24F4">
      <w:pPr>
        <w:spacing w:after="240" w:line="276" w:lineRule="auto"/>
        <w:jc w:val="both"/>
        <w:rPr>
          <w:bCs/>
          <w:sz w:val="22"/>
          <w:szCs w:val="22"/>
        </w:rPr>
      </w:pPr>
      <w:r w:rsidRPr="00B82F65">
        <w:rPr>
          <w:b/>
          <w:bCs/>
          <w:sz w:val="22"/>
          <w:szCs w:val="22"/>
        </w:rPr>
        <w:t xml:space="preserve">Artículo </w:t>
      </w:r>
      <w:r w:rsidR="004456FB">
        <w:rPr>
          <w:b/>
          <w:bCs/>
          <w:sz w:val="22"/>
          <w:szCs w:val="22"/>
        </w:rPr>
        <w:t>4</w:t>
      </w:r>
      <w:r w:rsidRPr="00B82F65">
        <w:rPr>
          <w:b/>
          <w:bCs/>
          <w:sz w:val="22"/>
          <w:szCs w:val="22"/>
        </w:rPr>
        <w:t xml:space="preserve">.- </w:t>
      </w:r>
      <w:r w:rsidRPr="00B82F65">
        <w:rPr>
          <w:bCs/>
          <w:sz w:val="22"/>
          <w:szCs w:val="22"/>
        </w:rPr>
        <w:t xml:space="preserve">Sustitúyase el artículo 2 de la </w:t>
      </w:r>
      <w:r w:rsidR="0059480A" w:rsidRPr="00B82F65">
        <w:rPr>
          <w:bCs/>
          <w:sz w:val="22"/>
          <w:szCs w:val="22"/>
        </w:rPr>
        <w:t>Ordenanza No. 0473, sancionada el 26 de diciembre de 2013</w:t>
      </w:r>
      <w:r w:rsidRPr="00B82F65">
        <w:rPr>
          <w:bCs/>
          <w:sz w:val="22"/>
          <w:szCs w:val="22"/>
        </w:rPr>
        <w:t xml:space="preserve">, por el siguiente: </w:t>
      </w:r>
    </w:p>
    <w:p w14:paraId="3F94EB53" w14:textId="77777777" w:rsidR="00B52C4F" w:rsidRPr="00C12CE5" w:rsidRDefault="00B52C4F" w:rsidP="005C24F4">
      <w:pPr>
        <w:spacing w:after="240" w:line="276" w:lineRule="auto"/>
        <w:jc w:val="both"/>
        <w:rPr>
          <w:i/>
          <w:lang w:val="es-EC"/>
        </w:rPr>
      </w:pPr>
      <w:r w:rsidRPr="00C12CE5">
        <w:rPr>
          <w:bCs/>
          <w:i/>
        </w:rPr>
        <w:t>“</w:t>
      </w:r>
      <w:r w:rsidRPr="00C12CE5">
        <w:rPr>
          <w:b/>
          <w:i/>
          <w:lang w:val="es-EC"/>
        </w:rPr>
        <w:t>Artículo 2- Especificaciones técnicas:</w:t>
      </w:r>
      <w:r w:rsidRPr="00C12CE5">
        <w:rPr>
          <w:i/>
          <w:lang w:val="es-EC"/>
        </w:rPr>
        <w:t xml:space="preserve"> </w:t>
      </w: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696"/>
        <w:gridCol w:w="1701"/>
        <w:gridCol w:w="1701"/>
        <w:gridCol w:w="1559"/>
      </w:tblGrid>
      <w:tr w:rsidR="0059480A" w:rsidRPr="00C12CE5" w14:paraId="38251156" w14:textId="77777777" w:rsidTr="00CA7D73">
        <w:tc>
          <w:tcPr>
            <w:tcW w:w="2127" w:type="dxa"/>
            <w:tcBorders>
              <w:top w:val="single" w:sz="4" w:space="0" w:color="auto"/>
              <w:left w:val="single" w:sz="4" w:space="0" w:color="auto"/>
              <w:bottom w:val="single" w:sz="4" w:space="0" w:color="auto"/>
              <w:right w:val="single" w:sz="4" w:space="0" w:color="auto"/>
            </w:tcBorders>
          </w:tcPr>
          <w:p w14:paraId="14DBAD67" w14:textId="77777777" w:rsidR="0059480A" w:rsidRPr="00C12CE5" w:rsidRDefault="0059480A" w:rsidP="00CA7D73">
            <w:pPr>
              <w:rPr>
                <w:i/>
              </w:rPr>
            </w:pPr>
            <w:r w:rsidRPr="00C12CE5">
              <w:rPr>
                <w:b/>
                <w:i/>
              </w:rPr>
              <w:t>Predio:</w:t>
            </w:r>
          </w:p>
        </w:tc>
        <w:tc>
          <w:tcPr>
            <w:tcW w:w="1696" w:type="dxa"/>
            <w:tcBorders>
              <w:top w:val="single" w:sz="4" w:space="0" w:color="auto"/>
              <w:left w:val="single" w:sz="4" w:space="0" w:color="auto"/>
              <w:bottom w:val="single" w:sz="4" w:space="0" w:color="auto"/>
              <w:right w:val="single" w:sz="4" w:space="0" w:color="auto"/>
            </w:tcBorders>
          </w:tcPr>
          <w:p w14:paraId="4A97F53A" w14:textId="77777777" w:rsidR="0059480A" w:rsidRPr="00C12CE5" w:rsidRDefault="0059480A" w:rsidP="00CA7D73">
            <w:pPr>
              <w:rPr>
                <w:i/>
              </w:rPr>
            </w:pPr>
            <w:r w:rsidRPr="00C12CE5">
              <w:rPr>
                <w:i/>
              </w:rPr>
              <w:t>544999</w:t>
            </w:r>
          </w:p>
          <w:p w14:paraId="42A77D60" w14:textId="77777777" w:rsidR="0059480A" w:rsidRPr="00C12CE5" w:rsidRDefault="0059480A" w:rsidP="00CA7D73">
            <w:pPr>
              <w:rPr>
                <w:i/>
              </w:rPr>
            </w:pPr>
          </w:p>
        </w:tc>
        <w:tc>
          <w:tcPr>
            <w:tcW w:w="1701" w:type="dxa"/>
            <w:tcBorders>
              <w:top w:val="single" w:sz="4" w:space="0" w:color="auto"/>
              <w:left w:val="single" w:sz="4" w:space="0" w:color="auto"/>
              <w:bottom w:val="single" w:sz="4" w:space="0" w:color="auto"/>
              <w:right w:val="single" w:sz="4" w:space="0" w:color="auto"/>
            </w:tcBorders>
          </w:tcPr>
          <w:p w14:paraId="2E819468" w14:textId="77777777" w:rsidR="0059480A" w:rsidRPr="00C12CE5" w:rsidRDefault="0059480A" w:rsidP="00CA7D73">
            <w:pPr>
              <w:rPr>
                <w:i/>
              </w:rPr>
            </w:pPr>
            <w:r w:rsidRPr="00C12CE5">
              <w:rPr>
                <w:i/>
              </w:rPr>
              <w:t>3674829</w:t>
            </w:r>
          </w:p>
        </w:tc>
        <w:tc>
          <w:tcPr>
            <w:tcW w:w="1701" w:type="dxa"/>
            <w:tcBorders>
              <w:top w:val="single" w:sz="4" w:space="0" w:color="auto"/>
              <w:left w:val="single" w:sz="4" w:space="0" w:color="auto"/>
              <w:bottom w:val="single" w:sz="4" w:space="0" w:color="auto"/>
              <w:right w:val="single" w:sz="4" w:space="0" w:color="auto"/>
            </w:tcBorders>
          </w:tcPr>
          <w:p w14:paraId="3C272D07" w14:textId="77777777" w:rsidR="0059480A" w:rsidRPr="00C12CE5" w:rsidRDefault="0059480A" w:rsidP="00CA7D73">
            <w:pPr>
              <w:rPr>
                <w:i/>
              </w:rPr>
            </w:pPr>
            <w:r w:rsidRPr="00C12CE5">
              <w:rPr>
                <w:i/>
              </w:rPr>
              <w:t>3674832</w:t>
            </w:r>
          </w:p>
        </w:tc>
        <w:tc>
          <w:tcPr>
            <w:tcW w:w="1559" w:type="dxa"/>
            <w:tcBorders>
              <w:top w:val="single" w:sz="4" w:space="0" w:color="auto"/>
              <w:left w:val="single" w:sz="4" w:space="0" w:color="auto"/>
              <w:bottom w:val="single" w:sz="4" w:space="0" w:color="auto"/>
              <w:right w:val="single" w:sz="4" w:space="0" w:color="auto"/>
            </w:tcBorders>
          </w:tcPr>
          <w:p w14:paraId="45F737D0" w14:textId="77777777" w:rsidR="0059480A" w:rsidRPr="00C12CE5" w:rsidRDefault="0059480A" w:rsidP="00CA7D73">
            <w:pPr>
              <w:rPr>
                <w:i/>
              </w:rPr>
            </w:pPr>
            <w:r w:rsidRPr="00C12CE5">
              <w:rPr>
                <w:i/>
              </w:rPr>
              <w:t>3674831</w:t>
            </w:r>
          </w:p>
        </w:tc>
      </w:tr>
      <w:tr w:rsidR="0059480A" w:rsidRPr="00C12CE5" w14:paraId="0A9982F9" w14:textId="77777777" w:rsidTr="00CA7D73">
        <w:tc>
          <w:tcPr>
            <w:tcW w:w="2127" w:type="dxa"/>
            <w:tcBorders>
              <w:top w:val="single" w:sz="4" w:space="0" w:color="auto"/>
              <w:left w:val="single" w:sz="4" w:space="0" w:color="auto"/>
              <w:bottom w:val="single" w:sz="4" w:space="0" w:color="auto"/>
              <w:right w:val="single" w:sz="4" w:space="0" w:color="auto"/>
            </w:tcBorders>
          </w:tcPr>
          <w:p w14:paraId="0116E3DE" w14:textId="77777777" w:rsidR="0059480A" w:rsidRPr="00C12CE5" w:rsidRDefault="0059480A" w:rsidP="00CA7D73">
            <w:pPr>
              <w:rPr>
                <w:b/>
                <w:i/>
              </w:rPr>
            </w:pPr>
            <w:r w:rsidRPr="00C12CE5">
              <w:rPr>
                <w:b/>
                <w:i/>
              </w:rPr>
              <w:t>Zonificación actual:</w:t>
            </w:r>
          </w:p>
        </w:tc>
        <w:tc>
          <w:tcPr>
            <w:tcW w:w="1696" w:type="dxa"/>
            <w:tcBorders>
              <w:top w:val="single" w:sz="4" w:space="0" w:color="auto"/>
              <w:left w:val="single" w:sz="4" w:space="0" w:color="auto"/>
              <w:bottom w:val="single" w:sz="4" w:space="0" w:color="auto"/>
              <w:right w:val="single" w:sz="4" w:space="0" w:color="auto"/>
            </w:tcBorders>
          </w:tcPr>
          <w:p w14:paraId="66306408" w14:textId="77777777" w:rsidR="0059480A" w:rsidRPr="00C12CE5" w:rsidRDefault="0059480A" w:rsidP="00CA7D73">
            <w:pPr>
              <w:rPr>
                <w:i/>
              </w:rPr>
            </w:pPr>
            <w:r w:rsidRPr="00C12CE5">
              <w:rPr>
                <w:i/>
              </w:rPr>
              <w:t>D5 (D304-80)/A31 (PQ)</w:t>
            </w:r>
          </w:p>
          <w:p w14:paraId="697A8370" w14:textId="77777777" w:rsidR="0059480A" w:rsidRPr="00C12CE5" w:rsidRDefault="0059480A" w:rsidP="00CA7D73">
            <w:pPr>
              <w:rPr>
                <w:i/>
              </w:rPr>
            </w:pPr>
          </w:p>
        </w:tc>
        <w:tc>
          <w:tcPr>
            <w:tcW w:w="1701" w:type="dxa"/>
            <w:tcBorders>
              <w:top w:val="single" w:sz="4" w:space="0" w:color="auto"/>
              <w:left w:val="single" w:sz="4" w:space="0" w:color="auto"/>
              <w:bottom w:val="single" w:sz="4" w:space="0" w:color="auto"/>
              <w:right w:val="single" w:sz="4" w:space="0" w:color="auto"/>
            </w:tcBorders>
          </w:tcPr>
          <w:p w14:paraId="1C1140A6" w14:textId="77777777" w:rsidR="0059480A" w:rsidRPr="00C12CE5" w:rsidRDefault="0059480A" w:rsidP="00CA7D73">
            <w:pPr>
              <w:rPr>
                <w:i/>
              </w:rPr>
            </w:pPr>
            <w:r w:rsidRPr="00C12CE5">
              <w:rPr>
                <w:i/>
              </w:rPr>
              <w:t>D5 (D304-80)/D3 (D203-80/A31 (PQ)</w:t>
            </w:r>
          </w:p>
        </w:tc>
        <w:tc>
          <w:tcPr>
            <w:tcW w:w="1701" w:type="dxa"/>
            <w:tcBorders>
              <w:top w:val="single" w:sz="4" w:space="0" w:color="auto"/>
              <w:left w:val="single" w:sz="4" w:space="0" w:color="auto"/>
              <w:bottom w:val="single" w:sz="4" w:space="0" w:color="auto"/>
              <w:right w:val="single" w:sz="4" w:space="0" w:color="auto"/>
            </w:tcBorders>
          </w:tcPr>
          <w:p w14:paraId="5CE9D56D" w14:textId="77777777" w:rsidR="0059480A" w:rsidRPr="00C12CE5" w:rsidRDefault="0059480A" w:rsidP="00CA7D73">
            <w:pPr>
              <w:rPr>
                <w:i/>
              </w:rPr>
            </w:pPr>
            <w:r w:rsidRPr="00C12CE5">
              <w:rPr>
                <w:i/>
              </w:rPr>
              <w:t xml:space="preserve">D3 (D203-80) </w:t>
            </w:r>
          </w:p>
        </w:tc>
        <w:tc>
          <w:tcPr>
            <w:tcW w:w="1559" w:type="dxa"/>
            <w:tcBorders>
              <w:top w:val="single" w:sz="4" w:space="0" w:color="auto"/>
              <w:left w:val="single" w:sz="4" w:space="0" w:color="auto"/>
              <w:bottom w:val="single" w:sz="4" w:space="0" w:color="auto"/>
              <w:right w:val="single" w:sz="4" w:space="0" w:color="auto"/>
            </w:tcBorders>
          </w:tcPr>
          <w:p w14:paraId="11ADAE7C" w14:textId="77777777" w:rsidR="0059480A" w:rsidRPr="00C12CE5" w:rsidRDefault="0059480A" w:rsidP="00CA7D73">
            <w:pPr>
              <w:rPr>
                <w:i/>
              </w:rPr>
            </w:pPr>
            <w:r w:rsidRPr="00C12CE5">
              <w:rPr>
                <w:i/>
              </w:rPr>
              <w:t>D3 (D203-80)</w:t>
            </w:r>
          </w:p>
          <w:p w14:paraId="4F0B9680" w14:textId="77777777" w:rsidR="0059480A" w:rsidRPr="00C12CE5" w:rsidRDefault="0059480A" w:rsidP="00CA7D73">
            <w:pPr>
              <w:rPr>
                <w:i/>
              </w:rPr>
            </w:pPr>
          </w:p>
        </w:tc>
      </w:tr>
      <w:tr w:rsidR="0059480A" w:rsidRPr="00C12CE5" w14:paraId="3A6F71CA" w14:textId="77777777" w:rsidTr="00CA7D73">
        <w:trPr>
          <w:trHeight w:val="307"/>
        </w:trPr>
        <w:tc>
          <w:tcPr>
            <w:tcW w:w="2127" w:type="dxa"/>
            <w:tcBorders>
              <w:top w:val="single" w:sz="4" w:space="0" w:color="auto"/>
              <w:left w:val="single" w:sz="4" w:space="0" w:color="auto"/>
              <w:bottom w:val="single" w:sz="4" w:space="0" w:color="auto"/>
              <w:right w:val="single" w:sz="4" w:space="0" w:color="auto"/>
            </w:tcBorders>
          </w:tcPr>
          <w:p w14:paraId="3E422F19" w14:textId="77777777" w:rsidR="0059480A" w:rsidRPr="00C12CE5" w:rsidRDefault="0059480A" w:rsidP="00CA7D73">
            <w:pPr>
              <w:rPr>
                <w:i/>
              </w:rPr>
            </w:pPr>
            <w:r w:rsidRPr="00C12CE5">
              <w:rPr>
                <w:b/>
                <w:i/>
              </w:rPr>
              <w:t>Lote mínimo:</w:t>
            </w:r>
          </w:p>
        </w:tc>
        <w:tc>
          <w:tcPr>
            <w:tcW w:w="1696" w:type="dxa"/>
            <w:tcBorders>
              <w:top w:val="single" w:sz="4" w:space="0" w:color="auto"/>
              <w:left w:val="single" w:sz="4" w:space="0" w:color="auto"/>
              <w:bottom w:val="single" w:sz="4" w:space="0" w:color="auto"/>
              <w:right w:val="single" w:sz="4" w:space="0" w:color="auto"/>
            </w:tcBorders>
          </w:tcPr>
          <w:p w14:paraId="0C15A51B" w14:textId="77777777" w:rsidR="0059480A" w:rsidRPr="00C12CE5" w:rsidRDefault="0059480A" w:rsidP="00CA7D73">
            <w:pPr>
              <w:rPr>
                <w:i/>
                <w:vertAlign w:val="superscript"/>
              </w:rPr>
            </w:pPr>
            <w:r w:rsidRPr="00C12CE5">
              <w:rPr>
                <w:i/>
              </w:rPr>
              <w:t>300 m</w:t>
            </w:r>
            <w:r w:rsidRPr="00C12CE5">
              <w:rPr>
                <w:i/>
                <w:vertAlign w:val="superscript"/>
              </w:rPr>
              <w:t>2</w:t>
            </w:r>
          </w:p>
          <w:p w14:paraId="356BBA2D" w14:textId="77777777" w:rsidR="0059480A" w:rsidRPr="00C12CE5" w:rsidRDefault="0059480A" w:rsidP="00CA7D73">
            <w:pPr>
              <w:rPr>
                <w:i/>
              </w:rPr>
            </w:pPr>
          </w:p>
        </w:tc>
        <w:tc>
          <w:tcPr>
            <w:tcW w:w="1701" w:type="dxa"/>
            <w:tcBorders>
              <w:top w:val="single" w:sz="4" w:space="0" w:color="auto"/>
              <w:left w:val="single" w:sz="4" w:space="0" w:color="auto"/>
              <w:bottom w:val="single" w:sz="4" w:space="0" w:color="auto"/>
              <w:right w:val="single" w:sz="4" w:space="0" w:color="auto"/>
            </w:tcBorders>
          </w:tcPr>
          <w:p w14:paraId="00D22120" w14:textId="77777777" w:rsidR="0059480A" w:rsidRPr="00C12CE5" w:rsidRDefault="0059480A" w:rsidP="00CA7D73">
            <w:pPr>
              <w:rPr>
                <w:i/>
                <w:vertAlign w:val="superscript"/>
              </w:rPr>
            </w:pPr>
            <w:r w:rsidRPr="00C12CE5">
              <w:rPr>
                <w:i/>
              </w:rPr>
              <w:t>300 m</w:t>
            </w:r>
            <w:r w:rsidRPr="00C12CE5">
              <w:rPr>
                <w:i/>
                <w:vertAlign w:val="superscript"/>
              </w:rPr>
              <w:t>2</w:t>
            </w:r>
            <w:r w:rsidRPr="00C12CE5">
              <w:rPr>
                <w:i/>
              </w:rPr>
              <w:t>/200m</w:t>
            </w:r>
            <w:r w:rsidRPr="00C12CE5">
              <w:rPr>
                <w:i/>
                <w:vertAlign w:val="superscript"/>
              </w:rPr>
              <w:t>2</w:t>
            </w:r>
          </w:p>
          <w:p w14:paraId="184D74C3" w14:textId="77777777" w:rsidR="0059480A" w:rsidRPr="00C12CE5" w:rsidRDefault="0059480A" w:rsidP="00CA7D73">
            <w:pPr>
              <w:rPr>
                <w:i/>
              </w:rPr>
            </w:pPr>
          </w:p>
        </w:tc>
        <w:tc>
          <w:tcPr>
            <w:tcW w:w="1701" w:type="dxa"/>
            <w:tcBorders>
              <w:top w:val="single" w:sz="4" w:space="0" w:color="auto"/>
              <w:left w:val="single" w:sz="4" w:space="0" w:color="auto"/>
              <w:bottom w:val="single" w:sz="4" w:space="0" w:color="auto"/>
              <w:right w:val="single" w:sz="4" w:space="0" w:color="auto"/>
            </w:tcBorders>
          </w:tcPr>
          <w:p w14:paraId="6E850FCA" w14:textId="77777777" w:rsidR="0059480A" w:rsidRPr="00C12CE5" w:rsidRDefault="0059480A" w:rsidP="00CA7D73">
            <w:pPr>
              <w:rPr>
                <w:i/>
                <w:vertAlign w:val="superscript"/>
              </w:rPr>
            </w:pPr>
            <w:r w:rsidRPr="00C12CE5">
              <w:rPr>
                <w:i/>
              </w:rPr>
              <w:t>200 m</w:t>
            </w:r>
            <w:r w:rsidRPr="00C12CE5">
              <w:rPr>
                <w:i/>
                <w:vertAlign w:val="superscript"/>
              </w:rPr>
              <w:t>2</w:t>
            </w:r>
          </w:p>
          <w:p w14:paraId="01BBB182" w14:textId="77777777" w:rsidR="0059480A" w:rsidRPr="00C12CE5" w:rsidRDefault="0059480A" w:rsidP="00CA7D73">
            <w:pPr>
              <w:rPr>
                <w:i/>
              </w:rPr>
            </w:pPr>
          </w:p>
        </w:tc>
        <w:tc>
          <w:tcPr>
            <w:tcW w:w="1559" w:type="dxa"/>
            <w:tcBorders>
              <w:top w:val="single" w:sz="4" w:space="0" w:color="auto"/>
              <w:left w:val="single" w:sz="4" w:space="0" w:color="auto"/>
              <w:bottom w:val="single" w:sz="4" w:space="0" w:color="auto"/>
              <w:right w:val="single" w:sz="4" w:space="0" w:color="auto"/>
            </w:tcBorders>
          </w:tcPr>
          <w:p w14:paraId="18958080" w14:textId="77777777" w:rsidR="0059480A" w:rsidRPr="00C12CE5" w:rsidRDefault="0059480A" w:rsidP="00CA7D73">
            <w:pPr>
              <w:rPr>
                <w:i/>
              </w:rPr>
            </w:pPr>
            <w:r w:rsidRPr="00C12CE5">
              <w:rPr>
                <w:i/>
              </w:rPr>
              <w:t>200 m</w:t>
            </w:r>
            <w:r w:rsidRPr="00C12CE5">
              <w:rPr>
                <w:i/>
                <w:vertAlign w:val="superscript"/>
              </w:rPr>
              <w:t>2</w:t>
            </w:r>
          </w:p>
        </w:tc>
      </w:tr>
      <w:tr w:rsidR="0059480A" w:rsidRPr="00C12CE5" w14:paraId="7163BCFF" w14:textId="77777777" w:rsidTr="00CA7D73">
        <w:trPr>
          <w:trHeight w:val="669"/>
        </w:trPr>
        <w:tc>
          <w:tcPr>
            <w:tcW w:w="2127" w:type="dxa"/>
            <w:tcBorders>
              <w:top w:val="single" w:sz="4" w:space="0" w:color="auto"/>
              <w:left w:val="single" w:sz="4" w:space="0" w:color="auto"/>
              <w:bottom w:val="single" w:sz="4" w:space="0" w:color="auto"/>
              <w:right w:val="single" w:sz="4" w:space="0" w:color="auto"/>
            </w:tcBorders>
          </w:tcPr>
          <w:p w14:paraId="606D2135" w14:textId="77777777" w:rsidR="0059480A" w:rsidRPr="00C12CE5" w:rsidRDefault="0059480A" w:rsidP="00CA7D73">
            <w:pPr>
              <w:rPr>
                <w:i/>
              </w:rPr>
            </w:pPr>
            <w:r w:rsidRPr="00C12CE5">
              <w:rPr>
                <w:b/>
                <w:i/>
              </w:rPr>
              <w:t>Forma ocupación del suelo:</w:t>
            </w:r>
          </w:p>
        </w:tc>
        <w:tc>
          <w:tcPr>
            <w:tcW w:w="1696" w:type="dxa"/>
            <w:tcBorders>
              <w:top w:val="single" w:sz="4" w:space="0" w:color="auto"/>
              <w:left w:val="single" w:sz="4" w:space="0" w:color="auto"/>
              <w:bottom w:val="single" w:sz="4" w:space="0" w:color="auto"/>
              <w:right w:val="single" w:sz="4" w:space="0" w:color="auto"/>
            </w:tcBorders>
          </w:tcPr>
          <w:p w14:paraId="559FCB64" w14:textId="77777777" w:rsidR="0059480A" w:rsidRPr="00C12CE5" w:rsidRDefault="0059480A" w:rsidP="00CA7D73">
            <w:pPr>
              <w:rPr>
                <w:i/>
              </w:rPr>
            </w:pPr>
            <w:r w:rsidRPr="00C12CE5">
              <w:rPr>
                <w:i/>
              </w:rPr>
              <w:t>(D) Sobre línea de fábrica/(A) Aislada</w:t>
            </w:r>
          </w:p>
        </w:tc>
        <w:tc>
          <w:tcPr>
            <w:tcW w:w="1701" w:type="dxa"/>
            <w:tcBorders>
              <w:top w:val="single" w:sz="4" w:space="0" w:color="auto"/>
              <w:left w:val="single" w:sz="4" w:space="0" w:color="auto"/>
              <w:bottom w:val="single" w:sz="4" w:space="0" w:color="auto"/>
              <w:right w:val="single" w:sz="4" w:space="0" w:color="auto"/>
            </w:tcBorders>
          </w:tcPr>
          <w:p w14:paraId="6E4A8CB3" w14:textId="77777777" w:rsidR="0059480A" w:rsidRPr="00C12CE5" w:rsidRDefault="0059480A" w:rsidP="00CA7D73">
            <w:pPr>
              <w:rPr>
                <w:i/>
              </w:rPr>
            </w:pPr>
            <w:r w:rsidRPr="00C12CE5">
              <w:rPr>
                <w:i/>
              </w:rPr>
              <w:t>(D) Sobre línea de fábrica/(A) Aislada</w:t>
            </w:r>
          </w:p>
          <w:p w14:paraId="3D0492E8" w14:textId="77777777" w:rsidR="0059480A" w:rsidRPr="00C12CE5" w:rsidRDefault="0059480A" w:rsidP="00CA7D73">
            <w:pPr>
              <w:rPr>
                <w:i/>
              </w:rPr>
            </w:pPr>
          </w:p>
        </w:tc>
        <w:tc>
          <w:tcPr>
            <w:tcW w:w="1701" w:type="dxa"/>
            <w:tcBorders>
              <w:top w:val="single" w:sz="4" w:space="0" w:color="auto"/>
              <w:left w:val="single" w:sz="4" w:space="0" w:color="auto"/>
              <w:bottom w:val="single" w:sz="4" w:space="0" w:color="auto"/>
              <w:right w:val="single" w:sz="4" w:space="0" w:color="auto"/>
            </w:tcBorders>
          </w:tcPr>
          <w:p w14:paraId="7384AD10" w14:textId="77777777" w:rsidR="0059480A" w:rsidRPr="00C12CE5" w:rsidRDefault="0059480A" w:rsidP="00CA7D73">
            <w:pPr>
              <w:rPr>
                <w:i/>
              </w:rPr>
            </w:pPr>
            <w:r w:rsidRPr="00C12CE5">
              <w:rPr>
                <w:i/>
              </w:rPr>
              <w:t>(D) Sobre línea de fábrica</w:t>
            </w:r>
          </w:p>
        </w:tc>
        <w:tc>
          <w:tcPr>
            <w:tcW w:w="1559" w:type="dxa"/>
            <w:tcBorders>
              <w:top w:val="single" w:sz="4" w:space="0" w:color="auto"/>
              <w:left w:val="single" w:sz="4" w:space="0" w:color="auto"/>
              <w:bottom w:val="single" w:sz="4" w:space="0" w:color="auto"/>
              <w:right w:val="single" w:sz="4" w:space="0" w:color="auto"/>
            </w:tcBorders>
          </w:tcPr>
          <w:p w14:paraId="43F03666" w14:textId="77777777" w:rsidR="0059480A" w:rsidRPr="00C12CE5" w:rsidRDefault="0059480A" w:rsidP="00CA7D73">
            <w:pPr>
              <w:rPr>
                <w:i/>
              </w:rPr>
            </w:pPr>
            <w:r w:rsidRPr="00C12CE5">
              <w:rPr>
                <w:i/>
              </w:rPr>
              <w:t>(D) Sobre línea de fábrica</w:t>
            </w:r>
          </w:p>
        </w:tc>
      </w:tr>
      <w:tr w:rsidR="0059480A" w:rsidRPr="00C12CE5" w14:paraId="0D76207A" w14:textId="77777777" w:rsidTr="00CA7D73">
        <w:tc>
          <w:tcPr>
            <w:tcW w:w="2127" w:type="dxa"/>
            <w:tcBorders>
              <w:top w:val="single" w:sz="4" w:space="0" w:color="auto"/>
              <w:left w:val="single" w:sz="4" w:space="0" w:color="auto"/>
              <w:bottom w:val="single" w:sz="4" w:space="0" w:color="auto"/>
              <w:right w:val="single" w:sz="4" w:space="0" w:color="auto"/>
            </w:tcBorders>
          </w:tcPr>
          <w:p w14:paraId="1A566997" w14:textId="77777777" w:rsidR="0059480A" w:rsidRPr="00C12CE5" w:rsidRDefault="0059480A" w:rsidP="00CA7D73">
            <w:pPr>
              <w:rPr>
                <w:i/>
              </w:rPr>
            </w:pPr>
            <w:r w:rsidRPr="00C12CE5">
              <w:rPr>
                <w:b/>
                <w:i/>
              </w:rPr>
              <w:t>Uso principal:</w:t>
            </w:r>
          </w:p>
        </w:tc>
        <w:tc>
          <w:tcPr>
            <w:tcW w:w="1696" w:type="dxa"/>
            <w:tcBorders>
              <w:top w:val="single" w:sz="4" w:space="0" w:color="auto"/>
              <w:left w:val="single" w:sz="4" w:space="0" w:color="auto"/>
              <w:bottom w:val="single" w:sz="4" w:space="0" w:color="auto"/>
              <w:right w:val="single" w:sz="4" w:space="0" w:color="auto"/>
            </w:tcBorders>
          </w:tcPr>
          <w:p w14:paraId="001D8F84" w14:textId="77777777" w:rsidR="0059480A" w:rsidRPr="00C12CE5" w:rsidRDefault="0059480A" w:rsidP="00CA7D73">
            <w:pPr>
              <w:rPr>
                <w:i/>
              </w:rPr>
            </w:pPr>
            <w:r w:rsidRPr="00C12CE5">
              <w:rPr>
                <w:i/>
              </w:rPr>
              <w:t>(RU2) Residencial Urbano 2/ (PE/CPN) Protección Ecológica/ Conservación del Patrimonio Natural</w:t>
            </w:r>
          </w:p>
        </w:tc>
        <w:tc>
          <w:tcPr>
            <w:tcW w:w="1701" w:type="dxa"/>
            <w:tcBorders>
              <w:top w:val="single" w:sz="4" w:space="0" w:color="auto"/>
              <w:left w:val="single" w:sz="4" w:space="0" w:color="auto"/>
              <w:bottom w:val="single" w:sz="4" w:space="0" w:color="auto"/>
              <w:right w:val="single" w:sz="4" w:space="0" w:color="auto"/>
            </w:tcBorders>
          </w:tcPr>
          <w:p w14:paraId="09175D46" w14:textId="77777777" w:rsidR="0059480A" w:rsidRPr="00C12CE5" w:rsidRDefault="0059480A" w:rsidP="00CA7D73">
            <w:pPr>
              <w:rPr>
                <w:i/>
              </w:rPr>
            </w:pPr>
            <w:r w:rsidRPr="00C12CE5">
              <w:rPr>
                <w:i/>
              </w:rPr>
              <w:t>(RU2) Residencial Urbano 2/ (PE/CPN) Protección Ecológica/ Conservación del Patrimonio Natural</w:t>
            </w:r>
          </w:p>
        </w:tc>
        <w:tc>
          <w:tcPr>
            <w:tcW w:w="1701" w:type="dxa"/>
            <w:tcBorders>
              <w:top w:val="single" w:sz="4" w:space="0" w:color="auto"/>
              <w:left w:val="single" w:sz="4" w:space="0" w:color="auto"/>
              <w:bottom w:val="single" w:sz="4" w:space="0" w:color="auto"/>
              <w:right w:val="single" w:sz="4" w:space="0" w:color="auto"/>
            </w:tcBorders>
          </w:tcPr>
          <w:p w14:paraId="60620140" w14:textId="77777777" w:rsidR="0059480A" w:rsidRPr="00C12CE5" w:rsidRDefault="0059480A" w:rsidP="00CA7D73">
            <w:pPr>
              <w:rPr>
                <w:i/>
              </w:rPr>
            </w:pPr>
            <w:r w:rsidRPr="00C12CE5">
              <w:rPr>
                <w:i/>
              </w:rPr>
              <w:t>(RU2) Residencial Urbano 2</w:t>
            </w:r>
          </w:p>
        </w:tc>
        <w:tc>
          <w:tcPr>
            <w:tcW w:w="1559" w:type="dxa"/>
            <w:tcBorders>
              <w:top w:val="single" w:sz="4" w:space="0" w:color="auto"/>
              <w:left w:val="single" w:sz="4" w:space="0" w:color="auto"/>
              <w:bottom w:val="single" w:sz="4" w:space="0" w:color="auto"/>
              <w:right w:val="single" w:sz="4" w:space="0" w:color="auto"/>
            </w:tcBorders>
          </w:tcPr>
          <w:p w14:paraId="2AD6CCA8" w14:textId="77777777" w:rsidR="0059480A" w:rsidRPr="00C12CE5" w:rsidRDefault="0059480A" w:rsidP="00CA7D73">
            <w:pPr>
              <w:rPr>
                <w:i/>
              </w:rPr>
            </w:pPr>
            <w:r w:rsidRPr="00C12CE5">
              <w:rPr>
                <w:i/>
              </w:rPr>
              <w:t>(RU2) Residencial Urbano 2</w:t>
            </w:r>
          </w:p>
        </w:tc>
      </w:tr>
      <w:tr w:rsidR="0059480A" w:rsidRPr="00C12CE5" w14:paraId="3C2E251B" w14:textId="77777777" w:rsidTr="00CA7D73">
        <w:tc>
          <w:tcPr>
            <w:tcW w:w="2127" w:type="dxa"/>
            <w:tcBorders>
              <w:top w:val="single" w:sz="4" w:space="0" w:color="auto"/>
              <w:left w:val="single" w:sz="4" w:space="0" w:color="auto"/>
              <w:bottom w:val="single" w:sz="4" w:space="0" w:color="auto"/>
              <w:right w:val="single" w:sz="4" w:space="0" w:color="auto"/>
            </w:tcBorders>
          </w:tcPr>
          <w:p w14:paraId="07C89AD3" w14:textId="77777777" w:rsidR="0059480A" w:rsidRPr="00C12CE5" w:rsidRDefault="0059480A" w:rsidP="00CA7D73">
            <w:pPr>
              <w:rPr>
                <w:i/>
              </w:rPr>
            </w:pPr>
            <w:r w:rsidRPr="00C12CE5">
              <w:rPr>
                <w:b/>
                <w:i/>
              </w:rPr>
              <w:t>Clasificación del Suelo:</w:t>
            </w:r>
          </w:p>
        </w:tc>
        <w:tc>
          <w:tcPr>
            <w:tcW w:w="1696" w:type="dxa"/>
            <w:tcBorders>
              <w:top w:val="single" w:sz="4" w:space="0" w:color="auto"/>
              <w:left w:val="single" w:sz="4" w:space="0" w:color="auto"/>
              <w:bottom w:val="single" w:sz="4" w:space="0" w:color="auto"/>
              <w:right w:val="single" w:sz="4" w:space="0" w:color="auto"/>
            </w:tcBorders>
          </w:tcPr>
          <w:p w14:paraId="35E85477" w14:textId="77777777" w:rsidR="0059480A" w:rsidRPr="00C12CE5" w:rsidRDefault="0059480A" w:rsidP="00CA7D73">
            <w:pPr>
              <w:rPr>
                <w:i/>
              </w:rPr>
            </w:pPr>
            <w:r w:rsidRPr="00C12CE5">
              <w:rPr>
                <w:i/>
              </w:rPr>
              <w:t xml:space="preserve">(SU) Suelo Urbano </w:t>
            </w:r>
          </w:p>
          <w:p w14:paraId="2CFD1B78" w14:textId="77777777" w:rsidR="0059480A" w:rsidRPr="00C12CE5" w:rsidRDefault="0059480A" w:rsidP="00CA7D73">
            <w:pPr>
              <w:rPr>
                <w:i/>
              </w:rPr>
            </w:pPr>
          </w:p>
        </w:tc>
        <w:tc>
          <w:tcPr>
            <w:tcW w:w="1701" w:type="dxa"/>
            <w:tcBorders>
              <w:top w:val="single" w:sz="4" w:space="0" w:color="auto"/>
              <w:left w:val="single" w:sz="4" w:space="0" w:color="auto"/>
              <w:bottom w:val="single" w:sz="4" w:space="0" w:color="auto"/>
              <w:right w:val="single" w:sz="4" w:space="0" w:color="auto"/>
            </w:tcBorders>
          </w:tcPr>
          <w:p w14:paraId="051393F4" w14:textId="77777777" w:rsidR="0059480A" w:rsidRPr="00C12CE5" w:rsidRDefault="0059480A" w:rsidP="00CA7D73">
            <w:pPr>
              <w:rPr>
                <w:i/>
              </w:rPr>
            </w:pPr>
            <w:r w:rsidRPr="00C12CE5">
              <w:rPr>
                <w:i/>
              </w:rPr>
              <w:t xml:space="preserve">(SU) Suelo Urbano </w:t>
            </w:r>
          </w:p>
          <w:p w14:paraId="5B1FA472" w14:textId="77777777" w:rsidR="0059480A" w:rsidRPr="00C12CE5" w:rsidRDefault="0059480A" w:rsidP="00CA7D73">
            <w:pPr>
              <w:rPr>
                <w:i/>
              </w:rPr>
            </w:pPr>
          </w:p>
        </w:tc>
        <w:tc>
          <w:tcPr>
            <w:tcW w:w="1701" w:type="dxa"/>
            <w:tcBorders>
              <w:top w:val="single" w:sz="4" w:space="0" w:color="auto"/>
              <w:left w:val="single" w:sz="4" w:space="0" w:color="auto"/>
              <w:bottom w:val="single" w:sz="4" w:space="0" w:color="auto"/>
              <w:right w:val="single" w:sz="4" w:space="0" w:color="auto"/>
            </w:tcBorders>
          </w:tcPr>
          <w:p w14:paraId="67F49B14" w14:textId="77777777" w:rsidR="0059480A" w:rsidRPr="00C12CE5" w:rsidRDefault="0059480A" w:rsidP="00CA7D73">
            <w:pPr>
              <w:rPr>
                <w:i/>
              </w:rPr>
            </w:pPr>
            <w:r w:rsidRPr="00C12CE5">
              <w:rPr>
                <w:i/>
              </w:rPr>
              <w:t xml:space="preserve">(SU) Suelo Urbano </w:t>
            </w:r>
          </w:p>
          <w:p w14:paraId="2DEE3D29" w14:textId="77777777" w:rsidR="0059480A" w:rsidRPr="00C12CE5" w:rsidRDefault="0059480A" w:rsidP="00CA7D73">
            <w:pPr>
              <w:rPr>
                <w:i/>
              </w:rPr>
            </w:pPr>
          </w:p>
        </w:tc>
        <w:tc>
          <w:tcPr>
            <w:tcW w:w="1559" w:type="dxa"/>
            <w:tcBorders>
              <w:top w:val="single" w:sz="4" w:space="0" w:color="auto"/>
              <w:left w:val="single" w:sz="4" w:space="0" w:color="auto"/>
              <w:bottom w:val="single" w:sz="4" w:space="0" w:color="auto"/>
              <w:right w:val="single" w:sz="4" w:space="0" w:color="auto"/>
            </w:tcBorders>
          </w:tcPr>
          <w:p w14:paraId="27AD2124" w14:textId="77777777" w:rsidR="0059480A" w:rsidRPr="00C12CE5" w:rsidRDefault="0059480A" w:rsidP="00CA7D73">
            <w:pPr>
              <w:rPr>
                <w:i/>
              </w:rPr>
            </w:pPr>
            <w:r w:rsidRPr="00C12CE5">
              <w:rPr>
                <w:i/>
              </w:rPr>
              <w:t xml:space="preserve">(SU) Suelo Urbano </w:t>
            </w:r>
          </w:p>
          <w:p w14:paraId="37DD345A" w14:textId="77777777" w:rsidR="0059480A" w:rsidRPr="00C12CE5" w:rsidRDefault="0059480A" w:rsidP="00CA7D73">
            <w:pPr>
              <w:rPr>
                <w:i/>
              </w:rPr>
            </w:pPr>
          </w:p>
        </w:tc>
      </w:tr>
      <w:tr w:rsidR="0059480A" w:rsidRPr="00C12CE5" w14:paraId="00B2FA3A" w14:textId="77777777" w:rsidTr="0059480A">
        <w:trPr>
          <w:trHeight w:val="236"/>
        </w:trPr>
        <w:tc>
          <w:tcPr>
            <w:tcW w:w="2127" w:type="dxa"/>
            <w:tcBorders>
              <w:top w:val="single" w:sz="4" w:space="0" w:color="auto"/>
              <w:left w:val="single" w:sz="4" w:space="0" w:color="auto"/>
              <w:bottom w:val="single" w:sz="4" w:space="0" w:color="auto"/>
              <w:right w:val="single" w:sz="4" w:space="0" w:color="auto"/>
            </w:tcBorders>
            <w:vAlign w:val="center"/>
          </w:tcPr>
          <w:p w14:paraId="01597269" w14:textId="2F4C7CAC" w:rsidR="0059480A" w:rsidRPr="00C12CE5" w:rsidRDefault="0059480A" w:rsidP="0059480A">
            <w:pPr>
              <w:rPr>
                <w:b/>
                <w:i/>
              </w:rPr>
            </w:pPr>
            <w:r w:rsidRPr="00C12CE5">
              <w:rPr>
                <w:b/>
                <w:i/>
              </w:rPr>
              <w:t>Número de lotes:</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469296E0" w14:textId="2457A92E" w:rsidR="0059480A" w:rsidRPr="00C12CE5" w:rsidRDefault="0059480A" w:rsidP="0059480A">
            <w:pPr>
              <w:rPr>
                <w:i/>
              </w:rPr>
            </w:pPr>
            <w:r w:rsidRPr="00C12CE5">
              <w:rPr>
                <w:i/>
              </w:rPr>
              <w:t>126</w:t>
            </w:r>
          </w:p>
        </w:tc>
      </w:tr>
      <w:tr w:rsidR="0059480A" w:rsidRPr="00C12CE5" w14:paraId="6DAF4B2B" w14:textId="77777777" w:rsidTr="0059480A">
        <w:tc>
          <w:tcPr>
            <w:tcW w:w="2127" w:type="dxa"/>
            <w:tcBorders>
              <w:top w:val="single" w:sz="4" w:space="0" w:color="auto"/>
              <w:left w:val="single" w:sz="4" w:space="0" w:color="auto"/>
              <w:bottom w:val="single" w:sz="4" w:space="0" w:color="auto"/>
              <w:right w:val="single" w:sz="4" w:space="0" w:color="auto"/>
            </w:tcBorders>
            <w:vAlign w:val="center"/>
          </w:tcPr>
          <w:p w14:paraId="6AE0B3E8" w14:textId="79A826AB" w:rsidR="0059480A" w:rsidRPr="00C12CE5" w:rsidRDefault="0059480A" w:rsidP="00CA7D73">
            <w:pPr>
              <w:rPr>
                <w:b/>
                <w:i/>
              </w:rPr>
            </w:pPr>
            <w:r w:rsidRPr="00C12CE5">
              <w:rPr>
                <w:b/>
                <w:i/>
              </w:rPr>
              <w:t>Área Útil De Lotes</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4962C869" w14:textId="52020341" w:rsidR="0059480A" w:rsidRPr="00C12CE5" w:rsidRDefault="0059480A" w:rsidP="00CA7D73">
            <w:pPr>
              <w:rPr>
                <w:i/>
              </w:rPr>
            </w:pPr>
            <w:r w:rsidRPr="00C12CE5">
              <w:rPr>
                <w:i/>
              </w:rPr>
              <w:t>17439.55m2</w:t>
            </w:r>
          </w:p>
        </w:tc>
      </w:tr>
      <w:tr w:rsidR="0059480A" w:rsidRPr="00C12CE5" w14:paraId="14C00C29" w14:textId="77777777" w:rsidTr="0059480A">
        <w:tc>
          <w:tcPr>
            <w:tcW w:w="2127" w:type="dxa"/>
            <w:tcBorders>
              <w:top w:val="single" w:sz="4" w:space="0" w:color="auto"/>
              <w:left w:val="single" w:sz="4" w:space="0" w:color="auto"/>
              <w:bottom w:val="single" w:sz="4" w:space="0" w:color="auto"/>
              <w:right w:val="single" w:sz="4" w:space="0" w:color="auto"/>
            </w:tcBorders>
            <w:vAlign w:val="center"/>
          </w:tcPr>
          <w:p w14:paraId="6D36374B" w14:textId="77777777" w:rsidR="0059480A" w:rsidRPr="00C12CE5" w:rsidRDefault="0059480A" w:rsidP="00CA7D73">
            <w:pPr>
              <w:rPr>
                <w:b/>
                <w:i/>
              </w:rPr>
            </w:pPr>
          </w:p>
          <w:p w14:paraId="53F4293D" w14:textId="77777777" w:rsidR="0059480A" w:rsidRPr="00C12CE5" w:rsidRDefault="0059480A" w:rsidP="00CA7D73">
            <w:pPr>
              <w:rPr>
                <w:b/>
                <w:i/>
              </w:rPr>
            </w:pPr>
            <w:r w:rsidRPr="00C12CE5">
              <w:rPr>
                <w:b/>
                <w:i/>
              </w:rPr>
              <w:t>Área Faja De Protección BSQ En Lotes</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58DEEB3D" w14:textId="77777777" w:rsidR="0059480A" w:rsidRPr="00C12CE5" w:rsidRDefault="0059480A" w:rsidP="00CA7D73">
            <w:pPr>
              <w:rPr>
                <w:i/>
              </w:rPr>
            </w:pPr>
          </w:p>
          <w:p w14:paraId="7AF37A71" w14:textId="77777777" w:rsidR="0059480A" w:rsidRPr="00C12CE5" w:rsidRDefault="0059480A" w:rsidP="00CA7D73">
            <w:pPr>
              <w:rPr>
                <w:i/>
              </w:rPr>
            </w:pPr>
          </w:p>
          <w:p w14:paraId="69AD47D8" w14:textId="77777777" w:rsidR="0059480A" w:rsidRPr="00C12CE5" w:rsidRDefault="0059480A" w:rsidP="00CA7D73">
            <w:pPr>
              <w:rPr>
                <w:i/>
              </w:rPr>
            </w:pPr>
          </w:p>
          <w:p w14:paraId="37AA20FB" w14:textId="3243C1A3" w:rsidR="0059480A" w:rsidRPr="00C12CE5" w:rsidRDefault="0059480A" w:rsidP="00CA7D73">
            <w:pPr>
              <w:rPr>
                <w:i/>
              </w:rPr>
            </w:pPr>
            <w:r w:rsidRPr="00C12CE5">
              <w:rPr>
                <w:i/>
              </w:rPr>
              <w:t>9942.21m2</w:t>
            </w:r>
          </w:p>
        </w:tc>
      </w:tr>
      <w:tr w:rsidR="0059480A" w:rsidRPr="00C12CE5" w14:paraId="4CA7516F" w14:textId="77777777" w:rsidTr="0059480A">
        <w:tc>
          <w:tcPr>
            <w:tcW w:w="2127" w:type="dxa"/>
            <w:tcBorders>
              <w:top w:val="single" w:sz="4" w:space="0" w:color="auto"/>
              <w:left w:val="single" w:sz="4" w:space="0" w:color="auto"/>
              <w:bottom w:val="single" w:sz="4" w:space="0" w:color="auto"/>
              <w:right w:val="single" w:sz="4" w:space="0" w:color="auto"/>
            </w:tcBorders>
          </w:tcPr>
          <w:p w14:paraId="269F459B" w14:textId="77777777" w:rsidR="0059480A" w:rsidRPr="00C12CE5" w:rsidRDefault="0059480A" w:rsidP="00CA7D73">
            <w:pPr>
              <w:rPr>
                <w:b/>
                <w:i/>
              </w:rPr>
            </w:pPr>
          </w:p>
          <w:p w14:paraId="473E1470" w14:textId="77777777" w:rsidR="0059480A" w:rsidRPr="00C12CE5" w:rsidRDefault="0059480A" w:rsidP="00CA7D73">
            <w:pPr>
              <w:rPr>
                <w:b/>
                <w:i/>
              </w:rPr>
            </w:pPr>
            <w:r w:rsidRPr="00C12CE5">
              <w:rPr>
                <w:b/>
                <w:i/>
              </w:rPr>
              <w:t>Área De Relleno De Quebrada En Lotes</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33A2F151" w14:textId="77777777" w:rsidR="0059480A" w:rsidRPr="00C12CE5" w:rsidRDefault="0059480A" w:rsidP="00CA7D73">
            <w:pPr>
              <w:rPr>
                <w:i/>
              </w:rPr>
            </w:pPr>
          </w:p>
          <w:p w14:paraId="0D108818" w14:textId="77777777" w:rsidR="0059480A" w:rsidRPr="00C12CE5" w:rsidRDefault="0059480A" w:rsidP="00CA7D73">
            <w:pPr>
              <w:rPr>
                <w:i/>
              </w:rPr>
            </w:pPr>
          </w:p>
          <w:p w14:paraId="4E41C820" w14:textId="6C6848B4" w:rsidR="0059480A" w:rsidRPr="00C12CE5" w:rsidRDefault="0059480A" w:rsidP="00CA7D73">
            <w:pPr>
              <w:rPr>
                <w:i/>
              </w:rPr>
            </w:pPr>
            <w:r w:rsidRPr="00C12CE5">
              <w:rPr>
                <w:i/>
              </w:rPr>
              <w:t>1874.63m2</w:t>
            </w:r>
          </w:p>
        </w:tc>
      </w:tr>
      <w:tr w:rsidR="0059480A" w:rsidRPr="00C12CE5" w14:paraId="137F7AF2" w14:textId="77777777" w:rsidTr="0059480A">
        <w:tc>
          <w:tcPr>
            <w:tcW w:w="2127" w:type="dxa"/>
            <w:tcBorders>
              <w:top w:val="single" w:sz="4" w:space="0" w:color="auto"/>
              <w:left w:val="single" w:sz="4" w:space="0" w:color="auto"/>
              <w:bottom w:val="single" w:sz="4" w:space="0" w:color="auto"/>
              <w:right w:val="single" w:sz="4" w:space="0" w:color="auto"/>
            </w:tcBorders>
          </w:tcPr>
          <w:p w14:paraId="49EBF90C" w14:textId="77777777" w:rsidR="0059480A" w:rsidRPr="00C12CE5" w:rsidRDefault="0059480A" w:rsidP="00CA7D73">
            <w:pPr>
              <w:rPr>
                <w:b/>
                <w:i/>
              </w:rPr>
            </w:pPr>
          </w:p>
          <w:p w14:paraId="7CBE2682" w14:textId="77777777" w:rsidR="0059480A" w:rsidRPr="00C12CE5" w:rsidRDefault="0059480A" w:rsidP="00CA7D73">
            <w:pPr>
              <w:rPr>
                <w:b/>
                <w:i/>
              </w:rPr>
            </w:pPr>
            <w:r w:rsidRPr="00C12CE5">
              <w:rPr>
                <w:b/>
                <w:i/>
              </w:rPr>
              <w:t>Área Afectación Vial En Lotes</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25D851AC" w14:textId="77777777" w:rsidR="0059480A" w:rsidRPr="00C12CE5" w:rsidRDefault="0059480A" w:rsidP="00CA7D73">
            <w:pPr>
              <w:rPr>
                <w:i/>
              </w:rPr>
            </w:pPr>
          </w:p>
          <w:p w14:paraId="76C2047B" w14:textId="77777777" w:rsidR="0059480A" w:rsidRPr="00C12CE5" w:rsidRDefault="0059480A" w:rsidP="00CA7D73">
            <w:pPr>
              <w:rPr>
                <w:i/>
              </w:rPr>
            </w:pPr>
          </w:p>
          <w:p w14:paraId="0C32CA17" w14:textId="77BA0DF5" w:rsidR="0059480A" w:rsidRPr="00C12CE5" w:rsidRDefault="0059480A" w:rsidP="00CA7D73">
            <w:pPr>
              <w:rPr>
                <w:i/>
              </w:rPr>
            </w:pPr>
            <w:r w:rsidRPr="00C12CE5">
              <w:rPr>
                <w:i/>
              </w:rPr>
              <w:t>194.06m2</w:t>
            </w:r>
          </w:p>
        </w:tc>
      </w:tr>
      <w:tr w:rsidR="0059480A" w:rsidRPr="00C12CE5" w14:paraId="4D5C417B" w14:textId="77777777" w:rsidTr="0059480A">
        <w:tc>
          <w:tcPr>
            <w:tcW w:w="2127" w:type="dxa"/>
            <w:tcBorders>
              <w:top w:val="single" w:sz="4" w:space="0" w:color="auto"/>
              <w:left w:val="single" w:sz="4" w:space="0" w:color="auto"/>
              <w:bottom w:val="single" w:sz="4" w:space="0" w:color="auto"/>
              <w:right w:val="single" w:sz="4" w:space="0" w:color="auto"/>
            </w:tcBorders>
          </w:tcPr>
          <w:p w14:paraId="1C9C5E4C" w14:textId="77777777" w:rsidR="0059480A" w:rsidRPr="00C12CE5" w:rsidRDefault="0059480A" w:rsidP="00CA7D73">
            <w:pPr>
              <w:rPr>
                <w:b/>
                <w:i/>
              </w:rPr>
            </w:pPr>
          </w:p>
          <w:p w14:paraId="35DA4EEB" w14:textId="77777777" w:rsidR="0059480A" w:rsidRPr="00C12CE5" w:rsidRDefault="0059480A" w:rsidP="00CA7D73">
            <w:pPr>
              <w:rPr>
                <w:b/>
                <w:i/>
              </w:rPr>
            </w:pPr>
            <w:r w:rsidRPr="00C12CE5">
              <w:rPr>
                <w:b/>
                <w:i/>
              </w:rPr>
              <w:t>Área Verde y Comunal</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131267E3" w14:textId="77777777" w:rsidR="0059480A" w:rsidRPr="00C12CE5" w:rsidRDefault="0059480A" w:rsidP="00CA7D73">
            <w:pPr>
              <w:rPr>
                <w:i/>
              </w:rPr>
            </w:pPr>
          </w:p>
          <w:p w14:paraId="44283320" w14:textId="77777777" w:rsidR="0059480A" w:rsidRPr="00C12CE5" w:rsidRDefault="0059480A" w:rsidP="00CA7D73">
            <w:pPr>
              <w:rPr>
                <w:i/>
              </w:rPr>
            </w:pPr>
          </w:p>
          <w:p w14:paraId="553E2D4A" w14:textId="37B677DA" w:rsidR="0059480A" w:rsidRPr="00C12CE5" w:rsidRDefault="0059480A" w:rsidP="00CA7D73">
            <w:pPr>
              <w:rPr>
                <w:i/>
              </w:rPr>
            </w:pPr>
            <w:r w:rsidRPr="00C12CE5">
              <w:rPr>
                <w:i/>
              </w:rPr>
              <w:t>157.21m2</w:t>
            </w:r>
          </w:p>
        </w:tc>
      </w:tr>
      <w:tr w:rsidR="0059480A" w:rsidRPr="00C12CE5" w14:paraId="3AC31162" w14:textId="77777777" w:rsidTr="0059480A">
        <w:tc>
          <w:tcPr>
            <w:tcW w:w="2127" w:type="dxa"/>
            <w:tcBorders>
              <w:top w:val="single" w:sz="4" w:space="0" w:color="auto"/>
              <w:left w:val="single" w:sz="4" w:space="0" w:color="auto"/>
              <w:bottom w:val="single" w:sz="4" w:space="0" w:color="auto"/>
              <w:right w:val="single" w:sz="4" w:space="0" w:color="auto"/>
            </w:tcBorders>
          </w:tcPr>
          <w:p w14:paraId="6748DE1A" w14:textId="77777777" w:rsidR="0059480A" w:rsidRPr="00C12CE5" w:rsidRDefault="0059480A" w:rsidP="00CA7D73">
            <w:pPr>
              <w:rPr>
                <w:b/>
                <w:i/>
              </w:rPr>
            </w:pPr>
          </w:p>
          <w:p w14:paraId="717D8427" w14:textId="77777777" w:rsidR="0059480A" w:rsidRPr="00C12CE5" w:rsidRDefault="0059480A" w:rsidP="00CA7D73">
            <w:pPr>
              <w:rPr>
                <w:b/>
                <w:i/>
              </w:rPr>
            </w:pPr>
            <w:r w:rsidRPr="00C12CE5">
              <w:rPr>
                <w:b/>
                <w:i/>
              </w:rPr>
              <w:t>Área Municipal</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7743BDE8" w14:textId="77777777" w:rsidR="0059480A" w:rsidRPr="00C12CE5" w:rsidRDefault="0059480A" w:rsidP="00CA7D73">
            <w:pPr>
              <w:rPr>
                <w:i/>
              </w:rPr>
            </w:pPr>
          </w:p>
          <w:p w14:paraId="7CD9634A" w14:textId="6E20A5CF" w:rsidR="0059480A" w:rsidRPr="00C12CE5" w:rsidRDefault="0059480A" w:rsidP="00CA7D73">
            <w:pPr>
              <w:rPr>
                <w:i/>
              </w:rPr>
            </w:pPr>
            <w:r w:rsidRPr="00C12CE5">
              <w:rPr>
                <w:i/>
              </w:rPr>
              <w:t>373.07m2</w:t>
            </w:r>
          </w:p>
        </w:tc>
      </w:tr>
      <w:tr w:rsidR="0059480A" w:rsidRPr="00C12CE5" w14:paraId="2DB6A91A" w14:textId="77777777" w:rsidTr="0059480A">
        <w:tc>
          <w:tcPr>
            <w:tcW w:w="2127" w:type="dxa"/>
            <w:tcBorders>
              <w:top w:val="single" w:sz="4" w:space="0" w:color="auto"/>
              <w:left w:val="single" w:sz="4" w:space="0" w:color="auto"/>
              <w:bottom w:val="single" w:sz="4" w:space="0" w:color="auto"/>
              <w:right w:val="single" w:sz="4" w:space="0" w:color="auto"/>
            </w:tcBorders>
          </w:tcPr>
          <w:p w14:paraId="687EAE0C" w14:textId="77777777" w:rsidR="0059480A" w:rsidRPr="00C12CE5" w:rsidRDefault="0059480A" w:rsidP="00CA7D73">
            <w:pPr>
              <w:rPr>
                <w:b/>
                <w:i/>
              </w:rPr>
            </w:pPr>
          </w:p>
          <w:p w14:paraId="5EE7ED35" w14:textId="77777777" w:rsidR="0059480A" w:rsidRPr="00C12CE5" w:rsidRDefault="0059480A" w:rsidP="00CA7D73">
            <w:pPr>
              <w:rPr>
                <w:b/>
                <w:i/>
              </w:rPr>
            </w:pPr>
            <w:r w:rsidRPr="00C12CE5">
              <w:rPr>
                <w:b/>
                <w:i/>
              </w:rPr>
              <w:t>Área de Vías Escalinatas y Pasajes</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0283E4D9" w14:textId="77777777" w:rsidR="0059480A" w:rsidRPr="00C12CE5" w:rsidRDefault="0059480A" w:rsidP="00CA7D73">
            <w:pPr>
              <w:rPr>
                <w:i/>
              </w:rPr>
            </w:pPr>
          </w:p>
          <w:p w14:paraId="18EEFD1A" w14:textId="77777777" w:rsidR="0059480A" w:rsidRPr="00C12CE5" w:rsidRDefault="0059480A" w:rsidP="00CA7D73">
            <w:pPr>
              <w:rPr>
                <w:i/>
              </w:rPr>
            </w:pPr>
          </w:p>
          <w:p w14:paraId="23707EA1" w14:textId="64D95663" w:rsidR="0059480A" w:rsidRPr="00C12CE5" w:rsidRDefault="0059480A" w:rsidP="008F417E">
            <w:pPr>
              <w:rPr>
                <w:i/>
              </w:rPr>
            </w:pPr>
            <w:r w:rsidRPr="00C12CE5">
              <w:rPr>
                <w:i/>
              </w:rPr>
              <w:t>3922.0</w:t>
            </w:r>
            <w:r w:rsidR="008F417E" w:rsidRPr="00C12CE5">
              <w:rPr>
                <w:i/>
              </w:rPr>
              <w:t>9</w:t>
            </w:r>
            <w:r w:rsidRPr="00C12CE5">
              <w:rPr>
                <w:i/>
              </w:rPr>
              <w:t>m2</w:t>
            </w:r>
          </w:p>
        </w:tc>
      </w:tr>
      <w:tr w:rsidR="0059480A" w:rsidRPr="00C12CE5" w14:paraId="6F76406F" w14:textId="77777777" w:rsidTr="0059480A">
        <w:tc>
          <w:tcPr>
            <w:tcW w:w="2127" w:type="dxa"/>
            <w:tcBorders>
              <w:top w:val="single" w:sz="4" w:space="0" w:color="auto"/>
              <w:left w:val="single" w:sz="4" w:space="0" w:color="auto"/>
              <w:bottom w:val="single" w:sz="4" w:space="0" w:color="auto"/>
              <w:right w:val="single" w:sz="4" w:space="0" w:color="auto"/>
            </w:tcBorders>
          </w:tcPr>
          <w:p w14:paraId="53821047" w14:textId="77777777" w:rsidR="0059480A" w:rsidRPr="00C12CE5" w:rsidRDefault="0059480A" w:rsidP="00CA7D73">
            <w:pPr>
              <w:rPr>
                <w:b/>
                <w:i/>
              </w:rPr>
            </w:pPr>
          </w:p>
          <w:p w14:paraId="3FB758B9" w14:textId="77777777" w:rsidR="0059480A" w:rsidRPr="00C12CE5" w:rsidRDefault="0059480A" w:rsidP="00CA7D73">
            <w:pPr>
              <w:rPr>
                <w:b/>
                <w:i/>
              </w:rPr>
            </w:pPr>
            <w:r w:rsidRPr="00C12CE5">
              <w:rPr>
                <w:b/>
                <w:i/>
              </w:rPr>
              <w:t>Área bruta del terreno (Área Total):</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77D37E61" w14:textId="77777777" w:rsidR="0059480A" w:rsidRPr="00C12CE5" w:rsidRDefault="0059480A" w:rsidP="00CA7D73">
            <w:pPr>
              <w:rPr>
                <w:i/>
              </w:rPr>
            </w:pPr>
          </w:p>
          <w:p w14:paraId="07A452E4" w14:textId="77777777" w:rsidR="0059480A" w:rsidRPr="00C12CE5" w:rsidRDefault="0059480A" w:rsidP="00CA7D73">
            <w:pPr>
              <w:rPr>
                <w:i/>
              </w:rPr>
            </w:pPr>
          </w:p>
          <w:p w14:paraId="460CADD9" w14:textId="2AC43336" w:rsidR="0059480A" w:rsidRPr="00C12CE5" w:rsidRDefault="0059480A" w:rsidP="00CA7D73">
            <w:pPr>
              <w:rPr>
                <w:i/>
              </w:rPr>
            </w:pPr>
            <w:r w:rsidRPr="00C12CE5">
              <w:rPr>
                <w:i/>
              </w:rPr>
              <w:t>33902.82m2</w:t>
            </w:r>
          </w:p>
        </w:tc>
      </w:tr>
    </w:tbl>
    <w:p w14:paraId="22E4B3C5" w14:textId="77777777" w:rsidR="00B52C4F" w:rsidRPr="00C12CE5" w:rsidRDefault="00B52C4F" w:rsidP="005C24F4">
      <w:pPr>
        <w:spacing w:after="240" w:line="276" w:lineRule="auto"/>
        <w:contextualSpacing/>
        <w:jc w:val="both"/>
        <w:rPr>
          <w:i/>
        </w:rPr>
      </w:pPr>
      <w:r w:rsidRPr="00C12CE5">
        <w:rPr>
          <w:b/>
          <w:i/>
        </w:rPr>
        <w:tab/>
      </w:r>
      <w:r w:rsidRPr="00C12CE5">
        <w:rPr>
          <w:b/>
          <w:i/>
        </w:rPr>
        <w:tab/>
      </w:r>
      <w:r w:rsidRPr="00C12CE5">
        <w:rPr>
          <w:b/>
          <w:i/>
        </w:rPr>
        <w:tab/>
        <w:t xml:space="preserve">             </w:t>
      </w:r>
    </w:p>
    <w:p w14:paraId="0AE5BCE7" w14:textId="37B2378B" w:rsidR="00B52C4F" w:rsidRPr="00B82F65" w:rsidRDefault="00B52C4F" w:rsidP="005C24F4">
      <w:pPr>
        <w:spacing w:after="240" w:line="276" w:lineRule="auto"/>
        <w:jc w:val="both"/>
        <w:rPr>
          <w:sz w:val="22"/>
          <w:szCs w:val="22"/>
        </w:rPr>
      </w:pPr>
      <w:r w:rsidRPr="00C12CE5">
        <w:rPr>
          <w:i/>
        </w:rPr>
        <w:t xml:space="preserve">El número total de lotes </w:t>
      </w:r>
      <w:r w:rsidR="000B0DF3" w:rsidRPr="00C12CE5">
        <w:rPr>
          <w:i/>
        </w:rPr>
        <w:t xml:space="preserve">producto del fraccionamiento es </w:t>
      </w:r>
      <w:r w:rsidRPr="00C12CE5">
        <w:rPr>
          <w:i/>
        </w:rPr>
        <w:t xml:space="preserve"> de </w:t>
      </w:r>
      <w:r w:rsidR="008F417E" w:rsidRPr="00C12CE5">
        <w:rPr>
          <w:i/>
        </w:rPr>
        <w:t>1</w:t>
      </w:r>
      <w:r w:rsidR="00FA0EB5" w:rsidRPr="00C12CE5">
        <w:rPr>
          <w:i/>
        </w:rPr>
        <w:t>26</w:t>
      </w:r>
      <w:r w:rsidRPr="00C12CE5">
        <w:rPr>
          <w:i/>
        </w:rPr>
        <w:t xml:space="preserve">, signados del uno (1) al </w:t>
      </w:r>
      <w:r w:rsidR="00AD0DE2" w:rsidRPr="00C12CE5">
        <w:rPr>
          <w:i/>
        </w:rPr>
        <w:t xml:space="preserve">ciento </w:t>
      </w:r>
      <w:r w:rsidR="008F417E" w:rsidRPr="00C12CE5">
        <w:rPr>
          <w:i/>
        </w:rPr>
        <w:t>veinte</w:t>
      </w:r>
      <w:r w:rsidR="00FA0EB5" w:rsidRPr="00C12CE5">
        <w:rPr>
          <w:i/>
        </w:rPr>
        <w:t xml:space="preserve"> y seis</w:t>
      </w:r>
      <w:r w:rsidRPr="00C12CE5">
        <w:rPr>
          <w:i/>
        </w:rPr>
        <w:t xml:space="preserve"> </w:t>
      </w:r>
      <w:r w:rsidR="00AD0DE2" w:rsidRPr="00C12CE5">
        <w:rPr>
          <w:i/>
        </w:rPr>
        <w:t>(</w:t>
      </w:r>
      <w:r w:rsidR="008F417E" w:rsidRPr="00C12CE5">
        <w:rPr>
          <w:i/>
        </w:rPr>
        <w:t>1</w:t>
      </w:r>
      <w:r w:rsidR="00FA0EB5" w:rsidRPr="00C12CE5">
        <w:rPr>
          <w:i/>
        </w:rPr>
        <w:t>26</w:t>
      </w:r>
      <w:r w:rsidRPr="00C12CE5">
        <w:rPr>
          <w:i/>
        </w:rPr>
        <w:t>), cuyo detalle es el que consta en los planos aprobatorios que forman parte de la presente Ordenanza.</w:t>
      </w:r>
      <w:r w:rsidR="000B675F" w:rsidRPr="00C12CE5">
        <w:rPr>
          <w:i/>
        </w:rPr>
        <w:t>”</w:t>
      </w:r>
    </w:p>
    <w:p w14:paraId="7EB109DB" w14:textId="0A4170F0" w:rsidR="00354F0A" w:rsidRPr="004456FB" w:rsidRDefault="00D43925" w:rsidP="005C24F4">
      <w:pPr>
        <w:spacing w:after="240" w:line="276" w:lineRule="auto"/>
        <w:jc w:val="both"/>
        <w:rPr>
          <w:sz w:val="22"/>
          <w:szCs w:val="22"/>
          <w:lang w:val="es-EC"/>
        </w:rPr>
      </w:pPr>
      <w:r w:rsidRPr="00B82F65">
        <w:rPr>
          <w:b/>
          <w:sz w:val="22"/>
          <w:szCs w:val="22"/>
          <w:lang w:val="es-EC"/>
        </w:rPr>
        <w:t xml:space="preserve">Artículo </w:t>
      </w:r>
      <w:r w:rsidR="004456FB">
        <w:rPr>
          <w:b/>
          <w:sz w:val="22"/>
          <w:szCs w:val="22"/>
          <w:lang w:val="es-EC"/>
        </w:rPr>
        <w:t>5</w:t>
      </w:r>
      <w:r w:rsidRPr="00B82F65">
        <w:rPr>
          <w:b/>
          <w:sz w:val="22"/>
          <w:szCs w:val="22"/>
          <w:lang w:val="es-EC"/>
        </w:rPr>
        <w:t>.-</w:t>
      </w:r>
      <w:r w:rsidRPr="004456FB">
        <w:rPr>
          <w:b/>
          <w:sz w:val="22"/>
          <w:szCs w:val="22"/>
          <w:lang w:val="es-EC"/>
        </w:rPr>
        <w:t xml:space="preserve"> Lotes con afectaciones.-</w:t>
      </w:r>
      <w:r>
        <w:rPr>
          <w:i/>
        </w:rPr>
        <w:t xml:space="preserve"> </w:t>
      </w:r>
      <w:r w:rsidR="008C24D4" w:rsidRPr="004456FB">
        <w:rPr>
          <w:sz w:val="22"/>
          <w:szCs w:val="22"/>
          <w:lang w:val="es-EC"/>
        </w:rPr>
        <w:t>De acuerdo al plano presentado por el asentamiento humano de hecho y consolidado de interés social denominado Comité Pro-Mejoras Del Barrio “18 de Septiembre” l</w:t>
      </w:r>
      <w:r w:rsidR="00277D55" w:rsidRPr="004456FB">
        <w:rPr>
          <w:sz w:val="22"/>
          <w:szCs w:val="22"/>
          <w:lang w:val="es-EC"/>
        </w:rPr>
        <w:t xml:space="preserve">os lotes Nos. </w:t>
      </w:r>
      <w:r w:rsidR="001F13D8" w:rsidRPr="004456FB">
        <w:rPr>
          <w:sz w:val="22"/>
          <w:szCs w:val="22"/>
          <w:lang w:val="es-EC"/>
        </w:rPr>
        <w:t>2,</w:t>
      </w:r>
      <w:r w:rsidR="00277D55" w:rsidRPr="004456FB">
        <w:rPr>
          <w:sz w:val="22"/>
          <w:szCs w:val="22"/>
          <w:lang w:val="es-EC"/>
        </w:rPr>
        <w:t xml:space="preserve"> </w:t>
      </w:r>
      <w:r w:rsidR="001F13D8" w:rsidRPr="004456FB">
        <w:rPr>
          <w:sz w:val="22"/>
          <w:szCs w:val="22"/>
          <w:lang w:val="es-EC"/>
        </w:rPr>
        <w:t>3,</w:t>
      </w:r>
      <w:r w:rsidR="00277D55" w:rsidRPr="004456FB">
        <w:rPr>
          <w:sz w:val="22"/>
          <w:szCs w:val="22"/>
          <w:lang w:val="es-EC"/>
        </w:rPr>
        <w:t xml:space="preserve"> </w:t>
      </w:r>
      <w:r w:rsidR="001F13D8" w:rsidRPr="004456FB">
        <w:rPr>
          <w:sz w:val="22"/>
          <w:szCs w:val="22"/>
          <w:lang w:val="es-EC"/>
        </w:rPr>
        <w:t>15,</w:t>
      </w:r>
      <w:r w:rsidR="00277D55" w:rsidRPr="004456FB">
        <w:rPr>
          <w:sz w:val="22"/>
          <w:szCs w:val="22"/>
          <w:lang w:val="es-EC"/>
        </w:rPr>
        <w:t xml:space="preserve"> </w:t>
      </w:r>
      <w:r w:rsidR="001F13D8" w:rsidRPr="004456FB">
        <w:rPr>
          <w:sz w:val="22"/>
          <w:szCs w:val="22"/>
          <w:lang w:val="es-EC"/>
        </w:rPr>
        <w:t>16,</w:t>
      </w:r>
      <w:r w:rsidR="00277D55" w:rsidRPr="004456FB">
        <w:rPr>
          <w:sz w:val="22"/>
          <w:szCs w:val="22"/>
          <w:lang w:val="es-EC"/>
        </w:rPr>
        <w:t xml:space="preserve"> </w:t>
      </w:r>
      <w:r w:rsidR="00FF4EC4" w:rsidRPr="004456FB">
        <w:rPr>
          <w:sz w:val="22"/>
          <w:szCs w:val="22"/>
          <w:lang w:val="es-EC"/>
        </w:rPr>
        <w:t xml:space="preserve">21, </w:t>
      </w:r>
      <w:r w:rsidR="001F13D8" w:rsidRPr="004456FB">
        <w:rPr>
          <w:sz w:val="22"/>
          <w:szCs w:val="22"/>
          <w:lang w:val="es-EC"/>
        </w:rPr>
        <w:t>22,</w:t>
      </w:r>
      <w:r w:rsidR="00277D55" w:rsidRPr="004456FB">
        <w:rPr>
          <w:sz w:val="22"/>
          <w:szCs w:val="22"/>
          <w:lang w:val="es-EC"/>
        </w:rPr>
        <w:t xml:space="preserve"> </w:t>
      </w:r>
      <w:r w:rsidR="001F13D8" w:rsidRPr="004456FB">
        <w:rPr>
          <w:sz w:val="22"/>
          <w:szCs w:val="22"/>
          <w:lang w:val="es-EC"/>
        </w:rPr>
        <w:t>23,</w:t>
      </w:r>
      <w:r w:rsidR="00277D55" w:rsidRPr="004456FB">
        <w:rPr>
          <w:sz w:val="22"/>
          <w:szCs w:val="22"/>
          <w:lang w:val="es-EC"/>
        </w:rPr>
        <w:t xml:space="preserve"> </w:t>
      </w:r>
      <w:r w:rsidR="00F31218" w:rsidRPr="004456FB">
        <w:rPr>
          <w:sz w:val="22"/>
          <w:szCs w:val="22"/>
          <w:lang w:val="es-EC"/>
        </w:rPr>
        <w:t xml:space="preserve">y </w:t>
      </w:r>
      <w:r w:rsidR="001F13D8" w:rsidRPr="004456FB">
        <w:rPr>
          <w:sz w:val="22"/>
          <w:szCs w:val="22"/>
          <w:lang w:val="es-EC"/>
        </w:rPr>
        <w:t>24</w:t>
      </w:r>
      <w:r w:rsidR="00277D55" w:rsidRPr="004456FB">
        <w:rPr>
          <w:sz w:val="22"/>
          <w:szCs w:val="22"/>
          <w:lang w:val="es-EC"/>
        </w:rPr>
        <w:t xml:space="preserve"> </w:t>
      </w:r>
      <w:r w:rsidR="001F13D8" w:rsidRPr="004456FB">
        <w:rPr>
          <w:sz w:val="22"/>
          <w:szCs w:val="22"/>
          <w:lang w:val="es-EC"/>
        </w:rPr>
        <w:t xml:space="preserve">se encuentran </w:t>
      </w:r>
      <w:r w:rsidR="000C6C3A" w:rsidRPr="004456FB">
        <w:rPr>
          <w:sz w:val="22"/>
          <w:szCs w:val="22"/>
          <w:lang w:val="es-EC"/>
        </w:rPr>
        <w:t xml:space="preserve">asentados </w:t>
      </w:r>
      <w:r w:rsidR="00354F0A" w:rsidRPr="004456FB">
        <w:rPr>
          <w:sz w:val="22"/>
          <w:szCs w:val="22"/>
          <w:lang w:val="es-EC"/>
        </w:rPr>
        <w:t>dentro de la</w:t>
      </w:r>
      <w:r w:rsidR="001F13D8" w:rsidRPr="004456FB">
        <w:rPr>
          <w:sz w:val="22"/>
          <w:szCs w:val="22"/>
          <w:lang w:val="es-EC"/>
        </w:rPr>
        <w:t xml:space="preserve"> faja de protección</w:t>
      </w:r>
      <w:r w:rsidR="00F31218" w:rsidRPr="004456FB">
        <w:rPr>
          <w:sz w:val="22"/>
          <w:szCs w:val="22"/>
          <w:lang w:val="es-EC"/>
        </w:rPr>
        <w:t xml:space="preserve"> por borde superior de quebrada (BSQ)</w:t>
      </w:r>
      <w:r w:rsidR="00354F0A" w:rsidRPr="004456FB">
        <w:rPr>
          <w:sz w:val="22"/>
          <w:szCs w:val="22"/>
          <w:lang w:val="es-EC"/>
        </w:rPr>
        <w:t>.</w:t>
      </w:r>
    </w:p>
    <w:p w14:paraId="53F3A310" w14:textId="39552DF2" w:rsidR="00354F0A" w:rsidRPr="004456FB" w:rsidRDefault="00277D55" w:rsidP="004456FB">
      <w:pPr>
        <w:spacing w:after="240" w:line="276" w:lineRule="auto"/>
        <w:jc w:val="both"/>
        <w:rPr>
          <w:sz w:val="22"/>
          <w:szCs w:val="22"/>
          <w:lang w:val="es-EC"/>
        </w:rPr>
      </w:pPr>
      <w:r w:rsidRPr="004456FB">
        <w:rPr>
          <w:sz w:val="22"/>
          <w:szCs w:val="22"/>
          <w:lang w:val="es-EC"/>
        </w:rPr>
        <w:t xml:space="preserve">Los lotes Nos. </w:t>
      </w:r>
      <w:r w:rsidR="00354F0A" w:rsidRPr="004456FB">
        <w:rPr>
          <w:sz w:val="22"/>
          <w:szCs w:val="22"/>
          <w:lang w:val="es-EC"/>
        </w:rPr>
        <w:t>8,</w:t>
      </w:r>
      <w:r w:rsidRPr="004456FB">
        <w:rPr>
          <w:sz w:val="22"/>
          <w:szCs w:val="22"/>
          <w:lang w:val="es-EC"/>
        </w:rPr>
        <w:t xml:space="preserve"> </w:t>
      </w:r>
      <w:r w:rsidR="00354F0A" w:rsidRPr="004456FB">
        <w:rPr>
          <w:sz w:val="22"/>
          <w:szCs w:val="22"/>
          <w:lang w:val="es-EC"/>
        </w:rPr>
        <w:t>9,</w:t>
      </w:r>
      <w:r w:rsidR="00FF4EC4" w:rsidRPr="004456FB">
        <w:rPr>
          <w:sz w:val="22"/>
          <w:szCs w:val="22"/>
          <w:lang w:val="es-EC"/>
        </w:rPr>
        <w:t xml:space="preserve"> 12, </w:t>
      </w:r>
      <w:r w:rsidR="00354F0A" w:rsidRPr="004456FB">
        <w:rPr>
          <w:sz w:val="22"/>
          <w:szCs w:val="22"/>
          <w:lang w:val="es-EC"/>
        </w:rPr>
        <w:t>34,</w:t>
      </w:r>
      <w:r w:rsidRPr="004456FB">
        <w:rPr>
          <w:sz w:val="22"/>
          <w:szCs w:val="22"/>
          <w:lang w:val="es-EC"/>
        </w:rPr>
        <w:t xml:space="preserve"> </w:t>
      </w:r>
      <w:r w:rsidR="00354F0A" w:rsidRPr="004456FB">
        <w:rPr>
          <w:sz w:val="22"/>
          <w:szCs w:val="22"/>
          <w:lang w:val="es-EC"/>
        </w:rPr>
        <w:t>35,</w:t>
      </w:r>
      <w:r w:rsidRPr="004456FB">
        <w:rPr>
          <w:sz w:val="22"/>
          <w:szCs w:val="22"/>
          <w:lang w:val="es-EC"/>
        </w:rPr>
        <w:t xml:space="preserve"> </w:t>
      </w:r>
      <w:r w:rsidR="00354F0A" w:rsidRPr="004456FB">
        <w:rPr>
          <w:sz w:val="22"/>
          <w:szCs w:val="22"/>
          <w:lang w:val="es-EC"/>
        </w:rPr>
        <w:t>36,</w:t>
      </w:r>
      <w:r w:rsidRPr="004456FB">
        <w:rPr>
          <w:sz w:val="22"/>
          <w:szCs w:val="22"/>
          <w:lang w:val="es-EC"/>
        </w:rPr>
        <w:t xml:space="preserve"> </w:t>
      </w:r>
      <w:r w:rsidR="00354F0A" w:rsidRPr="004456FB">
        <w:rPr>
          <w:sz w:val="22"/>
          <w:szCs w:val="22"/>
          <w:lang w:val="es-EC"/>
        </w:rPr>
        <w:t>37,</w:t>
      </w:r>
      <w:r w:rsidRPr="004456FB">
        <w:rPr>
          <w:sz w:val="22"/>
          <w:szCs w:val="22"/>
          <w:lang w:val="es-EC"/>
        </w:rPr>
        <w:t xml:space="preserve"> </w:t>
      </w:r>
      <w:r w:rsidR="00354F0A" w:rsidRPr="004456FB">
        <w:rPr>
          <w:sz w:val="22"/>
          <w:szCs w:val="22"/>
          <w:lang w:val="es-EC"/>
        </w:rPr>
        <w:t>38,</w:t>
      </w:r>
      <w:r w:rsidRPr="004456FB">
        <w:rPr>
          <w:sz w:val="22"/>
          <w:szCs w:val="22"/>
          <w:lang w:val="es-EC"/>
        </w:rPr>
        <w:t xml:space="preserve"> </w:t>
      </w:r>
      <w:r w:rsidR="00354F0A" w:rsidRPr="004456FB">
        <w:rPr>
          <w:sz w:val="22"/>
          <w:szCs w:val="22"/>
          <w:lang w:val="es-EC"/>
        </w:rPr>
        <w:t>39,</w:t>
      </w:r>
      <w:r w:rsidRPr="004456FB">
        <w:rPr>
          <w:sz w:val="22"/>
          <w:szCs w:val="22"/>
          <w:lang w:val="es-EC"/>
        </w:rPr>
        <w:t xml:space="preserve"> </w:t>
      </w:r>
      <w:r w:rsidR="00354F0A" w:rsidRPr="004456FB">
        <w:rPr>
          <w:sz w:val="22"/>
          <w:szCs w:val="22"/>
          <w:lang w:val="es-EC"/>
        </w:rPr>
        <w:t>40,</w:t>
      </w:r>
      <w:r w:rsidRPr="004456FB">
        <w:rPr>
          <w:sz w:val="22"/>
          <w:szCs w:val="22"/>
          <w:lang w:val="es-EC"/>
        </w:rPr>
        <w:t xml:space="preserve"> </w:t>
      </w:r>
      <w:r w:rsidR="00354F0A" w:rsidRPr="004456FB">
        <w:rPr>
          <w:sz w:val="22"/>
          <w:szCs w:val="22"/>
          <w:lang w:val="es-EC"/>
        </w:rPr>
        <w:t>41,</w:t>
      </w:r>
      <w:r w:rsidRPr="004456FB">
        <w:rPr>
          <w:sz w:val="22"/>
          <w:szCs w:val="22"/>
          <w:lang w:val="es-EC"/>
        </w:rPr>
        <w:t xml:space="preserve"> </w:t>
      </w:r>
      <w:r w:rsidR="00354F0A" w:rsidRPr="004456FB">
        <w:rPr>
          <w:sz w:val="22"/>
          <w:szCs w:val="22"/>
          <w:lang w:val="es-EC"/>
        </w:rPr>
        <w:t>42,</w:t>
      </w:r>
      <w:r w:rsidRPr="004456FB">
        <w:rPr>
          <w:sz w:val="22"/>
          <w:szCs w:val="22"/>
          <w:lang w:val="es-EC"/>
        </w:rPr>
        <w:t xml:space="preserve"> </w:t>
      </w:r>
      <w:r w:rsidR="00354F0A" w:rsidRPr="004456FB">
        <w:rPr>
          <w:sz w:val="22"/>
          <w:szCs w:val="22"/>
          <w:lang w:val="es-EC"/>
        </w:rPr>
        <w:t>43,</w:t>
      </w:r>
      <w:r w:rsidRPr="004456FB">
        <w:rPr>
          <w:sz w:val="22"/>
          <w:szCs w:val="22"/>
          <w:lang w:val="es-EC"/>
        </w:rPr>
        <w:t xml:space="preserve"> </w:t>
      </w:r>
      <w:r w:rsidR="00354F0A" w:rsidRPr="004456FB">
        <w:rPr>
          <w:sz w:val="22"/>
          <w:szCs w:val="22"/>
          <w:lang w:val="es-EC"/>
        </w:rPr>
        <w:t>44,</w:t>
      </w:r>
      <w:r w:rsidRPr="004456FB">
        <w:rPr>
          <w:sz w:val="22"/>
          <w:szCs w:val="22"/>
          <w:lang w:val="es-EC"/>
        </w:rPr>
        <w:t xml:space="preserve"> </w:t>
      </w:r>
      <w:r w:rsidR="00354F0A" w:rsidRPr="004456FB">
        <w:rPr>
          <w:sz w:val="22"/>
          <w:szCs w:val="22"/>
          <w:lang w:val="es-EC"/>
        </w:rPr>
        <w:t>45,</w:t>
      </w:r>
      <w:r w:rsidRPr="004456FB">
        <w:rPr>
          <w:sz w:val="22"/>
          <w:szCs w:val="22"/>
          <w:lang w:val="es-EC"/>
        </w:rPr>
        <w:t xml:space="preserve"> </w:t>
      </w:r>
      <w:r w:rsidR="00354F0A" w:rsidRPr="004456FB">
        <w:rPr>
          <w:sz w:val="22"/>
          <w:szCs w:val="22"/>
          <w:lang w:val="es-EC"/>
        </w:rPr>
        <w:t>46,</w:t>
      </w:r>
      <w:r w:rsidR="00F31218" w:rsidRPr="004456FB">
        <w:rPr>
          <w:sz w:val="22"/>
          <w:szCs w:val="22"/>
          <w:lang w:val="es-EC"/>
        </w:rPr>
        <w:t xml:space="preserve"> 48, </w:t>
      </w:r>
      <w:r w:rsidR="00354F0A" w:rsidRPr="004456FB">
        <w:rPr>
          <w:sz w:val="22"/>
          <w:szCs w:val="22"/>
          <w:lang w:val="es-EC"/>
        </w:rPr>
        <w:t>49,</w:t>
      </w:r>
      <w:r w:rsidRPr="004456FB">
        <w:rPr>
          <w:sz w:val="22"/>
          <w:szCs w:val="22"/>
          <w:lang w:val="es-EC"/>
        </w:rPr>
        <w:t xml:space="preserve"> </w:t>
      </w:r>
      <w:r w:rsidR="00354F0A" w:rsidRPr="004456FB">
        <w:rPr>
          <w:sz w:val="22"/>
          <w:szCs w:val="22"/>
          <w:lang w:val="es-EC"/>
        </w:rPr>
        <w:t>50,</w:t>
      </w:r>
      <w:r w:rsidRPr="004456FB">
        <w:rPr>
          <w:sz w:val="22"/>
          <w:szCs w:val="22"/>
          <w:lang w:val="es-EC"/>
        </w:rPr>
        <w:t xml:space="preserve"> </w:t>
      </w:r>
      <w:r w:rsidR="00354F0A" w:rsidRPr="004456FB">
        <w:rPr>
          <w:sz w:val="22"/>
          <w:szCs w:val="22"/>
          <w:lang w:val="es-EC"/>
        </w:rPr>
        <w:t>51,</w:t>
      </w:r>
      <w:r w:rsidRPr="004456FB">
        <w:rPr>
          <w:sz w:val="22"/>
          <w:szCs w:val="22"/>
          <w:lang w:val="es-EC"/>
        </w:rPr>
        <w:t xml:space="preserve"> </w:t>
      </w:r>
      <w:r w:rsidR="00354F0A" w:rsidRPr="004456FB">
        <w:rPr>
          <w:sz w:val="22"/>
          <w:szCs w:val="22"/>
          <w:lang w:val="es-EC"/>
        </w:rPr>
        <w:t>52,</w:t>
      </w:r>
      <w:r w:rsidRPr="004456FB">
        <w:rPr>
          <w:sz w:val="22"/>
          <w:szCs w:val="22"/>
          <w:lang w:val="es-EC"/>
        </w:rPr>
        <w:t xml:space="preserve"> </w:t>
      </w:r>
      <w:r w:rsidR="00354F0A" w:rsidRPr="004456FB">
        <w:rPr>
          <w:sz w:val="22"/>
          <w:szCs w:val="22"/>
          <w:lang w:val="es-EC"/>
        </w:rPr>
        <w:t>53,</w:t>
      </w:r>
      <w:r w:rsidRPr="004456FB">
        <w:rPr>
          <w:sz w:val="22"/>
          <w:szCs w:val="22"/>
          <w:lang w:val="es-EC"/>
        </w:rPr>
        <w:t xml:space="preserve"> </w:t>
      </w:r>
      <w:r w:rsidR="00354F0A" w:rsidRPr="004456FB">
        <w:rPr>
          <w:sz w:val="22"/>
          <w:szCs w:val="22"/>
          <w:lang w:val="es-EC"/>
        </w:rPr>
        <w:t>83</w:t>
      </w:r>
      <w:r w:rsidR="00AA20AC" w:rsidRPr="004456FB">
        <w:rPr>
          <w:sz w:val="22"/>
          <w:szCs w:val="22"/>
          <w:lang w:val="es-EC"/>
        </w:rPr>
        <w:t>,</w:t>
      </w:r>
      <w:r w:rsidR="00FF4EC4" w:rsidRPr="004456FB">
        <w:rPr>
          <w:sz w:val="22"/>
          <w:szCs w:val="22"/>
          <w:lang w:val="es-EC"/>
        </w:rPr>
        <w:t xml:space="preserve"> 89, </w:t>
      </w:r>
      <w:r w:rsidR="00354F0A" w:rsidRPr="004456FB">
        <w:rPr>
          <w:sz w:val="22"/>
          <w:szCs w:val="22"/>
          <w:lang w:val="es-EC"/>
        </w:rPr>
        <w:t>90,</w:t>
      </w:r>
      <w:r w:rsidRPr="004456FB">
        <w:rPr>
          <w:sz w:val="22"/>
          <w:szCs w:val="22"/>
          <w:lang w:val="es-EC"/>
        </w:rPr>
        <w:t xml:space="preserve"> </w:t>
      </w:r>
      <w:r w:rsidR="00354F0A" w:rsidRPr="004456FB">
        <w:rPr>
          <w:sz w:val="22"/>
          <w:szCs w:val="22"/>
          <w:lang w:val="es-EC"/>
        </w:rPr>
        <w:t xml:space="preserve">91 y 92 se encuentran </w:t>
      </w:r>
      <w:r w:rsidR="000C6C3A" w:rsidRPr="004456FB">
        <w:rPr>
          <w:sz w:val="22"/>
          <w:szCs w:val="22"/>
          <w:lang w:val="es-EC"/>
        </w:rPr>
        <w:t xml:space="preserve">asentados </w:t>
      </w:r>
      <w:r w:rsidRPr="004456FB">
        <w:rPr>
          <w:sz w:val="22"/>
          <w:szCs w:val="22"/>
          <w:lang w:val="es-EC"/>
        </w:rPr>
        <w:t>sobre relleno de quebrada</w:t>
      </w:r>
      <w:r w:rsidR="008C24D4" w:rsidRPr="004456FB">
        <w:rPr>
          <w:sz w:val="22"/>
          <w:szCs w:val="22"/>
          <w:lang w:val="es-EC"/>
        </w:rPr>
        <w:t xml:space="preserve">; y, </w:t>
      </w:r>
    </w:p>
    <w:p w14:paraId="16B498D5" w14:textId="7DFBA0CF" w:rsidR="00277D55" w:rsidRPr="004456FB" w:rsidRDefault="00277D55" w:rsidP="00277D55">
      <w:pPr>
        <w:spacing w:after="240" w:line="276" w:lineRule="auto"/>
        <w:jc w:val="both"/>
        <w:rPr>
          <w:sz w:val="22"/>
          <w:szCs w:val="22"/>
          <w:lang w:val="es-EC"/>
        </w:rPr>
      </w:pPr>
      <w:r w:rsidRPr="004456FB">
        <w:rPr>
          <w:sz w:val="22"/>
          <w:szCs w:val="22"/>
          <w:lang w:val="es-EC"/>
        </w:rPr>
        <w:t xml:space="preserve">Los lotes Nos. </w:t>
      </w:r>
      <w:r w:rsidR="00FF4EC4" w:rsidRPr="004456FB">
        <w:rPr>
          <w:sz w:val="22"/>
          <w:szCs w:val="22"/>
          <w:lang w:val="es-EC"/>
        </w:rPr>
        <w:t xml:space="preserve">1, </w:t>
      </w:r>
      <w:r w:rsidRPr="004456FB">
        <w:rPr>
          <w:sz w:val="22"/>
          <w:szCs w:val="22"/>
          <w:lang w:val="es-EC"/>
        </w:rPr>
        <w:t xml:space="preserve">4, 5, 6, 7, </w:t>
      </w:r>
      <w:r w:rsidR="00FF4EC4" w:rsidRPr="004456FB">
        <w:rPr>
          <w:sz w:val="22"/>
          <w:szCs w:val="22"/>
          <w:lang w:val="es-EC"/>
        </w:rPr>
        <w:t xml:space="preserve">10, </w:t>
      </w:r>
      <w:r w:rsidR="00F31218" w:rsidRPr="004456FB">
        <w:rPr>
          <w:sz w:val="22"/>
          <w:szCs w:val="22"/>
          <w:lang w:val="es-EC"/>
        </w:rPr>
        <w:t xml:space="preserve">11, </w:t>
      </w:r>
      <w:r w:rsidRPr="004456FB">
        <w:rPr>
          <w:sz w:val="22"/>
          <w:szCs w:val="22"/>
          <w:lang w:val="es-EC"/>
        </w:rPr>
        <w:t xml:space="preserve">13, 14, 17, 18, 19, 20, </w:t>
      </w:r>
      <w:r w:rsidR="00F31218" w:rsidRPr="004456FB">
        <w:rPr>
          <w:sz w:val="22"/>
          <w:szCs w:val="22"/>
          <w:lang w:val="es-EC"/>
        </w:rPr>
        <w:t xml:space="preserve">25, </w:t>
      </w:r>
      <w:r w:rsidR="00FF4EC4" w:rsidRPr="004456FB">
        <w:rPr>
          <w:sz w:val="22"/>
          <w:szCs w:val="22"/>
          <w:lang w:val="es-EC"/>
        </w:rPr>
        <w:t xml:space="preserve">84, </w:t>
      </w:r>
      <w:r w:rsidRPr="004456FB">
        <w:rPr>
          <w:sz w:val="22"/>
          <w:szCs w:val="22"/>
          <w:lang w:val="es-EC"/>
        </w:rPr>
        <w:t xml:space="preserve">125 y </w:t>
      </w:r>
      <w:r w:rsidR="008C24D4" w:rsidRPr="004456FB">
        <w:rPr>
          <w:sz w:val="22"/>
          <w:szCs w:val="22"/>
          <w:lang w:val="es-EC"/>
        </w:rPr>
        <w:t>126</w:t>
      </w:r>
      <w:r w:rsidRPr="004456FB">
        <w:rPr>
          <w:sz w:val="22"/>
          <w:szCs w:val="22"/>
          <w:lang w:val="es-EC"/>
        </w:rPr>
        <w:t xml:space="preserve"> se encuentran </w:t>
      </w:r>
      <w:r w:rsidR="000C6C3A" w:rsidRPr="004456FB">
        <w:rPr>
          <w:sz w:val="22"/>
          <w:szCs w:val="22"/>
          <w:lang w:val="es-EC"/>
        </w:rPr>
        <w:t xml:space="preserve">asentados </w:t>
      </w:r>
      <w:r w:rsidRPr="004456FB">
        <w:rPr>
          <w:sz w:val="22"/>
          <w:szCs w:val="22"/>
          <w:lang w:val="es-EC"/>
        </w:rPr>
        <w:t xml:space="preserve">en relleno de quebrada y dentro de la </w:t>
      </w:r>
      <w:r w:rsidR="00F31218" w:rsidRPr="004456FB">
        <w:rPr>
          <w:sz w:val="22"/>
          <w:szCs w:val="22"/>
          <w:lang w:val="es-EC"/>
        </w:rPr>
        <w:t>faja de protección por borde superior de quebrada (BSQ).</w:t>
      </w:r>
    </w:p>
    <w:p w14:paraId="1573D483" w14:textId="55668585" w:rsidR="008C24D4" w:rsidRPr="004456FB" w:rsidRDefault="008C24D4" w:rsidP="00277D55">
      <w:pPr>
        <w:spacing w:after="240" w:line="276" w:lineRule="auto"/>
        <w:jc w:val="both"/>
        <w:rPr>
          <w:sz w:val="22"/>
          <w:szCs w:val="22"/>
          <w:lang w:val="es-EC"/>
        </w:rPr>
      </w:pPr>
      <w:r w:rsidRPr="004456FB">
        <w:rPr>
          <w:sz w:val="22"/>
          <w:szCs w:val="22"/>
          <w:lang w:val="es-EC"/>
        </w:rPr>
        <w:t>De acuerdo al detalle de los párrafos precedentes los lotes debe</w:t>
      </w:r>
      <w:r w:rsidR="000C6C3A" w:rsidRPr="004456FB">
        <w:rPr>
          <w:sz w:val="22"/>
          <w:szCs w:val="22"/>
          <w:lang w:val="es-EC"/>
        </w:rPr>
        <w:t xml:space="preserve">rán sujetarse </w:t>
      </w:r>
      <w:r w:rsidR="00785381" w:rsidRPr="00AC35F6">
        <w:rPr>
          <w:sz w:val="23"/>
          <w:szCs w:val="23"/>
        </w:rPr>
        <w:t>a lo establecido en la normativa metropolitana vigente</w:t>
      </w:r>
      <w:r w:rsidR="00785381">
        <w:rPr>
          <w:sz w:val="23"/>
          <w:szCs w:val="23"/>
        </w:rPr>
        <w:t>.</w:t>
      </w:r>
      <w:r w:rsidR="006D1096" w:rsidRPr="004456FB">
        <w:rPr>
          <w:sz w:val="22"/>
          <w:szCs w:val="22"/>
          <w:lang w:val="es-EC"/>
        </w:rPr>
        <w:t xml:space="preserve"> </w:t>
      </w:r>
      <w:r w:rsidRPr="004456FB">
        <w:rPr>
          <w:sz w:val="22"/>
          <w:szCs w:val="22"/>
          <w:lang w:val="es-EC"/>
        </w:rPr>
        <w:t xml:space="preserve">   </w:t>
      </w:r>
    </w:p>
    <w:p w14:paraId="0A0B0193" w14:textId="3BB81F22" w:rsidR="00426BFF" w:rsidRPr="00B82F65" w:rsidRDefault="00AD11DE" w:rsidP="005C24F4">
      <w:pPr>
        <w:spacing w:after="240" w:line="276" w:lineRule="auto"/>
        <w:jc w:val="both"/>
        <w:rPr>
          <w:bCs/>
          <w:sz w:val="22"/>
          <w:szCs w:val="22"/>
        </w:rPr>
      </w:pPr>
      <w:r w:rsidRPr="00B82F65">
        <w:rPr>
          <w:b/>
          <w:sz w:val="22"/>
          <w:szCs w:val="22"/>
          <w:lang w:val="es-EC"/>
        </w:rPr>
        <w:t>Artículo</w:t>
      </w:r>
      <w:r w:rsidR="009A40F2">
        <w:rPr>
          <w:b/>
          <w:sz w:val="22"/>
          <w:szCs w:val="22"/>
          <w:lang w:val="es-EC"/>
        </w:rPr>
        <w:t xml:space="preserve"> 6</w:t>
      </w:r>
      <w:r w:rsidRPr="00B82F65">
        <w:rPr>
          <w:b/>
          <w:sz w:val="22"/>
          <w:szCs w:val="22"/>
          <w:lang w:val="es-EC"/>
        </w:rPr>
        <w:t>.-</w:t>
      </w:r>
      <w:r w:rsidR="00FE38EA" w:rsidRPr="00B82F65">
        <w:rPr>
          <w:sz w:val="22"/>
          <w:szCs w:val="22"/>
          <w:lang w:val="es-EC"/>
        </w:rPr>
        <w:t xml:space="preserve"> </w:t>
      </w:r>
      <w:r w:rsidR="007E5268" w:rsidRPr="00B82F65">
        <w:rPr>
          <w:sz w:val="22"/>
          <w:szCs w:val="22"/>
          <w:lang w:val="es-EC"/>
        </w:rPr>
        <w:t xml:space="preserve">Sustitúyase </w:t>
      </w:r>
      <w:r w:rsidR="004E4AFF" w:rsidRPr="00B82F65">
        <w:rPr>
          <w:sz w:val="22"/>
          <w:szCs w:val="22"/>
          <w:lang w:val="es-EC"/>
        </w:rPr>
        <w:t xml:space="preserve">el Artículo 3 </w:t>
      </w:r>
      <w:r w:rsidR="00426BFF" w:rsidRPr="00B82F65">
        <w:rPr>
          <w:bCs/>
          <w:sz w:val="22"/>
          <w:szCs w:val="22"/>
        </w:rPr>
        <w:t xml:space="preserve">de la </w:t>
      </w:r>
      <w:r w:rsidR="0059480A" w:rsidRPr="00B82F65">
        <w:rPr>
          <w:bCs/>
          <w:sz w:val="22"/>
          <w:szCs w:val="22"/>
        </w:rPr>
        <w:t>Ordenanza No. 0473, sancionada el 26 de diciembre de 2013</w:t>
      </w:r>
      <w:r w:rsidR="00426BFF" w:rsidRPr="00B82F65">
        <w:rPr>
          <w:bCs/>
          <w:sz w:val="22"/>
          <w:szCs w:val="22"/>
        </w:rPr>
        <w:t xml:space="preserve">, </w:t>
      </w:r>
      <w:r w:rsidR="002B6D23" w:rsidRPr="00B82F65">
        <w:rPr>
          <w:bCs/>
          <w:sz w:val="22"/>
          <w:szCs w:val="22"/>
        </w:rPr>
        <w:t xml:space="preserve"> por el siguiente:</w:t>
      </w:r>
    </w:p>
    <w:p w14:paraId="1F1083A0" w14:textId="00278968" w:rsidR="007E5268" w:rsidRPr="00C12CE5" w:rsidRDefault="002B6D23" w:rsidP="00D45350">
      <w:pPr>
        <w:spacing w:after="240"/>
        <w:jc w:val="both"/>
        <w:rPr>
          <w:i/>
        </w:rPr>
      </w:pPr>
      <w:r w:rsidRPr="00C12CE5">
        <w:rPr>
          <w:b/>
          <w:bCs/>
          <w:i/>
        </w:rPr>
        <w:t xml:space="preserve">“Artículo 3.- Zonificación de los lotes.- </w:t>
      </w:r>
      <w:r w:rsidR="008F417E" w:rsidRPr="00C12CE5">
        <w:rPr>
          <w:bCs/>
          <w:i/>
        </w:rPr>
        <w:t>Los lotes fraccionados modificar</w:t>
      </w:r>
      <w:r w:rsidR="00525BC8" w:rsidRPr="00C12CE5">
        <w:rPr>
          <w:bCs/>
          <w:i/>
        </w:rPr>
        <w:t>á</w:t>
      </w:r>
      <w:r w:rsidR="008F417E" w:rsidRPr="00C12CE5">
        <w:rPr>
          <w:bCs/>
          <w:i/>
        </w:rPr>
        <w:t>n la zonificación para los 126 lotes conforme se detalla a continu</w:t>
      </w:r>
      <w:r w:rsidR="008F417E" w:rsidRPr="00C12CE5">
        <w:rPr>
          <w:i/>
        </w:rPr>
        <w:t xml:space="preserve">ación: D3 (D203-80) </w:t>
      </w:r>
      <w:r w:rsidR="00705465" w:rsidRPr="00C12CE5">
        <w:rPr>
          <w:i/>
        </w:rPr>
        <w:t>/</w:t>
      </w:r>
      <w:r w:rsidR="008F417E" w:rsidRPr="00C12CE5">
        <w:rPr>
          <w:i/>
        </w:rPr>
        <w:t xml:space="preserve"> A31 (PQ), forma de ocupación: (D) Sobre línea de fábrica (A) Aislada, Lote mínimo: 200 m2, Número de pisos 3, COS planta baja: 80%, COS total: 240%, Uso principal: (RU2) Residencial Urbano 2 (PE/CPN) Protección Ecológica/Conservación del Patrimonio Natural.”</w:t>
      </w:r>
    </w:p>
    <w:p w14:paraId="700A6843" w14:textId="7A06E307" w:rsidR="00705465" w:rsidRPr="008C1357" w:rsidRDefault="00705465" w:rsidP="009A40F2">
      <w:pPr>
        <w:spacing w:after="240" w:line="276" w:lineRule="auto"/>
        <w:jc w:val="both"/>
        <w:rPr>
          <w:bCs/>
          <w:i/>
        </w:rPr>
      </w:pPr>
      <w:r w:rsidRPr="00B82F65">
        <w:rPr>
          <w:b/>
          <w:sz w:val="22"/>
          <w:szCs w:val="22"/>
          <w:lang w:val="es-EC"/>
        </w:rPr>
        <w:t xml:space="preserve">Artículo </w:t>
      </w:r>
      <w:r w:rsidR="00C71650">
        <w:rPr>
          <w:b/>
          <w:sz w:val="22"/>
          <w:szCs w:val="22"/>
          <w:lang w:val="es-EC"/>
        </w:rPr>
        <w:t>7</w:t>
      </w:r>
      <w:r w:rsidRPr="00B82F65">
        <w:rPr>
          <w:b/>
          <w:sz w:val="22"/>
          <w:szCs w:val="22"/>
          <w:lang w:val="es-EC"/>
        </w:rPr>
        <w:t>.-</w:t>
      </w:r>
      <w:r w:rsidRPr="009A40F2">
        <w:rPr>
          <w:b/>
          <w:sz w:val="22"/>
          <w:szCs w:val="22"/>
          <w:lang w:val="es-EC"/>
        </w:rPr>
        <w:t xml:space="preserve"> Clasificación del suelo</w:t>
      </w:r>
      <w:r w:rsidRPr="009A40F2">
        <w:rPr>
          <w:sz w:val="22"/>
          <w:szCs w:val="22"/>
          <w:lang w:val="es-EC"/>
        </w:rPr>
        <w:t>.- Los lotes fraccionados mantendrán la clasificación vigente (SU) Suelo Urbano.</w:t>
      </w:r>
    </w:p>
    <w:p w14:paraId="43EDD5CA" w14:textId="440BA1AB" w:rsidR="00CA7D73" w:rsidRPr="00B82F65" w:rsidRDefault="009A40F2" w:rsidP="00C54988">
      <w:pPr>
        <w:spacing w:after="240" w:line="276" w:lineRule="auto"/>
        <w:jc w:val="both"/>
        <w:rPr>
          <w:i/>
          <w:sz w:val="22"/>
          <w:szCs w:val="22"/>
        </w:rPr>
      </w:pPr>
      <w:r w:rsidRPr="009A40F2">
        <w:rPr>
          <w:b/>
          <w:sz w:val="22"/>
          <w:szCs w:val="22"/>
          <w:lang w:val="es-EC"/>
        </w:rPr>
        <w:t xml:space="preserve">Artículo </w:t>
      </w:r>
      <w:r w:rsidR="00C71650">
        <w:rPr>
          <w:b/>
          <w:sz w:val="22"/>
          <w:szCs w:val="22"/>
          <w:lang w:val="es-EC"/>
        </w:rPr>
        <w:t>8</w:t>
      </w:r>
      <w:r w:rsidRPr="009A40F2">
        <w:rPr>
          <w:b/>
          <w:sz w:val="22"/>
          <w:szCs w:val="22"/>
          <w:lang w:val="es-EC"/>
        </w:rPr>
        <w:t>.-</w:t>
      </w:r>
      <w:r w:rsidR="00D45350" w:rsidRPr="009A40F2">
        <w:rPr>
          <w:b/>
          <w:sz w:val="22"/>
          <w:szCs w:val="22"/>
          <w:lang w:val="es-EC"/>
        </w:rPr>
        <w:t xml:space="preserve"> Lotes por excepción.-</w:t>
      </w:r>
      <w:r w:rsidR="00D45350" w:rsidRPr="008C1357">
        <w:rPr>
          <w:i/>
        </w:rPr>
        <w:t xml:space="preserve"> </w:t>
      </w:r>
      <w:r w:rsidR="00B46EA4" w:rsidRPr="009A40F2">
        <w:rPr>
          <w:sz w:val="22"/>
          <w:szCs w:val="22"/>
          <w:lang w:val="es-EC"/>
        </w:rPr>
        <w:t>Por tratarse de un asentamiento de hecho y consolidado de interés social, se aprueba</w:t>
      </w:r>
      <w:r w:rsidR="00BC1870" w:rsidRPr="009A40F2">
        <w:rPr>
          <w:sz w:val="22"/>
          <w:szCs w:val="22"/>
          <w:lang w:val="es-EC"/>
        </w:rPr>
        <w:t>n por excepción, esto es, con á</w:t>
      </w:r>
      <w:r w:rsidR="00B46EA4" w:rsidRPr="009A40F2">
        <w:rPr>
          <w:sz w:val="22"/>
          <w:szCs w:val="22"/>
          <w:lang w:val="es-EC"/>
        </w:rPr>
        <w:t>reas inferiores a las mínimas establecidas en la zonificación vigente, l</w:t>
      </w:r>
      <w:r w:rsidR="00CA7D73" w:rsidRPr="009A40F2">
        <w:rPr>
          <w:sz w:val="22"/>
          <w:szCs w:val="22"/>
          <w:lang w:val="es-EC"/>
        </w:rPr>
        <w:t>os lotes:</w:t>
      </w:r>
      <w:r w:rsidR="008C1357" w:rsidRPr="009A40F2">
        <w:rPr>
          <w:sz w:val="22"/>
          <w:szCs w:val="22"/>
          <w:lang w:val="es-EC"/>
        </w:rPr>
        <w:t xml:space="preserve"> </w:t>
      </w:r>
      <w:r w:rsidR="00CA7D73" w:rsidRPr="009A40F2">
        <w:rPr>
          <w:sz w:val="22"/>
          <w:szCs w:val="22"/>
          <w:lang w:val="es-EC"/>
        </w:rPr>
        <w:t>2,</w:t>
      </w:r>
      <w:r w:rsidR="008C1357" w:rsidRPr="009A40F2">
        <w:rPr>
          <w:sz w:val="22"/>
          <w:szCs w:val="22"/>
          <w:lang w:val="es-EC"/>
        </w:rPr>
        <w:t xml:space="preserve"> </w:t>
      </w:r>
      <w:r w:rsidR="00CA7D73" w:rsidRPr="009A40F2">
        <w:rPr>
          <w:sz w:val="22"/>
          <w:szCs w:val="22"/>
          <w:lang w:val="es-EC"/>
        </w:rPr>
        <w:t>3,</w:t>
      </w:r>
      <w:r w:rsidR="008C1357" w:rsidRPr="009A40F2">
        <w:rPr>
          <w:sz w:val="22"/>
          <w:szCs w:val="22"/>
          <w:lang w:val="es-EC"/>
        </w:rPr>
        <w:t xml:space="preserve"> </w:t>
      </w:r>
      <w:r w:rsidR="00CA7D73" w:rsidRPr="009A40F2">
        <w:rPr>
          <w:sz w:val="22"/>
          <w:szCs w:val="22"/>
          <w:lang w:val="es-EC"/>
        </w:rPr>
        <w:t>5,</w:t>
      </w:r>
      <w:r w:rsidR="008C1357" w:rsidRPr="009A40F2">
        <w:rPr>
          <w:sz w:val="22"/>
          <w:szCs w:val="22"/>
          <w:lang w:val="es-EC"/>
        </w:rPr>
        <w:t xml:space="preserve"> </w:t>
      </w:r>
      <w:r w:rsidR="00CA7D73" w:rsidRPr="009A40F2">
        <w:rPr>
          <w:sz w:val="22"/>
          <w:szCs w:val="22"/>
          <w:lang w:val="es-EC"/>
        </w:rPr>
        <w:t>11,</w:t>
      </w:r>
      <w:r w:rsidR="008C1357" w:rsidRPr="009A40F2">
        <w:rPr>
          <w:sz w:val="22"/>
          <w:szCs w:val="22"/>
          <w:lang w:val="es-EC"/>
        </w:rPr>
        <w:t xml:space="preserve"> </w:t>
      </w:r>
      <w:r w:rsidR="00CA7D73" w:rsidRPr="009A40F2">
        <w:rPr>
          <w:sz w:val="22"/>
          <w:szCs w:val="22"/>
          <w:lang w:val="es-EC"/>
        </w:rPr>
        <w:t>12,</w:t>
      </w:r>
      <w:r w:rsidR="008C1357" w:rsidRPr="009A40F2">
        <w:rPr>
          <w:sz w:val="22"/>
          <w:szCs w:val="22"/>
          <w:lang w:val="es-EC"/>
        </w:rPr>
        <w:t xml:space="preserve"> </w:t>
      </w:r>
      <w:r w:rsidR="00CA7D73" w:rsidRPr="009A40F2">
        <w:rPr>
          <w:sz w:val="22"/>
          <w:szCs w:val="22"/>
          <w:lang w:val="es-EC"/>
        </w:rPr>
        <w:t>17,</w:t>
      </w:r>
      <w:r w:rsidR="008C1357" w:rsidRPr="009A40F2">
        <w:rPr>
          <w:sz w:val="22"/>
          <w:szCs w:val="22"/>
          <w:lang w:val="es-EC"/>
        </w:rPr>
        <w:t xml:space="preserve"> </w:t>
      </w:r>
      <w:r w:rsidR="00CA7D73" w:rsidRPr="009A40F2">
        <w:rPr>
          <w:sz w:val="22"/>
          <w:szCs w:val="22"/>
          <w:lang w:val="es-EC"/>
        </w:rPr>
        <w:t>18,</w:t>
      </w:r>
      <w:r w:rsidR="008C1357" w:rsidRPr="009A40F2">
        <w:rPr>
          <w:sz w:val="22"/>
          <w:szCs w:val="22"/>
          <w:lang w:val="es-EC"/>
        </w:rPr>
        <w:t xml:space="preserve"> </w:t>
      </w:r>
      <w:r w:rsidR="00CA7D73" w:rsidRPr="009A40F2">
        <w:rPr>
          <w:sz w:val="22"/>
          <w:szCs w:val="22"/>
          <w:lang w:val="es-EC"/>
        </w:rPr>
        <w:t>19,</w:t>
      </w:r>
      <w:r w:rsidR="008C1357" w:rsidRPr="009A40F2">
        <w:rPr>
          <w:sz w:val="22"/>
          <w:szCs w:val="22"/>
          <w:lang w:val="es-EC"/>
        </w:rPr>
        <w:t xml:space="preserve"> </w:t>
      </w:r>
      <w:r w:rsidR="00CA7D73" w:rsidRPr="009A40F2">
        <w:rPr>
          <w:sz w:val="22"/>
          <w:szCs w:val="22"/>
          <w:lang w:val="es-EC"/>
        </w:rPr>
        <w:t>20,</w:t>
      </w:r>
      <w:r w:rsidR="008C1357" w:rsidRPr="009A40F2">
        <w:rPr>
          <w:sz w:val="22"/>
          <w:szCs w:val="22"/>
          <w:lang w:val="es-EC"/>
        </w:rPr>
        <w:t xml:space="preserve"> </w:t>
      </w:r>
      <w:r w:rsidR="00CA7D73" w:rsidRPr="009A40F2">
        <w:rPr>
          <w:sz w:val="22"/>
          <w:szCs w:val="22"/>
          <w:lang w:val="es-EC"/>
        </w:rPr>
        <w:t>21,</w:t>
      </w:r>
      <w:r w:rsidR="008C1357" w:rsidRPr="009A40F2">
        <w:rPr>
          <w:sz w:val="22"/>
          <w:szCs w:val="22"/>
          <w:lang w:val="es-EC"/>
        </w:rPr>
        <w:t xml:space="preserve"> </w:t>
      </w:r>
      <w:r w:rsidR="00CA7D73" w:rsidRPr="009A40F2">
        <w:rPr>
          <w:sz w:val="22"/>
          <w:szCs w:val="22"/>
          <w:lang w:val="es-EC"/>
        </w:rPr>
        <w:t>22,</w:t>
      </w:r>
      <w:r w:rsidR="008C1357" w:rsidRPr="009A40F2">
        <w:rPr>
          <w:sz w:val="22"/>
          <w:szCs w:val="22"/>
          <w:lang w:val="es-EC"/>
        </w:rPr>
        <w:t xml:space="preserve"> </w:t>
      </w:r>
      <w:r w:rsidR="00CA7D73" w:rsidRPr="009A40F2">
        <w:rPr>
          <w:sz w:val="22"/>
          <w:szCs w:val="22"/>
          <w:lang w:val="es-EC"/>
        </w:rPr>
        <w:t>23,</w:t>
      </w:r>
      <w:r w:rsidR="008C1357" w:rsidRPr="009A40F2">
        <w:rPr>
          <w:sz w:val="22"/>
          <w:szCs w:val="22"/>
          <w:lang w:val="es-EC"/>
        </w:rPr>
        <w:t xml:space="preserve"> </w:t>
      </w:r>
      <w:r w:rsidR="00CA7D73" w:rsidRPr="009A40F2">
        <w:rPr>
          <w:sz w:val="22"/>
          <w:szCs w:val="22"/>
          <w:lang w:val="es-EC"/>
        </w:rPr>
        <w:t>24,</w:t>
      </w:r>
      <w:r w:rsidR="008C1357" w:rsidRPr="009A40F2">
        <w:rPr>
          <w:sz w:val="22"/>
          <w:szCs w:val="22"/>
          <w:lang w:val="es-EC"/>
        </w:rPr>
        <w:t xml:space="preserve"> </w:t>
      </w:r>
      <w:r w:rsidR="00CA7D73" w:rsidRPr="009A40F2">
        <w:rPr>
          <w:sz w:val="22"/>
          <w:szCs w:val="22"/>
          <w:lang w:val="es-EC"/>
        </w:rPr>
        <w:t>25,</w:t>
      </w:r>
      <w:r w:rsidR="008C1357" w:rsidRPr="009A40F2">
        <w:rPr>
          <w:sz w:val="22"/>
          <w:szCs w:val="22"/>
          <w:lang w:val="es-EC"/>
        </w:rPr>
        <w:t xml:space="preserve"> </w:t>
      </w:r>
      <w:r w:rsidR="00CA7D73" w:rsidRPr="009A40F2">
        <w:rPr>
          <w:sz w:val="22"/>
          <w:szCs w:val="22"/>
          <w:lang w:val="es-EC"/>
        </w:rPr>
        <w:t>33,</w:t>
      </w:r>
      <w:r w:rsidR="008C1357" w:rsidRPr="009A40F2">
        <w:rPr>
          <w:sz w:val="22"/>
          <w:szCs w:val="22"/>
          <w:lang w:val="es-EC"/>
        </w:rPr>
        <w:t xml:space="preserve"> </w:t>
      </w:r>
      <w:r w:rsidR="00CA7D73" w:rsidRPr="009A40F2">
        <w:rPr>
          <w:sz w:val="22"/>
          <w:szCs w:val="22"/>
          <w:lang w:val="es-EC"/>
        </w:rPr>
        <w:t>34,</w:t>
      </w:r>
      <w:r w:rsidR="008C1357" w:rsidRPr="009A40F2">
        <w:rPr>
          <w:sz w:val="22"/>
          <w:szCs w:val="22"/>
          <w:lang w:val="es-EC"/>
        </w:rPr>
        <w:t xml:space="preserve"> </w:t>
      </w:r>
      <w:r w:rsidR="00CA7D73" w:rsidRPr="009A40F2">
        <w:rPr>
          <w:sz w:val="22"/>
          <w:szCs w:val="22"/>
          <w:lang w:val="es-EC"/>
        </w:rPr>
        <w:t>35,</w:t>
      </w:r>
      <w:r w:rsidR="008C1357" w:rsidRPr="009A40F2">
        <w:rPr>
          <w:sz w:val="22"/>
          <w:szCs w:val="22"/>
          <w:lang w:val="es-EC"/>
        </w:rPr>
        <w:t xml:space="preserve"> </w:t>
      </w:r>
      <w:r w:rsidR="00CA7D73" w:rsidRPr="009A40F2">
        <w:rPr>
          <w:sz w:val="22"/>
          <w:szCs w:val="22"/>
          <w:lang w:val="es-EC"/>
        </w:rPr>
        <w:t>36,</w:t>
      </w:r>
      <w:r w:rsidR="008C1357" w:rsidRPr="009A40F2">
        <w:rPr>
          <w:sz w:val="22"/>
          <w:szCs w:val="22"/>
          <w:lang w:val="es-EC"/>
        </w:rPr>
        <w:t xml:space="preserve"> </w:t>
      </w:r>
      <w:r w:rsidR="00CA7D73" w:rsidRPr="009A40F2">
        <w:rPr>
          <w:sz w:val="22"/>
          <w:szCs w:val="22"/>
          <w:lang w:val="es-EC"/>
        </w:rPr>
        <w:t>37,</w:t>
      </w:r>
      <w:r w:rsidR="008C1357" w:rsidRPr="009A40F2">
        <w:rPr>
          <w:sz w:val="22"/>
          <w:szCs w:val="22"/>
          <w:lang w:val="es-EC"/>
        </w:rPr>
        <w:t xml:space="preserve"> </w:t>
      </w:r>
      <w:r w:rsidR="00CA7D73" w:rsidRPr="009A40F2">
        <w:rPr>
          <w:sz w:val="22"/>
          <w:szCs w:val="22"/>
          <w:lang w:val="es-EC"/>
        </w:rPr>
        <w:t>38,</w:t>
      </w:r>
      <w:r w:rsidR="008C1357" w:rsidRPr="009A40F2">
        <w:rPr>
          <w:sz w:val="22"/>
          <w:szCs w:val="22"/>
          <w:lang w:val="es-EC"/>
        </w:rPr>
        <w:t xml:space="preserve"> </w:t>
      </w:r>
      <w:r w:rsidR="00CA7D73" w:rsidRPr="009A40F2">
        <w:rPr>
          <w:sz w:val="22"/>
          <w:szCs w:val="22"/>
          <w:lang w:val="es-EC"/>
        </w:rPr>
        <w:t>39,</w:t>
      </w:r>
      <w:r w:rsidR="008C1357" w:rsidRPr="009A40F2">
        <w:rPr>
          <w:sz w:val="22"/>
          <w:szCs w:val="22"/>
          <w:lang w:val="es-EC"/>
        </w:rPr>
        <w:t xml:space="preserve"> </w:t>
      </w:r>
      <w:r w:rsidR="00CA7D73" w:rsidRPr="009A40F2">
        <w:rPr>
          <w:sz w:val="22"/>
          <w:szCs w:val="22"/>
          <w:lang w:val="es-EC"/>
        </w:rPr>
        <w:t>40,</w:t>
      </w:r>
      <w:r w:rsidR="008C1357" w:rsidRPr="009A40F2">
        <w:rPr>
          <w:sz w:val="22"/>
          <w:szCs w:val="22"/>
          <w:lang w:val="es-EC"/>
        </w:rPr>
        <w:t xml:space="preserve"> </w:t>
      </w:r>
      <w:r w:rsidR="00CA7D73" w:rsidRPr="009A40F2">
        <w:rPr>
          <w:sz w:val="22"/>
          <w:szCs w:val="22"/>
          <w:lang w:val="es-EC"/>
        </w:rPr>
        <w:t>41,</w:t>
      </w:r>
      <w:r w:rsidR="008C1357" w:rsidRPr="009A40F2">
        <w:rPr>
          <w:sz w:val="22"/>
          <w:szCs w:val="22"/>
          <w:lang w:val="es-EC"/>
        </w:rPr>
        <w:t xml:space="preserve"> </w:t>
      </w:r>
      <w:r w:rsidR="00CA7D73" w:rsidRPr="009A40F2">
        <w:rPr>
          <w:sz w:val="22"/>
          <w:szCs w:val="22"/>
          <w:lang w:val="es-EC"/>
        </w:rPr>
        <w:t>42,</w:t>
      </w:r>
      <w:r w:rsidR="008C1357" w:rsidRPr="009A40F2">
        <w:rPr>
          <w:sz w:val="22"/>
          <w:szCs w:val="22"/>
          <w:lang w:val="es-EC"/>
        </w:rPr>
        <w:t xml:space="preserve"> </w:t>
      </w:r>
      <w:r w:rsidR="00CA7D73" w:rsidRPr="009A40F2">
        <w:rPr>
          <w:sz w:val="22"/>
          <w:szCs w:val="22"/>
          <w:lang w:val="es-EC"/>
        </w:rPr>
        <w:t>43,</w:t>
      </w:r>
      <w:r w:rsidR="008C1357" w:rsidRPr="009A40F2">
        <w:rPr>
          <w:sz w:val="22"/>
          <w:szCs w:val="22"/>
          <w:lang w:val="es-EC"/>
        </w:rPr>
        <w:t xml:space="preserve"> </w:t>
      </w:r>
      <w:r w:rsidR="00CA7D73" w:rsidRPr="009A40F2">
        <w:rPr>
          <w:sz w:val="22"/>
          <w:szCs w:val="22"/>
          <w:lang w:val="es-EC"/>
        </w:rPr>
        <w:t>45,</w:t>
      </w:r>
      <w:r w:rsidR="008C1357" w:rsidRPr="009A40F2">
        <w:rPr>
          <w:sz w:val="22"/>
          <w:szCs w:val="22"/>
          <w:lang w:val="es-EC"/>
        </w:rPr>
        <w:t xml:space="preserve"> </w:t>
      </w:r>
      <w:r w:rsidR="00CA7D73" w:rsidRPr="009A40F2">
        <w:rPr>
          <w:sz w:val="22"/>
          <w:szCs w:val="22"/>
          <w:lang w:val="es-EC"/>
        </w:rPr>
        <w:t>46,</w:t>
      </w:r>
      <w:r w:rsidR="008C1357" w:rsidRPr="009A40F2">
        <w:rPr>
          <w:sz w:val="22"/>
          <w:szCs w:val="22"/>
          <w:lang w:val="es-EC"/>
        </w:rPr>
        <w:t xml:space="preserve"> </w:t>
      </w:r>
      <w:r w:rsidR="00CA7D73" w:rsidRPr="009A40F2">
        <w:rPr>
          <w:sz w:val="22"/>
          <w:szCs w:val="22"/>
          <w:lang w:val="es-EC"/>
        </w:rPr>
        <w:t>47,</w:t>
      </w:r>
      <w:r w:rsidR="008C1357" w:rsidRPr="009A40F2">
        <w:rPr>
          <w:sz w:val="22"/>
          <w:szCs w:val="22"/>
          <w:lang w:val="es-EC"/>
        </w:rPr>
        <w:t xml:space="preserve"> </w:t>
      </w:r>
      <w:r w:rsidR="00CA7D73" w:rsidRPr="009A40F2">
        <w:rPr>
          <w:sz w:val="22"/>
          <w:szCs w:val="22"/>
          <w:lang w:val="es-EC"/>
        </w:rPr>
        <w:t>48,</w:t>
      </w:r>
      <w:r w:rsidR="008C1357" w:rsidRPr="009A40F2">
        <w:rPr>
          <w:sz w:val="22"/>
          <w:szCs w:val="22"/>
          <w:lang w:val="es-EC"/>
        </w:rPr>
        <w:t xml:space="preserve"> </w:t>
      </w:r>
      <w:r w:rsidR="00CA7D73" w:rsidRPr="009A40F2">
        <w:rPr>
          <w:sz w:val="22"/>
          <w:szCs w:val="22"/>
          <w:lang w:val="es-EC"/>
        </w:rPr>
        <w:t>49,</w:t>
      </w:r>
      <w:r w:rsidR="008C1357" w:rsidRPr="009A40F2">
        <w:rPr>
          <w:sz w:val="22"/>
          <w:szCs w:val="22"/>
          <w:lang w:val="es-EC"/>
        </w:rPr>
        <w:t xml:space="preserve"> </w:t>
      </w:r>
      <w:r w:rsidR="00CA7D73" w:rsidRPr="009A40F2">
        <w:rPr>
          <w:sz w:val="22"/>
          <w:szCs w:val="22"/>
          <w:lang w:val="es-EC"/>
        </w:rPr>
        <w:t>50,</w:t>
      </w:r>
      <w:r w:rsidR="008C1357" w:rsidRPr="009A40F2">
        <w:rPr>
          <w:sz w:val="22"/>
          <w:szCs w:val="22"/>
          <w:lang w:val="es-EC"/>
        </w:rPr>
        <w:t xml:space="preserve"> </w:t>
      </w:r>
      <w:r w:rsidR="00CA7D73" w:rsidRPr="009A40F2">
        <w:rPr>
          <w:sz w:val="22"/>
          <w:szCs w:val="22"/>
          <w:lang w:val="es-EC"/>
        </w:rPr>
        <w:t>51,</w:t>
      </w:r>
      <w:r w:rsidR="008C1357" w:rsidRPr="009A40F2">
        <w:rPr>
          <w:sz w:val="22"/>
          <w:szCs w:val="22"/>
          <w:lang w:val="es-EC"/>
        </w:rPr>
        <w:t xml:space="preserve"> </w:t>
      </w:r>
      <w:r w:rsidR="00CA7D73" w:rsidRPr="009A40F2">
        <w:rPr>
          <w:sz w:val="22"/>
          <w:szCs w:val="22"/>
          <w:lang w:val="es-EC"/>
        </w:rPr>
        <w:t>52,</w:t>
      </w:r>
      <w:r w:rsidR="008C1357" w:rsidRPr="009A40F2">
        <w:rPr>
          <w:sz w:val="22"/>
          <w:szCs w:val="22"/>
          <w:lang w:val="es-EC"/>
        </w:rPr>
        <w:t xml:space="preserve"> </w:t>
      </w:r>
      <w:r w:rsidR="00CA7D73" w:rsidRPr="009A40F2">
        <w:rPr>
          <w:sz w:val="22"/>
          <w:szCs w:val="22"/>
          <w:lang w:val="es-EC"/>
        </w:rPr>
        <w:t>53,</w:t>
      </w:r>
      <w:r w:rsidR="008C1357" w:rsidRPr="009A40F2">
        <w:rPr>
          <w:sz w:val="22"/>
          <w:szCs w:val="22"/>
          <w:lang w:val="es-EC"/>
        </w:rPr>
        <w:t xml:space="preserve"> </w:t>
      </w:r>
      <w:r w:rsidR="00CA7D73" w:rsidRPr="009A40F2">
        <w:rPr>
          <w:sz w:val="22"/>
          <w:szCs w:val="22"/>
          <w:lang w:val="es-EC"/>
        </w:rPr>
        <w:t>55,</w:t>
      </w:r>
      <w:r w:rsidR="008C1357" w:rsidRPr="009A40F2">
        <w:rPr>
          <w:sz w:val="22"/>
          <w:szCs w:val="22"/>
          <w:lang w:val="es-EC"/>
        </w:rPr>
        <w:t xml:space="preserve"> </w:t>
      </w:r>
      <w:r w:rsidR="00CA7D73" w:rsidRPr="009A40F2">
        <w:rPr>
          <w:sz w:val="22"/>
          <w:szCs w:val="22"/>
          <w:lang w:val="es-EC"/>
        </w:rPr>
        <w:t>57,</w:t>
      </w:r>
      <w:r w:rsidR="008C1357" w:rsidRPr="009A40F2">
        <w:rPr>
          <w:sz w:val="22"/>
          <w:szCs w:val="22"/>
          <w:lang w:val="es-EC"/>
        </w:rPr>
        <w:t xml:space="preserve"> </w:t>
      </w:r>
      <w:r w:rsidR="00CA7D73" w:rsidRPr="009A40F2">
        <w:rPr>
          <w:sz w:val="22"/>
          <w:szCs w:val="22"/>
          <w:lang w:val="es-EC"/>
        </w:rPr>
        <w:t>58,</w:t>
      </w:r>
      <w:r w:rsidR="008C1357" w:rsidRPr="009A40F2">
        <w:rPr>
          <w:sz w:val="22"/>
          <w:szCs w:val="22"/>
          <w:lang w:val="es-EC"/>
        </w:rPr>
        <w:t xml:space="preserve"> </w:t>
      </w:r>
      <w:r w:rsidR="00CA7D73" w:rsidRPr="009A40F2">
        <w:rPr>
          <w:sz w:val="22"/>
          <w:szCs w:val="22"/>
          <w:lang w:val="es-EC"/>
        </w:rPr>
        <w:t>61,</w:t>
      </w:r>
      <w:r w:rsidR="008C1357" w:rsidRPr="009A40F2">
        <w:rPr>
          <w:sz w:val="22"/>
          <w:szCs w:val="22"/>
          <w:lang w:val="es-EC"/>
        </w:rPr>
        <w:t xml:space="preserve"> </w:t>
      </w:r>
      <w:r w:rsidR="00CA7D73" w:rsidRPr="009A40F2">
        <w:rPr>
          <w:sz w:val="22"/>
          <w:szCs w:val="22"/>
          <w:lang w:val="es-EC"/>
        </w:rPr>
        <w:t>62,</w:t>
      </w:r>
      <w:r w:rsidR="008C1357" w:rsidRPr="009A40F2">
        <w:rPr>
          <w:sz w:val="22"/>
          <w:szCs w:val="22"/>
          <w:lang w:val="es-EC"/>
        </w:rPr>
        <w:t xml:space="preserve"> </w:t>
      </w:r>
      <w:r w:rsidR="00CA7D73" w:rsidRPr="009A40F2">
        <w:rPr>
          <w:sz w:val="22"/>
          <w:szCs w:val="22"/>
          <w:lang w:val="es-EC"/>
        </w:rPr>
        <w:t>66,</w:t>
      </w:r>
      <w:r w:rsidR="008C1357" w:rsidRPr="009A40F2">
        <w:rPr>
          <w:sz w:val="22"/>
          <w:szCs w:val="22"/>
          <w:lang w:val="es-EC"/>
        </w:rPr>
        <w:t xml:space="preserve"> </w:t>
      </w:r>
      <w:r w:rsidR="00CA7D73" w:rsidRPr="009A40F2">
        <w:rPr>
          <w:sz w:val="22"/>
          <w:szCs w:val="22"/>
          <w:lang w:val="es-EC"/>
        </w:rPr>
        <w:t>67,</w:t>
      </w:r>
      <w:r w:rsidR="008C1357" w:rsidRPr="009A40F2">
        <w:rPr>
          <w:sz w:val="22"/>
          <w:szCs w:val="22"/>
          <w:lang w:val="es-EC"/>
        </w:rPr>
        <w:t xml:space="preserve"> </w:t>
      </w:r>
      <w:r w:rsidR="00CA7D73" w:rsidRPr="009A40F2">
        <w:rPr>
          <w:sz w:val="22"/>
          <w:szCs w:val="22"/>
          <w:lang w:val="es-EC"/>
        </w:rPr>
        <w:t>68,</w:t>
      </w:r>
      <w:r w:rsidR="008C1357" w:rsidRPr="009A40F2">
        <w:rPr>
          <w:sz w:val="22"/>
          <w:szCs w:val="22"/>
          <w:lang w:val="es-EC"/>
        </w:rPr>
        <w:t xml:space="preserve"> </w:t>
      </w:r>
      <w:r w:rsidR="00CA7D73" w:rsidRPr="009A40F2">
        <w:rPr>
          <w:sz w:val="22"/>
          <w:szCs w:val="22"/>
          <w:lang w:val="es-EC"/>
        </w:rPr>
        <w:t>70,</w:t>
      </w:r>
      <w:r w:rsidR="008C1357" w:rsidRPr="009A40F2">
        <w:rPr>
          <w:sz w:val="22"/>
          <w:szCs w:val="22"/>
          <w:lang w:val="es-EC"/>
        </w:rPr>
        <w:t xml:space="preserve"> </w:t>
      </w:r>
      <w:r w:rsidR="00CA7D73" w:rsidRPr="009A40F2">
        <w:rPr>
          <w:sz w:val="22"/>
          <w:szCs w:val="22"/>
          <w:lang w:val="es-EC"/>
        </w:rPr>
        <w:t>71,</w:t>
      </w:r>
      <w:r w:rsidR="008C1357" w:rsidRPr="009A40F2">
        <w:rPr>
          <w:sz w:val="22"/>
          <w:szCs w:val="22"/>
          <w:lang w:val="es-EC"/>
        </w:rPr>
        <w:t xml:space="preserve"> </w:t>
      </w:r>
      <w:r w:rsidR="00CA7D73" w:rsidRPr="009A40F2">
        <w:rPr>
          <w:sz w:val="22"/>
          <w:szCs w:val="22"/>
          <w:lang w:val="es-EC"/>
        </w:rPr>
        <w:t>81,</w:t>
      </w:r>
      <w:r w:rsidR="008C1357" w:rsidRPr="009A40F2">
        <w:rPr>
          <w:sz w:val="22"/>
          <w:szCs w:val="22"/>
          <w:lang w:val="es-EC"/>
        </w:rPr>
        <w:t xml:space="preserve"> </w:t>
      </w:r>
      <w:r w:rsidR="00CA7D73" w:rsidRPr="009A40F2">
        <w:rPr>
          <w:sz w:val="22"/>
          <w:szCs w:val="22"/>
          <w:lang w:val="es-EC"/>
        </w:rPr>
        <w:t>82,</w:t>
      </w:r>
      <w:r w:rsidR="008C1357" w:rsidRPr="009A40F2">
        <w:rPr>
          <w:sz w:val="22"/>
          <w:szCs w:val="22"/>
          <w:lang w:val="es-EC"/>
        </w:rPr>
        <w:t xml:space="preserve"> </w:t>
      </w:r>
      <w:r w:rsidR="00CA7D73" w:rsidRPr="009A40F2">
        <w:rPr>
          <w:sz w:val="22"/>
          <w:szCs w:val="22"/>
          <w:lang w:val="es-EC"/>
        </w:rPr>
        <w:t>83,</w:t>
      </w:r>
      <w:r w:rsidR="008C1357" w:rsidRPr="009A40F2">
        <w:rPr>
          <w:sz w:val="22"/>
          <w:szCs w:val="22"/>
          <w:lang w:val="es-EC"/>
        </w:rPr>
        <w:t xml:space="preserve"> </w:t>
      </w:r>
      <w:r w:rsidR="00CA7D73" w:rsidRPr="009A40F2">
        <w:rPr>
          <w:sz w:val="22"/>
          <w:szCs w:val="22"/>
          <w:lang w:val="es-EC"/>
        </w:rPr>
        <w:t>84,</w:t>
      </w:r>
      <w:r w:rsidR="008C1357" w:rsidRPr="009A40F2">
        <w:rPr>
          <w:sz w:val="22"/>
          <w:szCs w:val="22"/>
          <w:lang w:val="es-EC"/>
        </w:rPr>
        <w:t xml:space="preserve"> </w:t>
      </w:r>
      <w:r w:rsidR="00CA7D73" w:rsidRPr="009A40F2">
        <w:rPr>
          <w:sz w:val="22"/>
          <w:szCs w:val="22"/>
          <w:lang w:val="es-EC"/>
        </w:rPr>
        <w:t>85,</w:t>
      </w:r>
      <w:r w:rsidR="008C1357" w:rsidRPr="009A40F2">
        <w:rPr>
          <w:sz w:val="22"/>
          <w:szCs w:val="22"/>
          <w:lang w:val="es-EC"/>
        </w:rPr>
        <w:t xml:space="preserve"> </w:t>
      </w:r>
      <w:r w:rsidR="00CA7D73" w:rsidRPr="009A40F2">
        <w:rPr>
          <w:sz w:val="22"/>
          <w:szCs w:val="22"/>
          <w:lang w:val="es-EC"/>
        </w:rPr>
        <w:t>93,</w:t>
      </w:r>
      <w:r w:rsidR="008C1357" w:rsidRPr="009A40F2">
        <w:rPr>
          <w:sz w:val="22"/>
          <w:szCs w:val="22"/>
          <w:lang w:val="es-EC"/>
        </w:rPr>
        <w:t xml:space="preserve"> </w:t>
      </w:r>
      <w:r w:rsidR="00CA7D73" w:rsidRPr="009A40F2">
        <w:rPr>
          <w:sz w:val="22"/>
          <w:szCs w:val="22"/>
          <w:lang w:val="es-EC"/>
        </w:rPr>
        <w:t>98,</w:t>
      </w:r>
      <w:r w:rsidR="008C1357" w:rsidRPr="009A40F2">
        <w:rPr>
          <w:sz w:val="22"/>
          <w:szCs w:val="22"/>
          <w:lang w:val="es-EC"/>
        </w:rPr>
        <w:t xml:space="preserve"> </w:t>
      </w:r>
      <w:r w:rsidR="00CA7D73" w:rsidRPr="009A40F2">
        <w:rPr>
          <w:sz w:val="22"/>
          <w:szCs w:val="22"/>
          <w:lang w:val="es-EC"/>
        </w:rPr>
        <w:t>104,</w:t>
      </w:r>
      <w:r w:rsidR="008C1357" w:rsidRPr="009A40F2">
        <w:rPr>
          <w:sz w:val="22"/>
          <w:szCs w:val="22"/>
          <w:lang w:val="es-EC"/>
        </w:rPr>
        <w:t xml:space="preserve"> </w:t>
      </w:r>
      <w:r w:rsidR="00CA7D73" w:rsidRPr="009A40F2">
        <w:rPr>
          <w:sz w:val="22"/>
          <w:szCs w:val="22"/>
          <w:lang w:val="es-EC"/>
        </w:rPr>
        <w:t>106,</w:t>
      </w:r>
      <w:r w:rsidR="008C1357" w:rsidRPr="009A40F2">
        <w:rPr>
          <w:sz w:val="22"/>
          <w:szCs w:val="22"/>
          <w:lang w:val="es-EC"/>
        </w:rPr>
        <w:t xml:space="preserve"> </w:t>
      </w:r>
      <w:r w:rsidR="00CA7D73" w:rsidRPr="009A40F2">
        <w:rPr>
          <w:sz w:val="22"/>
          <w:szCs w:val="22"/>
          <w:lang w:val="es-EC"/>
        </w:rPr>
        <w:t>107,</w:t>
      </w:r>
      <w:r w:rsidR="008C1357" w:rsidRPr="009A40F2">
        <w:rPr>
          <w:sz w:val="22"/>
          <w:szCs w:val="22"/>
          <w:lang w:val="es-EC"/>
        </w:rPr>
        <w:t xml:space="preserve"> </w:t>
      </w:r>
      <w:r w:rsidR="00CA7D73" w:rsidRPr="009A40F2">
        <w:rPr>
          <w:sz w:val="22"/>
          <w:szCs w:val="22"/>
          <w:lang w:val="es-EC"/>
        </w:rPr>
        <w:t>123</w:t>
      </w:r>
      <w:r w:rsidR="00C54988" w:rsidRPr="009A40F2">
        <w:rPr>
          <w:sz w:val="22"/>
          <w:szCs w:val="22"/>
          <w:lang w:val="es-EC"/>
        </w:rPr>
        <w:t xml:space="preserve"> </w:t>
      </w:r>
      <w:r w:rsidR="00CA7D73" w:rsidRPr="009A40F2">
        <w:rPr>
          <w:sz w:val="22"/>
          <w:szCs w:val="22"/>
          <w:lang w:val="es-EC"/>
        </w:rPr>
        <w:t>y 124.</w:t>
      </w:r>
    </w:p>
    <w:p w14:paraId="5D06DE34" w14:textId="4DECA663" w:rsidR="00E71848" w:rsidRPr="00B82F65" w:rsidRDefault="00E71848" w:rsidP="00E71848">
      <w:pPr>
        <w:spacing w:after="240" w:line="276" w:lineRule="auto"/>
        <w:jc w:val="both"/>
        <w:rPr>
          <w:b/>
          <w:sz w:val="22"/>
          <w:szCs w:val="22"/>
          <w:lang w:val="es-EC"/>
        </w:rPr>
      </w:pPr>
      <w:r w:rsidRPr="00B82F65">
        <w:rPr>
          <w:b/>
          <w:sz w:val="22"/>
          <w:szCs w:val="22"/>
          <w:lang w:val="es-EC"/>
        </w:rPr>
        <w:t xml:space="preserve">Artículo </w:t>
      </w:r>
      <w:r w:rsidR="00C71650">
        <w:rPr>
          <w:b/>
          <w:sz w:val="22"/>
          <w:szCs w:val="22"/>
          <w:lang w:val="es-EC"/>
        </w:rPr>
        <w:t>9</w:t>
      </w:r>
      <w:r w:rsidRPr="00B82F65">
        <w:rPr>
          <w:b/>
          <w:sz w:val="22"/>
          <w:szCs w:val="22"/>
          <w:lang w:val="es-EC"/>
        </w:rPr>
        <w:t>.-</w:t>
      </w:r>
      <w:r w:rsidRPr="00B82F65">
        <w:rPr>
          <w:sz w:val="22"/>
          <w:szCs w:val="22"/>
          <w:lang w:val="es-EC"/>
        </w:rPr>
        <w:t xml:space="preserve"> </w:t>
      </w:r>
      <w:r w:rsidR="00FE0B84" w:rsidRPr="00B82F65">
        <w:rPr>
          <w:sz w:val="22"/>
          <w:szCs w:val="22"/>
          <w:lang w:val="es-EC"/>
        </w:rPr>
        <w:t>Elimínese</w:t>
      </w:r>
      <w:r w:rsidRPr="00B82F65">
        <w:rPr>
          <w:sz w:val="22"/>
          <w:szCs w:val="22"/>
          <w:lang w:val="es-EC"/>
        </w:rPr>
        <w:t xml:space="preserve"> </w:t>
      </w:r>
      <w:r w:rsidR="001A55FF" w:rsidRPr="00B82F65">
        <w:rPr>
          <w:sz w:val="22"/>
          <w:szCs w:val="22"/>
          <w:lang w:val="es-EC"/>
        </w:rPr>
        <w:t xml:space="preserve">el </w:t>
      </w:r>
      <w:r w:rsidRPr="00B82F65">
        <w:rPr>
          <w:sz w:val="22"/>
          <w:szCs w:val="22"/>
          <w:lang w:val="es-EC"/>
        </w:rPr>
        <w:t xml:space="preserve">artículo </w:t>
      </w:r>
      <w:r w:rsidR="001A55FF" w:rsidRPr="00B82F65">
        <w:rPr>
          <w:sz w:val="22"/>
          <w:szCs w:val="22"/>
          <w:lang w:val="es-EC"/>
        </w:rPr>
        <w:t>4</w:t>
      </w:r>
      <w:r w:rsidRPr="00B82F65">
        <w:rPr>
          <w:sz w:val="22"/>
          <w:szCs w:val="22"/>
          <w:lang w:val="es-EC"/>
        </w:rPr>
        <w:t xml:space="preserve"> de la </w:t>
      </w:r>
      <w:r w:rsidR="0059480A" w:rsidRPr="00B82F65">
        <w:rPr>
          <w:sz w:val="22"/>
          <w:szCs w:val="22"/>
          <w:lang w:val="es-EC"/>
        </w:rPr>
        <w:t>Ordenanza No. 0473, sancionada el 26 de diciembre de 2013</w:t>
      </w:r>
      <w:r w:rsidR="001A55FF" w:rsidRPr="00B82F65">
        <w:rPr>
          <w:bCs/>
          <w:sz w:val="22"/>
          <w:szCs w:val="22"/>
        </w:rPr>
        <w:t>.</w:t>
      </w:r>
    </w:p>
    <w:p w14:paraId="44D18D3E" w14:textId="4FCFD6A9" w:rsidR="00B95A13" w:rsidRPr="00B82F65" w:rsidRDefault="00B95A13" w:rsidP="008C1357">
      <w:pPr>
        <w:spacing w:after="240" w:line="276" w:lineRule="auto"/>
        <w:jc w:val="both"/>
        <w:rPr>
          <w:bCs/>
          <w:sz w:val="22"/>
          <w:szCs w:val="22"/>
        </w:rPr>
      </w:pPr>
      <w:r w:rsidRPr="00B82F65">
        <w:rPr>
          <w:b/>
          <w:sz w:val="22"/>
          <w:szCs w:val="22"/>
          <w:lang w:val="es-EC"/>
        </w:rPr>
        <w:t xml:space="preserve">Artículo </w:t>
      </w:r>
      <w:r w:rsidR="00D43925">
        <w:rPr>
          <w:b/>
          <w:sz w:val="22"/>
          <w:szCs w:val="22"/>
          <w:lang w:val="es-EC"/>
        </w:rPr>
        <w:t>1</w:t>
      </w:r>
      <w:r w:rsidR="00C71650">
        <w:rPr>
          <w:b/>
          <w:sz w:val="22"/>
          <w:szCs w:val="22"/>
          <w:lang w:val="es-EC"/>
        </w:rPr>
        <w:t>0</w:t>
      </w:r>
      <w:r w:rsidRPr="00B82F65">
        <w:rPr>
          <w:b/>
          <w:sz w:val="22"/>
          <w:szCs w:val="22"/>
          <w:lang w:val="es-EC"/>
        </w:rPr>
        <w:t>.-</w:t>
      </w:r>
      <w:r w:rsidRPr="00B82F65">
        <w:rPr>
          <w:sz w:val="22"/>
          <w:szCs w:val="22"/>
          <w:lang w:val="es-EC"/>
        </w:rPr>
        <w:t xml:space="preserve"> </w:t>
      </w:r>
      <w:r w:rsidRPr="00B82F65">
        <w:rPr>
          <w:bCs/>
          <w:sz w:val="22"/>
          <w:szCs w:val="22"/>
        </w:rPr>
        <w:t xml:space="preserve">Sustitúyase el artículo 5 de la </w:t>
      </w:r>
      <w:r w:rsidR="0059480A" w:rsidRPr="00B82F65">
        <w:rPr>
          <w:bCs/>
          <w:sz w:val="22"/>
          <w:szCs w:val="22"/>
        </w:rPr>
        <w:t>Ordenanza No. 0473, sancionada el 26 de diciembre de 2013</w:t>
      </w:r>
      <w:r w:rsidRPr="00B82F65">
        <w:rPr>
          <w:bCs/>
          <w:sz w:val="22"/>
          <w:szCs w:val="22"/>
        </w:rPr>
        <w:t>, por el siguiente:</w:t>
      </w:r>
    </w:p>
    <w:p w14:paraId="0E9C9863" w14:textId="3B94FBFF" w:rsidR="00CA7D73" w:rsidRPr="008C1357" w:rsidRDefault="00CA7D73" w:rsidP="00CA7D73">
      <w:pPr>
        <w:spacing w:after="240" w:line="276" w:lineRule="auto"/>
        <w:jc w:val="both"/>
        <w:rPr>
          <w:b/>
          <w:i/>
        </w:rPr>
      </w:pPr>
      <w:r w:rsidRPr="008C1357">
        <w:rPr>
          <w:b/>
          <w:i/>
        </w:rPr>
        <w:t>“Artículo 5.- Del Área Verde y Equipamiento comunal.-</w:t>
      </w:r>
      <w:r w:rsidRPr="008C1357">
        <w:rPr>
          <w:b/>
          <w:bCs/>
          <w:i/>
        </w:rPr>
        <w:t xml:space="preserve"> </w:t>
      </w:r>
      <w:r w:rsidR="009A4E9E" w:rsidRPr="009A4E9E">
        <w:rPr>
          <w:i/>
        </w:rPr>
        <w:t>Los copropietarios del predio donde se encuentra el asentamiento humano de hecho y consolidado de interés social denominado</w:t>
      </w:r>
      <w:r w:rsidRPr="008C1357">
        <w:rPr>
          <w:i/>
        </w:rPr>
        <w:t xml:space="preserve"> Comité Pro-Mejoras del Barrio “18 de Septiembre”</w:t>
      </w:r>
      <w:r w:rsidR="00BC1870" w:rsidRPr="009A4E9E">
        <w:rPr>
          <w:i/>
        </w:rPr>
        <w:t xml:space="preserve"> </w:t>
      </w:r>
      <w:r w:rsidR="00BC1870" w:rsidRPr="008C1357">
        <w:rPr>
          <w:i/>
        </w:rPr>
        <w:t>ubicado en las parroquias San Isidro del Inca y Llano Chico</w:t>
      </w:r>
      <w:r w:rsidRPr="008C1357">
        <w:rPr>
          <w:i/>
        </w:rPr>
        <w:t xml:space="preserve">, </w:t>
      </w:r>
      <w:r w:rsidR="009A4E9E" w:rsidRPr="009A4E9E">
        <w:rPr>
          <w:i/>
        </w:rPr>
        <w:t>están exentos de la contribución del porcentaje del 15% de áreas verdes y comunales por ser considerados de interés social; sin embargo, de manera libre y voluntaria transfieren al Municipio del Distrito Metropolitano de Quito como contribución</w:t>
      </w:r>
      <w:r w:rsidR="009A4E9E" w:rsidRPr="008C1357">
        <w:rPr>
          <w:i/>
        </w:rPr>
        <w:t xml:space="preserve"> </w:t>
      </w:r>
      <w:r w:rsidRPr="008C1357">
        <w:rPr>
          <w:i/>
        </w:rPr>
        <w:t>de áreas verdes y equipamiento comunal 157.21</w:t>
      </w:r>
      <w:r w:rsidR="00BC1870" w:rsidRPr="008C1357">
        <w:rPr>
          <w:i/>
        </w:rPr>
        <w:t xml:space="preserve"> m2;</w:t>
      </w:r>
      <w:r w:rsidRPr="008C1357">
        <w:rPr>
          <w:i/>
        </w:rPr>
        <w:t xml:space="preserve"> </w:t>
      </w:r>
      <w:r w:rsidR="00BC1870" w:rsidRPr="008C1357">
        <w:rPr>
          <w:i/>
        </w:rPr>
        <w:t xml:space="preserve">superficie que en cuanto al área verde se encuentra físicamente en el predio No. 3674829 y, en cuanto al área de equipamiento comunal se encuentra físicamente en el predio No. 3674831 </w:t>
      </w:r>
      <w:r w:rsidRPr="008C1357">
        <w:rPr>
          <w:i/>
        </w:rPr>
        <w:t>del área útil de los lotes de conformidad al siguiente detalle</w:t>
      </w:r>
      <w:r w:rsidRPr="008C1357">
        <w:rPr>
          <w:b/>
          <w:i/>
        </w:rPr>
        <w:t>:</w:t>
      </w:r>
    </w:p>
    <w:tbl>
      <w:tblPr>
        <w:tblW w:w="5000" w:type="pct"/>
        <w:tblInd w:w="-34" w:type="dxa"/>
        <w:tblCellMar>
          <w:left w:w="70" w:type="dxa"/>
          <w:right w:w="70" w:type="dxa"/>
        </w:tblCellMar>
        <w:tblLook w:val="04A0" w:firstRow="1" w:lastRow="0" w:firstColumn="1" w:lastColumn="0" w:noHBand="0" w:noVBand="1"/>
      </w:tblPr>
      <w:tblGrid>
        <w:gridCol w:w="1782"/>
        <w:gridCol w:w="22"/>
        <w:gridCol w:w="731"/>
        <w:gridCol w:w="49"/>
        <w:gridCol w:w="2144"/>
        <w:gridCol w:w="16"/>
        <w:gridCol w:w="1524"/>
        <w:gridCol w:w="71"/>
        <w:gridCol w:w="1330"/>
        <w:gridCol w:w="372"/>
        <w:gridCol w:w="1030"/>
      </w:tblGrid>
      <w:tr w:rsidR="00CA7D73" w:rsidRPr="008C1357" w14:paraId="05D6D24A" w14:textId="77777777" w:rsidTr="00C54988">
        <w:trPr>
          <w:trHeight w:val="189"/>
        </w:trPr>
        <w:tc>
          <w:tcPr>
            <w:tcW w:w="5000" w:type="pct"/>
            <w:gridSpan w:val="11"/>
            <w:tcBorders>
              <w:top w:val="single" w:sz="4" w:space="0" w:color="auto"/>
              <w:left w:val="single" w:sz="4" w:space="0" w:color="auto"/>
              <w:bottom w:val="single" w:sz="4" w:space="0" w:color="000000"/>
              <w:right w:val="single" w:sz="4" w:space="0" w:color="auto"/>
            </w:tcBorders>
            <w:shd w:val="clear" w:color="auto" w:fill="auto"/>
            <w:vAlign w:val="bottom"/>
            <w:hideMark/>
          </w:tcPr>
          <w:p w14:paraId="288EB587" w14:textId="77777777" w:rsidR="00CA7D73" w:rsidRPr="008C1357" w:rsidRDefault="00CA7D73" w:rsidP="00CA7D73">
            <w:pPr>
              <w:jc w:val="center"/>
              <w:rPr>
                <w:b/>
                <w:bCs/>
                <w:i/>
                <w:lang w:val="es-EC" w:eastAsia="es-EC"/>
              </w:rPr>
            </w:pPr>
            <w:r w:rsidRPr="008C1357">
              <w:rPr>
                <w:b/>
                <w:bCs/>
                <w:i/>
                <w:lang w:val="es-EC" w:eastAsia="es-EC"/>
              </w:rPr>
              <w:t xml:space="preserve">ÁREA VERDE </w:t>
            </w:r>
          </w:p>
        </w:tc>
      </w:tr>
      <w:tr w:rsidR="00CA7D73" w:rsidRPr="008C1357" w14:paraId="30A5CA61" w14:textId="77777777" w:rsidTr="00086B25">
        <w:trPr>
          <w:trHeight w:val="206"/>
        </w:trPr>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E16FC" w14:textId="77777777" w:rsidR="00CA7D73" w:rsidRPr="008C1357" w:rsidRDefault="00CA7D73" w:rsidP="00CA7D73">
            <w:pPr>
              <w:jc w:val="center"/>
              <w:rPr>
                <w:b/>
                <w:bCs/>
                <w:i/>
                <w:color w:val="FF0000"/>
                <w:lang w:val="es-EC" w:eastAsia="es-EC"/>
              </w:rPr>
            </w:pPr>
            <w:r w:rsidRPr="008C1357">
              <w:rPr>
                <w:b/>
                <w:bCs/>
                <w:i/>
                <w:color w:val="FF0000"/>
                <w:lang w:val="es-EC" w:eastAsia="es-EC"/>
              </w:rPr>
              <w:t> </w:t>
            </w:r>
          </w:p>
        </w:tc>
        <w:tc>
          <w:tcPr>
            <w:tcW w:w="403" w:type="pct"/>
            <w:tcBorders>
              <w:top w:val="nil"/>
              <w:left w:val="nil"/>
              <w:bottom w:val="single" w:sz="4" w:space="0" w:color="auto"/>
              <w:right w:val="single" w:sz="4" w:space="0" w:color="auto"/>
            </w:tcBorders>
            <w:shd w:val="clear" w:color="auto" w:fill="auto"/>
            <w:hideMark/>
          </w:tcPr>
          <w:p w14:paraId="57D47A91" w14:textId="77777777" w:rsidR="00CA7D73" w:rsidRPr="008C1357" w:rsidRDefault="00CA7D73" w:rsidP="00CA7D73">
            <w:pPr>
              <w:rPr>
                <w:b/>
                <w:bCs/>
                <w:i/>
                <w:color w:val="FF0000"/>
                <w:lang w:val="es-EC" w:eastAsia="es-EC"/>
              </w:rPr>
            </w:pPr>
            <w:r w:rsidRPr="008C1357">
              <w:rPr>
                <w:b/>
                <w:bCs/>
                <w:i/>
                <w:color w:val="FF0000"/>
                <w:lang w:val="es-EC" w:eastAsia="es-EC"/>
              </w:rPr>
              <w:t> </w:t>
            </w:r>
          </w:p>
        </w:tc>
        <w:tc>
          <w:tcPr>
            <w:tcW w:w="1218" w:type="pct"/>
            <w:gridSpan w:val="3"/>
            <w:tcBorders>
              <w:top w:val="nil"/>
              <w:left w:val="nil"/>
              <w:bottom w:val="single" w:sz="4" w:space="0" w:color="auto"/>
              <w:right w:val="single" w:sz="4" w:space="0" w:color="auto"/>
            </w:tcBorders>
            <w:shd w:val="clear" w:color="auto" w:fill="auto"/>
            <w:hideMark/>
          </w:tcPr>
          <w:p w14:paraId="0D6EEF49" w14:textId="77777777" w:rsidR="00CA7D73" w:rsidRPr="008C1357" w:rsidRDefault="00CA7D73" w:rsidP="00CA7D73">
            <w:pPr>
              <w:jc w:val="center"/>
              <w:rPr>
                <w:b/>
                <w:bCs/>
                <w:i/>
                <w:lang w:val="es-EC" w:eastAsia="es-EC"/>
              </w:rPr>
            </w:pPr>
            <w:r w:rsidRPr="008C1357">
              <w:rPr>
                <w:b/>
                <w:bCs/>
                <w:i/>
                <w:lang w:val="es-EC" w:eastAsia="es-EC"/>
              </w:rPr>
              <w:t>Lindero</w:t>
            </w:r>
          </w:p>
        </w:tc>
        <w:tc>
          <w:tcPr>
            <w:tcW w:w="879" w:type="pct"/>
            <w:gridSpan w:val="2"/>
            <w:tcBorders>
              <w:top w:val="nil"/>
              <w:left w:val="nil"/>
              <w:bottom w:val="single" w:sz="4" w:space="0" w:color="auto"/>
              <w:right w:val="single" w:sz="4" w:space="0" w:color="auto"/>
            </w:tcBorders>
            <w:shd w:val="clear" w:color="auto" w:fill="auto"/>
            <w:vAlign w:val="bottom"/>
            <w:hideMark/>
          </w:tcPr>
          <w:p w14:paraId="73DE787E" w14:textId="77777777" w:rsidR="00CA7D73" w:rsidRPr="008C1357" w:rsidRDefault="00CA7D73" w:rsidP="00CA7D73">
            <w:pPr>
              <w:jc w:val="center"/>
              <w:rPr>
                <w:b/>
                <w:bCs/>
                <w:i/>
                <w:lang w:val="es-EC" w:eastAsia="es-EC"/>
              </w:rPr>
            </w:pPr>
            <w:r w:rsidRPr="008C1357">
              <w:rPr>
                <w:b/>
                <w:bCs/>
                <w:i/>
                <w:lang w:val="es-EC" w:eastAsia="es-EC"/>
              </w:rPr>
              <w:t>En parte</w:t>
            </w:r>
          </w:p>
        </w:tc>
        <w:tc>
          <w:tcPr>
            <w:tcW w:w="938" w:type="pct"/>
            <w:gridSpan w:val="2"/>
            <w:tcBorders>
              <w:top w:val="nil"/>
              <w:left w:val="nil"/>
              <w:bottom w:val="single" w:sz="4" w:space="0" w:color="auto"/>
              <w:right w:val="single" w:sz="4" w:space="0" w:color="auto"/>
            </w:tcBorders>
            <w:shd w:val="clear" w:color="auto" w:fill="auto"/>
            <w:vAlign w:val="bottom"/>
            <w:hideMark/>
          </w:tcPr>
          <w:p w14:paraId="38C163B9" w14:textId="77777777" w:rsidR="00CA7D73" w:rsidRPr="008C1357" w:rsidRDefault="00CA7D73" w:rsidP="00CA7D73">
            <w:pPr>
              <w:jc w:val="center"/>
              <w:rPr>
                <w:b/>
                <w:bCs/>
                <w:i/>
                <w:lang w:val="es-EC" w:eastAsia="es-EC"/>
              </w:rPr>
            </w:pPr>
            <w:r w:rsidRPr="008C1357">
              <w:rPr>
                <w:b/>
                <w:bCs/>
                <w:i/>
                <w:lang w:val="es-EC" w:eastAsia="es-EC"/>
              </w:rPr>
              <w:t>Total</w:t>
            </w:r>
          </w:p>
        </w:tc>
        <w:tc>
          <w:tcPr>
            <w:tcW w:w="568" w:type="pct"/>
            <w:tcBorders>
              <w:top w:val="nil"/>
              <w:left w:val="nil"/>
              <w:bottom w:val="single" w:sz="4" w:space="0" w:color="auto"/>
              <w:right w:val="single" w:sz="4" w:space="0" w:color="auto"/>
            </w:tcBorders>
            <w:shd w:val="clear" w:color="auto" w:fill="auto"/>
            <w:vAlign w:val="bottom"/>
            <w:hideMark/>
          </w:tcPr>
          <w:p w14:paraId="6E1B840D" w14:textId="77777777" w:rsidR="00CA7D73" w:rsidRPr="008C1357" w:rsidRDefault="00CA7D73" w:rsidP="00CA7D73">
            <w:pPr>
              <w:jc w:val="center"/>
              <w:rPr>
                <w:b/>
                <w:bCs/>
                <w:i/>
                <w:lang w:val="es-EC" w:eastAsia="es-EC"/>
              </w:rPr>
            </w:pPr>
            <w:r w:rsidRPr="008C1357">
              <w:rPr>
                <w:b/>
                <w:bCs/>
                <w:i/>
                <w:lang w:val="es-EC" w:eastAsia="es-EC"/>
              </w:rPr>
              <w:t>Superficie</w:t>
            </w:r>
          </w:p>
        </w:tc>
      </w:tr>
      <w:tr w:rsidR="008C1357" w:rsidRPr="008C1357" w14:paraId="35246674" w14:textId="77777777" w:rsidTr="00086B25">
        <w:trPr>
          <w:trHeight w:val="177"/>
        </w:trPr>
        <w:tc>
          <w:tcPr>
            <w:tcW w:w="994" w:type="pct"/>
            <w:gridSpan w:val="2"/>
            <w:vMerge w:val="restart"/>
            <w:tcBorders>
              <w:top w:val="single" w:sz="4" w:space="0" w:color="auto"/>
              <w:left w:val="single" w:sz="4" w:space="0" w:color="auto"/>
              <w:right w:val="single" w:sz="4" w:space="0" w:color="auto"/>
            </w:tcBorders>
            <w:shd w:val="clear" w:color="auto" w:fill="auto"/>
            <w:vAlign w:val="center"/>
          </w:tcPr>
          <w:p w14:paraId="233FAF74" w14:textId="77777777" w:rsidR="008C1357" w:rsidRPr="008C1357" w:rsidRDefault="008C1357" w:rsidP="00CA7D73">
            <w:pPr>
              <w:rPr>
                <w:b/>
                <w:bCs/>
                <w:i/>
                <w:lang w:val="es-EC" w:eastAsia="es-EC"/>
              </w:rPr>
            </w:pPr>
            <w:r w:rsidRPr="008C1357">
              <w:rPr>
                <w:b/>
                <w:bCs/>
                <w:i/>
                <w:lang w:val="es-EC" w:eastAsia="es-EC"/>
              </w:rPr>
              <w:t xml:space="preserve">    ÁREA VERDE</w:t>
            </w:r>
          </w:p>
          <w:p w14:paraId="6351B531" w14:textId="5D3AA82A" w:rsidR="008C1357" w:rsidRPr="008C1357" w:rsidRDefault="008C1357" w:rsidP="00CA7D73">
            <w:pPr>
              <w:rPr>
                <w:b/>
                <w:bCs/>
                <w:i/>
                <w:lang w:val="es-EC" w:eastAsia="es-EC"/>
              </w:rPr>
            </w:pPr>
            <w:r w:rsidRPr="008C1357">
              <w:rPr>
                <w:b/>
                <w:bCs/>
                <w:i/>
                <w:lang w:val="es-EC" w:eastAsia="es-EC"/>
              </w:rPr>
              <w:t xml:space="preserve">   </w:t>
            </w:r>
          </w:p>
        </w:tc>
        <w:tc>
          <w:tcPr>
            <w:tcW w:w="403" w:type="pct"/>
            <w:tcBorders>
              <w:top w:val="single" w:sz="4" w:space="0" w:color="auto"/>
              <w:left w:val="nil"/>
              <w:bottom w:val="nil"/>
              <w:right w:val="single" w:sz="4" w:space="0" w:color="auto"/>
            </w:tcBorders>
            <w:shd w:val="clear" w:color="auto" w:fill="auto"/>
          </w:tcPr>
          <w:p w14:paraId="50A0FD5B" w14:textId="77777777" w:rsidR="008C1357" w:rsidRPr="008C1357" w:rsidRDefault="008C1357" w:rsidP="00CA7D73">
            <w:pPr>
              <w:rPr>
                <w:b/>
                <w:bCs/>
                <w:i/>
                <w:lang w:val="es-EC" w:eastAsia="es-EC"/>
              </w:rPr>
            </w:pPr>
            <w:r w:rsidRPr="008C1357">
              <w:rPr>
                <w:b/>
                <w:bCs/>
                <w:i/>
                <w:lang w:val="es-EC" w:eastAsia="es-EC"/>
              </w:rPr>
              <w:t>Norte:</w:t>
            </w:r>
          </w:p>
        </w:tc>
        <w:tc>
          <w:tcPr>
            <w:tcW w:w="1218" w:type="pct"/>
            <w:gridSpan w:val="3"/>
            <w:tcBorders>
              <w:top w:val="nil"/>
              <w:left w:val="nil"/>
              <w:bottom w:val="single" w:sz="4" w:space="0" w:color="auto"/>
              <w:right w:val="single" w:sz="4" w:space="0" w:color="auto"/>
            </w:tcBorders>
            <w:shd w:val="clear" w:color="auto" w:fill="auto"/>
          </w:tcPr>
          <w:p w14:paraId="4B245CC2" w14:textId="77777777" w:rsidR="008C1357" w:rsidRPr="008C1357" w:rsidRDefault="008C1357" w:rsidP="00CA7D73">
            <w:pPr>
              <w:jc w:val="center"/>
              <w:rPr>
                <w:bCs/>
                <w:i/>
                <w:lang w:val="es-EC" w:eastAsia="es-EC"/>
              </w:rPr>
            </w:pPr>
            <w:r w:rsidRPr="008C1357">
              <w:rPr>
                <w:bCs/>
                <w:i/>
                <w:lang w:val="es-EC" w:eastAsia="es-EC"/>
              </w:rPr>
              <w:t>Punto de Intersección</w:t>
            </w:r>
          </w:p>
        </w:tc>
        <w:tc>
          <w:tcPr>
            <w:tcW w:w="879" w:type="pct"/>
            <w:gridSpan w:val="2"/>
            <w:tcBorders>
              <w:top w:val="nil"/>
              <w:left w:val="nil"/>
              <w:bottom w:val="single" w:sz="4" w:space="0" w:color="auto"/>
              <w:right w:val="single" w:sz="4" w:space="0" w:color="auto"/>
            </w:tcBorders>
            <w:shd w:val="clear" w:color="auto" w:fill="auto"/>
            <w:vAlign w:val="bottom"/>
          </w:tcPr>
          <w:p w14:paraId="4D074A01" w14:textId="77777777" w:rsidR="008C1357" w:rsidRPr="008C1357" w:rsidRDefault="008C1357" w:rsidP="00CA7D73">
            <w:pPr>
              <w:jc w:val="center"/>
              <w:rPr>
                <w:bCs/>
                <w:i/>
                <w:lang w:val="es-EC" w:eastAsia="es-EC"/>
              </w:rPr>
            </w:pPr>
          </w:p>
        </w:tc>
        <w:tc>
          <w:tcPr>
            <w:tcW w:w="938" w:type="pct"/>
            <w:gridSpan w:val="2"/>
            <w:tcBorders>
              <w:top w:val="nil"/>
              <w:left w:val="nil"/>
              <w:bottom w:val="single" w:sz="4" w:space="0" w:color="auto"/>
              <w:right w:val="single" w:sz="4" w:space="0" w:color="auto"/>
            </w:tcBorders>
            <w:shd w:val="clear" w:color="auto" w:fill="auto"/>
            <w:vAlign w:val="center"/>
          </w:tcPr>
          <w:p w14:paraId="2BAEE5CD" w14:textId="77777777" w:rsidR="008C1357" w:rsidRPr="008C1357" w:rsidRDefault="008C1357" w:rsidP="00CA7D73">
            <w:pPr>
              <w:jc w:val="center"/>
              <w:rPr>
                <w:bCs/>
                <w:i/>
                <w:lang w:val="es-EC" w:eastAsia="es-EC"/>
              </w:rPr>
            </w:pPr>
            <w:r w:rsidRPr="008C1357">
              <w:rPr>
                <w:bCs/>
                <w:i/>
                <w:lang w:val="es-EC" w:eastAsia="es-EC"/>
              </w:rPr>
              <w:t>0.00 m</w:t>
            </w:r>
          </w:p>
        </w:tc>
        <w:tc>
          <w:tcPr>
            <w:tcW w:w="568" w:type="pct"/>
            <w:vMerge w:val="restart"/>
            <w:tcBorders>
              <w:top w:val="single" w:sz="4" w:space="0" w:color="auto"/>
              <w:left w:val="nil"/>
              <w:bottom w:val="single" w:sz="4" w:space="0" w:color="auto"/>
              <w:right w:val="single" w:sz="4" w:space="0" w:color="auto"/>
            </w:tcBorders>
            <w:shd w:val="clear" w:color="auto" w:fill="auto"/>
            <w:vAlign w:val="center"/>
          </w:tcPr>
          <w:p w14:paraId="6FB2B05A" w14:textId="77777777" w:rsidR="008C1357" w:rsidRPr="008C1357" w:rsidRDefault="008C1357" w:rsidP="00CA7D73">
            <w:pPr>
              <w:rPr>
                <w:b/>
                <w:bCs/>
                <w:i/>
                <w:lang w:val="es-EC" w:eastAsia="es-EC"/>
              </w:rPr>
            </w:pPr>
            <w:r w:rsidRPr="008C1357">
              <w:rPr>
                <w:b/>
                <w:bCs/>
                <w:i/>
                <w:lang w:val="es-EC" w:eastAsia="es-EC"/>
              </w:rPr>
              <w:t xml:space="preserve"> 20.96 m2</w:t>
            </w:r>
          </w:p>
        </w:tc>
      </w:tr>
      <w:tr w:rsidR="008C1357" w:rsidRPr="008C1357" w14:paraId="0058BF0B" w14:textId="77777777" w:rsidTr="00C54988">
        <w:trPr>
          <w:trHeight w:val="281"/>
        </w:trPr>
        <w:tc>
          <w:tcPr>
            <w:tcW w:w="994" w:type="pct"/>
            <w:gridSpan w:val="2"/>
            <w:vMerge/>
            <w:tcBorders>
              <w:left w:val="single" w:sz="4" w:space="0" w:color="auto"/>
              <w:right w:val="single" w:sz="4" w:space="0" w:color="auto"/>
            </w:tcBorders>
            <w:shd w:val="clear" w:color="auto" w:fill="auto"/>
            <w:vAlign w:val="center"/>
            <w:hideMark/>
          </w:tcPr>
          <w:p w14:paraId="507B506C" w14:textId="330A0A73" w:rsidR="008C1357" w:rsidRPr="008C1357" w:rsidRDefault="008C1357" w:rsidP="00CA7D73">
            <w:pPr>
              <w:rPr>
                <w:b/>
                <w:bCs/>
                <w:i/>
                <w:lang w:val="es-EC" w:eastAsia="es-EC"/>
              </w:rPr>
            </w:pPr>
          </w:p>
        </w:tc>
        <w:tc>
          <w:tcPr>
            <w:tcW w:w="403" w:type="pct"/>
            <w:tcBorders>
              <w:top w:val="single" w:sz="4" w:space="0" w:color="auto"/>
              <w:left w:val="nil"/>
              <w:bottom w:val="single" w:sz="4" w:space="0" w:color="auto"/>
              <w:right w:val="single" w:sz="4" w:space="0" w:color="auto"/>
            </w:tcBorders>
            <w:shd w:val="clear" w:color="auto" w:fill="auto"/>
            <w:hideMark/>
          </w:tcPr>
          <w:p w14:paraId="25C928BC" w14:textId="77777777" w:rsidR="008C1357" w:rsidRPr="008C1357" w:rsidRDefault="008C1357" w:rsidP="00CA7D73">
            <w:pPr>
              <w:rPr>
                <w:b/>
                <w:bCs/>
                <w:i/>
                <w:lang w:val="es-EC" w:eastAsia="es-EC"/>
              </w:rPr>
            </w:pPr>
            <w:r w:rsidRPr="008C1357">
              <w:rPr>
                <w:b/>
                <w:bCs/>
                <w:i/>
                <w:lang w:val="es-EC" w:eastAsia="es-EC"/>
              </w:rPr>
              <w:t>Sur:</w:t>
            </w:r>
          </w:p>
        </w:tc>
        <w:tc>
          <w:tcPr>
            <w:tcW w:w="1218" w:type="pct"/>
            <w:gridSpan w:val="3"/>
            <w:tcBorders>
              <w:top w:val="single" w:sz="4" w:space="0" w:color="auto"/>
              <w:left w:val="nil"/>
              <w:bottom w:val="single" w:sz="4" w:space="0" w:color="auto"/>
              <w:right w:val="single" w:sz="4" w:space="0" w:color="auto"/>
            </w:tcBorders>
            <w:shd w:val="clear" w:color="auto" w:fill="auto"/>
          </w:tcPr>
          <w:p w14:paraId="312C848C" w14:textId="77777777" w:rsidR="008C1357" w:rsidRPr="008C1357" w:rsidRDefault="008C1357" w:rsidP="00CA7D73">
            <w:pPr>
              <w:jc w:val="center"/>
              <w:rPr>
                <w:i/>
                <w:lang w:val="es-EC" w:eastAsia="es-EC"/>
              </w:rPr>
            </w:pPr>
            <w:r w:rsidRPr="008C1357">
              <w:rPr>
                <w:i/>
                <w:lang w:val="es-EC" w:eastAsia="es-EC"/>
              </w:rPr>
              <w:t>Calle N64C</w:t>
            </w:r>
          </w:p>
        </w:tc>
        <w:tc>
          <w:tcPr>
            <w:tcW w:w="879" w:type="pct"/>
            <w:gridSpan w:val="2"/>
            <w:tcBorders>
              <w:top w:val="single" w:sz="4" w:space="0" w:color="auto"/>
              <w:left w:val="nil"/>
              <w:bottom w:val="single" w:sz="4" w:space="0" w:color="auto"/>
              <w:right w:val="single" w:sz="4" w:space="0" w:color="auto"/>
            </w:tcBorders>
            <w:shd w:val="clear" w:color="auto" w:fill="auto"/>
            <w:noWrap/>
          </w:tcPr>
          <w:p w14:paraId="13E5B6F2" w14:textId="77777777" w:rsidR="008C1357" w:rsidRPr="008C1357" w:rsidRDefault="008C1357" w:rsidP="00CA7D73">
            <w:pPr>
              <w:jc w:val="center"/>
              <w:rPr>
                <w:i/>
                <w:lang w:val="es-EC" w:eastAsia="es-EC"/>
              </w:rPr>
            </w:pPr>
          </w:p>
        </w:tc>
        <w:tc>
          <w:tcPr>
            <w:tcW w:w="938" w:type="pct"/>
            <w:gridSpan w:val="2"/>
            <w:tcBorders>
              <w:top w:val="single" w:sz="4" w:space="0" w:color="auto"/>
              <w:left w:val="nil"/>
              <w:bottom w:val="single" w:sz="4" w:space="0" w:color="auto"/>
              <w:right w:val="single" w:sz="4" w:space="0" w:color="auto"/>
            </w:tcBorders>
            <w:shd w:val="clear" w:color="auto" w:fill="auto"/>
            <w:noWrap/>
          </w:tcPr>
          <w:p w14:paraId="6EA80B59" w14:textId="77777777" w:rsidR="008C1357" w:rsidRPr="008C1357" w:rsidRDefault="008C1357" w:rsidP="00CA7D73">
            <w:pPr>
              <w:jc w:val="center"/>
              <w:rPr>
                <w:i/>
                <w:lang w:val="es-EC" w:eastAsia="es-EC"/>
              </w:rPr>
            </w:pPr>
            <w:r w:rsidRPr="008C1357">
              <w:rPr>
                <w:i/>
                <w:lang w:val="es-EC" w:eastAsia="es-EC"/>
              </w:rPr>
              <w:t>LD= 2.06 m</w:t>
            </w:r>
          </w:p>
        </w:tc>
        <w:tc>
          <w:tcPr>
            <w:tcW w:w="568" w:type="pct"/>
            <w:vMerge/>
            <w:tcBorders>
              <w:left w:val="nil"/>
              <w:bottom w:val="single" w:sz="4" w:space="0" w:color="auto"/>
              <w:right w:val="single" w:sz="4" w:space="0" w:color="auto"/>
            </w:tcBorders>
            <w:shd w:val="clear" w:color="auto" w:fill="auto"/>
            <w:vAlign w:val="center"/>
          </w:tcPr>
          <w:p w14:paraId="3FC84054" w14:textId="77777777" w:rsidR="008C1357" w:rsidRPr="008C1357" w:rsidRDefault="008C1357" w:rsidP="00CA7D73">
            <w:pPr>
              <w:rPr>
                <w:b/>
                <w:i/>
              </w:rPr>
            </w:pPr>
          </w:p>
        </w:tc>
      </w:tr>
      <w:tr w:rsidR="008C1357" w:rsidRPr="008C1357" w14:paraId="4AED2DD5" w14:textId="77777777" w:rsidTr="00086B25">
        <w:trPr>
          <w:trHeight w:val="355"/>
        </w:trPr>
        <w:tc>
          <w:tcPr>
            <w:tcW w:w="994" w:type="pct"/>
            <w:gridSpan w:val="2"/>
            <w:vMerge/>
            <w:tcBorders>
              <w:left w:val="single" w:sz="4" w:space="0" w:color="auto"/>
              <w:bottom w:val="single" w:sz="4" w:space="0" w:color="auto"/>
              <w:right w:val="single" w:sz="4" w:space="0" w:color="auto"/>
            </w:tcBorders>
            <w:shd w:val="clear" w:color="auto" w:fill="auto"/>
          </w:tcPr>
          <w:p w14:paraId="67A5CB61" w14:textId="756B720E" w:rsidR="008C1357" w:rsidRPr="008C1357" w:rsidRDefault="008C1357" w:rsidP="00CA7D73">
            <w:pPr>
              <w:rPr>
                <w:b/>
                <w:bCs/>
                <w:i/>
                <w:lang w:val="es-EC" w:eastAsia="es-EC"/>
              </w:rPr>
            </w:pPr>
          </w:p>
        </w:tc>
        <w:tc>
          <w:tcPr>
            <w:tcW w:w="403" w:type="pct"/>
            <w:tcBorders>
              <w:top w:val="single" w:sz="4" w:space="0" w:color="auto"/>
              <w:left w:val="nil"/>
              <w:bottom w:val="single" w:sz="4" w:space="0" w:color="auto"/>
              <w:right w:val="single" w:sz="4" w:space="0" w:color="auto"/>
            </w:tcBorders>
            <w:shd w:val="clear" w:color="auto" w:fill="auto"/>
          </w:tcPr>
          <w:p w14:paraId="5E7845E5" w14:textId="77777777" w:rsidR="008C1357" w:rsidRPr="008C1357" w:rsidRDefault="008C1357" w:rsidP="00CA7D73">
            <w:pPr>
              <w:rPr>
                <w:b/>
                <w:bCs/>
                <w:i/>
                <w:lang w:val="es-EC" w:eastAsia="es-EC"/>
              </w:rPr>
            </w:pPr>
            <w:r w:rsidRPr="008C1357">
              <w:rPr>
                <w:b/>
                <w:bCs/>
                <w:i/>
                <w:lang w:val="es-EC" w:eastAsia="es-EC"/>
              </w:rPr>
              <w:t>Este:</w:t>
            </w:r>
          </w:p>
        </w:tc>
        <w:tc>
          <w:tcPr>
            <w:tcW w:w="1218" w:type="pct"/>
            <w:gridSpan w:val="3"/>
            <w:tcBorders>
              <w:top w:val="single" w:sz="4" w:space="0" w:color="auto"/>
              <w:left w:val="nil"/>
              <w:bottom w:val="single" w:sz="4" w:space="0" w:color="auto"/>
              <w:right w:val="single" w:sz="4" w:space="0" w:color="auto"/>
            </w:tcBorders>
            <w:shd w:val="clear" w:color="auto" w:fill="auto"/>
          </w:tcPr>
          <w:p w14:paraId="6CEEB1EB" w14:textId="2ABF755B" w:rsidR="008C1357" w:rsidRPr="008C1357" w:rsidRDefault="008C1357" w:rsidP="008C1357">
            <w:pPr>
              <w:jc w:val="center"/>
              <w:rPr>
                <w:i/>
                <w:lang w:val="es-EC" w:eastAsia="es-EC"/>
              </w:rPr>
            </w:pPr>
            <w:r w:rsidRPr="008C1357">
              <w:rPr>
                <w:i/>
                <w:lang w:val="es-EC" w:eastAsia="es-EC"/>
              </w:rPr>
              <w:t>Área Municipal 1</w:t>
            </w:r>
          </w:p>
        </w:tc>
        <w:tc>
          <w:tcPr>
            <w:tcW w:w="879" w:type="pct"/>
            <w:gridSpan w:val="2"/>
            <w:tcBorders>
              <w:top w:val="single" w:sz="4" w:space="0" w:color="auto"/>
              <w:left w:val="nil"/>
              <w:bottom w:val="single" w:sz="4" w:space="0" w:color="auto"/>
              <w:right w:val="single" w:sz="4" w:space="0" w:color="auto"/>
            </w:tcBorders>
            <w:shd w:val="clear" w:color="auto" w:fill="auto"/>
            <w:noWrap/>
          </w:tcPr>
          <w:p w14:paraId="1FA347B8" w14:textId="47DDC42E" w:rsidR="008C1357" w:rsidRPr="008C1357" w:rsidRDefault="008C1357" w:rsidP="00CA7D73">
            <w:pPr>
              <w:jc w:val="center"/>
              <w:rPr>
                <w:i/>
                <w:lang w:val="es-EC" w:eastAsia="es-EC"/>
              </w:rPr>
            </w:pP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tcPr>
          <w:p w14:paraId="56032E64" w14:textId="0E05DD4F" w:rsidR="008C1357" w:rsidRPr="008C1357" w:rsidRDefault="008C1357" w:rsidP="008C1357">
            <w:pPr>
              <w:jc w:val="center"/>
              <w:rPr>
                <w:i/>
                <w:lang w:val="es-EC" w:eastAsia="es-EC"/>
              </w:rPr>
            </w:pPr>
            <w:r w:rsidRPr="008C1357">
              <w:rPr>
                <w:i/>
                <w:lang w:val="es-EC" w:eastAsia="es-EC"/>
              </w:rPr>
              <w:t>LD= 10.95 m</w:t>
            </w:r>
          </w:p>
        </w:tc>
        <w:tc>
          <w:tcPr>
            <w:tcW w:w="568" w:type="pct"/>
            <w:vMerge/>
            <w:tcBorders>
              <w:left w:val="nil"/>
              <w:bottom w:val="single" w:sz="4" w:space="0" w:color="auto"/>
              <w:right w:val="single" w:sz="4" w:space="0" w:color="auto"/>
            </w:tcBorders>
            <w:shd w:val="clear" w:color="auto" w:fill="auto"/>
            <w:vAlign w:val="center"/>
          </w:tcPr>
          <w:p w14:paraId="53179648" w14:textId="77777777" w:rsidR="008C1357" w:rsidRPr="008C1357" w:rsidRDefault="008C1357" w:rsidP="00CA7D73">
            <w:pPr>
              <w:jc w:val="center"/>
              <w:rPr>
                <w:b/>
                <w:i/>
              </w:rPr>
            </w:pPr>
          </w:p>
        </w:tc>
      </w:tr>
      <w:tr w:rsidR="008C1357" w:rsidRPr="008C1357" w14:paraId="570E622C" w14:textId="77777777" w:rsidTr="00086B25">
        <w:trPr>
          <w:trHeight w:val="73"/>
        </w:trPr>
        <w:tc>
          <w:tcPr>
            <w:tcW w:w="994" w:type="pct"/>
            <w:gridSpan w:val="2"/>
            <w:vMerge/>
            <w:tcBorders>
              <w:top w:val="single" w:sz="4" w:space="0" w:color="auto"/>
              <w:left w:val="single" w:sz="4" w:space="0" w:color="auto"/>
              <w:bottom w:val="single" w:sz="4" w:space="0" w:color="auto"/>
              <w:right w:val="single" w:sz="4" w:space="0" w:color="auto"/>
            </w:tcBorders>
            <w:shd w:val="clear" w:color="auto" w:fill="auto"/>
          </w:tcPr>
          <w:p w14:paraId="080430E1" w14:textId="77777777" w:rsidR="008C1357" w:rsidRPr="008C1357" w:rsidRDefault="008C1357" w:rsidP="00CA7D73">
            <w:pPr>
              <w:rPr>
                <w:b/>
                <w:bCs/>
                <w:i/>
                <w:lang w:val="es-EC" w:eastAsia="es-EC"/>
              </w:rPr>
            </w:pPr>
          </w:p>
        </w:tc>
        <w:tc>
          <w:tcPr>
            <w:tcW w:w="403" w:type="pct"/>
            <w:tcBorders>
              <w:top w:val="single" w:sz="4" w:space="0" w:color="auto"/>
              <w:left w:val="nil"/>
              <w:bottom w:val="single" w:sz="4" w:space="0" w:color="auto"/>
              <w:right w:val="single" w:sz="4" w:space="0" w:color="auto"/>
            </w:tcBorders>
            <w:shd w:val="clear" w:color="auto" w:fill="auto"/>
          </w:tcPr>
          <w:p w14:paraId="23D3DBD1" w14:textId="77777777" w:rsidR="008C1357" w:rsidRPr="008C1357" w:rsidRDefault="008C1357" w:rsidP="00CA7D73">
            <w:pPr>
              <w:rPr>
                <w:b/>
                <w:bCs/>
                <w:i/>
                <w:lang w:val="es-EC" w:eastAsia="es-EC"/>
              </w:rPr>
            </w:pPr>
            <w:r w:rsidRPr="008C1357">
              <w:rPr>
                <w:b/>
                <w:bCs/>
                <w:i/>
                <w:lang w:val="es-EC" w:eastAsia="es-EC"/>
              </w:rPr>
              <w:t>Oeste:</w:t>
            </w:r>
          </w:p>
        </w:tc>
        <w:tc>
          <w:tcPr>
            <w:tcW w:w="1218" w:type="pct"/>
            <w:gridSpan w:val="3"/>
            <w:tcBorders>
              <w:top w:val="single" w:sz="4" w:space="0" w:color="auto"/>
              <w:left w:val="nil"/>
              <w:bottom w:val="single" w:sz="4" w:space="0" w:color="auto"/>
              <w:right w:val="single" w:sz="4" w:space="0" w:color="auto"/>
            </w:tcBorders>
            <w:shd w:val="clear" w:color="auto" w:fill="auto"/>
            <w:vAlign w:val="center"/>
          </w:tcPr>
          <w:p w14:paraId="0C47DFB8" w14:textId="77777777" w:rsidR="008C1357" w:rsidRPr="008C1357" w:rsidRDefault="008C1357" w:rsidP="00CA7D73">
            <w:pPr>
              <w:jc w:val="center"/>
              <w:rPr>
                <w:i/>
                <w:lang w:val="es-EC" w:eastAsia="es-EC"/>
              </w:rPr>
            </w:pPr>
            <w:r w:rsidRPr="008C1357">
              <w:rPr>
                <w:i/>
                <w:lang w:val="es-EC" w:eastAsia="es-EC"/>
              </w:rPr>
              <w:t>Lote 81</w:t>
            </w:r>
          </w:p>
          <w:p w14:paraId="3C5E42F3" w14:textId="77777777" w:rsidR="008C1357" w:rsidRPr="008C1357" w:rsidRDefault="008C1357" w:rsidP="00CA7D73">
            <w:pPr>
              <w:jc w:val="center"/>
              <w:rPr>
                <w:i/>
                <w:lang w:val="es-EC" w:eastAsia="es-EC"/>
              </w:rPr>
            </w:pPr>
            <w:r w:rsidRPr="008C1357">
              <w:rPr>
                <w:i/>
                <w:lang w:val="es-EC" w:eastAsia="es-EC"/>
              </w:rPr>
              <w:t>Lote 82</w:t>
            </w:r>
          </w:p>
          <w:p w14:paraId="11A49D9F" w14:textId="073B4B75" w:rsidR="008C1357" w:rsidRPr="008C1357" w:rsidRDefault="008C1357" w:rsidP="00CA7D73">
            <w:pPr>
              <w:jc w:val="center"/>
              <w:rPr>
                <w:i/>
                <w:lang w:val="es-EC" w:eastAsia="es-EC"/>
              </w:rPr>
            </w:pPr>
            <w:r w:rsidRPr="008C1357">
              <w:rPr>
                <w:i/>
                <w:lang w:val="es-EC" w:eastAsia="es-EC"/>
              </w:rPr>
              <w:t>Lote 83</w:t>
            </w:r>
          </w:p>
        </w:tc>
        <w:tc>
          <w:tcPr>
            <w:tcW w:w="879" w:type="pct"/>
            <w:gridSpan w:val="2"/>
            <w:tcBorders>
              <w:top w:val="single" w:sz="4" w:space="0" w:color="auto"/>
              <w:left w:val="nil"/>
              <w:bottom w:val="single" w:sz="4" w:space="0" w:color="auto"/>
              <w:right w:val="single" w:sz="4" w:space="0" w:color="auto"/>
            </w:tcBorders>
            <w:shd w:val="clear" w:color="auto" w:fill="auto"/>
            <w:noWrap/>
            <w:vAlign w:val="bottom"/>
          </w:tcPr>
          <w:p w14:paraId="21BBED4F" w14:textId="77777777" w:rsidR="008C1357" w:rsidRPr="008C1357" w:rsidRDefault="008C1357" w:rsidP="00CA7D73">
            <w:pPr>
              <w:jc w:val="center"/>
              <w:rPr>
                <w:i/>
                <w:lang w:val="es-EC" w:eastAsia="es-EC"/>
              </w:rPr>
            </w:pPr>
            <w:r w:rsidRPr="008C1357">
              <w:rPr>
                <w:i/>
                <w:lang w:val="es-EC" w:eastAsia="es-EC"/>
              </w:rPr>
              <w:t>1.30 m</w:t>
            </w:r>
          </w:p>
          <w:p w14:paraId="418BA5F3" w14:textId="77777777" w:rsidR="008C1357" w:rsidRPr="008C1357" w:rsidRDefault="008C1357" w:rsidP="00CA7D73">
            <w:pPr>
              <w:jc w:val="center"/>
              <w:rPr>
                <w:i/>
                <w:lang w:val="es-EC" w:eastAsia="es-EC"/>
              </w:rPr>
            </w:pPr>
            <w:r w:rsidRPr="008C1357">
              <w:rPr>
                <w:i/>
                <w:lang w:val="es-EC" w:eastAsia="es-EC"/>
              </w:rPr>
              <w:t>8.03 m</w:t>
            </w:r>
          </w:p>
          <w:p w14:paraId="733F952E" w14:textId="256A223D" w:rsidR="008C1357" w:rsidRPr="008C1357" w:rsidRDefault="008C1357" w:rsidP="00CA7D73">
            <w:pPr>
              <w:jc w:val="center"/>
              <w:rPr>
                <w:i/>
                <w:lang w:val="es-EC" w:eastAsia="es-EC"/>
              </w:rPr>
            </w:pPr>
            <w:r w:rsidRPr="008C1357">
              <w:rPr>
                <w:i/>
                <w:lang w:val="es-EC" w:eastAsia="es-EC"/>
              </w:rPr>
              <w:t>0.83 m</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tcPr>
          <w:p w14:paraId="694AFD4B" w14:textId="61B1B73E" w:rsidR="008C1357" w:rsidRPr="008C1357" w:rsidRDefault="008C1357" w:rsidP="00CA7D73">
            <w:pPr>
              <w:jc w:val="center"/>
              <w:rPr>
                <w:i/>
                <w:lang w:val="es-EC" w:eastAsia="es-EC"/>
              </w:rPr>
            </w:pPr>
            <w:r w:rsidRPr="008C1357">
              <w:rPr>
                <w:i/>
                <w:lang w:val="es-EC" w:eastAsia="es-EC"/>
              </w:rPr>
              <w:t>10,16 m</w:t>
            </w:r>
          </w:p>
        </w:tc>
        <w:tc>
          <w:tcPr>
            <w:tcW w:w="568" w:type="pct"/>
            <w:vMerge/>
            <w:tcBorders>
              <w:top w:val="single" w:sz="4" w:space="0" w:color="auto"/>
              <w:left w:val="nil"/>
              <w:bottom w:val="single" w:sz="4" w:space="0" w:color="auto"/>
              <w:right w:val="single" w:sz="4" w:space="0" w:color="auto"/>
            </w:tcBorders>
            <w:shd w:val="clear" w:color="auto" w:fill="auto"/>
            <w:vAlign w:val="center"/>
          </w:tcPr>
          <w:p w14:paraId="7CE4228C" w14:textId="77777777" w:rsidR="008C1357" w:rsidRPr="008C1357" w:rsidRDefault="008C1357" w:rsidP="00CA7D73">
            <w:pPr>
              <w:jc w:val="center"/>
              <w:rPr>
                <w:b/>
                <w:i/>
              </w:rPr>
            </w:pPr>
          </w:p>
        </w:tc>
      </w:tr>
      <w:tr w:rsidR="00086B25" w:rsidRPr="008C1357" w14:paraId="79A22F08" w14:textId="77777777" w:rsidTr="00086B25">
        <w:trPr>
          <w:trHeight w:val="73"/>
        </w:trPr>
        <w:tc>
          <w:tcPr>
            <w:tcW w:w="994" w:type="pct"/>
            <w:gridSpan w:val="2"/>
            <w:tcBorders>
              <w:top w:val="single" w:sz="4" w:space="0" w:color="auto"/>
              <w:bottom w:val="single" w:sz="4" w:space="0" w:color="auto"/>
            </w:tcBorders>
            <w:shd w:val="clear" w:color="auto" w:fill="auto"/>
          </w:tcPr>
          <w:p w14:paraId="3939E534" w14:textId="77777777" w:rsidR="00086B25" w:rsidRPr="008C1357" w:rsidRDefault="00086B25" w:rsidP="00CA7D73">
            <w:pPr>
              <w:rPr>
                <w:b/>
                <w:bCs/>
                <w:i/>
                <w:lang w:val="es-EC" w:eastAsia="es-EC"/>
              </w:rPr>
            </w:pPr>
          </w:p>
        </w:tc>
        <w:tc>
          <w:tcPr>
            <w:tcW w:w="403" w:type="pct"/>
            <w:tcBorders>
              <w:top w:val="single" w:sz="4" w:space="0" w:color="auto"/>
              <w:bottom w:val="single" w:sz="4" w:space="0" w:color="auto"/>
            </w:tcBorders>
            <w:shd w:val="clear" w:color="auto" w:fill="auto"/>
          </w:tcPr>
          <w:p w14:paraId="7D1ACB9C" w14:textId="77777777" w:rsidR="00086B25" w:rsidRPr="008C1357" w:rsidRDefault="00086B25" w:rsidP="00CA7D73">
            <w:pPr>
              <w:rPr>
                <w:b/>
                <w:bCs/>
                <w:i/>
                <w:lang w:val="es-EC" w:eastAsia="es-EC"/>
              </w:rPr>
            </w:pPr>
          </w:p>
        </w:tc>
        <w:tc>
          <w:tcPr>
            <w:tcW w:w="1218" w:type="pct"/>
            <w:gridSpan w:val="3"/>
            <w:tcBorders>
              <w:top w:val="single" w:sz="4" w:space="0" w:color="auto"/>
              <w:bottom w:val="single" w:sz="4" w:space="0" w:color="auto"/>
            </w:tcBorders>
            <w:shd w:val="clear" w:color="auto" w:fill="auto"/>
            <w:vAlign w:val="center"/>
          </w:tcPr>
          <w:p w14:paraId="0686CBB1" w14:textId="77777777" w:rsidR="00086B25" w:rsidRDefault="00086B25" w:rsidP="00CA7D73">
            <w:pPr>
              <w:jc w:val="center"/>
              <w:rPr>
                <w:i/>
                <w:lang w:val="es-EC" w:eastAsia="es-EC"/>
              </w:rPr>
            </w:pPr>
          </w:p>
          <w:p w14:paraId="08022A11" w14:textId="77777777" w:rsidR="00086B25" w:rsidRPr="008C1357" w:rsidRDefault="00086B25" w:rsidP="00CA7D73">
            <w:pPr>
              <w:jc w:val="center"/>
              <w:rPr>
                <w:i/>
                <w:lang w:val="es-EC" w:eastAsia="es-EC"/>
              </w:rPr>
            </w:pPr>
          </w:p>
        </w:tc>
        <w:tc>
          <w:tcPr>
            <w:tcW w:w="879" w:type="pct"/>
            <w:gridSpan w:val="2"/>
            <w:tcBorders>
              <w:top w:val="single" w:sz="4" w:space="0" w:color="auto"/>
              <w:bottom w:val="single" w:sz="4" w:space="0" w:color="auto"/>
            </w:tcBorders>
            <w:shd w:val="clear" w:color="auto" w:fill="auto"/>
            <w:noWrap/>
            <w:vAlign w:val="bottom"/>
          </w:tcPr>
          <w:p w14:paraId="56149488" w14:textId="77777777" w:rsidR="00086B25" w:rsidRPr="008C1357" w:rsidRDefault="00086B25" w:rsidP="00CA7D73">
            <w:pPr>
              <w:jc w:val="center"/>
              <w:rPr>
                <w:i/>
                <w:lang w:val="es-EC" w:eastAsia="es-EC"/>
              </w:rPr>
            </w:pPr>
          </w:p>
        </w:tc>
        <w:tc>
          <w:tcPr>
            <w:tcW w:w="938" w:type="pct"/>
            <w:gridSpan w:val="2"/>
            <w:tcBorders>
              <w:top w:val="single" w:sz="4" w:space="0" w:color="auto"/>
              <w:bottom w:val="single" w:sz="4" w:space="0" w:color="auto"/>
            </w:tcBorders>
            <w:shd w:val="clear" w:color="auto" w:fill="auto"/>
            <w:noWrap/>
            <w:vAlign w:val="center"/>
          </w:tcPr>
          <w:p w14:paraId="6E9314BF" w14:textId="77777777" w:rsidR="00086B25" w:rsidRPr="008C1357" w:rsidRDefault="00086B25" w:rsidP="00CA7D73">
            <w:pPr>
              <w:jc w:val="center"/>
              <w:rPr>
                <w:i/>
                <w:lang w:val="es-EC" w:eastAsia="es-EC"/>
              </w:rPr>
            </w:pPr>
          </w:p>
        </w:tc>
        <w:tc>
          <w:tcPr>
            <w:tcW w:w="568" w:type="pct"/>
            <w:tcBorders>
              <w:top w:val="single" w:sz="4" w:space="0" w:color="auto"/>
              <w:bottom w:val="single" w:sz="4" w:space="0" w:color="auto"/>
            </w:tcBorders>
            <w:shd w:val="clear" w:color="auto" w:fill="auto"/>
            <w:vAlign w:val="center"/>
          </w:tcPr>
          <w:p w14:paraId="1B8FE072" w14:textId="77777777" w:rsidR="00086B25" w:rsidRPr="008C1357" w:rsidRDefault="00086B25" w:rsidP="00CA7D73">
            <w:pPr>
              <w:jc w:val="center"/>
              <w:rPr>
                <w:b/>
                <w:i/>
              </w:rPr>
            </w:pPr>
          </w:p>
        </w:tc>
      </w:tr>
      <w:tr w:rsidR="00CA7D73" w:rsidRPr="008C1357" w14:paraId="35D10C2E" w14:textId="77777777" w:rsidTr="00086B25">
        <w:trPr>
          <w:trHeight w:val="18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6DFA490B" w14:textId="77777777" w:rsidR="00CA7D73" w:rsidRPr="008C1357" w:rsidRDefault="00CA7D73" w:rsidP="00CA7D73">
            <w:pPr>
              <w:jc w:val="center"/>
              <w:rPr>
                <w:b/>
                <w:bCs/>
                <w:i/>
                <w:lang w:val="es-EC" w:eastAsia="es-EC"/>
              </w:rPr>
            </w:pPr>
            <w:r w:rsidRPr="008C1357">
              <w:rPr>
                <w:b/>
                <w:bCs/>
                <w:i/>
                <w:lang w:val="es-EC" w:eastAsia="es-EC"/>
              </w:rPr>
              <w:t xml:space="preserve">ÁREA COMUNAL </w:t>
            </w:r>
          </w:p>
        </w:tc>
      </w:tr>
      <w:tr w:rsidR="00CA7D73" w:rsidRPr="008C1357" w14:paraId="2CA88F95" w14:textId="77777777" w:rsidTr="00086B25">
        <w:trPr>
          <w:trHeight w:val="206"/>
        </w:trPr>
        <w:tc>
          <w:tcPr>
            <w:tcW w:w="982" w:type="pct"/>
            <w:tcBorders>
              <w:top w:val="single" w:sz="4" w:space="0" w:color="auto"/>
              <w:left w:val="single" w:sz="4" w:space="0" w:color="auto"/>
              <w:bottom w:val="nil"/>
              <w:right w:val="single" w:sz="4" w:space="0" w:color="auto"/>
            </w:tcBorders>
            <w:shd w:val="clear" w:color="auto" w:fill="auto"/>
            <w:vAlign w:val="center"/>
            <w:hideMark/>
          </w:tcPr>
          <w:p w14:paraId="2FCD0AD1" w14:textId="77777777" w:rsidR="00CA7D73" w:rsidRPr="008C1357" w:rsidRDefault="00CA7D73" w:rsidP="00CA7D73">
            <w:pPr>
              <w:jc w:val="center"/>
              <w:rPr>
                <w:b/>
                <w:bCs/>
                <w:i/>
                <w:color w:val="FF0000"/>
                <w:lang w:val="es-EC" w:eastAsia="es-EC"/>
              </w:rPr>
            </w:pPr>
            <w:r w:rsidRPr="008C1357">
              <w:rPr>
                <w:b/>
                <w:bCs/>
                <w:i/>
                <w:color w:val="FF0000"/>
                <w:lang w:val="es-EC" w:eastAsia="es-EC"/>
              </w:rPr>
              <w:t> </w:t>
            </w:r>
          </w:p>
        </w:tc>
        <w:tc>
          <w:tcPr>
            <w:tcW w:w="442" w:type="pct"/>
            <w:gridSpan w:val="3"/>
            <w:tcBorders>
              <w:top w:val="nil"/>
              <w:left w:val="nil"/>
              <w:bottom w:val="single" w:sz="4" w:space="0" w:color="auto"/>
              <w:right w:val="single" w:sz="4" w:space="0" w:color="auto"/>
            </w:tcBorders>
            <w:shd w:val="clear" w:color="auto" w:fill="auto"/>
            <w:hideMark/>
          </w:tcPr>
          <w:p w14:paraId="6824C00D" w14:textId="77777777" w:rsidR="00CA7D73" w:rsidRPr="008C1357" w:rsidRDefault="00CA7D73" w:rsidP="00CA7D73">
            <w:pPr>
              <w:rPr>
                <w:b/>
                <w:bCs/>
                <w:i/>
                <w:color w:val="FF0000"/>
                <w:lang w:val="es-EC" w:eastAsia="es-EC"/>
              </w:rPr>
            </w:pPr>
            <w:r w:rsidRPr="008C1357">
              <w:rPr>
                <w:b/>
                <w:bCs/>
                <w:i/>
                <w:color w:val="FF0000"/>
                <w:lang w:val="es-EC" w:eastAsia="es-EC"/>
              </w:rPr>
              <w:t> </w:t>
            </w:r>
          </w:p>
        </w:tc>
        <w:tc>
          <w:tcPr>
            <w:tcW w:w="1182" w:type="pct"/>
            <w:tcBorders>
              <w:top w:val="single" w:sz="4" w:space="0" w:color="auto"/>
              <w:left w:val="nil"/>
              <w:bottom w:val="single" w:sz="4" w:space="0" w:color="auto"/>
              <w:right w:val="single" w:sz="4" w:space="0" w:color="auto"/>
            </w:tcBorders>
            <w:shd w:val="clear" w:color="auto" w:fill="auto"/>
            <w:hideMark/>
          </w:tcPr>
          <w:p w14:paraId="64E8A18A" w14:textId="77777777" w:rsidR="00CA7D73" w:rsidRPr="008C1357" w:rsidRDefault="00CA7D73" w:rsidP="00CA7D73">
            <w:pPr>
              <w:jc w:val="center"/>
              <w:rPr>
                <w:b/>
                <w:bCs/>
                <w:i/>
                <w:lang w:val="es-EC" w:eastAsia="es-EC"/>
              </w:rPr>
            </w:pPr>
            <w:r w:rsidRPr="008C1357">
              <w:rPr>
                <w:b/>
                <w:bCs/>
                <w:i/>
                <w:lang w:val="es-EC" w:eastAsia="es-EC"/>
              </w:rPr>
              <w:t>Lindero</w:t>
            </w:r>
          </w:p>
        </w:tc>
        <w:tc>
          <w:tcPr>
            <w:tcW w:w="849" w:type="pct"/>
            <w:gridSpan w:val="2"/>
            <w:tcBorders>
              <w:top w:val="single" w:sz="4" w:space="0" w:color="auto"/>
              <w:left w:val="nil"/>
              <w:bottom w:val="single" w:sz="4" w:space="0" w:color="auto"/>
              <w:right w:val="single" w:sz="4" w:space="0" w:color="auto"/>
            </w:tcBorders>
            <w:shd w:val="clear" w:color="auto" w:fill="auto"/>
            <w:vAlign w:val="bottom"/>
            <w:hideMark/>
          </w:tcPr>
          <w:p w14:paraId="4B8A1DC6" w14:textId="77777777" w:rsidR="00CA7D73" w:rsidRPr="008C1357" w:rsidRDefault="00CA7D73" w:rsidP="00CA7D73">
            <w:pPr>
              <w:jc w:val="center"/>
              <w:rPr>
                <w:b/>
                <w:bCs/>
                <w:i/>
                <w:lang w:val="es-EC" w:eastAsia="es-EC"/>
              </w:rPr>
            </w:pPr>
            <w:r w:rsidRPr="008C1357">
              <w:rPr>
                <w:b/>
                <w:bCs/>
                <w:i/>
                <w:lang w:val="es-EC" w:eastAsia="es-EC"/>
              </w:rPr>
              <w:t>En parte</w:t>
            </w:r>
          </w:p>
        </w:tc>
        <w:tc>
          <w:tcPr>
            <w:tcW w:w="772" w:type="pct"/>
            <w:gridSpan w:val="2"/>
            <w:tcBorders>
              <w:top w:val="single" w:sz="4" w:space="0" w:color="auto"/>
              <w:left w:val="nil"/>
              <w:bottom w:val="single" w:sz="4" w:space="0" w:color="auto"/>
              <w:right w:val="single" w:sz="4" w:space="0" w:color="auto"/>
            </w:tcBorders>
            <w:shd w:val="clear" w:color="auto" w:fill="auto"/>
            <w:vAlign w:val="bottom"/>
            <w:hideMark/>
          </w:tcPr>
          <w:p w14:paraId="0CA50B53" w14:textId="77777777" w:rsidR="00CA7D73" w:rsidRPr="008C1357" w:rsidRDefault="00CA7D73" w:rsidP="00CA7D73">
            <w:pPr>
              <w:jc w:val="center"/>
              <w:rPr>
                <w:b/>
                <w:bCs/>
                <w:i/>
                <w:lang w:val="es-EC" w:eastAsia="es-EC"/>
              </w:rPr>
            </w:pPr>
            <w:r w:rsidRPr="008C1357">
              <w:rPr>
                <w:b/>
                <w:bCs/>
                <w:i/>
                <w:lang w:val="es-EC" w:eastAsia="es-EC"/>
              </w:rPr>
              <w:t>Total</w:t>
            </w:r>
          </w:p>
        </w:tc>
        <w:tc>
          <w:tcPr>
            <w:tcW w:w="773" w:type="pct"/>
            <w:gridSpan w:val="2"/>
            <w:tcBorders>
              <w:top w:val="nil"/>
              <w:left w:val="nil"/>
              <w:bottom w:val="single" w:sz="4" w:space="0" w:color="auto"/>
              <w:right w:val="single" w:sz="4" w:space="0" w:color="auto"/>
            </w:tcBorders>
            <w:shd w:val="clear" w:color="auto" w:fill="auto"/>
            <w:vAlign w:val="bottom"/>
            <w:hideMark/>
          </w:tcPr>
          <w:p w14:paraId="32B03330" w14:textId="77777777" w:rsidR="00CA7D73" w:rsidRPr="008C1357" w:rsidRDefault="00CA7D73" w:rsidP="00CA7D73">
            <w:pPr>
              <w:jc w:val="center"/>
              <w:rPr>
                <w:b/>
                <w:bCs/>
                <w:i/>
                <w:lang w:val="es-EC" w:eastAsia="es-EC"/>
              </w:rPr>
            </w:pPr>
            <w:r w:rsidRPr="008C1357">
              <w:rPr>
                <w:b/>
                <w:bCs/>
                <w:i/>
                <w:lang w:val="es-EC" w:eastAsia="es-EC"/>
              </w:rPr>
              <w:t>Superficie</w:t>
            </w:r>
          </w:p>
        </w:tc>
      </w:tr>
      <w:tr w:rsidR="00C54988" w:rsidRPr="008C1357" w14:paraId="7D33C4FF" w14:textId="77777777" w:rsidTr="00086B25">
        <w:trPr>
          <w:trHeight w:val="314"/>
        </w:trPr>
        <w:tc>
          <w:tcPr>
            <w:tcW w:w="982" w:type="pct"/>
            <w:vMerge w:val="restart"/>
            <w:tcBorders>
              <w:top w:val="single" w:sz="4" w:space="0" w:color="auto"/>
              <w:left w:val="single" w:sz="4" w:space="0" w:color="auto"/>
              <w:right w:val="single" w:sz="4" w:space="0" w:color="auto"/>
            </w:tcBorders>
            <w:shd w:val="clear" w:color="auto" w:fill="auto"/>
            <w:vAlign w:val="center"/>
          </w:tcPr>
          <w:p w14:paraId="7D17FA75" w14:textId="77777777" w:rsidR="00C54988" w:rsidRPr="008C1357" w:rsidRDefault="00C54988" w:rsidP="00CA7D73">
            <w:pPr>
              <w:jc w:val="center"/>
              <w:rPr>
                <w:b/>
                <w:bCs/>
                <w:i/>
                <w:lang w:val="es-EC" w:eastAsia="es-EC"/>
              </w:rPr>
            </w:pPr>
            <w:r w:rsidRPr="008C1357">
              <w:rPr>
                <w:b/>
                <w:bCs/>
                <w:i/>
                <w:lang w:val="es-EC" w:eastAsia="es-EC"/>
              </w:rPr>
              <w:t>ÁREA COMUNAL</w:t>
            </w:r>
          </w:p>
          <w:p w14:paraId="5999041F" w14:textId="1BF04FC5" w:rsidR="00C54988" w:rsidRPr="008C1357" w:rsidRDefault="00C54988" w:rsidP="00CA7D73">
            <w:pPr>
              <w:rPr>
                <w:b/>
                <w:bCs/>
                <w:i/>
                <w:lang w:val="es-EC" w:eastAsia="es-EC"/>
              </w:rPr>
            </w:pPr>
            <w:r w:rsidRPr="008C1357">
              <w:rPr>
                <w:b/>
                <w:bCs/>
                <w:i/>
                <w:lang w:val="es-EC" w:eastAsia="es-EC"/>
              </w:rPr>
              <w:t xml:space="preserve">   </w:t>
            </w:r>
          </w:p>
        </w:tc>
        <w:tc>
          <w:tcPr>
            <w:tcW w:w="442" w:type="pct"/>
            <w:gridSpan w:val="3"/>
            <w:tcBorders>
              <w:top w:val="nil"/>
              <w:left w:val="nil"/>
              <w:bottom w:val="nil"/>
              <w:right w:val="single" w:sz="4" w:space="0" w:color="auto"/>
            </w:tcBorders>
            <w:shd w:val="clear" w:color="auto" w:fill="auto"/>
          </w:tcPr>
          <w:p w14:paraId="5E3FED8E" w14:textId="77777777" w:rsidR="00C54988" w:rsidRPr="008C1357" w:rsidRDefault="00C54988" w:rsidP="00CA7D73">
            <w:pPr>
              <w:rPr>
                <w:b/>
                <w:bCs/>
                <w:i/>
                <w:lang w:val="es-EC" w:eastAsia="es-EC"/>
              </w:rPr>
            </w:pPr>
            <w:r w:rsidRPr="008C1357">
              <w:rPr>
                <w:b/>
                <w:bCs/>
                <w:i/>
                <w:lang w:val="es-EC" w:eastAsia="es-EC"/>
              </w:rPr>
              <w:t>Norte:</w:t>
            </w:r>
          </w:p>
        </w:tc>
        <w:tc>
          <w:tcPr>
            <w:tcW w:w="1182" w:type="pct"/>
            <w:tcBorders>
              <w:top w:val="single" w:sz="4" w:space="0" w:color="auto"/>
              <w:left w:val="nil"/>
              <w:bottom w:val="single" w:sz="4" w:space="0" w:color="auto"/>
              <w:right w:val="single" w:sz="4" w:space="0" w:color="auto"/>
            </w:tcBorders>
            <w:shd w:val="clear" w:color="auto" w:fill="auto"/>
          </w:tcPr>
          <w:p w14:paraId="558947B0" w14:textId="77777777" w:rsidR="00C54988" w:rsidRPr="008C1357" w:rsidRDefault="00C54988" w:rsidP="00CA7D73">
            <w:pPr>
              <w:jc w:val="center"/>
              <w:rPr>
                <w:bCs/>
                <w:i/>
                <w:lang w:val="es-EC" w:eastAsia="es-EC"/>
              </w:rPr>
            </w:pPr>
            <w:r w:rsidRPr="008C1357">
              <w:rPr>
                <w:bCs/>
                <w:i/>
                <w:lang w:val="es-EC" w:eastAsia="es-EC"/>
              </w:rPr>
              <w:t>Escalinata</w:t>
            </w:r>
          </w:p>
        </w:tc>
        <w:tc>
          <w:tcPr>
            <w:tcW w:w="849" w:type="pct"/>
            <w:gridSpan w:val="2"/>
            <w:tcBorders>
              <w:top w:val="single" w:sz="4" w:space="0" w:color="auto"/>
              <w:left w:val="nil"/>
              <w:bottom w:val="single" w:sz="4" w:space="0" w:color="auto"/>
              <w:right w:val="single" w:sz="4" w:space="0" w:color="auto"/>
            </w:tcBorders>
            <w:shd w:val="clear" w:color="auto" w:fill="auto"/>
            <w:vAlign w:val="bottom"/>
          </w:tcPr>
          <w:p w14:paraId="0E900262" w14:textId="77777777" w:rsidR="00C54988" w:rsidRPr="008C1357" w:rsidRDefault="00C54988" w:rsidP="00CA7D73">
            <w:pPr>
              <w:jc w:val="center"/>
              <w:rPr>
                <w:bCs/>
                <w:i/>
                <w:lang w:val="es-EC" w:eastAsia="es-EC"/>
              </w:rPr>
            </w:pPr>
          </w:p>
        </w:tc>
        <w:tc>
          <w:tcPr>
            <w:tcW w:w="772" w:type="pct"/>
            <w:gridSpan w:val="2"/>
            <w:tcBorders>
              <w:top w:val="single" w:sz="4" w:space="0" w:color="auto"/>
              <w:left w:val="nil"/>
              <w:bottom w:val="single" w:sz="4" w:space="0" w:color="auto"/>
              <w:right w:val="single" w:sz="4" w:space="0" w:color="auto"/>
            </w:tcBorders>
            <w:shd w:val="clear" w:color="auto" w:fill="auto"/>
            <w:vAlign w:val="center"/>
          </w:tcPr>
          <w:p w14:paraId="45B81C1A" w14:textId="77777777" w:rsidR="00C54988" w:rsidRPr="008C1357" w:rsidRDefault="00C54988" w:rsidP="00CA7D73">
            <w:pPr>
              <w:jc w:val="center"/>
              <w:rPr>
                <w:bCs/>
                <w:i/>
                <w:lang w:val="es-EC" w:eastAsia="es-EC"/>
              </w:rPr>
            </w:pPr>
            <w:r w:rsidRPr="008C1357">
              <w:rPr>
                <w:bCs/>
                <w:i/>
                <w:lang w:val="es-EC" w:eastAsia="es-EC"/>
              </w:rPr>
              <w:t>8.81 m</w:t>
            </w:r>
          </w:p>
        </w:tc>
        <w:tc>
          <w:tcPr>
            <w:tcW w:w="773" w:type="pct"/>
            <w:gridSpan w:val="2"/>
            <w:vMerge w:val="restart"/>
            <w:tcBorders>
              <w:top w:val="single" w:sz="4" w:space="0" w:color="auto"/>
              <w:left w:val="nil"/>
              <w:bottom w:val="single" w:sz="4" w:space="0" w:color="auto"/>
              <w:right w:val="single" w:sz="4" w:space="0" w:color="auto"/>
            </w:tcBorders>
            <w:shd w:val="clear" w:color="auto" w:fill="auto"/>
            <w:vAlign w:val="center"/>
          </w:tcPr>
          <w:p w14:paraId="431AFB9E" w14:textId="77777777" w:rsidR="00C54988" w:rsidRPr="008C1357" w:rsidRDefault="00C54988" w:rsidP="00CA7D73">
            <w:pPr>
              <w:rPr>
                <w:b/>
                <w:bCs/>
                <w:i/>
                <w:lang w:val="es-EC" w:eastAsia="es-EC"/>
              </w:rPr>
            </w:pPr>
            <w:r w:rsidRPr="008C1357">
              <w:rPr>
                <w:b/>
                <w:bCs/>
                <w:i/>
                <w:lang w:val="es-EC" w:eastAsia="es-EC"/>
              </w:rPr>
              <w:t>136.25 m2</w:t>
            </w:r>
          </w:p>
        </w:tc>
      </w:tr>
      <w:tr w:rsidR="00C54988" w:rsidRPr="008C1357" w14:paraId="0361482C" w14:textId="77777777" w:rsidTr="00C54988">
        <w:trPr>
          <w:trHeight w:val="170"/>
        </w:trPr>
        <w:tc>
          <w:tcPr>
            <w:tcW w:w="982" w:type="pct"/>
            <w:vMerge/>
            <w:tcBorders>
              <w:left w:val="single" w:sz="4" w:space="0" w:color="auto"/>
              <w:right w:val="single" w:sz="4" w:space="0" w:color="auto"/>
            </w:tcBorders>
            <w:shd w:val="clear" w:color="auto" w:fill="auto"/>
            <w:vAlign w:val="center"/>
            <w:hideMark/>
          </w:tcPr>
          <w:p w14:paraId="46195A5B" w14:textId="137EA8A2" w:rsidR="00C54988" w:rsidRPr="008C1357" w:rsidRDefault="00C54988" w:rsidP="00CA7D73">
            <w:pPr>
              <w:rPr>
                <w:b/>
                <w:bCs/>
                <w:i/>
                <w:lang w:val="es-EC" w:eastAsia="es-EC"/>
              </w:rPr>
            </w:pPr>
          </w:p>
        </w:tc>
        <w:tc>
          <w:tcPr>
            <w:tcW w:w="442" w:type="pct"/>
            <w:gridSpan w:val="3"/>
            <w:tcBorders>
              <w:top w:val="single" w:sz="4" w:space="0" w:color="auto"/>
              <w:left w:val="nil"/>
              <w:bottom w:val="single" w:sz="4" w:space="0" w:color="auto"/>
              <w:right w:val="single" w:sz="4" w:space="0" w:color="auto"/>
            </w:tcBorders>
            <w:shd w:val="clear" w:color="auto" w:fill="auto"/>
            <w:hideMark/>
          </w:tcPr>
          <w:p w14:paraId="55AC284E" w14:textId="77777777" w:rsidR="00C54988" w:rsidRPr="008C1357" w:rsidRDefault="00C54988" w:rsidP="00CA7D73">
            <w:pPr>
              <w:rPr>
                <w:b/>
                <w:bCs/>
                <w:i/>
                <w:lang w:val="es-EC" w:eastAsia="es-EC"/>
              </w:rPr>
            </w:pPr>
            <w:r w:rsidRPr="008C1357">
              <w:rPr>
                <w:b/>
                <w:bCs/>
                <w:i/>
                <w:lang w:val="es-EC" w:eastAsia="es-EC"/>
              </w:rPr>
              <w:t>Sur:</w:t>
            </w:r>
          </w:p>
        </w:tc>
        <w:tc>
          <w:tcPr>
            <w:tcW w:w="1182" w:type="pct"/>
            <w:tcBorders>
              <w:top w:val="single" w:sz="4" w:space="0" w:color="auto"/>
              <w:left w:val="nil"/>
              <w:bottom w:val="single" w:sz="4" w:space="0" w:color="auto"/>
              <w:right w:val="single" w:sz="4" w:space="0" w:color="auto"/>
            </w:tcBorders>
            <w:shd w:val="clear" w:color="auto" w:fill="auto"/>
          </w:tcPr>
          <w:p w14:paraId="48930A9B" w14:textId="77777777" w:rsidR="00C54988" w:rsidRPr="008C1357" w:rsidRDefault="00C54988" w:rsidP="00CA7D73">
            <w:pPr>
              <w:jc w:val="center"/>
              <w:rPr>
                <w:i/>
                <w:lang w:val="es-EC" w:eastAsia="es-EC"/>
              </w:rPr>
            </w:pPr>
            <w:r w:rsidRPr="008C1357">
              <w:rPr>
                <w:i/>
                <w:lang w:val="es-EC" w:eastAsia="es-EC"/>
              </w:rPr>
              <w:t>Lote 92</w:t>
            </w:r>
          </w:p>
        </w:tc>
        <w:tc>
          <w:tcPr>
            <w:tcW w:w="849" w:type="pct"/>
            <w:gridSpan w:val="2"/>
            <w:tcBorders>
              <w:top w:val="single" w:sz="4" w:space="0" w:color="auto"/>
              <w:left w:val="nil"/>
              <w:bottom w:val="single" w:sz="4" w:space="0" w:color="auto"/>
              <w:right w:val="single" w:sz="4" w:space="0" w:color="auto"/>
            </w:tcBorders>
            <w:shd w:val="clear" w:color="auto" w:fill="auto"/>
            <w:noWrap/>
          </w:tcPr>
          <w:p w14:paraId="4C0AC715" w14:textId="77777777" w:rsidR="00C54988" w:rsidRPr="008C1357" w:rsidRDefault="00C54988" w:rsidP="00CA7D73">
            <w:pPr>
              <w:rPr>
                <w:i/>
                <w:lang w:val="es-EC" w:eastAsia="es-EC"/>
              </w:rPr>
            </w:pPr>
          </w:p>
        </w:tc>
        <w:tc>
          <w:tcPr>
            <w:tcW w:w="772" w:type="pct"/>
            <w:gridSpan w:val="2"/>
            <w:tcBorders>
              <w:top w:val="single" w:sz="4" w:space="0" w:color="auto"/>
              <w:left w:val="nil"/>
              <w:bottom w:val="single" w:sz="4" w:space="0" w:color="auto"/>
              <w:right w:val="single" w:sz="4" w:space="0" w:color="auto"/>
            </w:tcBorders>
            <w:shd w:val="clear" w:color="auto" w:fill="auto"/>
            <w:noWrap/>
          </w:tcPr>
          <w:p w14:paraId="5484443F" w14:textId="77777777" w:rsidR="00C54988" w:rsidRPr="008C1357" w:rsidRDefault="00C54988" w:rsidP="00CA7D73">
            <w:pPr>
              <w:jc w:val="center"/>
              <w:rPr>
                <w:i/>
                <w:lang w:val="es-EC" w:eastAsia="es-EC"/>
              </w:rPr>
            </w:pPr>
            <w:r w:rsidRPr="008C1357">
              <w:rPr>
                <w:i/>
                <w:lang w:val="es-EC" w:eastAsia="es-EC"/>
              </w:rPr>
              <w:t>7.11 m</w:t>
            </w:r>
          </w:p>
        </w:tc>
        <w:tc>
          <w:tcPr>
            <w:tcW w:w="773" w:type="pct"/>
            <w:gridSpan w:val="2"/>
            <w:vMerge/>
            <w:tcBorders>
              <w:left w:val="nil"/>
              <w:bottom w:val="single" w:sz="4" w:space="0" w:color="auto"/>
              <w:right w:val="single" w:sz="4" w:space="0" w:color="auto"/>
            </w:tcBorders>
            <w:shd w:val="clear" w:color="auto" w:fill="auto"/>
            <w:vAlign w:val="center"/>
          </w:tcPr>
          <w:p w14:paraId="713B19FF" w14:textId="77777777" w:rsidR="00C54988" w:rsidRPr="008C1357" w:rsidRDefault="00C54988" w:rsidP="00CA7D73">
            <w:pPr>
              <w:rPr>
                <w:b/>
                <w:i/>
              </w:rPr>
            </w:pPr>
          </w:p>
        </w:tc>
      </w:tr>
      <w:tr w:rsidR="00C54988" w:rsidRPr="008C1357" w14:paraId="1D487653" w14:textId="77777777" w:rsidTr="00C54988">
        <w:trPr>
          <w:trHeight w:val="197"/>
        </w:trPr>
        <w:tc>
          <w:tcPr>
            <w:tcW w:w="982" w:type="pct"/>
            <w:vMerge/>
            <w:tcBorders>
              <w:left w:val="single" w:sz="4" w:space="0" w:color="auto"/>
              <w:right w:val="single" w:sz="4" w:space="0" w:color="auto"/>
            </w:tcBorders>
            <w:shd w:val="clear" w:color="auto" w:fill="auto"/>
          </w:tcPr>
          <w:p w14:paraId="461A6F44" w14:textId="67B6E26C" w:rsidR="00C54988" w:rsidRPr="008C1357" w:rsidRDefault="00C54988" w:rsidP="00CA7D73">
            <w:pPr>
              <w:rPr>
                <w:b/>
                <w:bCs/>
                <w:i/>
                <w:lang w:val="es-EC" w:eastAsia="es-EC"/>
              </w:rPr>
            </w:pPr>
          </w:p>
        </w:tc>
        <w:tc>
          <w:tcPr>
            <w:tcW w:w="442" w:type="pct"/>
            <w:gridSpan w:val="3"/>
            <w:tcBorders>
              <w:top w:val="single" w:sz="4" w:space="0" w:color="auto"/>
              <w:left w:val="nil"/>
              <w:bottom w:val="single" w:sz="4" w:space="0" w:color="auto"/>
              <w:right w:val="single" w:sz="4" w:space="0" w:color="auto"/>
            </w:tcBorders>
            <w:shd w:val="clear" w:color="auto" w:fill="auto"/>
          </w:tcPr>
          <w:p w14:paraId="7F2B4EC7" w14:textId="77777777" w:rsidR="00C54988" w:rsidRPr="008C1357" w:rsidRDefault="00C54988" w:rsidP="00CA7D73">
            <w:pPr>
              <w:rPr>
                <w:b/>
                <w:bCs/>
                <w:i/>
                <w:lang w:val="es-EC" w:eastAsia="es-EC"/>
              </w:rPr>
            </w:pPr>
            <w:r w:rsidRPr="008C1357">
              <w:rPr>
                <w:b/>
                <w:bCs/>
                <w:i/>
                <w:lang w:val="es-EC" w:eastAsia="es-EC"/>
              </w:rPr>
              <w:t>Este:</w:t>
            </w:r>
          </w:p>
        </w:tc>
        <w:tc>
          <w:tcPr>
            <w:tcW w:w="1182" w:type="pct"/>
            <w:tcBorders>
              <w:top w:val="single" w:sz="4" w:space="0" w:color="auto"/>
              <w:left w:val="nil"/>
              <w:bottom w:val="single" w:sz="4" w:space="0" w:color="auto"/>
              <w:right w:val="single" w:sz="4" w:space="0" w:color="auto"/>
            </w:tcBorders>
            <w:shd w:val="clear" w:color="auto" w:fill="auto"/>
          </w:tcPr>
          <w:p w14:paraId="3B7A28A5" w14:textId="77777777" w:rsidR="00C54988" w:rsidRPr="008C1357" w:rsidRDefault="00C54988" w:rsidP="00CA7D73">
            <w:pPr>
              <w:jc w:val="center"/>
              <w:rPr>
                <w:i/>
                <w:lang w:val="es-EC" w:eastAsia="es-EC"/>
              </w:rPr>
            </w:pPr>
            <w:r w:rsidRPr="008C1357">
              <w:rPr>
                <w:i/>
                <w:lang w:val="es-EC" w:eastAsia="es-EC"/>
              </w:rPr>
              <w:t>Lote 93</w:t>
            </w:r>
          </w:p>
        </w:tc>
        <w:tc>
          <w:tcPr>
            <w:tcW w:w="849" w:type="pct"/>
            <w:gridSpan w:val="2"/>
            <w:tcBorders>
              <w:top w:val="single" w:sz="4" w:space="0" w:color="auto"/>
              <w:left w:val="nil"/>
              <w:bottom w:val="single" w:sz="4" w:space="0" w:color="auto"/>
              <w:right w:val="single" w:sz="4" w:space="0" w:color="auto"/>
            </w:tcBorders>
            <w:shd w:val="clear" w:color="auto" w:fill="auto"/>
            <w:noWrap/>
          </w:tcPr>
          <w:p w14:paraId="587621A0" w14:textId="77777777" w:rsidR="00C54988" w:rsidRPr="008C1357" w:rsidRDefault="00C54988" w:rsidP="00CA7D73">
            <w:pPr>
              <w:jc w:val="center"/>
              <w:rPr>
                <w:i/>
                <w:lang w:val="es-EC" w:eastAsia="es-EC"/>
              </w:rPr>
            </w:pPr>
          </w:p>
        </w:tc>
        <w:tc>
          <w:tcPr>
            <w:tcW w:w="772" w:type="pct"/>
            <w:gridSpan w:val="2"/>
            <w:tcBorders>
              <w:top w:val="single" w:sz="4" w:space="0" w:color="auto"/>
              <w:left w:val="nil"/>
              <w:bottom w:val="single" w:sz="4" w:space="0" w:color="auto"/>
              <w:right w:val="single" w:sz="4" w:space="0" w:color="auto"/>
            </w:tcBorders>
            <w:shd w:val="clear" w:color="auto" w:fill="auto"/>
            <w:noWrap/>
            <w:vAlign w:val="center"/>
          </w:tcPr>
          <w:p w14:paraId="46F4CF3E" w14:textId="77777777" w:rsidR="00C54988" w:rsidRPr="008C1357" w:rsidRDefault="00C54988" w:rsidP="00CA7D73">
            <w:pPr>
              <w:jc w:val="center"/>
              <w:rPr>
                <w:i/>
                <w:lang w:val="es-EC" w:eastAsia="es-EC"/>
              </w:rPr>
            </w:pPr>
            <w:r w:rsidRPr="008C1357">
              <w:rPr>
                <w:i/>
                <w:lang w:val="es-EC" w:eastAsia="es-EC"/>
              </w:rPr>
              <w:t>18.39 m</w:t>
            </w:r>
          </w:p>
        </w:tc>
        <w:tc>
          <w:tcPr>
            <w:tcW w:w="773" w:type="pct"/>
            <w:gridSpan w:val="2"/>
            <w:vMerge/>
            <w:tcBorders>
              <w:left w:val="nil"/>
              <w:bottom w:val="single" w:sz="4" w:space="0" w:color="auto"/>
              <w:right w:val="single" w:sz="4" w:space="0" w:color="auto"/>
            </w:tcBorders>
            <w:shd w:val="clear" w:color="auto" w:fill="auto"/>
            <w:vAlign w:val="center"/>
          </w:tcPr>
          <w:p w14:paraId="38BF4861" w14:textId="77777777" w:rsidR="00C54988" w:rsidRPr="008C1357" w:rsidRDefault="00C54988" w:rsidP="00CA7D73">
            <w:pPr>
              <w:jc w:val="center"/>
              <w:rPr>
                <w:b/>
                <w:i/>
              </w:rPr>
            </w:pPr>
          </w:p>
        </w:tc>
      </w:tr>
      <w:tr w:rsidR="00C54988" w:rsidRPr="008C1357" w14:paraId="29D8A659" w14:textId="77777777" w:rsidTr="00C54988">
        <w:trPr>
          <w:trHeight w:val="73"/>
        </w:trPr>
        <w:tc>
          <w:tcPr>
            <w:tcW w:w="982" w:type="pct"/>
            <w:vMerge/>
            <w:tcBorders>
              <w:left w:val="single" w:sz="4" w:space="0" w:color="auto"/>
              <w:bottom w:val="single" w:sz="4" w:space="0" w:color="auto"/>
              <w:right w:val="single" w:sz="4" w:space="0" w:color="auto"/>
            </w:tcBorders>
            <w:shd w:val="clear" w:color="auto" w:fill="auto"/>
          </w:tcPr>
          <w:p w14:paraId="7FF013C2" w14:textId="77777777" w:rsidR="00C54988" w:rsidRPr="008C1357" w:rsidRDefault="00C54988" w:rsidP="00CA7D73">
            <w:pPr>
              <w:rPr>
                <w:b/>
                <w:bCs/>
                <w:i/>
                <w:lang w:val="es-EC" w:eastAsia="es-EC"/>
              </w:rPr>
            </w:pPr>
          </w:p>
        </w:tc>
        <w:tc>
          <w:tcPr>
            <w:tcW w:w="442" w:type="pct"/>
            <w:gridSpan w:val="3"/>
            <w:tcBorders>
              <w:top w:val="single" w:sz="4" w:space="0" w:color="auto"/>
              <w:left w:val="nil"/>
              <w:bottom w:val="single" w:sz="4" w:space="0" w:color="auto"/>
              <w:right w:val="single" w:sz="4" w:space="0" w:color="auto"/>
            </w:tcBorders>
            <w:shd w:val="clear" w:color="auto" w:fill="auto"/>
          </w:tcPr>
          <w:p w14:paraId="3832EFDD" w14:textId="77777777" w:rsidR="00C54988" w:rsidRPr="008C1357" w:rsidRDefault="00C54988" w:rsidP="00CA7D73">
            <w:pPr>
              <w:rPr>
                <w:b/>
                <w:bCs/>
                <w:i/>
                <w:lang w:val="es-EC" w:eastAsia="es-EC"/>
              </w:rPr>
            </w:pPr>
            <w:r w:rsidRPr="008C1357">
              <w:rPr>
                <w:b/>
                <w:bCs/>
                <w:i/>
                <w:lang w:val="es-EC" w:eastAsia="es-EC"/>
              </w:rPr>
              <w:t>Oeste:</w:t>
            </w:r>
          </w:p>
        </w:tc>
        <w:tc>
          <w:tcPr>
            <w:tcW w:w="1182" w:type="pct"/>
            <w:tcBorders>
              <w:top w:val="single" w:sz="4" w:space="0" w:color="auto"/>
              <w:left w:val="nil"/>
              <w:bottom w:val="single" w:sz="4" w:space="0" w:color="auto"/>
              <w:right w:val="single" w:sz="4" w:space="0" w:color="auto"/>
            </w:tcBorders>
            <w:shd w:val="clear" w:color="auto" w:fill="auto"/>
            <w:vAlign w:val="bottom"/>
          </w:tcPr>
          <w:p w14:paraId="1528CAD4" w14:textId="77777777" w:rsidR="00C54988" w:rsidRPr="008C1357" w:rsidRDefault="00C54988" w:rsidP="00CA7D73">
            <w:pPr>
              <w:jc w:val="center"/>
              <w:rPr>
                <w:i/>
                <w:lang w:val="es-EC" w:eastAsia="es-EC"/>
              </w:rPr>
            </w:pPr>
            <w:r w:rsidRPr="008C1357">
              <w:rPr>
                <w:i/>
                <w:lang w:val="es-EC" w:eastAsia="es-EC"/>
              </w:rPr>
              <w:t>Calle Flor de Luna</w:t>
            </w:r>
          </w:p>
        </w:tc>
        <w:tc>
          <w:tcPr>
            <w:tcW w:w="849" w:type="pct"/>
            <w:gridSpan w:val="2"/>
            <w:tcBorders>
              <w:top w:val="single" w:sz="4" w:space="0" w:color="auto"/>
              <w:left w:val="nil"/>
              <w:bottom w:val="single" w:sz="4" w:space="0" w:color="auto"/>
              <w:right w:val="single" w:sz="4" w:space="0" w:color="auto"/>
            </w:tcBorders>
            <w:shd w:val="clear" w:color="auto" w:fill="auto"/>
            <w:noWrap/>
            <w:vAlign w:val="bottom"/>
          </w:tcPr>
          <w:p w14:paraId="58F9DCD0" w14:textId="77777777" w:rsidR="00C54988" w:rsidRPr="008C1357" w:rsidRDefault="00C54988" w:rsidP="00CA7D73">
            <w:pPr>
              <w:jc w:val="center"/>
              <w:rPr>
                <w:i/>
                <w:lang w:val="es-EC" w:eastAsia="es-EC"/>
              </w:rPr>
            </w:pPr>
          </w:p>
        </w:tc>
        <w:tc>
          <w:tcPr>
            <w:tcW w:w="772" w:type="pct"/>
            <w:gridSpan w:val="2"/>
            <w:tcBorders>
              <w:top w:val="single" w:sz="4" w:space="0" w:color="auto"/>
              <w:left w:val="nil"/>
              <w:bottom w:val="single" w:sz="4" w:space="0" w:color="auto"/>
              <w:right w:val="single" w:sz="4" w:space="0" w:color="auto"/>
            </w:tcBorders>
            <w:shd w:val="clear" w:color="auto" w:fill="auto"/>
            <w:noWrap/>
            <w:vAlign w:val="bottom"/>
          </w:tcPr>
          <w:p w14:paraId="04990171" w14:textId="77777777" w:rsidR="00C54988" w:rsidRPr="008C1357" w:rsidRDefault="00C54988" w:rsidP="00CA7D73">
            <w:pPr>
              <w:jc w:val="center"/>
              <w:rPr>
                <w:i/>
                <w:lang w:val="es-EC" w:eastAsia="es-EC"/>
              </w:rPr>
            </w:pPr>
            <w:r w:rsidRPr="008C1357">
              <w:rPr>
                <w:i/>
                <w:lang w:val="es-EC" w:eastAsia="es-EC"/>
              </w:rPr>
              <w:t>17.68 m</w:t>
            </w:r>
          </w:p>
        </w:tc>
        <w:tc>
          <w:tcPr>
            <w:tcW w:w="773" w:type="pct"/>
            <w:gridSpan w:val="2"/>
            <w:vMerge/>
            <w:tcBorders>
              <w:left w:val="nil"/>
              <w:bottom w:val="single" w:sz="4" w:space="0" w:color="auto"/>
              <w:right w:val="single" w:sz="4" w:space="0" w:color="auto"/>
            </w:tcBorders>
            <w:shd w:val="clear" w:color="auto" w:fill="auto"/>
            <w:vAlign w:val="center"/>
          </w:tcPr>
          <w:p w14:paraId="7CD8F269" w14:textId="77777777" w:rsidR="00C54988" w:rsidRPr="008C1357" w:rsidRDefault="00C54988" w:rsidP="00CA7D73">
            <w:pPr>
              <w:jc w:val="center"/>
              <w:rPr>
                <w:b/>
                <w:i/>
              </w:rPr>
            </w:pPr>
          </w:p>
        </w:tc>
      </w:tr>
    </w:tbl>
    <w:p w14:paraId="5B094B5A" w14:textId="77777777" w:rsidR="00CA7D73" w:rsidRPr="00B82F65" w:rsidRDefault="00CA7D73" w:rsidP="00C54988">
      <w:pPr>
        <w:spacing w:line="276" w:lineRule="auto"/>
        <w:jc w:val="both"/>
        <w:rPr>
          <w:b/>
          <w:sz w:val="22"/>
          <w:szCs w:val="22"/>
          <w:lang w:val="es-EC"/>
        </w:rPr>
      </w:pPr>
    </w:p>
    <w:p w14:paraId="6E3501FF" w14:textId="6B670515" w:rsidR="00CA7D73" w:rsidRPr="009A40F2" w:rsidRDefault="00CA7D73" w:rsidP="00CA7D73">
      <w:pPr>
        <w:spacing w:after="240" w:line="276" w:lineRule="auto"/>
        <w:jc w:val="both"/>
        <w:rPr>
          <w:bCs/>
          <w:sz w:val="22"/>
          <w:szCs w:val="22"/>
        </w:rPr>
      </w:pPr>
      <w:r w:rsidRPr="00B82F65">
        <w:rPr>
          <w:b/>
          <w:sz w:val="22"/>
          <w:szCs w:val="22"/>
          <w:lang w:val="es-EC"/>
        </w:rPr>
        <w:t>Artículo 1</w:t>
      </w:r>
      <w:r w:rsidR="00C71650">
        <w:rPr>
          <w:b/>
          <w:sz w:val="22"/>
          <w:szCs w:val="22"/>
          <w:lang w:val="es-EC"/>
        </w:rPr>
        <w:t>1</w:t>
      </w:r>
      <w:r w:rsidRPr="00B82F65">
        <w:rPr>
          <w:b/>
          <w:sz w:val="22"/>
          <w:szCs w:val="22"/>
          <w:lang w:val="es-EC"/>
        </w:rPr>
        <w:t>.-</w:t>
      </w:r>
      <w:r w:rsidRPr="009A40F2">
        <w:rPr>
          <w:b/>
          <w:sz w:val="22"/>
          <w:szCs w:val="22"/>
          <w:lang w:val="es-EC"/>
        </w:rPr>
        <w:t xml:space="preserve"> Del Área Municipal.-</w:t>
      </w:r>
      <w:r w:rsidRPr="00C54988">
        <w:rPr>
          <w:b/>
          <w:bCs/>
          <w:i/>
        </w:rPr>
        <w:t xml:space="preserve"> </w:t>
      </w:r>
      <w:r w:rsidR="004462D0" w:rsidRPr="00D42378">
        <w:rPr>
          <w:color w:val="000000" w:themeColor="text1"/>
          <w:sz w:val="22"/>
          <w:szCs w:val="22"/>
        </w:rPr>
        <w:t>Los copropietarios del</w:t>
      </w:r>
      <w:r w:rsidR="004462D0">
        <w:rPr>
          <w:color w:val="000000" w:themeColor="text1"/>
          <w:sz w:val="22"/>
          <w:szCs w:val="22"/>
        </w:rPr>
        <w:t xml:space="preserve"> predio donde se encuentra el asentamiento humano de hecho y consolidado de interés social </w:t>
      </w:r>
      <w:r w:rsidR="004462D0" w:rsidRPr="00086F22">
        <w:rPr>
          <w:sz w:val="22"/>
          <w:szCs w:val="22"/>
        </w:rPr>
        <w:t>denominado</w:t>
      </w:r>
      <w:r w:rsidRPr="009A40F2">
        <w:rPr>
          <w:bCs/>
          <w:sz w:val="22"/>
          <w:szCs w:val="22"/>
        </w:rPr>
        <w:t xml:space="preserve"> Comité Pro-Mejoras del Barrio “18 de Septiembre”</w:t>
      </w:r>
      <w:r w:rsidR="00C55D90" w:rsidRPr="009A40F2">
        <w:rPr>
          <w:bCs/>
          <w:sz w:val="22"/>
          <w:szCs w:val="22"/>
        </w:rPr>
        <w:t xml:space="preserve"> ubicado en las parroquias San Isidro del Inca y Llano Chico</w:t>
      </w:r>
      <w:r w:rsidRPr="009A40F2">
        <w:rPr>
          <w:bCs/>
          <w:sz w:val="22"/>
          <w:szCs w:val="22"/>
        </w:rPr>
        <w:t>, transfiere</w:t>
      </w:r>
      <w:r w:rsidR="004462D0">
        <w:rPr>
          <w:bCs/>
          <w:sz w:val="22"/>
          <w:szCs w:val="22"/>
        </w:rPr>
        <w:t>n</w:t>
      </w:r>
      <w:r w:rsidRPr="009A40F2">
        <w:rPr>
          <w:bCs/>
          <w:sz w:val="22"/>
          <w:szCs w:val="22"/>
        </w:rPr>
        <w:t xml:space="preserve"> al Municipio del Distrito Metropolitano de Quito como contribución de áreas municipales</w:t>
      </w:r>
      <w:r w:rsidRPr="009A40F2">
        <w:rPr>
          <w:bCs/>
          <w:lang w:val="es-EC" w:eastAsia="es-EC"/>
        </w:rPr>
        <w:t xml:space="preserve"> </w:t>
      </w:r>
      <w:r w:rsidRPr="009A40F2">
        <w:rPr>
          <w:bCs/>
          <w:sz w:val="22"/>
          <w:szCs w:val="22"/>
        </w:rPr>
        <w:t xml:space="preserve">373.07 m2, </w:t>
      </w:r>
      <w:r w:rsidR="00C55D90" w:rsidRPr="009A40F2">
        <w:rPr>
          <w:bCs/>
          <w:sz w:val="22"/>
          <w:szCs w:val="22"/>
        </w:rPr>
        <w:t xml:space="preserve">superficie que físicamente se encuentra dentro del predio No. 3674829 </w:t>
      </w:r>
      <w:r w:rsidRPr="009A40F2">
        <w:rPr>
          <w:bCs/>
          <w:sz w:val="22"/>
          <w:szCs w:val="22"/>
        </w:rPr>
        <w:t>del área útil de los lotes de conformidad al siguiente detalle:</w:t>
      </w:r>
    </w:p>
    <w:tbl>
      <w:tblPr>
        <w:tblW w:w="5058" w:type="pct"/>
        <w:tblInd w:w="-34" w:type="dxa"/>
        <w:tblLayout w:type="fixed"/>
        <w:tblCellMar>
          <w:left w:w="70" w:type="dxa"/>
          <w:right w:w="70" w:type="dxa"/>
        </w:tblCellMar>
        <w:tblLook w:val="04A0" w:firstRow="1" w:lastRow="0" w:firstColumn="1" w:lastColumn="0" w:noHBand="0" w:noVBand="1"/>
      </w:tblPr>
      <w:tblGrid>
        <w:gridCol w:w="1758"/>
        <w:gridCol w:w="787"/>
        <w:gridCol w:w="2096"/>
        <w:gridCol w:w="1874"/>
        <w:gridCol w:w="1389"/>
        <w:gridCol w:w="1272"/>
      </w:tblGrid>
      <w:tr w:rsidR="00CA7D73" w:rsidRPr="00C54988" w14:paraId="7A554868" w14:textId="77777777" w:rsidTr="00CA7D73">
        <w:trPr>
          <w:trHeight w:val="189"/>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029A73B3" w14:textId="77777777" w:rsidR="00CA7D73" w:rsidRPr="00C54988" w:rsidRDefault="00CA7D73" w:rsidP="00CA7D73">
            <w:pPr>
              <w:jc w:val="center"/>
              <w:rPr>
                <w:b/>
                <w:bCs/>
                <w:lang w:val="es-EC" w:eastAsia="es-EC"/>
              </w:rPr>
            </w:pPr>
            <w:r w:rsidRPr="00C54988">
              <w:rPr>
                <w:b/>
                <w:bCs/>
                <w:lang w:val="es-EC" w:eastAsia="es-EC"/>
              </w:rPr>
              <w:t xml:space="preserve">ÁREA MUNICIPAL 1 </w:t>
            </w:r>
          </w:p>
        </w:tc>
      </w:tr>
      <w:tr w:rsidR="00CA7D73" w:rsidRPr="00C54988" w14:paraId="387F5271" w14:textId="77777777" w:rsidTr="00CA7D73">
        <w:trPr>
          <w:trHeight w:val="206"/>
        </w:trPr>
        <w:tc>
          <w:tcPr>
            <w:tcW w:w="958" w:type="pct"/>
            <w:tcBorders>
              <w:top w:val="single" w:sz="4" w:space="0" w:color="auto"/>
              <w:left w:val="single" w:sz="4" w:space="0" w:color="auto"/>
              <w:bottom w:val="nil"/>
              <w:right w:val="single" w:sz="4" w:space="0" w:color="auto"/>
            </w:tcBorders>
            <w:shd w:val="clear" w:color="auto" w:fill="auto"/>
            <w:vAlign w:val="center"/>
            <w:hideMark/>
          </w:tcPr>
          <w:p w14:paraId="34C7A855" w14:textId="77777777" w:rsidR="00CA7D73" w:rsidRPr="00C54988" w:rsidRDefault="00CA7D73" w:rsidP="00CA7D73">
            <w:pPr>
              <w:jc w:val="center"/>
              <w:rPr>
                <w:b/>
                <w:bCs/>
                <w:color w:val="FF0000"/>
                <w:lang w:val="es-EC" w:eastAsia="es-EC"/>
              </w:rPr>
            </w:pPr>
            <w:r w:rsidRPr="00C54988">
              <w:rPr>
                <w:b/>
                <w:bCs/>
                <w:color w:val="FF0000"/>
                <w:lang w:val="es-EC" w:eastAsia="es-EC"/>
              </w:rPr>
              <w:t> </w:t>
            </w:r>
          </w:p>
        </w:tc>
        <w:tc>
          <w:tcPr>
            <w:tcW w:w="429" w:type="pct"/>
            <w:tcBorders>
              <w:top w:val="nil"/>
              <w:left w:val="nil"/>
              <w:bottom w:val="single" w:sz="4" w:space="0" w:color="auto"/>
              <w:right w:val="single" w:sz="4" w:space="0" w:color="auto"/>
            </w:tcBorders>
            <w:shd w:val="clear" w:color="auto" w:fill="auto"/>
            <w:hideMark/>
          </w:tcPr>
          <w:p w14:paraId="6A919AAB" w14:textId="77777777" w:rsidR="00CA7D73" w:rsidRPr="00C54988" w:rsidRDefault="00CA7D73" w:rsidP="00CA7D73">
            <w:pPr>
              <w:rPr>
                <w:b/>
                <w:bCs/>
                <w:color w:val="FF0000"/>
                <w:lang w:val="es-EC" w:eastAsia="es-EC"/>
              </w:rPr>
            </w:pPr>
            <w:r w:rsidRPr="00C54988">
              <w:rPr>
                <w:b/>
                <w:bCs/>
                <w:color w:val="FF0000"/>
                <w:lang w:val="es-EC" w:eastAsia="es-EC"/>
              </w:rPr>
              <w:t> </w:t>
            </w:r>
          </w:p>
        </w:tc>
        <w:tc>
          <w:tcPr>
            <w:tcW w:w="1142" w:type="pct"/>
            <w:tcBorders>
              <w:top w:val="nil"/>
              <w:left w:val="nil"/>
              <w:bottom w:val="single" w:sz="4" w:space="0" w:color="auto"/>
              <w:right w:val="single" w:sz="4" w:space="0" w:color="auto"/>
            </w:tcBorders>
            <w:shd w:val="clear" w:color="auto" w:fill="auto"/>
            <w:hideMark/>
          </w:tcPr>
          <w:p w14:paraId="6EE7917F" w14:textId="77777777" w:rsidR="00CA7D73" w:rsidRPr="00C54988" w:rsidRDefault="00CA7D73" w:rsidP="00CA7D73">
            <w:pPr>
              <w:jc w:val="center"/>
              <w:rPr>
                <w:b/>
                <w:bCs/>
                <w:lang w:val="es-EC" w:eastAsia="es-EC"/>
              </w:rPr>
            </w:pPr>
            <w:r w:rsidRPr="00C54988">
              <w:rPr>
                <w:b/>
                <w:bCs/>
                <w:lang w:val="es-EC" w:eastAsia="es-EC"/>
              </w:rPr>
              <w:t>Lindero</w:t>
            </w:r>
          </w:p>
        </w:tc>
        <w:tc>
          <w:tcPr>
            <w:tcW w:w="1021" w:type="pct"/>
            <w:tcBorders>
              <w:top w:val="nil"/>
              <w:left w:val="nil"/>
              <w:bottom w:val="single" w:sz="4" w:space="0" w:color="auto"/>
              <w:right w:val="single" w:sz="4" w:space="0" w:color="auto"/>
            </w:tcBorders>
            <w:shd w:val="clear" w:color="auto" w:fill="auto"/>
            <w:vAlign w:val="bottom"/>
            <w:hideMark/>
          </w:tcPr>
          <w:p w14:paraId="44C5AD3F" w14:textId="77777777" w:rsidR="00CA7D73" w:rsidRPr="00C54988" w:rsidRDefault="00CA7D73" w:rsidP="00CA7D73">
            <w:pPr>
              <w:jc w:val="center"/>
              <w:rPr>
                <w:b/>
                <w:bCs/>
                <w:lang w:val="es-EC" w:eastAsia="es-EC"/>
              </w:rPr>
            </w:pPr>
            <w:r w:rsidRPr="00C54988">
              <w:rPr>
                <w:b/>
                <w:bCs/>
                <w:lang w:val="es-EC" w:eastAsia="es-EC"/>
              </w:rPr>
              <w:t>En parte</w:t>
            </w:r>
          </w:p>
        </w:tc>
        <w:tc>
          <w:tcPr>
            <w:tcW w:w="757" w:type="pct"/>
            <w:tcBorders>
              <w:top w:val="nil"/>
              <w:left w:val="nil"/>
              <w:bottom w:val="single" w:sz="4" w:space="0" w:color="auto"/>
              <w:right w:val="single" w:sz="4" w:space="0" w:color="auto"/>
            </w:tcBorders>
            <w:shd w:val="clear" w:color="auto" w:fill="auto"/>
            <w:vAlign w:val="bottom"/>
            <w:hideMark/>
          </w:tcPr>
          <w:p w14:paraId="6E942A51" w14:textId="77777777" w:rsidR="00CA7D73" w:rsidRPr="00C54988" w:rsidRDefault="00CA7D73" w:rsidP="00CA7D73">
            <w:pPr>
              <w:jc w:val="center"/>
              <w:rPr>
                <w:b/>
                <w:bCs/>
                <w:lang w:val="es-EC" w:eastAsia="es-EC"/>
              </w:rPr>
            </w:pPr>
            <w:r w:rsidRPr="00C54988">
              <w:rPr>
                <w:b/>
                <w:bCs/>
                <w:lang w:val="es-EC" w:eastAsia="es-EC"/>
              </w:rPr>
              <w:t>Total</w:t>
            </w:r>
          </w:p>
        </w:tc>
        <w:tc>
          <w:tcPr>
            <w:tcW w:w="693" w:type="pct"/>
            <w:tcBorders>
              <w:top w:val="nil"/>
              <w:left w:val="nil"/>
              <w:bottom w:val="single" w:sz="4" w:space="0" w:color="auto"/>
              <w:right w:val="single" w:sz="4" w:space="0" w:color="auto"/>
            </w:tcBorders>
            <w:shd w:val="clear" w:color="auto" w:fill="auto"/>
            <w:vAlign w:val="bottom"/>
            <w:hideMark/>
          </w:tcPr>
          <w:p w14:paraId="45285CDD" w14:textId="77777777" w:rsidR="00CA7D73" w:rsidRPr="00C54988" w:rsidRDefault="00CA7D73" w:rsidP="00CA7D73">
            <w:pPr>
              <w:jc w:val="center"/>
              <w:rPr>
                <w:b/>
                <w:bCs/>
                <w:lang w:val="es-EC" w:eastAsia="es-EC"/>
              </w:rPr>
            </w:pPr>
            <w:r w:rsidRPr="00C54988">
              <w:rPr>
                <w:b/>
                <w:bCs/>
                <w:lang w:val="es-EC" w:eastAsia="es-EC"/>
              </w:rPr>
              <w:t>Superficie</w:t>
            </w:r>
          </w:p>
        </w:tc>
      </w:tr>
      <w:tr w:rsidR="00CA7D73" w:rsidRPr="00C54988" w14:paraId="176AE187" w14:textId="77777777" w:rsidTr="00CA7D73">
        <w:trPr>
          <w:trHeight w:val="314"/>
        </w:trPr>
        <w:tc>
          <w:tcPr>
            <w:tcW w:w="958" w:type="pct"/>
            <w:vMerge w:val="restart"/>
            <w:tcBorders>
              <w:top w:val="single" w:sz="4" w:space="0" w:color="auto"/>
              <w:left w:val="single" w:sz="4" w:space="0" w:color="auto"/>
              <w:right w:val="single" w:sz="4" w:space="0" w:color="auto"/>
            </w:tcBorders>
            <w:shd w:val="clear" w:color="auto" w:fill="auto"/>
          </w:tcPr>
          <w:p w14:paraId="078A8FD2" w14:textId="77777777" w:rsidR="00CA7D73" w:rsidRPr="00C54988" w:rsidRDefault="00CA7D73" w:rsidP="00CA7D73">
            <w:pPr>
              <w:jc w:val="center"/>
              <w:rPr>
                <w:b/>
                <w:bCs/>
                <w:lang w:val="es-EC" w:eastAsia="es-EC"/>
              </w:rPr>
            </w:pPr>
          </w:p>
          <w:p w14:paraId="69BC2BCD" w14:textId="77777777" w:rsidR="00CA7D73" w:rsidRPr="00C54988" w:rsidRDefault="00CA7D73" w:rsidP="00CA7D73">
            <w:pPr>
              <w:jc w:val="center"/>
              <w:rPr>
                <w:b/>
                <w:bCs/>
                <w:lang w:val="es-EC" w:eastAsia="es-EC"/>
              </w:rPr>
            </w:pPr>
          </w:p>
          <w:p w14:paraId="72E9405F" w14:textId="77777777" w:rsidR="00CA7D73" w:rsidRPr="00C54988" w:rsidRDefault="00CA7D73" w:rsidP="00CA7D73">
            <w:pPr>
              <w:jc w:val="center"/>
              <w:rPr>
                <w:b/>
                <w:bCs/>
                <w:lang w:val="es-EC" w:eastAsia="es-EC"/>
              </w:rPr>
            </w:pPr>
            <w:r w:rsidRPr="00C54988">
              <w:rPr>
                <w:b/>
                <w:bCs/>
                <w:lang w:val="es-EC" w:eastAsia="es-EC"/>
              </w:rPr>
              <w:t>ÁREA MUNICIPAL 1</w:t>
            </w:r>
          </w:p>
          <w:p w14:paraId="795761BD" w14:textId="77777777" w:rsidR="00CA7D73" w:rsidRPr="00C54988" w:rsidRDefault="00CA7D73" w:rsidP="00CA7D73">
            <w:pPr>
              <w:jc w:val="center"/>
              <w:rPr>
                <w:b/>
                <w:bCs/>
                <w:lang w:val="es-EC" w:eastAsia="es-EC"/>
              </w:rPr>
            </w:pPr>
          </w:p>
        </w:tc>
        <w:tc>
          <w:tcPr>
            <w:tcW w:w="429" w:type="pct"/>
            <w:tcBorders>
              <w:top w:val="nil"/>
              <w:left w:val="nil"/>
              <w:bottom w:val="nil"/>
              <w:right w:val="single" w:sz="4" w:space="0" w:color="auto"/>
            </w:tcBorders>
            <w:shd w:val="clear" w:color="auto" w:fill="auto"/>
          </w:tcPr>
          <w:p w14:paraId="284D78C9" w14:textId="77777777" w:rsidR="00CA7D73" w:rsidRPr="00C54988" w:rsidRDefault="00CA7D73" w:rsidP="00CA7D73">
            <w:pPr>
              <w:rPr>
                <w:b/>
                <w:bCs/>
                <w:lang w:val="es-EC" w:eastAsia="es-EC"/>
              </w:rPr>
            </w:pPr>
            <w:r w:rsidRPr="00C54988">
              <w:rPr>
                <w:b/>
                <w:bCs/>
                <w:lang w:val="es-EC" w:eastAsia="es-EC"/>
              </w:rPr>
              <w:t>Norte:</w:t>
            </w:r>
          </w:p>
        </w:tc>
        <w:tc>
          <w:tcPr>
            <w:tcW w:w="1142" w:type="pct"/>
            <w:tcBorders>
              <w:top w:val="nil"/>
              <w:left w:val="nil"/>
              <w:bottom w:val="single" w:sz="4" w:space="0" w:color="auto"/>
              <w:right w:val="single" w:sz="4" w:space="0" w:color="auto"/>
            </w:tcBorders>
            <w:shd w:val="clear" w:color="auto" w:fill="auto"/>
          </w:tcPr>
          <w:p w14:paraId="3F1F8ADD" w14:textId="77777777" w:rsidR="00CA7D73" w:rsidRPr="00C54988" w:rsidRDefault="00CA7D73" w:rsidP="00CA7D73">
            <w:pPr>
              <w:jc w:val="center"/>
              <w:rPr>
                <w:bCs/>
                <w:lang w:val="es-EC" w:eastAsia="es-EC"/>
              </w:rPr>
            </w:pPr>
            <w:r w:rsidRPr="00C54988">
              <w:rPr>
                <w:bCs/>
                <w:lang w:val="es-EC" w:eastAsia="es-EC"/>
              </w:rPr>
              <w:t>Área Municipal 3</w:t>
            </w:r>
          </w:p>
          <w:p w14:paraId="381F23F1" w14:textId="209CE456" w:rsidR="00CA7D73" w:rsidRPr="00C54988" w:rsidRDefault="00CA7D73" w:rsidP="00CA7D73">
            <w:pPr>
              <w:jc w:val="center"/>
              <w:rPr>
                <w:bCs/>
                <w:lang w:val="es-EC" w:eastAsia="es-EC"/>
              </w:rPr>
            </w:pPr>
            <w:r w:rsidRPr="00C54988">
              <w:rPr>
                <w:bCs/>
                <w:lang w:val="es-EC" w:eastAsia="es-EC"/>
              </w:rPr>
              <w:t>Propiedad Municipal</w:t>
            </w:r>
          </w:p>
        </w:tc>
        <w:tc>
          <w:tcPr>
            <w:tcW w:w="1021" w:type="pct"/>
            <w:tcBorders>
              <w:top w:val="nil"/>
              <w:left w:val="nil"/>
              <w:bottom w:val="single" w:sz="4" w:space="0" w:color="auto"/>
              <w:right w:val="single" w:sz="4" w:space="0" w:color="auto"/>
            </w:tcBorders>
            <w:shd w:val="clear" w:color="auto" w:fill="auto"/>
            <w:vAlign w:val="bottom"/>
          </w:tcPr>
          <w:p w14:paraId="1DB29E5C" w14:textId="77777777" w:rsidR="00CA7D73" w:rsidRPr="00C54988" w:rsidRDefault="00CA7D73" w:rsidP="00CA7D73">
            <w:pPr>
              <w:jc w:val="center"/>
              <w:rPr>
                <w:bCs/>
                <w:lang w:val="es-EC" w:eastAsia="es-EC"/>
              </w:rPr>
            </w:pPr>
            <w:r w:rsidRPr="00C54988">
              <w:rPr>
                <w:bCs/>
                <w:lang w:val="es-EC" w:eastAsia="es-EC"/>
              </w:rPr>
              <w:t>LD= 15.87</w:t>
            </w:r>
          </w:p>
          <w:p w14:paraId="6871DFAC" w14:textId="77777777" w:rsidR="00CA7D73" w:rsidRPr="00C54988" w:rsidRDefault="00CA7D73" w:rsidP="00CA7D73">
            <w:pPr>
              <w:jc w:val="center"/>
              <w:rPr>
                <w:bCs/>
                <w:lang w:val="es-EC" w:eastAsia="es-EC"/>
              </w:rPr>
            </w:pPr>
            <w:r w:rsidRPr="00C54988">
              <w:rPr>
                <w:bCs/>
                <w:lang w:val="es-EC" w:eastAsia="es-EC"/>
              </w:rPr>
              <w:t>12.25</w:t>
            </w:r>
          </w:p>
        </w:tc>
        <w:tc>
          <w:tcPr>
            <w:tcW w:w="757" w:type="pct"/>
            <w:tcBorders>
              <w:top w:val="nil"/>
              <w:left w:val="nil"/>
              <w:bottom w:val="single" w:sz="4" w:space="0" w:color="auto"/>
              <w:right w:val="single" w:sz="4" w:space="0" w:color="auto"/>
            </w:tcBorders>
            <w:shd w:val="clear" w:color="auto" w:fill="auto"/>
            <w:vAlign w:val="center"/>
          </w:tcPr>
          <w:p w14:paraId="739EC8C9" w14:textId="77777777" w:rsidR="00CA7D73" w:rsidRPr="00C54988" w:rsidRDefault="00CA7D73" w:rsidP="00CA7D73">
            <w:pPr>
              <w:jc w:val="center"/>
              <w:rPr>
                <w:bCs/>
                <w:lang w:val="es-EC" w:eastAsia="es-EC"/>
              </w:rPr>
            </w:pPr>
            <w:r w:rsidRPr="00C54988">
              <w:rPr>
                <w:bCs/>
                <w:lang w:val="es-EC" w:eastAsia="es-EC"/>
              </w:rPr>
              <w:t>28.12 m</w:t>
            </w:r>
          </w:p>
        </w:tc>
        <w:tc>
          <w:tcPr>
            <w:tcW w:w="693" w:type="pct"/>
            <w:vMerge w:val="restart"/>
            <w:tcBorders>
              <w:top w:val="single" w:sz="4" w:space="0" w:color="auto"/>
              <w:left w:val="nil"/>
              <w:bottom w:val="single" w:sz="4" w:space="0" w:color="auto"/>
              <w:right w:val="single" w:sz="4" w:space="0" w:color="auto"/>
            </w:tcBorders>
            <w:shd w:val="clear" w:color="auto" w:fill="auto"/>
            <w:vAlign w:val="center"/>
          </w:tcPr>
          <w:p w14:paraId="2D89B82A" w14:textId="77777777" w:rsidR="00CA7D73" w:rsidRPr="00C54988" w:rsidRDefault="00CA7D73" w:rsidP="00CA7D73">
            <w:pPr>
              <w:jc w:val="center"/>
              <w:rPr>
                <w:b/>
                <w:bCs/>
                <w:lang w:val="es-EC" w:eastAsia="es-EC"/>
              </w:rPr>
            </w:pPr>
            <w:r w:rsidRPr="00C54988">
              <w:rPr>
                <w:b/>
                <w:bCs/>
                <w:lang w:val="es-EC" w:eastAsia="es-EC"/>
              </w:rPr>
              <w:t>262.90 m2</w:t>
            </w:r>
          </w:p>
        </w:tc>
      </w:tr>
      <w:tr w:rsidR="00CA7D73" w:rsidRPr="00C54988" w14:paraId="294ECD7C" w14:textId="77777777" w:rsidTr="00CA7D73">
        <w:trPr>
          <w:trHeight w:val="982"/>
        </w:trPr>
        <w:tc>
          <w:tcPr>
            <w:tcW w:w="958" w:type="pct"/>
            <w:vMerge/>
            <w:tcBorders>
              <w:left w:val="single" w:sz="4" w:space="0" w:color="auto"/>
              <w:right w:val="single" w:sz="4" w:space="0" w:color="auto"/>
            </w:tcBorders>
            <w:shd w:val="clear" w:color="auto" w:fill="auto"/>
            <w:vAlign w:val="center"/>
            <w:hideMark/>
          </w:tcPr>
          <w:p w14:paraId="7A5AA958" w14:textId="77777777" w:rsidR="00CA7D73" w:rsidRPr="00C54988" w:rsidRDefault="00CA7D73" w:rsidP="00CA7D73">
            <w:pPr>
              <w:rPr>
                <w:b/>
                <w:bCs/>
                <w:lang w:val="es-EC" w:eastAsia="es-EC"/>
              </w:rPr>
            </w:pPr>
          </w:p>
        </w:tc>
        <w:tc>
          <w:tcPr>
            <w:tcW w:w="429" w:type="pct"/>
            <w:tcBorders>
              <w:top w:val="single" w:sz="4" w:space="0" w:color="auto"/>
              <w:left w:val="nil"/>
              <w:bottom w:val="single" w:sz="4" w:space="0" w:color="auto"/>
              <w:right w:val="single" w:sz="4" w:space="0" w:color="auto"/>
            </w:tcBorders>
            <w:shd w:val="clear" w:color="auto" w:fill="auto"/>
            <w:hideMark/>
          </w:tcPr>
          <w:p w14:paraId="031F82BE" w14:textId="77777777" w:rsidR="00CA7D73" w:rsidRPr="00C54988" w:rsidRDefault="00CA7D73" w:rsidP="00CA7D73">
            <w:pPr>
              <w:rPr>
                <w:b/>
                <w:bCs/>
                <w:lang w:val="es-EC" w:eastAsia="es-EC"/>
              </w:rPr>
            </w:pPr>
            <w:r w:rsidRPr="00C54988">
              <w:rPr>
                <w:b/>
                <w:bCs/>
                <w:lang w:val="es-EC" w:eastAsia="es-EC"/>
              </w:rPr>
              <w:t>Sur:</w:t>
            </w:r>
          </w:p>
        </w:tc>
        <w:tc>
          <w:tcPr>
            <w:tcW w:w="1142" w:type="pct"/>
            <w:tcBorders>
              <w:top w:val="single" w:sz="4" w:space="0" w:color="auto"/>
              <w:left w:val="nil"/>
              <w:bottom w:val="single" w:sz="4" w:space="0" w:color="auto"/>
              <w:right w:val="single" w:sz="4" w:space="0" w:color="auto"/>
            </w:tcBorders>
            <w:shd w:val="clear" w:color="auto" w:fill="auto"/>
          </w:tcPr>
          <w:p w14:paraId="6AE76A8B" w14:textId="77777777" w:rsidR="00CA7D73" w:rsidRPr="00C54988" w:rsidRDefault="00CA7D73" w:rsidP="00CA7D73">
            <w:pPr>
              <w:jc w:val="center"/>
              <w:rPr>
                <w:lang w:val="es-EC" w:eastAsia="es-EC"/>
              </w:rPr>
            </w:pPr>
            <w:r w:rsidRPr="00C54988">
              <w:rPr>
                <w:lang w:val="es-EC" w:eastAsia="es-EC"/>
              </w:rPr>
              <w:t>Calle N64C</w:t>
            </w:r>
          </w:p>
          <w:p w14:paraId="4AEF4731" w14:textId="77777777" w:rsidR="00CA7D73" w:rsidRPr="00C54988" w:rsidRDefault="00CA7D73" w:rsidP="00CA7D73">
            <w:pPr>
              <w:jc w:val="center"/>
              <w:rPr>
                <w:lang w:val="es-EC" w:eastAsia="es-EC"/>
              </w:rPr>
            </w:pPr>
            <w:r w:rsidRPr="00C54988">
              <w:rPr>
                <w:lang w:val="es-EC" w:eastAsia="es-EC"/>
              </w:rPr>
              <w:t>Área verde</w:t>
            </w:r>
          </w:p>
          <w:p w14:paraId="588AF48C" w14:textId="77777777" w:rsidR="00CA7D73" w:rsidRPr="00C54988" w:rsidRDefault="00CA7D73" w:rsidP="00CA7D73">
            <w:pPr>
              <w:jc w:val="center"/>
              <w:rPr>
                <w:lang w:val="es-EC" w:eastAsia="es-EC"/>
              </w:rPr>
            </w:pPr>
            <w:r w:rsidRPr="00C54988">
              <w:rPr>
                <w:lang w:val="es-EC" w:eastAsia="es-EC"/>
              </w:rPr>
              <w:t>Lote 83</w:t>
            </w:r>
          </w:p>
          <w:p w14:paraId="65D47F37" w14:textId="77777777" w:rsidR="00CA7D73" w:rsidRPr="00C54988" w:rsidRDefault="00CA7D73" w:rsidP="00CA7D73">
            <w:pPr>
              <w:jc w:val="center"/>
              <w:rPr>
                <w:lang w:val="es-EC" w:eastAsia="es-EC"/>
              </w:rPr>
            </w:pPr>
            <w:r w:rsidRPr="00C54988">
              <w:rPr>
                <w:lang w:val="es-EC" w:eastAsia="es-EC"/>
              </w:rPr>
              <w:t>Lote 84</w:t>
            </w:r>
          </w:p>
        </w:tc>
        <w:tc>
          <w:tcPr>
            <w:tcW w:w="1021" w:type="pct"/>
            <w:tcBorders>
              <w:top w:val="single" w:sz="4" w:space="0" w:color="auto"/>
              <w:left w:val="nil"/>
              <w:bottom w:val="single" w:sz="4" w:space="0" w:color="auto"/>
              <w:right w:val="single" w:sz="4" w:space="0" w:color="auto"/>
            </w:tcBorders>
            <w:shd w:val="clear" w:color="auto" w:fill="auto"/>
            <w:noWrap/>
          </w:tcPr>
          <w:p w14:paraId="24215173" w14:textId="77777777" w:rsidR="00CA7D73" w:rsidRPr="00C54988" w:rsidRDefault="00CA7D73" w:rsidP="00CA7D73">
            <w:pPr>
              <w:jc w:val="center"/>
              <w:rPr>
                <w:lang w:val="es-EC" w:eastAsia="es-EC"/>
              </w:rPr>
            </w:pPr>
            <w:r w:rsidRPr="00C54988">
              <w:rPr>
                <w:lang w:val="es-EC" w:eastAsia="es-EC"/>
              </w:rPr>
              <w:t>13.63</w:t>
            </w:r>
          </w:p>
          <w:p w14:paraId="2D3E74E8" w14:textId="77777777" w:rsidR="00CA7D73" w:rsidRPr="00C54988" w:rsidRDefault="00CA7D73" w:rsidP="00CA7D73">
            <w:pPr>
              <w:jc w:val="center"/>
              <w:rPr>
                <w:lang w:val="es-EC" w:eastAsia="es-EC"/>
              </w:rPr>
            </w:pPr>
            <w:r w:rsidRPr="00C54988">
              <w:rPr>
                <w:lang w:val="es-EC" w:eastAsia="es-EC"/>
              </w:rPr>
              <w:t>LD= 10.95</w:t>
            </w:r>
          </w:p>
          <w:p w14:paraId="5017B0BC" w14:textId="77777777" w:rsidR="00CA7D73" w:rsidRPr="00C54988" w:rsidRDefault="00CA7D73" w:rsidP="00CA7D73">
            <w:pPr>
              <w:jc w:val="center"/>
              <w:rPr>
                <w:lang w:val="es-EC" w:eastAsia="es-EC"/>
              </w:rPr>
            </w:pPr>
            <w:r w:rsidRPr="00C54988">
              <w:rPr>
                <w:lang w:val="es-EC" w:eastAsia="es-EC"/>
              </w:rPr>
              <w:t>7.31</w:t>
            </w:r>
          </w:p>
          <w:p w14:paraId="37E40EF0" w14:textId="77777777" w:rsidR="00CA7D73" w:rsidRPr="00C54988" w:rsidRDefault="00CA7D73" w:rsidP="00CA7D73">
            <w:pPr>
              <w:jc w:val="center"/>
              <w:rPr>
                <w:lang w:val="es-EC" w:eastAsia="es-EC"/>
              </w:rPr>
            </w:pPr>
            <w:r w:rsidRPr="00C54988">
              <w:rPr>
                <w:lang w:val="es-EC" w:eastAsia="es-EC"/>
              </w:rPr>
              <w:t>7.13</w:t>
            </w:r>
          </w:p>
        </w:tc>
        <w:tc>
          <w:tcPr>
            <w:tcW w:w="757" w:type="pct"/>
            <w:tcBorders>
              <w:top w:val="single" w:sz="4" w:space="0" w:color="auto"/>
              <w:left w:val="nil"/>
              <w:bottom w:val="single" w:sz="4" w:space="0" w:color="auto"/>
              <w:right w:val="single" w:sz="4" w:space="0" w:color="auto"/>
            </w:tcBorders>
            <w:shd w:val="clear" w:color="auto" w:fill="auto"/>
            <w:noWrap/>
          </w:tcPr>
          <w:p w14:paraId="431DE394" w14:textId="77777777" w:rsidR="00CA7D73" w:rsidRPr="00C54988" w:rsidRDefault="00CA7D73" w:rsidP="00CA7D73">
            <w:pPr>
              <w:jc w:val="center"/>
              <w:rPr>
                <w:lang w:val="es-EC" w:eastAsia="es-EC"/>
              </w:rPr>
            </w:pPr>
          </w:p>
          <w:p w14:paraId="6CB08F29" w14:textId="77777777" w:rsidR="00CA7D73" w:rsidRPr="00C54988" w:rsidRDefault="00CA7D73" w:rsidP="00CA7D73">
            <w:pPr>
              <w:jc w:val="center"/>
              <w:rPr>
                <w:lang w:val="es-EC" w:eastAsia="es-EC"/>
              </w:rPr>
            </w:pPr>
            <w:r w:rsidRPr="00C54988">
              <w:rPr>
                <w:lang w:val="es-EC" w:eastAsia="es-EC"/>
              </w:rPr>
              <w:t>39.02 m</w:t>
            </w:r>
          </w:p>
        </w:tc>
        <w:tc>
          <w:tcPr>
            <w:tcW w:w="693" w:type="pct"/>
            <w:vMerge/>
            <w:tcBorders>
              <w:left w:val="nil"/>
              <w:bottom w:val="single" w:sz="4" w:space="0" w:color="auto"/>
              <w:right w:val="single" w:sz="4" w:space="0" w:color="auto"/>
            </w:tcBorders>
            <w:shd w:val="clear" w:color="auto" w:fill="auto"/>
            <w:vAlign w:val="center"/>
          </w:tcPr>
          <w:p w14:paraId="4C711566" w14:textId="77777777" w:rsidR="00CA7D73" w:rsidRPr="00C54988" w:rsidRDefault="00CA7D73" w:rsidP="00CA7D73">
            <w:pPr>
              <w:rPr>
                <w:b/>
              </w:rPr>
            </w:pPr>
          </w:p>
        </w:tc>
      </w:tr>
      <w:tr w:rsidR="00CA7D73" w:rsidRPr="00C54988" w14:paraId="3330606D" w14:textId="77777777" w:rsidTr="00CA7D73">
        <w:trPr>
          <w:trHeight w:val="231"/>
        </w:trPr>
        <w:tc>
          <w:tcPr>
            <w:tcW w:w="958" w:type="pct"/>
            <w:vMerge/>
            <w:tcBorders>
              <w:left w:val="single" w:sz="4" w:space="0" w:color="auto"/>
              <w:right w:val="single" w:sz="4" w:space="0" w:color="auto"/>
            </w:tcBorders>
            <w:shd w:val="clear" w:color="auto" w:fill="auto"/>
          </w:tcPr>
          <w:p w14:paraId="4F2DE94F" w14:textId="77777777" w:rsidR="00CA7D73" w:rsidRPr="00C54988" w:rsidRDefault="00CA7D73" w:rsidP="00CA7D73">
            <w:pPr>
              <w:rPr>
                <w:b/>
                <w:bCs/>
                <w:lang w:val="es-EC" w:eastAsia="es-EC"/>
              </w:rPr>
            </w:pPr>
          </w:p>
        </w:tc>
        <w:tc>
          <w:tcPr>
            <w:tcW w:w="429" w:type="pct"/>
            <w:tcBorders>
              <w:top w:val="single" w:sz="4" w:space="0" w:color="auto"/>
              <w:left w:val="nil"/>
              <w:bottom w:val="single" w:sz="4" w:space="0" w:color="auto"/>
              <w:right w:val="single" w:sz="4" w:space="0" w:color="auto"/>
            </w:tcBorders>
            <w:shd w:val="clear" w:color="auto" w:fill="auto"/>
          </w:tcPr>
          <w:p w14:paraId="2F5C5EAE" w14:textId="77777777" w:rsidR="00CA7D73" w:rsidRPr="00C54988" w:rsidRDefault="00CA7D73" w:rsidP="00CA7D73">
            <w:pPr>
              <w:rPr>
                <w:b/>
                <w:bCs/>
                <w:lang w:val="es-EC" w:eastAsia="es-EC"/>
              </w:rPr>
            </w:pPr>
            <w:r w:rsidRPr="00C54988">
              <w:rPr>
                <w:b/>
                <w:bCs/>
                <w:lang w:val="es-EC" w:eastAsia="es-EC"/>
              </w:rPr>
              <w:t>Este:</w:t>
            </w:r>
          </w:p>
        </w:tc>
        <w:tc>
          <w:tcPr>
            <w:tcW w:w="1142" w:type="pct"/>
            <w:tcBorders>
              <w:top w:val="single" w:sz="4" w:space="0" w:color="auto"/>
              <w:left w:val="nil"/>
              <w:bottom w:val="single" w:sz="4" w:space="0" w:color="auto"/>
              <w:right w:val="single" w:sz="4" w:space="0" w:color="auto"/>
            </w:tcBorders>
            <w:shd w:val="clear" w:color="auto" w:fill="auto"/>
          </w:tcPr>
          <w:p w14:paraId="05A91108" w14:textId="77777777" w:rsidR="00CA7D73" w:rsidRPr="00C54988" w:rsidRDefault="00CA7D73" w:rsidP="00CA7D73">
            <w:pPr>
              <w:jc w:val="center"/>
              <w:rPr>
                <w:lang w:val="es-EC" w:eastAsia="es-EC"/>
              </w:rPr>
            </w:pPr>
            <w:r w:rsidRPr="00C54988">
              <w:rPr>
                <w:bCs/>
                <w:lang w:val="es-EC" w:eastAsia="es-EC"/>
              </w:rPr>
              <w:t>Área Municipal 2</w:t>
            </w:r>
          </w:p>
        </w:tc>
        <w:tc>
          <w:tcPr>
            <w:tcW w:w="1021" w:type="pct"/>
            <w:tcBorders>
              <w:top w:val="single" w:sz="4" w:space="0" w:color="auto"/>
              <w:left w:val="nil"/>
              <w:bottom w:val="single" w:sz="4" w:space="0" w:color="auto"/>
              <w:right w:val="single" w:sz="4" w:space="0" w:color="auto"/>
            </w:tcBorders>
            <w:shd w:val="clear" w:color="auto" w:fill="auto"/>
            <w:noWrap/>
          </w:tcPr>
          <w:p w14:paraId="41FF0EE3" w14:textId="77777777" w:rsidR="00CA7D73" w:rsidRPr="00C54988" w:rsidRDefault="00CA7D73" w:rsidP="00CA7D73">
            <w:pPr>
              <w:jc w:val="center"/>
              <w:rPr>
                <w:lang w:val="es-EC" w:eastAsia="es-EC"/>
              </w:rPr>
            </w:pPr>
            <w:r w:rsidRPr="00C54988">
              <w:rPr>
                <w:lang w:val="es-EC" w:eastAsia="es-EC"/>
              </w:rPr>
              <w:t>LD= 13.15</w:t>
            </w: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70EAF008" w14:textId="77777777" w:rsidR="00CA7D73" w:rsidRPr="00C54988" w:rsidRDefault="00CA7D73" w:rsidP="00CA7D73">
            <w:pPr>
              <w:jc w:val="center"/>
              <w:rPr>
                <w:lang w:val="es-EC" w:eastAsia="es-EC"/>
              </w:rPr>
            </w:pPr>
            <w:r w:rsidRPr="00C54988">
              <w:rPr>
                <w:lang w:val="es-EC" w:eastAsia="es-EC"/>
              </w:rPr>
              <w:t>LD=13.15 m</w:t>
            </w:r>
          </w:p>
        </w:tc>
        <w:tc>
          <w:tcPr>
            <w:tcW w:w="693" w:type="pct"/>
            <w:vMerge/>
            <w:tcBorders>
              <w:left w:val="nil"/>
              <w:bottom w:val="single" w:sz="4" w:space="0" w:color="auto"/>
              <w:right w:val="single" w:sz="4" w:space="0" w:color="auto"/>
            </w:tcBorders>
            <w:shd w:val="clear" w:color="auto" w:fill="auto"/>
            <w:vAlign w:val="center"/>
          </w:tcPr>
          <w:p w14:paraId="00074D62" w14:textId="77777777" w:rsidR="00CA7D73" w:rsidRPr="00C54988" w:rsidRDefault="00CA7D73" w:rsidP="00CA7D73">
            <w:pPr>
              <w:jc w:val="center"/>
              <w:rPr>
                <w:b/>
              </w:rPr>
            </w:pPr>
          </w:p>
        </w:tc>
      </w:tr>
      <w:tr w:rsidR="00CA7D73" w:rsidRPr="00C54988" w14:paraId="3192A58F" w14:textId="77777777" w:rsidTr="00CA7D73">
        <w:trPr>
          <w:trHeight w:val="73"/>
        </w:trPr>
        <w:tc>
          <w:tcPr>
            <w:tcW w:w="958" w:type="pct"/>
            <w:vMerge/>
            <w:tcBorders>
              <w:left w:val="single" w:sz="4" w:space="0" w:color="auto"/>
              <w:bottom w:val="single" w:sz="4" w:space="0" w:color="auto"/>
              <w:right w:val="single" w:sz="4" w:space="0" w:color="auto"/>
            </w:tcBorders>
            <w:shd w:val="clear" w:color="auto" w:fill="auto"/>
          </w:tcPr>
          <w:p w14:paraId="61EFF570" w14:textId="77777777" w:rsidR="00CA7D73" w:rsidRPr="00C54988" w:rsidRDefault="00CA7D73" w:rsidP="00CA7D73">
            <w:pPr>
              <w:rPr>
                <w:b/>
                <w:bCs/>
                <w:lang w:val="es-EC" w:eastAsia="es-EC"/>
              </w:rPr>
            </w:pPr>
          </w:p>
        </w:tc>
        <w:tc>
          <w:tcPr>
            <w:tcW w:w="429" w:type="pct"/>
            <w:tcBorders>
              <w:top w:val="single" w:sz="4" w:space="0" w:color="auto"/>
              <w:left w:val="nil"/>
              <w:bottom w:val="single" w:sz="4" w:space="0" w:color="auto"/>
              <w:right w:val="single" w:sz="4" w:space="0" w:color="auto"/>
            </w:tcBorders>
            <w:shd w:val="clear" w:color="auto" w:fill="auto"/>
          </w:tcPr>
          <w:p w14:paraId="4DA7A7DF" w14:textId="77777777" w:rsidR="00CA7D73" w:rsidRPr="00C54988" w:rsidRDefault="00CA7D73" w:rsidP="00CA7D73">
            <w:pPr>
              <w:rPr>
                <w:b/>
                <w:bCs/>
                <w:lang w:val="es-EC" w:eastAsia="es-EC"/>
              </w:rPr>
            </w:pPr>
            <w:r w:rsidRPr="00C54988">
              <w:rPr>
                <w:b/>
                <w:bCs/>
                <w:lang w:val="es-EC" w:eastAsia="es-EC"/>
              </w:rPr>
              <w:t>Oeste:</w:t>
            </w:r>
          </w:p>
        </w:tc>
        <w:tc>
          <w:tcPr>
            <w:tcW w:w="1142" w:type="pct"/>
            <w:tcBorders>
              <w:top w:val="single" w:sz="4" w:space="0" w:color="auto"/>
              <w:left w:val="nil"/>
              <w:bottom w:val="single" w:sz="4" w:space="0" w:color="auto"/>
              <w:right w:val="single" w:sz="4" w:space="0" w:color="auto"/>
            </w:tcBorders>
            <w:shd w:val="clear" w:color="auto" w:fill="auto"/>
            <w:vAlign w:val="bottom"/>
          </w:tcPr>
          <w:p w14:paraId="33DFFC37" w14:textId="77777777" w:rsidR="00CA7D73" w:rsidRPr="00C54988" w:rsidRDefault="00CA7D73" w:rsidP="00CA7D73">
            <w:pPr>
              <w:jc w:val="center"/>
              <w:rPr>
                <w:lang w:val="es-EC" w:eastAsia="es-EC"/>
              </w:rPr>
            </w:pPr>
            <w:r w:rsidRPr="00C54988">
              <w:rPr>
                <w:lang w:val="es-EC" w:eastAsia="es-EC"/>
              </w:rPr>
              <w:t>Lote 126</w:t>
            </w:r>
          </w:p>
        </w:tc>
        <w:tc>
          <w:tcPr>
            <w:tcW w:w="1021" w:type="pct"/>
            <w:tcBorders>
              <w:top w:val="single" w:sz="4" w:space="0" w:color="auto"/>
              <w:left w:val="nil"/>
              <w:bottom w:val="single" w:sz="4" w:space="0" w:color="auto"/>
              <w:right w:val="single" w:sz="4" w:space="0" w:color="auto"/>
            </w:tcBorders>
            <w:shd w:val="clear" w:color="auto" w:fill="auto"/>
            <w:noWrap/>
            <w:vAlign w:val="bottom"/>
          </w:tcPr>
          <w:p w14:paraId="32DB9A88" w14:textId="77777777" w:rsidR="00CA7D73" w:rsidRPr="00C54988" w:rsidRDefault="00CA7D73" w:rsidP="00CA7D73">
            <w:pPr>
              <w:jc w:val="center"/>
              <w:rPr>
                <w:lang w:val="es-EC" w:eastAsia="es-EC"/>
              </w:rPr>
            </w:pPr>
            <w:r w:rsidRPr="00C54988">
              <w:rPr>
                <w:lang w:val="es-EC" w:eastAsia="es-EC"/>
              </w:rPr>
              <w:t>6.04</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2DC41100" w14:textId="77777777" w:rsidR="00CA7D73" w:rsidRPr="00C54988" w:rsidRDefault="00CA7D73" w:rsidP="00CA7D73">
            <w:pPr>
              <w:jc w:val="center"/>
              <w:rPr>
                <w:lang w:val="es-EC" w:eastAsia="es-EC"/>
              </w:rPr>
            </w:pPr>
            <w:r w:rsidRPr="00C54988">
              <w:rPr>
                <w:lang w:val="es-EC" w:eastAsia="es-EC"/>
              </w:rPr>
              <w:t>6.04  m</w:t>
            </w:r>
          </w:p>
        </w:tc>
        <w:tc>
          <w:tcPr>
            <w:tcW w:w="693" w:type="pct"/>
            <w:vMerge/>
            <w:tcBorders>
              <w:left w:val="nil"/>
              <w:bottom w:val="single" w:sz="4" w:space="0" w:color="auto"/>
              <w:right w:val="single" w:sz="4" w:space="0" w:color="auto"/>
            </w:tcBorders>
            <w:shd w:val="clear" w:color="auto" w:fill="auto"/>
            <w:vAlign w:val="center"/>
          </w:tcPr>
          <w:p w14:paraId="55CCEC50" w14:textId="77777777" w:rsidR="00CA7D73" w:rsidRPr="00C54988" w:rsidRDefault="00CA7D73" w:rsidP="00CA7D73">
            <w:pPr>
              <w:jc w:val="center"/>
              <w:rPr>
                <w:b/>
              </w:rPr>
            </w:pPr>
          </w:p>
        </w:tc>
      </w:tr>
    </w:tbl>
    <w:p w14:paraId="61E63963" w14:textId="77777777" w:rsidR="00CA7D73" w:rsidRPr="00C54988" w:rsidRDefault="00CA7D73" w:rsidP="00CA7D73">
      <w:pPr>
        <w:shd w:val="clear" w:color="auto" w:fill="FFFFFF" w:themeFill="background1"/>
        <w:contextualSpacing/>
        <w:jc w:val="both"/>
        <w:rPr>
          <w:b/>
          <w:color w:val="FF0000"/>
        </w:rPr>
      </w:pPr>
    </w:p>
    <w:tbl>
      <w:tblPr>
        <w:tblW w:w="5058" w:type="pct"/>
        <w:tblInd w:w="-34" w:type="dxa"/>
        <w:tblLayout w:type="fixed"/>
        <w:tblCellMar>
          <w:left w:w="70" w:type="dxa"/>
          <w:right w:w="70" w:type="dxa"/>
        </w:tblCellMar>
        <w:tblLook w:val="04A0" w:firstRow="1" w:lastRow="0" w:firstColumn="1" w:lastColumn="0" w:noHBand="0" w:noVBand="1"/>
      </w:tblPr>
      <w:tblGrid>
        <w:gridCol w:w="1779"/>
        <w:gridCol w:w="787"/>
        <w:gridCol w:w="2074"/>
        <w:gridCol w:w="1874"/>
        <w:gridCol w:w="1387"/>
        <w:gridCol w:w="1275"/>
      </w:tblGrid>
      <w:tr w:rsidR="00CA7D73" w:rsidRPr="00C54988" w14:paraId="6E6D9499" w14:textId="77777777" w:rsidTr="00CA7D73">
        <w:trPr>
          <w:trHeight w:val="189"/>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58346E05" w14:textId="77777777" w:rsidR="00CA7D73" w:rsidRPr="00C54988" w:rsidRDefault="00CA7D73" w:rsidP="00CA7D73">
            <w:pPr>
              <w:jc w:val="center"/>
              <w:rPr>
                <w:b/>
                <w:bCs/>
                <w:lang w:val="es-EC" w:eastAsia="es-EC"/>
              </w:rPr>
            </w:pPr>
            <w:r w:rsidRPr="00C54988">
              <w:rPr>
                <w:b/>
                <w:bCs/>
                <w:lang w:val="es-EC" w:eastAsia="es-EC"/>
              </w:rPr>
              <w:t>ÁREA MUNICIPAL 2</w:t>
            </w:r>
          </w:p>
        </w:tc>
      </w:tr>
      <w:tr w:rsidR="00CA7D73" w:rsidRPr="00C54988" w14:paraId="54ED3A7B" w14:textId="77777777" w:rsidTr="00CA7D73">
        <w:trPr>
          <w:trHeight w:val="206"/>
        </w:trPr>
        <w:tc>
          <w:tcPr>
            <w:tcW w:w="969" w:type="pct"/>
            <w:tcBorders>
              <w:top w:val="single" w:sz="4" w:space="0" w:color="auto"/>
              <w:left w:val="single" w:sz="4" w:space="0" w:color="auto"/>
              <w:bottom w:val="nil"/>
              <w:right w:val="single" w:sz="4" w:space="0" w:color="auto"/>
            </w:tcBorders>
            <w:shd w:val="clear" w:color="auto" w:fill="auto"/>
            <w:vAlign w:val="center"/>
            <w:hideMark/>
          </w:tcPr>
          <w:p w14:paraId="7CEAA92A" w14:textId="77777777" w:rsidR="00CA7D73" w:rsidRPr="00C54988" w:rsidRDefault="00CA7D73" w:rsidP="00CA7D73">
            <w:pPr>
              <w:jc w:val="center"/>
              <w:rPr>
                <w:b/>
                <w:bCs/>
                <w:color w:val="FF0000"/>
                <w:lang w:val="es-EC" w:eastAsia="es-EC"/>
              </w:rPr>
            </w:pPr>
            <w:r w:rsidRPr="00C54988">
              <w:rPr>
                <w:b/>
                <w:bCs/>
                <w:color w:val="FF0000"/>
                <w:lang w:val="es-EC" w:eastAsia="es-EC"/>
              </w:rPr>
              <w:t> </w:t>
            </w:r>
          </w:p>
        </w:tc>
        <w:tc>
          <w:tcPr>
            <w:tcW w:w="429" w:type="pct"/>
            <w:tcBorders>
              <w:top w:val="nil"/>
              <w:left w:val="nil"/>
              <w:bottom w:val="single" w:sz="4" w:space="0" w:color="auto"/>
              <w:right w:val="single" w:sz="4" w:space="0" w:color="auto"/>
            </w:tcBorders>
            <w:shd w:val="clear" w:color="auto" w:fill="auto"/>
            <w:hideMark/>
          </w:tcPr>
          <w:p w14:paraId="5168AC90" w14:textId="77777777" w:rsidR="00CA7D73" w:rsidRPr="00C54988" w:rsidRDefault="00CA7D73" w:rsidP="00CA7D73">
            <w:pPr>
              <w:rPr>
                <w:b/>
                <w:bCs/>
                <w:color w:val="FF0000"/>
                <w:lang w:val="es-EC" w:eastAsia="es-EC"/>
              </w:rPr>
            </w:pPr>
            <w:r w:rsidRPr="00C54988">
              <w:rPr>
                <w:b/>
                <w:bCs/>
                <w:color w:val="FF0000"/>
                <w:lang w:val="es-EC" w:eastAsia="es-EC"/>
              </w:rPr>
              <w:t> </w:t>
            </w:r>
          </w:p>
        </w:tc>
        <w:tc>
          <w:tcPr>
            <w:tcW w:w="1130" w:type="pct"/>
            <w:tcBorders>
              <w:top w:val="nil"/>
              <w:left w:val="nil"/>
              <w:bottom w:val="single" w:sz="4" w:space="0" w:color="auto"/>
              <w:right w:val="single" w:sz="4" w:space="0" w:color="auto"/>
            </w:tcBorders>
            <w:shd w:val="clear" w:color="auto" w:fill="auto"/>
            <w:hideMark/>
          </w:tcPr>
          <w:p w14:paraId="37B0F757" w14:textId="77777777" w:rsidR="00CA7D73" w:rsidRPr="00C54988" w:rsidRDefault="00CA7D73" w:rsidP="00CA7D73">
            <w:pPr>
              <w:jc w:val="center"/>
              <w:rPr>
                <w:b/>
                <w:bCs/>
                <w:lang w:val="es-EC" w:eastAsia="es-EC"/>
              </w:rPr>
            </w:pPr>
            <w:r w:rsidRPr="00C54988">
              <w:rPr>
                <w:b/>
                <w:bCs/>
                <w:lang w:val="es-EC" w:eastAsia="es-EC"/>
              </w:rPr>
              <w:t>Lindero</w:t>
            </w:r>
          </w:p>
        </w:tc>
        <w:tc>
          <w:tcPr>
            <w:tcW w:w="1021" w:type="pct"/>
            <w:tcBorders>
              <w:top w:val="nil"/>
              <w:left w:val="nil"/>
              <w:bottom w:val="single" w:sz="4" w:space="0" w:color="auto"/>
              <w:right w:val="single" w:sz="4" w:space="0" w:color="auto"/>
            </w:tcBorders>
            <w:shd w:val="clear" w:color="auto" w:fill="auto"/>
            <w:vAlign w:val="bottom"/>
            <w:hideMark/>
          </w:tcPr>
          <w:p w14:paraId="1B0D9515" w14:textId="77777777" w:rsidR="00CA7D73" w:rsidRPr="00C54988" w:rsidRDefault="00CA7D73" w:rsidP="00CA7D73">
            <w:pPr>
              <w:jc w:val="center"/>
              <w:rPr>
                <w:b/>
                <w:bCs/>
                <w:lang w:val="es-EC" w:eastAsia="es-EC"/>
              </w:rPr>
            </w:pPr>
            <w:r w:rsidRPr="00C54988">
              <w:rPr>
                <w:b/>
                <w:bCs/>
                <w:lang w:val="es-EC" w:eastAsia="es-EC"/>
              </w:rPr>
              <w:t>En parte</w:t>
            </w:r>
          </w:p>
        </w:tc>
        <w:tc>
          <w:tcPr>
            <w:tcW w:w="756" w:type="pct"/>
            <w:tcBorders>
              <w:top w:val="nil"/>
              <w:left w:val="nil"/>
              <w:bottom w:val="single" w:sz="4" w:space="0" w:color="auto"/>
              <w:right w:val="single" w:sz="4" w:space="0" w:color="auto"/>
            </w:tcBorders>
            <w:shd w:val="clear" w:color="auto" w:fill="auto"/>
            <w:vAlign w:val="bottom"/>
            <w:hideMark/>
          </w:tcPr>
          <w:p w14:paraId="731CFD40" w14:textId="77777777" w:rsidR="00CA7D73" w:rsidRPr="00C54988" w:rsidRDefault="00CA7D73" w:rsidP="00CA7D73">
            <w:pPr>
              <w:jc w:val="center"/>
              <w:rPr>
                <w:b/>
                <w:bCs/>
                <w:lang w:val="es-EC" w:eastAsia="es-EC"/>
              </w:rPr>
            </w:pPr>
            <w:r w:rsidRPr="00C54988">
              <w:rPr>
                <w:b/>
                <w:bCs/>
                <w:lang w:val="es-EC" w:eastAsia="es-EC"/>
              </w:rPr>
              <w:t>Total</w:t>
            </w:r>
          </w:p>
        </w:tc>
        <w:tc>
          <w:tcPr>
            <w:tcW w:w="695" w:type="pct"/>
            <w:tcBorders>
              <w:top w:val="nil"/>
              <w:left w:val="nil"/>
              <w:bottom w:val="single" w:sz="4" w:space="0" w:color="auto"/>
              <w:right w:val="single" w:sz="4" w:space="0" w:color="auto"/>
            </w:tcBorders>
            <w:shd w:val="clear" w:color="auto" w:fill="auto"/>
            <w:vAlign w:val="bottom"/>
            <w:hideMark/>
          </w:tcPr>
          <w:p w14:paraId="3A2C6A0D" w14:textId="77777777" w:rsidR="00CA7D73" w:rsidRPr="00C54988" w:rsidRDefault="00CA7D73" w:rsidP="00CA7D73">
            <w:pPr>
              <w:jc w:val="center"/>
              <w:rPr>
                <w:b/>
                <w:bCs/>
                <w:lang w:val="es-EC" w:eastAsia="es-EC"/>
              </w:rPr>
            </w:pPr>
            <w:r w:rsidRPr="00C54988">
              <w:rPr>
                <w:b/>
                <w:bCs/>
                <w:lang w:val="es-EC" w:eastAsia="es-EC"/>
              </w:rPr>
              <w:t>Superficie</w:t>
            </w:r>
          </w:p>
        </w:tc>
      </w:tr>
      <w:tr w:rsidR="00CA7D73" w:rsidRPr="00C54988" w14:paraId="41E9AC99" w14:textId="77777777" w:rsidTr="00CA7D73">
        <w:trPr>
          <w:trHeight w:val="314"/>
        </w:trPr>
        <w:tc>
          <w:tcPr>
            <w:tcW w:w="969" w:type="pct"/>
            <w:vMerge w:val="restart"/>
            <w:tcBorders>
              <w:top w:val="single" w:sz="4" w:space="0" w:color="auto"/>
              <w:left w:val="single" w:sz="4" w:space="0" w:color="auto"/>
              <w:right w:val="single" w:sz="4" w:space="0" w:color="auto"/>
            </w:tcBorders>
            <w:shd w:val="clear" w:color="auto" w:fill="auto"/>
          </w:tcPr>
          <w:p w14:paraId="2BE95EA5" w14:textId="77777777" w:rsidR="00CA7D73" w:rsidRPr="00C54988" w:rsidRDefault="00CA7D73" w:rsidP="00CA7D73">
            <w:pPr>
              <w:jc w:val="center"/>
              <w:rPr>
                <w:b/>
                <w:bCs/>
                <w:lang w:val="es-EC" w:eastAsia="es-EC"/>
              </w:rPr>
            </w:pPr>
          </w:p>
          <w:p w14:paraId="32E0B13D" w14:textId="77777777" w:rsidR="00CA7D73" w:rsidRPr="00C54988" w:rsidRDefault="00CA7D73" w:rsidP="00CA7D73">
            <w:pPr>
              <w:jc w:val="center"/>
              <w:rPr>
                <w:b/>
                <w:bCs/>
                <w:lang w:val="es-EC" w:eastAsia="es-EC"/>
              </w:rPr>
            </w:pPr>
            <w:r w:rsidRPr="00C54988">
              <w:rPr>
                <w:b/>
                <w:bCs/>
                <w:lang w:val="es-EC" w:eastAsia="es-EC"/>
              </w:rPr>
              <w:t>ÁREA MUNICIPAL 2</w:t>
            </w:r>
          </w:p>
          <w:p w14:paraId="70FC4E12" w14:textId="77777777" w:rsidR="00CA7D73" w:rsidRPr="00C54988" w:rsidRDefault="00CA7D73" w:rsidP="00CA7D73">
            <w:pPr>
              <w:rPr>
                <w:b/>
                <w:bCs/>
                <w:lang w:val="es-EC" w:eastAsia="es-EC"/>
              </w:rPr>
            </w:pPr>
            <w:r w:rsidRPr="00C54988">
              <w:rPr>
                <w:b/>
                <w:bCs/>
                <w:lang w:val="es-EC" w:eastAsia="es-EC"/>
              </w:rPr>
              <w:t xml:space="preserve">   </w:t>
            </w:r>
          </w:p>
        </w:tc>
        <w:tc>
          <w:tcPr>
            <w:tcW w:w="429" w:type="pct"/>
            <w:tcBorders>
              <w:top w:val="nil"/>
              <w:left w:val="nil"/>
              <w:bottom w:val="nil"/>
              <w:right w:val="single" w:sz="4" w:space="0" w:color="auto"/>
            </w:tcBorders>
            <w:shd w:val="clear" w:color="auto" w:fill="auto"/>
          </w:tcPr>
          <w:p w14:paraId="1A4BEB5F" w14:textId="77777777" w:rsidR="00CA7D73" w:rsidRPr="00C54988" w:rsidRDefault="00CA7D73" w:rsidP="00CA7D73">
            <w:pPr>
              <w:rPr>
                <w:b/>
                <w:bCs/>
                <w:lang w:val="es-EC" w:eastAsia="es-EC"/>
              </w:rPr>
            </w:pPr>
            <w:r w:rsidRPr="00C54988">
              <w:rPr>
                <w:b/>
                <w:bCs/>
                <w:lang w:val="es-EC" w:eastAsia="es-EC"/>
              </w:rPr>
              <w:t>Norte:</w:t>
            </w:r>
          </w:p>
        </w:tc>
        <w:tc>
          <w:tcPr>
            <w:tcW w:w="1130" w:type="pct"/>
            <w:tcBorders>
              <w:top w:val="nil"/>
              <w:left w:val="nil"/>
              <w:bottom w:val="single" w:sz="4" w:space="0" w:color="auto"/>
              <w:right w:val="single" w:sz="4" w:space="0" w:color="auto"/>
            </w:tcBorders>
            <w:shd w:val="clear" w:color="auto" w:fill="auto"/>
          </w:tcPr>
          <w:p w14:paraId="6D916577" w14:textId="3F319B72" w:rsidR="00CA7D73" w:rsidRPr="00C54988" w:rsidRDefault="00CA7D73" w:rsidP="00F04E14">
            <w:pPr>
              <w:jc w:val="center"/>
              <w:rPr>
                <w:bCs/>
                <w:lang w:val="es-EC" w:eastAsia="es-EC"/>
              </w:rPr>
            </w:pPr>
            <w:r w:rsidRPr="00C54988">
              <w:rPr>
                <w:bCs/>
                <w:lang w:val="es-EC" w:eastAsia="es-EC"/>
              </w:rPr>
              <w:t xml:space="preserve">Propiedad </w:t>
            </w:r>
            <w:r w:rsidR="00F04E14" w:rsidRPr="00C54988">
              <w:rPr>
                <w:bCs/>
                <w:lang w:val="es-EC" w:eastAsia="es-EC"/>
              </w:rPr>
              <w:t>Municipal</w:t>
            </w:r>
          </w:p>
        </w:tc>
        <w:tc>
          <w:tcPr>
            <w:tcW w:w="1021" w:type="pct"/>
            <w:tcBorders>
              <w:top w:val="nil"/>
              <w:left w:val="nil"/>
              <w:bottom w:val="single" w:sz="4" w:space="0" w:color="auto"/>
              <w:right w:val="single" w:sz="4" w:space="0" w:color="auto"/>
            </w:tcBorders>
            <w:shd w:val="clear" w:color="auto" w:fill="auto"/>
            <w:vAlign w:val="bottom"/>
          </w:tcPr>
          <w:p w14:paraId="7DEE6AC8" w14:textId="77777777" w:rsidR="00CA7D73" w:rsidRPr="00C54988" w:rsidRDefault="00CA7D73" w:rsidP="00CA7D73">
            <w:pPr>
              <w:jc w:val="center"/>
              <w:rPr>
                <w:bCs/>
                <w:lang w:val="es-EC" w:eastAsia="es-EC"/>
              </w:rPr>
            </w:pPr>
          </w:p>
        </w:tc>
        <w:tc>
          <w:tcPr>
            <w:tcW w:w="756" w:type="pct"/>
            <w:tcBorders>
              <w:top w:val="nil"/>
              <w:left w:val="nil"/>
              <w:bottom w:val="single" w:sz="4" w:space="0" w:color="auto"/>
              <w:right w:val="single" w:sz="4" w:space="0" w:color="auto"/>
            </w:tcBorders>
            <w:shd w:val="clear" w:color="auto" w:fill="auto"/>
            <w:vAlign w:val="center"/>
          </w:tcPr>
          <w:p w14:paraId="3E8371DE" w14:textId="77777777" w:rsidR="00CA7D73" w:rsidRPr="00C54988" w:rsidRDefault="00CA7D73" w:rsidP="00CA7D73">
            <w:pPr>
              <w:jc w:val="center"/>
              <w:rPr>
                <w:bCs/>
                <w:lang w:val="es-EC" w:eastAsia="es-EC"/>
              </w:rPr>
            </w:pPr>
            <w:r w:rsidRPr="00C54988">
              <w:rPr>
                <w:bCs/>
                <w:lang w:val="es-EC" w:eastAsia="es-EC"/>
              </w:rPr>
              <w:t>10.19 m</w:t>
            </w:r>
          </w:p>
        </w:tc>
        <w:tc>
          <w:tcPr>
            <w:tcW w:w="695" w:type="pct"/>
            <w:vMerge w:val="restart"/>
            <w:tcBorders>
              <w:top w:val="single" w:sz="4" w:space="0" w:color="auto"/>
              <w:left w:val="nil"/>
              <w:bottom w:val="single" w:sz="4" w:space="0" w:color="auto"/>
              <w:right w:val="single" w:sz="4" w:space="0" w:color="auto"/>
            </w:tcBorders>
            <w:shd w:val="clear" w:color="auto" w:fill="auto"/>
            <w:vAlign w:val="center"/>
          </w:tcPr>
          <w:p w14:paraId="53B42B30" w14:textId="77777777" w:rsidR="00CA7D73" w:rsidRPr="00C54988" w:rsidRDefault="00CA7D73" w:rsidP="00CA7D73">
            <w:pPr>
              <w:jc w:val="center"/>
              <w:rPr>
                <w:b/>
                <w:bCs/>
                <w:lang w:val="es-EC" w:eastAsia="es-EC"/>
              </w:rPr>
            </w:pPr>
            <w:r w:rsidRPr="00C54988">
              <w:rPr>
                <w:b/>
                <w:bCs/>
                <w:lang w:val="es-EC" w:eastAsia="es-EC"/>
              </w:rPr>
              <w:t>19.35 m2</w:t>
            </w:r>
          </w:p>
        </w:tc>
      </w:tr>
      <w:tr w:rsidR="00CA7D73" w:rsidRPr="00C54988" w14:paraId="770CFED8" w14:textId="77777777" w:rsidTr="00CA7D73">
        <w:trPr>
          <w:trHeight w:val="269"/>
        </w:trPr>
        <w:tc>
          <w:tcPr>
            <w:tcW w:w="969" w:type="pct"/>
            <w:vMerge/>
            <w:tcBorders>
              <w:left w:val="single" w:sz="4" w:space="0" w:color="auto"/>
              <w:right w:val="single" w:sz="4" w:space="0" w:color="auto"/>
            </w:tcBorders>
            <w:shd w:val="clear" w:color="auto" w:fill="auto"/>
            <w:vAlign w:val="center"/>
            <w:hideMark/>
          </w:tcPr>
          <w:p w14:paraId="3C8F5375" w14:textId="77777777" w:rsidR="00CA7D73" w:rsidRPr="00C54988" w:rsidRDefault="00CA7D73" w:rsidP="00CA7D73">
            <w:pPr>
              <w:rPr>
                <w:b/>
                <w:bCs/>
                <w:lang w:val="es-EC" w:eastAsia="es-EC"/>
              </w:rPr>
            </w:pPr>
          </w:p>
        </w:tc>
        <w:tc>
          <w:tcPr>
            <w:tcW w:w="429" w:type="pct"/>
            <w:tcBorders>
              <w:top w:val="single" w:sz="4" w:space="0" w:color="auto"/>
              <w:left w:val="nil"/>
              <w:bottom w:val="single" w:sz="4" w:space="0" w:color="auto"/>
              <w:right w:val="single" w:sz="4" w:space="0" w:color="auto"/>
            </w:tcBorders>
            <w:shd w:val="clear" w:color="auto" w:fill="auto"/>
            <w:hideMark/>
          </w:tcPr>
          <w:p w14:paraId="61817C3B" w14:textId="77777777" w:rsidR="00CA7D73" w:rsidRPr="00C54988" w:rsidRDefault="00CA7D73" w:rsidP="00CA7D73">
            <w:pPr>
              <w:rPr>
                <w:b/>
                <w:bCs/>
                <w:lang w:val="es-EC" w:eastAsia="es-EC"/>
              </w:rPr>
            </w:pPr>
            <w:r w:rsidRPr="00C54988">
              <w:rPr>
                <w:b/>
                <w:bCs/>
                <w:lang w:val="es-EC" w:eastAsia="es-EC"/>
              </w:rPr>
              <w:t>Sur:</w:t>
            </w:r>
          </w:p>
        </w:tc>
        <w:tc>
          <w:tcPr>
            <w:tcW w:w="1130" w:type="pct"/>
            <w:tcBorders>
              <w:top w:val="single" w:sz="4" w:space="0" w:color="auto"/>
              <w:left w:val="nil"/>
              <w:bottom w:val="single" w:sz="4" w:space="0" w:color="auto"/>
              <w:right w:val="single" w:sz="4" w:space="0" w:color="auto"/>
            </w:tcBorders>
            <w:shd w:val="clear" w:color="auto" w:fill="auto"/>
          </w:tcPr>
          <w:p w14:paraId="3F87BD46" w14:textId="77777777" w:rsidR="00CA7D73" w:rsidRPr="00C54988" w:rsidRDefault="00CA7D73" w:rsidP="00CA7D73">
            <w:pPr>
              <w:jc w:val="center"/>
              <w:rPr>
                <w:lang w:val="es-EC" w:eastAsia="es-EC"/>
              </w:rPr>
            </w:pPr>
            <w:r w:rsidRPr="00C54988">
              <w:rPr>
                <w:lang w:val="es-EC" w:eastAsia="es-EC"/>
              </w:rPr>
              <w:t>Lote 84</w:t>
            </w:r>
          </w:p>
        </w:tc>
        <w:tc>
          <w:tcPr>
            <w:tcW w:w="1021" w:type="pct"/>
            <w:tcBorders>
              <w:top w:val="single" w:sz="4" w:space="0" w:color="auto"/>
              <w:left w:val="nil"/>
              <w:bottom w:val="single" w:sz="4" w:space="0" w:color="auto"/>
              <w:right w:val="single" w:sz="4" w:space="0" w:color="auto"/>
            </w:tcBorders>
            <w:shd w:val="clear" w:color="auto" w:fill="auto"/>
            <w:noWrap/>
          </w:tcPr>
          <w:p w14:paraId="5574F81A" w14:textId="77777777" w:rsidR="00CA7D73" w:rsidRPr="00C54988" w:rsidRDefault="00CA7D73" w:rsidP="00CA7D73">
            <w:pPr>
              <w:rPr>
                <w:lang w:val="es-EC" w:eastAsia="es-EC"/>
              </w:rPr>
            </w:pPr>
          </w:p>
        </w:tc>
        <w:tc>
          <w:tcPr>
            <w:tcW w:w="756" w:type="pct"/>
            <w:tcBorders>
              <w:top w:val="single" w:sz="4" w:space="0" w:color="auto"/>
              <w:left w:val="nil"/>
              <w:bottom w:val="single" w:sz="4" w:space="0" w:color="auto"/>
              <w:right w:val="single" w:sz="4" w:space="0" w:color="auto"/>
            </w:tcBorders>
            <w:shd w:val="clear" w:color="auto" w:fill="auto"/>
            <w:noWrap/>
          </w:tcPr>
          <w:p w14:paraId="035ED6D7" w14:textId="77777777" w:rsidR="00CA7D73" w:rsidRPr="00C54988" w:rsidRDefault="00CA7D73" w:rsidP="00CA7D73">
            <w:pPr>
              <w:jc w:val="center"/>
              <w:rPr>
                <w:lang w:val="es-EC" w:eastAsia="es-EC"/>
              </w:rPr>
            </w:pPr>
            <w:r w:rsidRPr="00C54988">
              <w:rPr>
                <w:lang w:val="es-EC" w:eastAsia="es-EC"/>
              </w:rPr>
              <w:t>1.38 m</w:t>
            </w:r>
          </w:p>
        </w:tc>
        <w:tc>
          <w:tcPr>
            <w:tcW w:w="695" w:type="pct"/>
            <w:vMerge/>
            <w:tcBorders>
              <w:left w:val="nil"/>
              <w:bottom w:val="single" w:sz="4" w:space="0" w:color="auto"/>
              <w:right w:val="single" w:sz="4" w:space="0" w:color="auto"/>
            </w:tcBorders>
            <w:shd w:val="clear" w:color="auto" w:fill="auto"/>
            <w:vAlign w:val="center"/>
          </w:tcPr>
          <w:p w14:paraId="68649DF7" w14:textId="77777777" w:rsidR="00CA7D73" w:rsidRPr="00C54988" w:rsidRDefault="00CA7D73" w:rsidP="00CA7D73">
            <w:pPr>
              <w:rPr>
                <w:b/>
              </w:rPr>
            </w:pPr>
          </w:p>
        </w:tc>
      </w:tr>
      <w:tr w:rsidR="00CA7D73" w:rsidRPr="00C54988" w14:paraId="54C9865B" w14:textId="77777777" w:rsidTr="00CA7D73">
        <w:trPr>
          <w:trHeight w:val="197"/>
        </w:trPr>
        <w:tc>
          <w:tcPr>
            <w:tcW w:w="969" w:type="pct"/>
            <w:vMerge/>
            <w:tcBorders>
              <w:left w:val="single" w:sz="4" w:space="0" w:color="auto"/>
              <w:right w:val="single" w:sz="4" w:space="0" w:color="auto"/>
            </w:tcBorders>
            <w:shd w:val="clear" w:color="auto" w:fill="auto"/>
          </w:tcPr>
          <w:p w14:paraId="489996CF" w14:textId="77777777" w:rsidR="00CA7D73" w:rsidRPr="00C54988" w:rsidRDefault="00CA7D73" w:rsidP="00CA7D73">
            <w:pPr>
              <w:rPr>
                <w:b/>
                <w:bCs/>
                <w:lang w:val="es-EC" w:eastAsia="es-EC"/>
              </w:rPr>
            </w:pPr>
          </w:p>
        </w:tc>
        <w:tc>
          <w:tcPr>
            <w:tcW w:w="429" w:type="pct"/>
            <w:tcBorders>
              <w:top w:val="single" w:sz="4" w:space="0" w:color="auto"/>
              <w:left w:val="nil"/>
              <w:bottom w:val="single" w:sz="4" w:space="0" w:color="auto"/>
              <w:right w:val="single" w:sz="4" w:space="0" w:color="auto"/>
            </w:tcBorders>
            <w:shd w:val="clear" w:color="auto" w:fill="auto"/>
          </w:tcPr>
          <w:p w14:paraId="473B643B" w14:textId="77777777" w:rsidR="00CA7D73" w:rsidRPr="00C54988" w:rsidRDefault="00CA7D73" w:rsidP="00CA7D73">
            <w:pPr>
              <w:rPr>
                <w:b/>
                <w:bCs/>
                <w:lang w:val="es-EC" w:eastAsia="es-EC"/>
              </w:rPr>
            </w:pPr>
            <w:r w:rsidRPr="00C54988">
              <w:rPr>
                <w:b/>
                <w:bCs/>
                <w:lang w:val="es-EC" w:eastAsia="es-EC"/>
              </w:rPr>
              <w:t>Este:</w:t>
            </w:r>
          </w:p>
        </w:tc>
        <w:tc>
          <w:tcPr>
            <w:tcW w:w="1130" w:type="pct"/>
            <w:tcBorders>
              <w:top w:val="single" w:sz="4" w:space="0" w:color="auto"/>
              <w:left w:val="nil"/>
              <w:bottom w:val="single" w:sz="4" w:space="0" w:color="auto"/>
              <w:right w:val="single" w:sz="4" w:space="0" w:color="auto"/>
            </w:tcBorders>
            <w:shd w:val="clear" w:color="auto" w:fill="auto"/>
          </w:tcPr>
          <w:p w14:paraId="4C810DE4" w14:textId="59D44395" w:rsidR="00CA7D73" w:rsidRPr="00C54988" w:rsidRDefault="00CA7D73" w:rsidP="00F04E14">
            <w:pPr>
              <w:jc w:val="center"/>
              <w:rPr>
                <w:lang w:val="es-EC" w:eastAsia="es-EC"/>
              </w:rPr>
            </w:pPr>
            <w:r w:rsidRPr="00C54988">
              <w:rPr>
                <w:bCs/>
                <w:lang w:val="es-EC" w:eastAsia="es-EC"/>
              </w:rPr>
              <w:t xml:space="preserve">Propiedad </w:t>
            </w:r>
            <w:r w:rsidR="00F04E14" w:rsidRPr="00C54988">
              <w:rPr>
                <w:bCs/>
                <w:lang w:val="es-EC" w:eastAsia="es-EC"/>
              </w:rPr>
              <w:t>Municipal</w:t>
            </w:r>
          </w:p>
        </w:tc>
        <w:tc>
          <w:tcPr>
            <w:tcW w:w="1021" w:type="pct"/>
            <w:tcBorders>
              <w:top w:val="single" w:sz="4" w:space="0" w:color="auto"/>
              <w:left w:val="nil"/>
              <w:bottom w:val="single" w:sz="4" w:space="0" w:color="auto"/>
              <w:right w:val="single" w:sz="4" w:space="0" w:color="auto"/>
            </w:tcBorders>
            <w:shd w:val="clear" w:color="auto" w:fill="auto"/>
            <w:noWrap/>
          </w:tcPr>
          <w:p w14:paraId="0DFEB13C" w14:textId="77777777" w:rsidR="00CA7D73" w:rsidRPr="00C54988" w:rsidRDefault="00CA7D73" w:rsidP="00CA7D73">
            <w:pPr>
              <w:jc w:val="center"/>
              <w:rPr>
                <w:lang w:val="es-EC" w:eastAsia="es-EC"/>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7EE1F042" w14:textId="77777777" w:rsidR="00CA7D73" w:rsidRPr="00C54988" w:rsidRDefault="00CA7D73" w:rsidP="00CA7D73">
            <w:pPr>
              <w:jc w:val="center"/>
              <w:rPr>
                <w:lang w:val="es-EC" w:eastAsia="es-EC"/>
              </w:rPr>
            </w:pPr>
            <w:r w:rsidRPr="00C54988">
              <w:rPr>
                <w:lang w:val="es-EC" w:eastAsia="es-EC"/>
              </w:rPr>
              <w:t>5.25 m</w:t>
            </w:r>
          </w:p>
        </w:tc>
        <w:tc>
          <w:tcPr>
            <w:tcW w:w="695" w:type="pct"/>
            <w:vMerge/>
            <w:tcBorders>
              <w:left w:val="nil"/>
              <w:bottom w:val="single" w:sz="4" w:space="0" w:color="auto"/>
              <w:right w:val="single" w:sz="4" w:space="0" w:color="auto"/>
            </w:tcBorders>
            <w:shd w:val="clear" w:color="auto" w:fill="auto"/>
            <w:vAlign w:val="center"/>
          </w:tcPr>
          <w:p w14:paraId="3CCB0D49" w14:textId="77777777" w:rsidR="00CA7D73" w:rsidRPr="00C54988" w:rsidRDefault="00CA7D73" w:rsidP="00CA7D73">
            <w:pPr>
              <w:jc w:val="center"/>
              <w:rPr>
                <w:b/>
              </w:rPr>
            </w:pPr>
          </w:p>
        </w:tc>
      </w:tr>
      <w:tr w:rsidR="00CA7D73" w:rsidRPr="00C54988" w14:paraId="22745CE1" w14:textId="77777777" w:rsidTr="00CA7D73">
        <w:trPr>
          <w:trHeight w:val="73"/>
        </w:trPr>
        <w:tc>
          <w:tcPr>
            <w:tcW w:w="969" w:type="pct"/>
            <w:vMerge/>
            <w:tcBorders>
              <w:left w:val="single" w:sz="4" w:space="0" w:color="auto"/>
              <w:bottom w:val="single" w:sz="4" w:space="0" w:color="auto"/>
              <w:right w:val="single" w:sz="4" w:space="0" w:color="auto"/>
            </w:tcBorders>
            <w:shd w:val="clear" w:color="auto" w:fill="auto"/>
          </w:tcPr>
          <w:p w14:paraId="52342CEB" w14:textId="77777777" w:rsidR="00CA7D73" w:rsidRPr="00C54988" w:rsidRDefault="00CA7D73" w:rsidP="00CA7D73">
            <w:pPr>
              <w:rPr>
                <w:b/>
                <w:bCs/>
                <w:lang w:val="es-EC" w:eastAsia="es-EC"/>
              </w:rPr>
            </w:pPr>
          </w:p>
        </w:tc>
        <w:tc>
          <w:tcPr>
            <w:tcW w:w="429" w:type="pct"/>
            <w:tcBorders>
              <w:top w:val="single" w:sz="4" w:space="0" w:color="auto"/>
              <w:left w:val="nil"/>
              <w:bottom w:val="single" w:sz="4" w:space="0" w:color="auto"/>
              <w:right w:val="single" w:sz="4" w:space="0" w:color="auto"/>
            </w:tcBorders>
            <w:shd w:val="clear" w:color="auto" w:fill="auto"/>
          </w:tcPr>
          <w:p w14:paraId="36AC27BC" w14:textId="77777777" w:rsidR="00CA7D73" w:rsidRPr="00C54988" w:rsidRDefault="00CA7D73" w:rsidP="00CA7D73">
            <w:pPr>
              <w:rPr>
                <w:b/>
                <w:bCs/>
                <w:lang w:val="es-EC" w:eastAsia="es-EC"/>
              </w:rPr>
            </w:pPr>
            <w:r w:rsidRPr="00C54988">
              <w:rPr>
                <w:b/>
                <w:bCs/>
                <w:lang w:val="es-EC" w:eastAsia="es-EC"/>
              </w:rPr>
              <w:t>Oeste:</w:t>
            </w:r>
          </w:p>
        </w:tc>
        <w:tc>
          <w:tcPr>
            <w:tcW w:w="1130" w:type="pct"/>
            <w:tcBorders>
              <w:top w:val="single" w:sz="4" w:space="0" w:color="auto"/>
              <w:left w:val="nil"/>
              <w:bottom w:val="single" w:sz="4" w:space="0" w:color="auto"/>
              <w:right w:val="single" w:sz="4" w:space="0" w:color="auto"/>
            </w:tcBorders>
            <w:shd w:val="clear" w:color="auto" w:fill="auto"/>
            <w:vAlign w:val="bottom"/>
          </w:tcPr>
          <w:p w14:paraId="057D3483" w14:textId="77777777" w:rsidR="00CA7D73" w:rsidRPr="00C54988" w:rsidRDefault="00CA7D73" w:rsidP="00CA7D73">
            <w:pPr>
              <w:jc w:val="center"/>
              <w:rPr>
                <w:lang w:val="es-EC" w:eastAsia="es-EC"/>
              </w:rPr>
            </w:pPr>
            <w:r w:rsidRPr="00C54988">
              <w:rPr>
                <w:bCs/>
                <w:lang w:val="es-EC" w:eastAsia="es-EC"/>
              </w:rPr>
              <w:t>Área Municipal 1</w:t>
            </w:r>
          </w:p>
        </w:tc>
        <w:tc>
          <w:tcPr>
            <w:tcW w:w="1021" w:type="pct"/>
            <w:tcBorders>
              <w:top w:val="single" w:sz="4" w:space="0" w:color="auto"/>
              <w:left w:val="nil"/>
              <w:bottom w:val="single" w:sz="4" w:space="0" w:color="auto"/>
              <w:right w:val="single" w:sz="4" w:space="0" w:color="auto"/>
            </w:tcBorders>
            <w:shd w:val="clear" w:color="auto" w:fill="auto"/>
            <w:noWrap/>
            <w:vAlign w:val="bottom"/>
          </w:tcPr>
          <w:p w14:paraId="2F543792" w14:textId="77777777" w:rsidR="00CA7D73" w:rsidRPr="00C54988" w:rsidRDefault="00CA7D73" w:rsidP="00CA7D73">
            <w:pPr>
              <w:jc w:val="center"/>
              <w:rPr>
                <w:lang w:val="es-EC" w:eastAsia="es-EC"/>
              </w:rPr>
            </w:pP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4CE4956F" w14:textId="77777777" w:rsidR="00CA7D73" w:rsidRPr="00C54988" w:rsidRDefault="00CA7D73" w:rsidP="00CA7D73">
            <w:pPr>
              <w:jc w:val="center"/>
              <w:rPr>
                <w:lang w:val="es-EC" w:eastAsia="es-EC"/>
              </w:rPr>
            </w:pPr>
            <w:r w:rsidRPr="00C54988">
              <w:rPr>
                <w:lang w:val="es-EC" w:eastAsia="es-EC"/>
              </w:rPr>
              <w:t>LD=13.15 m</w:t>
            </w:r>
          </w:p>
        </w:tc>
        <w:tc>
          <w:tcPr>
            <w:tcW w:w="695" w:type="pct"/>
            <w:vMerge/>
            <w:tcBorders>
              <w:left w:val="nil"/>
              <w:bottom w:val="single" w:sz="4" w:space="0" w:color="auto"/>
              <w:right w:val="single" w:sz="4" w:space="0" w:color="auto"/>
            </w:tcBorders>
            <w:shd w:val="clear" w:color="auto" w:fill="auto"/>
            <w:vAlign w:val="center"/>
          </w:tcPr>
          <w:p w14:paraId="7845A268" w14:textId="77777777" w:rsidR="00CA7D73" w:rsidRPr="00C54988" w:rsidRDefault="00CA7D73" w:rsidP="00CA7D73">
            <w:pPr>
              <w:jc w:val="center"/>
              <w:rPr>
                <w:b/>
              </w:rPr>
            </w:pPr>
          </w:p>
        </w:tc>
      </w:tr>
    </w:tbl>
    <w:p w14:paraId="651BE932" w14:textId="77777777" w:rsidR="00CA7D73" w:rsidRPr="00C54988" w:rsidRDefault="00CA7D73" w:rsidP="00CA7D73">
      <w:pPr>
        <w:shd w:val="clear" w:color="auto" w:fill="FFFFFF" w:themeFill="background1"/>
        <w:contextualSpacing/>
        <w:jc w:val="both"/>
        <w:rPr>
          <w:b/>
          <w:color w:val="FF0000"/>
        </w:rPr>
      </w:pPr>
    </w:p>
    <w:tbl>
      <w:tblPr>
        <w:tblW w:w="4980" w:type="pct"/>
        <w:tblInd w:w="-34" w:type="dxa"/>
        <w:tblLayout w:type="fixed"/>
        <w:tblCellMar>
          <w:left w:w="70" w:type="dxa"/>
          <w:right w:w="70" w:type="dxa"/>
        </w:tblCellMar>
        <w:tblLook w:val="04A0" w:firstRow="1" w:lastRow="0" w:firstColumn="1" w:lastColumn="0" w:noHBand="0" w:noVBand="1"/>
      </w:tblPr>
      <w:tblGrid>
        <w:gridCol w:w="1766"/>
        <w:gridCol w:w="782"/>
        <w:gridCol w:w="2094"/>
        <w:gridCol w:w="1556"/>
        <w:gridCol w:w="1559"/>
        <w:gridCol w:w="1278"/>
      </w:tblGrid>
      <w:tr w:rsidR="00CA7D73" w:rsidRPr="00C54988" w14:paraId="40D2EC08" w14:textId="77777777" w:rsidTr="00CA7D73">
        <w:trPr>
          <w:trHeight w:val="189"/>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1DBB986A" w14:textId="77777777" w:rsidR="00CA7D73" w:rsidRPr="00C54988" w:rsidRDefault="00CA7D73" w:rsidP="00CA7D73">
            <w:pPr>
              <w:jc w:val="center"/>
              <w:rPr>
                <w:b/>
                <w:bCs/>
                <w:lang w:val="es-EC" w:eastAsia="es-EC"/>
              </w:rPr>
            </w:pPr>
            <w:r w:rsidRPr="00C54988">
              <w:rPr>
                <w:b/>
                <w:bCs/>
                <w:lang w:val="es-EC" w:eastAsia="es-EC"/>
              </w:rPr>
              <w:t>ÁREA MUNICIPAL 3</w:t>
            </w:r>
          </w:p>
        </w:tc>
      </w:tr>
      <w:tr w:rsidR="00CA7D73" w:rsidRPr="00C54988" w14:paraId="339B63FB" w14:textId="77777777" w:rsidTr="00086B25">
        <w:trPr>
          <w:trHeight w:val="206"/>
        </w:trPr>
        <w:tc>
          <w:tcPr>
            <w:tcW w:w="977" w:type="pct"/>
            <w:tcBorders>
              <w:top w:val="single" w:sz="4" w:space="0" w:color="auto"/>
              <w:left w:val="single" w:sz="4" w:space="0" w:color="auto"/>
              <w:bottom w:val="nil"/>
              <w:right w:val="single" w:sz="4" w:space="0" w:color="auto"/>
            </w:tcBorders>
            <w:shd w:val="clear" w:color="auto" w:fill="auto"/>
            <w:vAlign w:val="center"/>
            <w:hideMark/>
          </w:tcPr>
          <w:p w14:paraId="76B5BA5B" w14:textId="77777777" w:rsidR="00CA7D73" w:rsidRPr="00C54988" w:rsidRDefault="00CA7D73" w:rsidP="00CA7D73">
            <w:pPr>
              <w:jc w:val="center"/>
              <w:rPr>
                <w:b/>
                <w:bCs/>
                <w:color w:val="FF0000"/>
                <w:lang w:val="es-EC" w:eastAsia="es-EC"/>
              </w:rPr>
            </w:pPr>
            <w:r w:rsidRPr="00C54988">
              <w:rPr>
                <w:b/>
                <w:bCs/>
                <w:color w:val="FF0000"/>
                <w:lang w:val="es-EC" w:eastAsia="es-EC"/>
              </w:rPr>
              <w:t> </w:t>
            </w:r>
          </w:p>
        </w:tc>
        <w:tc>
          <w:tcPr>
            <w:tcW w:w="433" w:type="pct"/>
            <w:tcBorders>
              <w:top w:val="nil"/>
              <w:left w:val="nil"/>
              <w:bottom w:val="single" w:sz="4" w:space="0" w:color="auto"/>
              <w:right w:val="single" w:sz="4" w:space="0" w:color="auto"/>
            </w:tcBorders>
            <w:shd w:val="clear" w:color="auto" w:fill="auto"/>
            <w:hideMark/>
          </w:tcPr>
          <w:p w14:paraId="34BB31E4" w14:textId="77777777" w:rsidR="00CA7D73" w:rsidRPr="00C54988" w:rsidRDefault="00CA7D73" w:rsidP="00CA7D73">
            <w:pPr>
              <w:rPr>
                <w:b/>
                <w:bCs/>
                <w:color w:val="FF0000"/>
                <w:lang w:val="es-EC" w:eastAsia="es-EC"/>
              </w:rPr>
            </w:pPr>
            <w:r w:rsidRPr="00C54988">
              <w:rPr>
                <w:b/>
                <w:bCs/>
                <w:color w:val="FF0000"/>
                <w:lang w:val="es-EC" w:eastAsia="es-EC"/>
              </w:rPr>
              <w:t> </w:t>
            </w:r>
          </w:p>
        </w:tc>
        <w:tc>
          <w:tcPr>
            <w:tcW w:w="1159" w:type="pct"/>
            <w:tcBorders>
              <w:top w:val="nil"/>
              <w:left w:val="nil"/>
              <w:bottom w:val="single" w:sz="4" w:space="0" w:color="auto"/>
              <w:right w:val="single" w:sz="4" w:space="0" w:color="auto"/>
            </w:tcBorders>
            <w:shd w:val="clear" w:color="auto" w:fill="auto"/>
            <w:hideMark/>
          </w:tcPr>
          <w:p w14:paraId="0C75C2FC" w14:textId="77777777" w:rsidR="00CA7D73" w:rsidRPr="00C54988" w:rsidRDefault="00CA7D73" w:rsidP="00CA7D73">
            <w:pPr>
              <w:jc w:val="center"/>
              <w:rPr>
                <w:b/>
                <w:bCs/>
                <w:lang w:val="es-EC" w:eastAsia="es-EC"/>
              </w:rPr>
            </w:pPr>
            <w:r w:rsidRPr="00C54988">
              <w:rPr>
                <w:b/>
                <w:bCs/>
                <w:lang w:val="es-EC" w:eastAsia="es-EC"/>
              </w:rPr>
              <w:t>Lindero</w:t>
            </w:r>
          </w:p>
        </w:tc>
        <w:tc>
          <w:tcPr>
            <w:tcW w:w="861" w:type="pct"/>
            <w:tcBorders>
              <w:top w:val="nil"/>
              <w:left w:val="nil"/>
              <w:bottom w:val="single" w:sz="4" w:space="0" w:color="auto"/>
              <w:right w:val="single" w:sz="4" w:space="0" w:color="auto"/>
            </w:tcBorders>
            <w:shd w:val="clear" w:color="auto" w:fill="auto"/>
            <w:vAlign w:val="bottom"/>
            <w:hideMark/>
          </w:tcPr>
          <w:p w14:paraId="1CC5F825" w14:textId="77777777" w:rsidR="00CA7D73" w:rsidRPr="00C54988" w:rsidRDefault="00CA7D73" w:rsidP="00CA7D73">
            <w:pPr>
              <w:jc w:val="center"/>
              <w:rPr>
                <w:b/>
                <w:bCs/>
                <w:lang w:val="es-EC" w:eastAsia="es-EC"/>
              </w:rPr>
            </w:pPr>
            <w:r w:rsidRPr="00C54988">
              <w:rPr>
                <w:b/>
                <w:bCs/>
                <w:lang w:val="es-EC" w:eastAsia="es-EC"/>
              </w:rPr>
              <w:t>En parte</w:t>
            </w:r>
          </w:p>
        </w:tc>
        <w:tc>
          <w:tcPr>
            <w:tcW w:w="863" w:type="pct"/>
            <w:tcBorders>
              <w:top w:val="nil"/>
              <w:left w:val="nil"/>
              <w:bottom w:val="single" w:sz="4" w:space="0" w:color="auto"/>
              <w:right w:val="single" w:sz="4" w:space="0" w:color="auto"/>
            </w:tcBorders>
            <w:shd w:val="clear" w:color="auto" w:fill="auto"/>
            <w:vAlign w:val="bottom"/>
            <w:hideMark/>
          </w:tcPr>
          <w:p w14:paraId="71CD5890" w14:textId="77777777" w:rsidR="00CA7D73" w:rsidRPr="00C54988" w:rsidRDefault="00CA7D73" w:rsidP="00CA7D73">
            <w:pPr>
              <w:jc w:val="center"/>
              <w:rPr>
                <w:b/>
                <w:bCs/>
                <w:lang w:val="es-EC" w:eastAsia="es-EC"/>
              </w:rPr>
            </w:pPr>
            <w:r w:rsidRPr="00C54988">
              <w:rPr>
                <w:b/>
                <w:bCs/>
                <w:lang w:val="es-EC" w:eastAsia="es-EC"/>
              </w:rPr>
              <w:t>Total</w:t>
            </w:r>
          </w:p>
        </w:tc>
        <w:tc>
          <w:tcPr>
            <w:tcW w:w="707" w:type="pct"/>
            <w:tcBorders>
              <w:top w:val="nil"/>
              <w:left w:val="nil"/>
              <w:bottom w:val="single" w:sz="4" w:space="0" w:color="auto"/>
              <w:right w:val="single" w:sz="4" w:space="0" w:color="auto"/>
            </w:tcBorders>
            <w:shd w:val="clear" w:color="auto" w:fill="auto"/>
            <w:vAlign w:val="bottom"/>
            <w:hideMark/>
          </w:tcPr>
          <w:p w14:paraId="6DCB8432" w14:textId="77777777" w:rsidR="00CA7D73" w:rsidRPr="00C54988" w:rsidRDefault="00CA7D73" w:rsidP="00CA7D73">
            <w:pPr>
              <w:jc w:val="center"/>
              <w:rPr>
                <w:b/>
                <w:bCs/>
                <w:lang w:val="es-EC" w:eastAsia="es-EC"/>
              </w:rPr>
            </w:pPr>
            <w:r w:rsidRPr="00C54988">
              <w:rPr>
                <w:b/>
                <w:bCs/>
                <w:lang w:val="es-EC" w:eastAsia="es-EC"/>
              </w:rPr>
              <w:t>Superficie</w:t>
            </w:r>
          </w:p>
        </w:tc>
      </w:tr>
      <w:tr w:rsidR="00CA7D73" w:rsidRPr="00C54988" w14:paraId="75240766" w14:textId="77777777" w:rsidTr="00086B25">
        <w:trPr>
          <w:trHeight w:val="314"/>
        </w:trPr>
        <w:tc>
          <w:tcPr>
            <w:tcW w:w="977" w:type="pct"/>
            <w:vMerge w:val="restart"/>
            <w:tcBorders>
              <w:top w:val="single" w:sz="4" w:space="0" w:color="auto"/>
              <w:left w:val="single" w:sz="4" w:space="0" w:color="auto"/>
              <w:right w:val="single" w:sz="4" w:space="0" w:color="auto"/>
            </w:tcBorders>
            <w:shd w:val="clear" w:color="auto" w:fill="auto"/>
          </w:tcPr>
          <w:p w14:paraId="6B576AB9" w14:textId="77777777" w:rsidR="00CA7D73" w:rsidRPr="00C54988" w:rsidRDefault="00CA7D73" w:rsidP="00CA7D73">
            <w:pPr>
              <w:jc w:val="center"/>
              <w:rPr>
                <w:b/>
                <w:bCs/>
                <w:lang w:val="es-EC" w:eastAsia="es-EC"/>
              </w:rPr>
            </w:pPr>
          </w:p>
          <w:p w14:paraId="13A6338B" w14:textId="77777777" w:rsidR="00CA7D73" w:rsidRPr="00C54988" w:rsidRDefault="00CA7D73" w:rsidP="00CA7D73">
            <w:pPr>
              <w:jc w:val="center"/>
              <w:rPr>
                <w:b/>
                <w:bCs/>
                <w:lang w:val="es-EC" w:eastAsia="es-EC"/>
              </w:rPr>
            </w:pPr>
            <w:r w:rsidRPr="00C54988">
              <w:rPr>
                <w:b/>
                <w:bCs/>
                <w:lang w:val="es-EC" w:eastAsia="es-EC"/>
              </w:rPr>
              <w:t>ÁREA MUNICIPAL 3</w:t>
            </w:r>
          </w:p>
          <w:p w14:paraId="6A142A8B" w14:textId="77777777" w:rsidR="00CA7D73" w:rsidRPr="00C54988" w:rsidRDefault="00CA7D73" w:rsidP="00CA7D73">
            <w:pPr>
              <w:rPr>
                <w:b/>
                <w:bCs/>
                <w:lang w:val="es-EC" w:eastAsia="es-EC"/>
              </w:rPr>
            </w:pPr>
            <w:r w:rsidRPr="00C54988">
              <w:rPr>
                <w:b/>
                <w:bCs/>
                <w:lang w:val="es-EC" w:eastAsia="es-EC"/>
              </w:rPr>
              <w:t xml:space="preserve">   </w:t>
            </w:r>
          </w:p>
        </w:tc>
        <w:tc>
          <w:tcPr>
            <w:tcW w:w="433" w:type="pct"/>
            <w:tcBorders>
              <w:top w:val="nil"/>
              <w:left w:val="nil"/>
              <w:bottom w:val="nil"/>
              <w:right w:val="single" w:sz="4" w:space="0" w:color="auto"/>
            </w:tcBorders>
            <w:shd w:val="clear" w:color="auto" w:fill="auto"/>
          </w:tcPr>
          <w:p w14:paraId="22B1088A" w14:textId="77777777" w:rsidR="00CA7D73" w:rsidRPr="00C54988" w:rsidRDefault="00CA7D73" w:rsidP="00CA7D73">
            <w:pPr>
              <w:rPr>
                <w:b/>
                <w:bCs/>
                <w:lang w:val="es-EC" w:eastAsia="es-EC"/>
              </w:rPr>
            </w:pPr>
            <w:r w:rsidRPr="00C54988">
              <w:rPr>
                <w:b/>
                <w:bCs/>
                <w:lang w:val="es-EC" w:eastAsia="es-EC"/>
              </w:rPr>
              <w:t>Norte:</w:t>
            </w:r>
          </w:p>
        </w:tc>
        <w:tc>
          <w:tcPr>
            <w:tcW w:w="1159" w:type="pct"/>
            <w:tcBorders>
              <w:top w:val="nil"/>
              <w:left w:val="nil"/>
              <w:bottom w:val="single" w:sz="4" w:space="0" w:color="auto"/>
              <w:right w:val="single" w:sz="4" w:space="0" w:color="auto"/>
            </w:tcBorders>
            <w:shd w:val="clear" w:color="auto" w:fill="auto"/>
          </w:tcPr>
          <w:p w14:paraId="7CA15B23" w14:textId="4A6D22CB" w:rsidR="00CA7D73" w:rsidRPr="00C54988" w:rsidRDefault="00CA7D73" w:rsidP="00F04E14">
            <w:pPr>
              <w:jc w:val="center"/>
              <w:rPr>
                <w:bCs/>
                <w:lang w:val="es-EC" w:eastAsia="es-EC"/>
              </w:rPr>
            </w:pPr>
            <w:r w:rsidRPr="00C54988">
              <w:rPr>
                <w:bCs/>
                <w:lang w:val="es-EC" w:eastAsia="es-EC"/>
              </w:rPr>
              <w:t xml:space="preserve">Propiedad </w:t>
            </w:r>
            <w:r w:rsidR="00F04E14" w:rsidRPr="00C54988">
              <w:rPr>
                <w:bCs/>
                <w:lang w:val="es-EC" w:eastAsia="es-EC"/>
              </w:rPr>
              <w:t>Municipal</w:t>
            </w:r>
          </w:p>
        </w:tc>
        <w:tc>
          <w:tcPr>
            <w:tcW w:w="861" w:type="pct"/>
            <w:tcBorders>
              <w:top w:val="nil"/>
              <w:left w:val="nil"/>
              <w:bottom w:val="single" w:sz="4" w:space="0" w:color="auto"/>
              <w:right w:val="single" w:sz="4" w:space="0" w:color="auto"/>
            </w:tcBorders>
            <w:shd w:val="clear" w:color="auto" w:fill="auto"/>
            <w:vAlign w:val="bottom"/>
          </w:tcPr>
          <w:p w14:paraId="55325915" w14:textId="77777777" w:rsidR="00CA7D73" w:rsidRPr="00C54988" w:rsidRDefault="00CA7D73" w:rsidP="00CA7D73">
            <w:pPr>
              <w:jc w:val="center"/>
              <w:rPr>
                <w:bCs/>
                <w:lang w:val="es-EC" w:eastAsia="es-EC"/>
              </w:rPr>
            </w:pPr>
          </w:p>
        </w:tc>
        <w:tc>
          <w:tcPr>
            <w:tcW w:w="863" w:type="pct"/>
            <w:tcBorders>
              <w:top w:val="nil"/>
              <w:left w:val="nil"/>
              <w:bottom w:val="single" w:sz="4" w:space="0" w:color="auto"/>
              <w:right w:val="single" w:sz="4" w:space="0" w:color="auto"/>
            </w:tcBorders>
            <w:shd w:val="clear" w:color="auto" w:fill="auto"/>
            <w:vAlign w:val="center"/>
          </w:tcPr>
          <w:p w14:paraId="07904EC7" w14:textId="77777777" w:rsidR="00CA7D73" w:rsidRPr="00C54988" w:rsidRDefault="00CA7D73" w:rsidP="00CA7D73">
            <w:pPr>
              <w:jc w:val="center"/>
              <w:rPr>
                <w:bCs/>
                <w:lang w:val="es-EC" w:eastAsia="es-EC"/>
              </w:rPr>
            </w:pPr>
            <w:r w:rsidRPr="00C54988">
              <w:rPr>
                <w:bCs/>
                <w:lang w:val="es-EC" w:eastAsia="es-EC"/>
              </w:rPr>
              <w:t>18.98 m</w:t>
            </w:r>
          </w:p>
        </w:tc>
        <w:tc>
          <w:tcPr>
            <w:tcW w:w="707" w:type="pct"/>
            <w:vMerge w:val="restart"/>
            <w:tcBorders>
              <w:top w:val="single" w:sz="4" w:space="0" w:color="auto"/>
              <w:left w:val="nil"/>
              <w:bottom w:val="single" w:sz="4" w:space="0" w:color="auto"/>
              <w:right w:val="single" w:sz="4" w:space="0" w:color="auto"/>
            </w:tcBorders>
            <w:shd w:val="clear" w:color="auto" w:fill="auto"/>
            <w:vAlign w:val="center"/>
          </w:tcPr>
          <w:p w14:paraId="462ADB18" w14:textId="77777777" w:rsidR="00CA7D73" w:rsidRPr="00C54988" w:rsidRDefault="00CA7D73" w:rsidP="00CA7D73">
            <w:pPr>
              <w:jc w:val="center"/>
              <w:rPr>
                <w:b/>
                <w:bCs/>
                <w:lang w:val="es-EC" w:eastAsia="es-EC"/>
              </w:rPr>
            </w:pPr>
            <w:r w:rsidRPr="00C54988">
              <w:rPr>
                <w:b/>
                <w:bCs/>
                <w:lang w:val="es-EC" w:eastAsia="es-EC"/>
              </w:rPr>
              <w:t>90.82 m2</w:t>
            </w:r>
          </w:p>
        </w:tc>
      </w:tr>
      <w:tr w:rsidR="00CA7D73" w:rsidRPr="00C54988" w14:paraId="17769D98" w14:textId="77777777" w:rsidTr="00086B25">
        <w:trPr>
          <w:trHeight w:val="323"/>
        </w:trPr>
        <w:tc>
          <w:tcPr>
            <w:tcW w:w="977" w:type="pct"/>
            <w:vMerge/>
            <w:tcBorders>
              <w:left w:val="single" w:sz="4" w:space="0" w:color="auto"/>
              <w:right w:val="single" w:sz="4" w:space="0" w:color="auto"/>
            </w:tcBorders>
            <w:shd w:val="clear" w:color="auto" w:fill="auto"/>
            <w:vAlign w:val="center"/>
            <w:hideMark/>
          </w:tcPr>
          <w:p w14:paraId="023CD28A" w14:textId="77777777" w:rsidR="00CA7D73" w:rsidRPr="00C54988" w:rsidRDefault="00CA7D73" w:rsidP="00CA7D73">
            <w:pPr>
              <w:rPr>
                <w:b/>
                <w:bCs/>
                <w:lang w:val="es-EC" w:eastAsia="es-EC"/>
              </w:rPr>
            </w:pPr>
          </w:p>
        </w:tc>
        <w:tc>
          <w:tcPr>
            <w:tcW w:w="433" w:type="pct"/>
            <w:tcBorders>
              <w:top w:val="single" w:sz="4" w:space="0" w:color="auto"/>
              <w:left w:val="nil"/>
              <w:bottom w:val="single" w:sz="4" w:space="0" w:color="auto"/>
              <w:right w:val="single" w:sz="4" w:space="0" w:color="auto"/>
            </w:tcBorders>
            <w:shd w:val="clear" w:color="auto" w:fill="auto"/>
            <w:hideMark/>
          </w:tcPr>
          <w:p w14:paraId="72659C9F" w14:textId="77777777" w:rsidR="00CA7D73" w:rsidRPr="00C54988" w:rsidRDefault="00CA7D73" w:rsidP="00CA7D73">
            <w:pPr>
              <w:rPr>
                <w:b/>
                <w:bCs/>
                <w:lang w:val="es-EC" w:eastAsia="es-EC"/>
              </w:rPr>
            </w:pPr>
            <w:r w:rsidRPr="00C54988">
              <w:rPr>
                <w:b/>
                <w:bCs/>
                <w:lang w:val="es-EC" w:eastAsia="es-EC"/>
              </w:rPr>
              <w:t>Sur:</w:t>
            </w:r>
          </w:p>
        </w:tc>
        <w:tc>
          <w:tcPr>
            <w:tcW w:w="1159" w:type="pct"/>
            <w:tcBorders>
              <w:top w:val="single" w:sz="4" w:space="0" w:color="auto"/>
              <w:left w:val="nil"/>
              <w:bottom w:val="single" w:sz="4" w:space="0" w:color="auto"/>
              <w:right w:val="single" w:sz="4" w:space="0" w:color="auto"/>
            </w:tcBorders>
            <w:shd w:val="clear" w:color="auto" w:fill="auto"/>
          </w:tcPr>
          <w:p w14:paraId="3F366B36" w14:textId="77777777" w:rsidR="00CA7D73" w:rsidRPr="00C54988" w:rsidRDefault="00CA7D73" w:rsidP="00CA7D73">
            <w:pPr>
              <w:jc w:val="center"/>
              <w:rPr>
                <w:lang w:val="es-EC" w:eastAsia="es-EC"/>
              </w:rPr>
            </w:pPr>
            <w:r w:rsidRPr="00C54988">
              <w:rPr>
                <w:bCs/>
                <w:lang w:val="es-EC" w:eastAsia="es-EC"/>
              </w:rPr>
              <w:t>Área Municipal 1</w:t>
            </w:r>
          </w:p>
        </w:tc>
        <w:tc>
          <w:tcPr>
            <w:tcW w:w="861" w:type="pct"/>
            <w:tcBorders>
              <w:top w:val="single" w:sz="4" w:space="0" w:color="auto"/>
              <w:left w:val="nil"/>
              <w:bottom w:val="single" w:sz="4" w:space="0" w:color="auto"/>
              <w:right w:val="single" w:sz="4" w:space="0" w:color="auto"/>
            </w:tcBorders>
            <w:shd w:val="clear" w:color="auto" w:fill="auto"/>
            <w:noWrap/>
          </w:tcPr>
          <w:p w14:paraId="25BBD34E" w14:textId="77777777" w:rsidR="00CA7D73" w:rsidRPr="00C54988" w:rsidRDefault="00CA7D73" w:rsidP="00CA7D73">
            <w:pPr>
              <w:rPr>
                <w:lang w:val="es-EC" w:eastAsia="es-EC"/>
              </w:rPr>
            </w:pPr>
          </w:p>
        </w:tc>
        <w:tc>
          <w:tcPr>
            <w:tcW w:w="863" w:type="pct"/>
            <w:tcBorders>
              <w:top w:val="single" w:sz="4" w:space="0" w:color="auto"/>
              <w:left w:val="nil"/>
              <w:bottom w:val="single" w:sz="4" w:space="0" w:color="auto"/>
              <w:right w:val="single" w:sz="4" w:space="0" w:color="auto"/>
            </w:tcBorders>
            <w:shd w:val="clear" w:color="auto" w:fill="auto"/>
            <w:noWrap/>
          </w:tcPr>
          <w:p w14:paraId="31A62543" w14:textId="77777777" w:rsidR="00CA7D73" w:rsidRPr="00C54988" w:rsidRDefault="00CA7D73" w:rsidP="00CA7D73">
            <w:pPr>
              <w:jc w:val="center"/>
              <w:rPr>
                <w:lang w:val="es-EC" w:eastAsia="es-EC"/>
              </w:rPr>
            </w:pPr>
            <w:r w:rsidRPr="00C54988">
              <w:rPr>
                <w:lang w:val="es-EC" w:eastAsia="es-EC"/>
              </w:rPr>
              <w:t>LD= 15.87 m</w:t>
            </w:r>
          </w:p>
        </w:tc>
        <w:tc>
          <w:tcPr>
            <w:tcW w:w="707" w:type="pct"/>
            <w:vMerge/>
            <w:tcBorders>
              <w:left w:val="nil"/>
              <w:bottom w:val="single" w:sz="4" w:space="0" w:color="auto"/>
              <w:right w:val="single" w:sz="4" w:space="0" w:color="auto"/>
            </w:tcBorders>
            <w:shd w:val="clear" w:color="auto" w:fill="auto"/>
            <w:vAlign w:val="center"/>
          </w:tcPr>
          <w:p w14:paraId="4DF05195" w14:textId="77777777" w:rsidR="00CA7D73" w:rsidRPr="00C54988" w:rsidRDefault="00CA7D73" w:rsidP="00CA7D73">
            <w:pPr>
              <w:rPr>
                <w:b/>
              </w:rPr>
            </w:pPr>
          </w:p>
        </w:tc>
      </w:tr>
      <w:tr w:rsidR="00CA7D73" w:rsidRPr="00C54988" w14:paraId="57A2100F" w14:textId="77777777" w:rsidTr="00086B25">
        <w:trPr>
          <w:trHeight w:val="197"/>
        </w:trPr>
        <w:tc>
          <w:tcPr>
            <w:tcW w:w="977" w:type="pct"/>
            <w:vMerge/>
            <w:tcBorders>
              <w:left w:val="single" w:sz="4" w:space="0" w:color="auto"/>
              <w:right w:val="single" w:sz="4" w:space="0" w:color="auto"/>
            </w:tcBorders>
            <w:shd w:val="clear" w:color="auto" w:fill="auto"/>
          </w:tcPr>
          <w:p w14:paraId="3C88893D" w14:textId="77777777" w:rsidR="00CA7D73" w:rsidRPr="00C54988" w:rsidRDefault="00CA7D73" w:rsidP="00CA7D73">
            <w:pPr>
              <w:rPr>
                <w:b/>
                <w:bCs/>
                <w:lang w:val="es-EC" w:eastAsia="es-EC"/>
              </w:rPr>
            </w:pPr>
          </w:p>
        </w:tc>
        <w:tc>
          <w:tcPr>
            <w:tcW w:w="433" w:type="pct"/>
            <w:tcBorders>
              <w:top w:val="single" w:sz="4" w:space="0" w:color="auto"/>
              <w:left w:val="nil"/>
              <w:bottom w:val="single" w:sz="4" w:space="0" w:color="auto"/>
              <w:right w:val="single" w:sz="4" w:space="0" w:color="auto"/>
            </w:tcBorders>
            <w:shd w:val="clear" w:color="auto" w:fill="auto"/>
          </w:tcPr>
          <w:p w14:paraId="5D05CBC4" w14:textId="77777777" w:rsidR="00CA7D73" w:rsidRPr="00C54988" w:rsidRDefault="00CA7D73" w:rsidP="00CA7D73">
            <w:pPr>
              <w:rPr>
                <w:b/>
                <w:bCs/>
                <w:lang w:val="es-EC" w:eastAsia="es-EC"/>
              </w:rPr>
            </w:pPr>
            <w:r w:rsidRPr="00C54988">
              <w:rPr>
                <w:b/>
                <w:bCs/>
                <w:lang w:val="es-EC" w:eastAsia="es-EC"/>
              </w:rPr>
              <w:t>Este:</w:t>
            </w:r>
          </w:p>
        </w:tc>
        <w:tc>
          <w:tcPr>
            <w:tcW w:w="1159" w:type="pct"/>
            <w:tcBorders>
              <w:top w:val="single" w:sz="4" w:space="0" w:color="auto"/>
              <w:left w:val="nil"/>
              <w:bottom w:val="single" w:sz="4" w:space="0" w:color="auto"/>
              <w:right w:val="single" w:sz="4" w:space="0" w:color="auto"/>
            </w:tcBorders>
            <w:shd w:val="clear" w:color="auto" w:fill="auto"/>
          </w:tcPr>
          <w:p w14:paraId="4266F98A" w14:textId="77777777" w:rsidR="00CA7D73" w:rsidRPr="00C54988" w:rsidRDefault="00CA7D73" w:rsidP="00CA7D73">
            <w:pPr>
              <w:jc w:val="center"/>
              <w:rPr>
                <w:lang w:val="es-EC" w:eastAsia="es-EC"/>
              </w:rPr>
            </w:pPr>
            <w:r w:rsidRPr="00C54988">
              <w:rPr>
                <w:lang w:val="es-EC" w:eastAsia="es-EC"/>
              </w:rPr>
              <w:t xml:space="preserve">Punto de Intersección </w:t>
            </w:r>
          </w:p>
        </w:tc>
        <w:tc>
          <w:tcPr>
            <w:tcW w:w="861" w:type="pct"/>
            <w:tcBorders>
              <w:top w:val="single" w:sz="4" w:space="0" w:color="auto"/>
              <w:left w:val="nil"/>
              <w:bottom w:val="single" w:sz="4" w:space="0" w:color="auto"/>
              <w:right w:val="single" w:sz="4" w:space="0" w:color="auto"/>
            </w:tcBorders>
            <w:shd w:val="clear" w:color="auto" w:fill="auto"/>
            <w:noWrap/>
          </w:tcPr>
          <w:p w14:paraId="03800D16" w14:textId="77777777" w:rsidR="00CA7D73" w:rsidRPr="00C54988" w:rsidRDefault="00CA7D73" w:rsidP="00CA7D73">
            <w:pPr>
              <w:jc w:val="center"/>
              <w:rPr>
                <w:lang w:val="es-EC" w:eastAsia="es-EC"/>
              </w:rPr>
            </w:pPr>
          </w:p>
        </w:tc>
        <w:tc>
          <w:tcPr>
            <w:tcW w:w="863" w:type="pct"/>
            <w:tcBorders>
              <w:top w:val="single" w:sz="4" w:space="0" w:color="auto"/>
              <w:left w:val="nil"/>
              <w:bottom w:val="single" w:sz="4" w:space="0" w:color="auto"/>
              <w:right w:val="single" w:sz="4" w:space="0" w:color="auto"/>
            </w:tcBorders>
            <w:shd w:val="clear" w:color="auto" w:fill="auto"/>
            <w:noWrap/>
            <w:vAlign w:val="center"/>
          </w:tcPr>
          <w:p w14:paraId="6282B252" w14:textId="77777777" w:rsidR="00CA7D73" w:rsidRPr="00C54988" w:rsidRDefault="00CA7D73" w:rsidP="00CA7D73">
            <w:pPr>
              <w:jc w:val="center"/>
              <w:rPr>
                <w:lang w:val="es-EC" w:eastAsia="es-EC"/>
              </w:rPr>
            </w:pPr>
            <w:r w:rsidRPr="00C54988">
              <w:rPr>
                <w:lang w:val="es-EC" w:eastAsia="es-EC"/>
              </w:rPr>
              <w:t>0.00 m</w:t>
            </w:r>
          </w:p>
        </w:tc>
        <w:tc>
          <w:tcPr>
            <w:tcW w:w="707" w:type="pct"/>
            <w:vMerge/>
            <w:tcBorders>
              <w:left w:val="nil"/>
              <w:bottom w:val="single" w:sz="4" w:space="0" w:color="auto"/>
              <w:right w:val="single" w:sz="4" w:space="0" w:color="auto"/>
            </w:tcBorders>
            <w:shd w:val="clear" w:color="auto" w:fill="auto"/>
            <w:vAlign w:val="center"/>
          </w:tcPr>
          <w:p w14:paraId="4AFFEFDF" w14:textId="77777777" w:rsidR="00CA7D73" w:rsidRPr="00C54988" w:rsidRDefault="00CA7D73" w:rsidP="00CA7D73">
            <w:pPr>
              <w:jc w:val="center"/>
              <w:rPr>
                <w:b/>
              </w:rPr>
            </w:pPr>
          </w:p>
        </w:tc>
      </w:tr>
      <w:tr w:rsidR="00CA7D73" w:rsidRPr="00C54988" w14:paraId="6EDAFFA7" w14:textId="77777777" w:rsidTr="00086B25">
        <w:trPr>
          <w:trHeight w:val="73"/>
        </w:trPr>
        <w:tc>
          <w:tcPr>
            <w:tcW w:w="977" w:type="pct"/>
            <w:vMerge/>
            <w:tcBorders>
              <w:left w:val="single" w:sz="4" w:space="0" w:color="auto"/>
              <w:bottom w:val="single" w:sz="4" w:space="0" w:color="auto"/>
              <w:right w:val="single" w:sz="4" w:space="0" w:color="auto"/>
            </w:tcBorders>
            <w:shd w:val="clear" w:color="auto" w:fill="auto"/>
          </w:tcPr>
          <w:p w14:paraId="7F4EE550" w14:textId="77777777" w:rsidR="00CA7D73" w:rsidRPr="00C54988" w:rsidRDefault="00CA7D73" w:rsidP="00CA7D73">
            <w:pPr>
              <w:rPr>
                <w:b/>
                <w:bCs/>
                <w:lang w:val="es-EC" w:eastAsia="es-EC"/>
              </w:rPr>
            </w:pPr>
          </w:p>
        </w:tc>
        <w:tc>
          <w:tcPr>
            <w:tcW w:w="433" w:type="pct"/>
            <w:tcBorders>
              <w:top w:val="single" w:sz="4" w:space="0" w:color="auto"/>
              <w:left w:val="nil"/>
              <w:bottom w:val="single" w:sz="4" w:space="0" w:color="auto"/>
              <w:right w:val="single" w:sz="4" w:space="0" w:color="auto"/>
            </w:tcBorders>
            <w:shd w:val="clear" w:color="auto" w:fill="auto"/>
          </w:tcPr>
          <w:p w14:paraId="10C0346A" w14:textId="77777777" w:rsidR="00CA7D73" w:rsidRPr="00C54988" w:rsidRDefault="00CA7D73" w:rsidP="00CA7D73">
            <w:pPr>
              <w:rPr>
                <w:b/>
                <w:bCs/>
                <w:lang w:val="es-EC" w:eastAsia="es-EC"/>
              </w:rPr>
            </w:pPr>
            <w:r w:rsidRPr="00C54988">
              <w:rPr>
                <w:b/>
                <w:bCs/>
                <w:lang w:val="es-EC" w:eastAsia="es-EC"/>
              </w:rPr>
              <w:t>Oeste:</w:t>
            </w:r>
          </w:p>
        </w:tc>
        <w:tc>
          <w:tcPr>
            <w:tcW w:w="1159" w:type="pct"/>
            <w:tcBorders>
              <w:top w:val="single" w:sz="4" w:space="0" w:color="auto"/>
              <w:left w:val="nil"/>
              <w:bottom w:val="single" w:sz="4" w:space="0" w:color="auto"/>
              <w:right w:val="single" w:sz="4" w:space="0" w:color="auto"/>
            </w:tcBorders>
            <w:shd w:val="clear" w:color="auto" w:fill="auto"/>
            <w:vAlign w:val="bottom"/>
          </w:tcPr>
          <w:p w14:paraId="38A76DD9" w14:textId="77777777" w:rsidR="00CA7D73" w:rsidRPr="00C54988" w:rsidRDefault="00CA7D73" w:rsidP="00CA7D73">
            <w:pPr>
              <w:jc w:val="center"/>
              <w:rPr>
                <w:lang w:val="es-EC" w:eastAsia="es-EC"/>
              </w:rPr>
            </w:pPr>
            <w:r w:rsidRPr="00C54988">
              <w:rPr>
                <w:lang w:val="es-EC" w:eastAsia="es-EC"/>
              </w:rPr>
              <w:t>Lote 126</w:t>
            </w:r>
          </w:p>
        </w:tc>
        <w:tc>
          <w:tcPr>
            <w:tcW w:w="861" w:type="pct"/>
            <w:tcBorders>
              <w:top w:val="single" w:sz="4" w:space="0" w:color="auto"/>
              <w:left w:val="nil"/>
              <w:bottom w:val="single" w:sz="4" w:space="0" w:color="auto"/>
              <w:right w:val="single" w:sz="4" w:space="0" w:color="auto"/>
            </w:tcBorders>
            <w:shd w:val="clear" w:color="auto" w:fill="auto"/>
            <w:noWrap/>
            <w:vAlign w:val="bottom"/>
          </w:tcPr>
          <w:p w14:paraId="0A2DDF2C" w14:textId="77777777" w:rsidR="00CA7D73" w:rsidRPr="00C54988" w:rsidRDefault="00CA7D73" w:rsidP="00CA7D73">
            <w:pPr>
              <w:jc w:val="center"/>
              <w:rPr>
                <w:lang w:val="es-EC" w:eastAsia="es-EC"/>
              </w:rPr>
            </w:pPr>
          </w:p>
        </w:tc>
        <w:tc>
          <w:tcPr>
            <w:tcW w:w="863" w:type="pct"/>
            <w:tcBorders>
              <w:top w:val="single" w:sz="4" w:space="0" w:color="auto"/>
              <w:left w:val="nil"/>
              <w:bottom w:val="single" w:sz="4" w:space="0" w:color="auto"/>
              <w:right w:val="single" w:sz="4" w:space="0" w:color="auto"/>
            </w:tcBorders>
            <w:shd w:val="clear" w:color="auto" w:fill="auto"/>
            <w:noWrap/>
            <w:vAlign w:val="bottom"/>
          </w:tcPr>
          <w:p w14:paraId="1CD75D73" w14:textId="77777777" w:rsidR="00CA7D73" w:rsidRPr="00C54988" w:rsidRDefault="00CA7D73" w:rsidP="00CA7D73">
            <w:pPr>
              <w:jc w:val="center"/>
              <w:rPr>
                <w:lang w:val="es-EC" w:eastAsia="es-EC"/>
              </w:rPr>
            </w:pPr>
            <w:r w:rsidRPr="00C54988">
              <w:rPr>
                <w:lang w:val="es-EC" w:eastAsia="es-EC"/>
              </w:rPr>
              <w:t>10.69 m</w:t>
            </w:r>
          </w:p>
        </w:tc>
        <w:tc>
          <w:tcPr>
            <w:tcW w:w="707" w:type="pct"/>
            <w:vMerge/>
            <w:tcBorders>
              <w:left w:val="nil"/>
              <w:bottom w:val="single" w:sz="4" w:space="0" w:color="auto"/>
              <w:right w:val="single" w:sz="4" w:space="0" w:color="auto"/>
            </w:tcBorders>
            <w:shd w:val="clear" w:color="auto" w:fill="auto"/>
            <w:vAlign w:val="center"/>
          </w:tcPr>
          <w:p w14:paraId="0D28BCAD" w14:textId="77777777" w:rsidR="00CA7D73" w:rsidRPr="00C54988" w:rsidRDefault="00CA7D73" w:rsidP="00CA7D73">
            <w:pPr>
              <w:jc w:val="center"/>
              <w:rPr>
                <w:b/>
              </w:rPr>
            </w:pPr>
          </w:p>
        </w:tc>
      </w:tr>
    </w:tbl>
    <w:p w14:paraId="750883D0" w14:textId="77777777" w:rsidR="00CA7D73" w:rsidRPr="00C54988" w:rsidRDefault="00CA7D73" w:rsidP="00C54988">
      <w:pPr>
        <w:spacing w:line="276" w:lineRule="auto"/>
        <w:jc w:val="both"/>
        <w:rPr>
          <w:b/>
          <w:lang w:val="es-EC"/>
        </w:rPr>
      </w:pPr>
    </w:p>
    <w:p w14:paraId="17233EC0" w14:textId="70E8B479" w:rsidR="00F04E14" w:rsidRPr="009A40F2" w:rsidRDefault="00F04E14" w:rsidP="009A40F2">
      <w:pPr>
        <w:spacing w:after="240" w:line="276" w:lineRule="auto"/>
        <w:jc w:val="both"/>
        <w:rPr>
          <w:sz w:val="22"/>
          <w:szCs w:val="22"/>
        </w:rPr>
      </w:pPr>
      <w:r w:rsidRPr="009A40F2">
        <w:rPr>
          <w:b/>
          <w:bCs/>
          <w:sz w:val="22"/>
          <w:szCs w:val="22"/>
          <w:lang w:val="es-EC" w:eastAsia="es-EC"/>
        </w:rPr>
        <w:t xml:space="preserve"> </w:t>
      </w:r>
      <w:r w:rsidR="009A40F2" w:rsidRPr="009A40F2">
        <w:rPr>
          <w:b/>
          <w:bCs/>
          <w:sz w:val="22"/>
          <w:szCs w:val="22"/>
          <w:lang w:val="es-EC" w:eastAsia="es-EC"/>
        </w:rPr>
        <w:t>A</w:t>
      </w:r>
      <w:r w:rsidR="007138B1" w:rsidRPr="009A40F2">
        <w:rPr>
          <w:b/>
          <w:sz w:val="22"/>
          <w:szCs w:val="22"/>
          <w:lang w:val="es-EC"/>
        </w:rPr>
        <w:t xml:space="preserve">rtículo </w:t>
      </w:r>
      <w:r w:rsidR="009A40F2" w:rsidRPr="009A40F2">
        <w:rPr>
          <w:b/>
          <w:sz w:val="22"/>
          <w:szCs w:val="22"/>
          <w:lang w:val="es-EC"/>
        </w:rPr>
        <w:t>1</w:t>
      </w:r>
      <w:r w:rsidR="00C71650">
        <w:rPr>
          <w:b/>
          <w:sz w:val="22"/>
          <w:szCs w:val="22"/>
          <w:lang w:val="es-EC"/>
        </w:rPr>
        <w:t>2</w:t>
      </w:r>
      <w:r w:rsidR="009A40F2" w:rsidRPr="009A40F2">
        <w:rPr>
          <w:b/>
          <w:sz w:val="22"/>
          <w:szCs w:val="22"/>
          <w:lang w:val="es-EC"/>
        </w:rPr>
        <w:t xml:space="preserve">.- </w:t>
      </w:r>
      <w:r w:rsidR="007138B1" w:rsidRPr="009A40F2">
        <w:rPr>
          <w:b/>
          <w:sz w:val="22"/>
          <w:szCs w:val="22"/>
          <w:lang w:val="es-EC"/>
        </w:rPr>
        <w:t>Calificación de Riesgos.-</w:t>
      </w:r>
      <w:r w:rsidR="007138B1" w:rsidRPr="00C54988">
        <w:rPr>
          <w:b/>
          <w:bCs/>
          <w:i/>
        </w:rPr>
        <w:t xml:space="preserve"> </w:t>
      </w:r>
      <w:r w:rsidR="007138B1" w:rsidRPr="00C54988">
        <w:rPr>
          <w:bCs/>
          <w:i/>
        </w:rPr>
        <w:t xml:space="preserve"> </w:t>
      </w:r>
      <w:r w:rsidR="007138B1" w:rsidRPr="009A40F2">
        <w:rPr>
          <w:sz w:val="22"/>
          <w:szCs w:val="22"/>
        </w:rPr>
        <w:t>El Asentamiento Humano de Hecho y Consolidado de Interés Social</w:t>
      </w:r>
      <w:r w:rsidR="007138B1" w:rsidRPr="009A40F2">
        <w:rPr>
          <w:bCs/>
          <w:color w:val="000000"/>
          <w:sz w:val="22"/>
          <w:szCs w:val="22"/>
        </w:rPr>
        <w:t xml:space="preserve"> denominado</w:t>
      </w:r>
      <w:r w:rsidR="00885CFB" w:rsidRPr="009A40F2">
        <w:rPr>
          <w:bCs/>
          <w:sz w:val="22"/>
          <w:szCs w:val="22"/>
        </w:rPr>
        <w:t xml:space="preserve"> </w:t>
      </w:r>
      <w:r w:rsidR="0059480A" w:rsidRPr="009A40F2">
        <w:rPr>
          <w:sz w:val="22"/>
          <w:szCs w:val="22"/>
        </w:rPr>
        <w:t>Comité Pro-Mejoras Del Barrio “18 de Septiembre”</w:t>
      </w:r>
      <w:r w:rsidR="00C55D90" w:rsidRPr="009A40F2">
        <w:rPr>
          <w:sz w:val="22"/>
          <w:szCs w:val="22"/>
        </w:rPr>
        <w:t xml:space="preserve"> ubicado en las parroquias San Isidro del Inca y Llano Chico</w:t>
      </w:r>
      <w:r w:rsidR="00AC3370" w:rsidRPr="009A40F2">
        <w:rPr>
          <w:bCs/>
          <w:sz w:val="22"/>
          <w:szCs w:val="22"/>
        </w:rPr>
        <w:t xml:space="preserve">, </w:t>
      </w:r>
      <w:r w:rsidR="007138B1" w:rsidRPr="009A40F2">
        <w:rPr>
          <w:sz w:val="22"/>
          <w:szCs w:val="22"/>
        </w:rPr>
        <w:t>deberá cumplir y acatar las recomendaciones que se encuentran determinadas en el informe de la Dirección Metropolitana de Gestión de Riesgos</w:t>
      </w:r>
      <w:r w:rsidR="007138B1" w:rsidRPr="009A40F2">
        <w:rPr>
          <w:bCs/>
          <w:sz w:val="22"/>
          <w:szCs w:val="22"/>
        </w:rPr>
        <w:t xml:space="preserve"> </w:t>
      </w:r>
      <w:r w:rsidRPr="009A40F2">
        <w:rPr>
          <w:sz w:val="22"/>
          <w:szCs w:val="22"/>
        </w:rPr>
        <w:t xml:space="preserve">No. 264-AT-DMGR-2018, de fecha 19 de septiembre de 2018, que califica al AHHYC Comité Pro-Mejoras del Barrio “18 de Septiembre” con: “…un </w:t>
      </w:r>
      <w:r w:rsidRPr="00B7466F">
        <w:rPr>
          <w:sz w:val="22"/>
          <w:szCs w:val="22"/>
        </w:rPr>
        <w:t>Riesgo Muy Alto</w:t>
      </w:r>
      <w:r w:rsidRPr="009A40F2">
        <w:rPr>
          <w:sz w:val="22"/>
          <w:szCs w:val="22"/>
        </w:rPr>
        <w:t xml:space="preserve"> para los lotes 01, 02, 03, 04, 05, 14, 15, 16, 17, 22, 23, 24, 25, 26, 72 y 104; </w:t>
      </w:r>
      <w:r w:rsidRPr="00B7466F">
        <w:rPr>
          <w:sz w:val="22"/>
          <w:szCs w:val="22"/>
        </w:rPr>
        <w:t>Riesgo Alto</w:t>
      </w:r>
      <w:r w:rsidRPr="009A40F2">
        <w:rPr>
          <w:sz w:val="22"/>
          <w:szCs w:val="22"/>
        </w:rPr>
        <w:t xml:space="preserve"> para los lotes 06, 07, 08, 09, 10, 11, 12, 13, 18, 19, 20, 21, 41, 42, 43, 45, 53, 54, 68, 70, 72, 73, 80, 81, 82, 83, 84, 85, 86, 87, 88, 89, 90, 91, 93, 94, 95, 102, 103 y 112; </w:t>
      </w:r>
      <w:r w:rsidRPr="00B7466F">
        <w:rPr>
          <w:sz w:val="22"/>
          <w:szCs w:val="22"/>
        </w:rPr>
        <w:t>Riesgo Moderado</w:t>
      </w:r>
      <w:r w:rsidRPr="009A40F2">
        <w:rPr>
          <w:sz w:val="22"/>
          <w:szCs w:val="22"/>
        </w:rPr>
        <w:t xml:space="preserve"> para los lotes 30, 33, 34, 35, 37, 39, 46, 47, 55, 56, 57, 58, 59, 60, 61, 62, 66, 67, 92, 96, 97, 98, 99, 100, 101, 105, 31, 36, 38, 40, 48, 49, 50, 51, 52, 69, 71, 106, 107, 108, 110, 113, 114, 116, 125; y </w:t>
      </w:r>
      <w:r w:rsidRPr="00B7466F">
        <w:rPr>
          <w:sz w:val="22"/>
          <w:szCs w:val="22"/>
        </w:rPr>
        <w:t>Riesgo Bajo</w:t>
      </w:r>
      <w:r w:rsidRPr="009A40F2">
        <w:rPr>
          <w:sz w:val="22"/>
          <w:szCs w:val="22"/>
        </w:rPr>
        <w:t xml:space="preserve"> para los lotes restantes.  Los lotes calificados como </w:t>
      </w:r>
      <w:r w:rsidRPr="00B7466F">
        <w:rPr>
          <w:sz w:val="22"/>
          <w:szCs w:val="22"/>
        </w:rPr>
        <w:t>Riesgo Muy Alto</w:t>
      </w:r>
      <w:r w:rsidRPr="009A40F2">
        <w:rPr>
          <w:sz w:val="22"/>
          <w:szCs w:val="22"/>
        </w:rPr>
        <w:t xml:space="preserve"> se ubican en una zona colindante con la quebrada San Antonio”</w:t>
      </w:r>
      <w:r w:rsidR="007138B1" w:rsidRPr="009A40F2">
        <w:rPr>
          <w:sz w:val="22"/>
          <w:szCs w:val="22"/>
        </w:rPr>
        <w:t>.</w:t>
      </w:r>
      <w:r w:rsidRPr="009A40F2">
        <w:rPr>
          <w:sz w:val="22"/>
          <w:szCs w:val="22"/>
        </w:rPr>
        <w:t xml:space="preserve"> Así como los constantes en el Oficio No. GADDMQ-SGSG-DMGR-2019-0743-OF, de fecha 18 de Septiembre de 2019, emitido por el Director Metropolitano de Gestión de Riesgos, de la Secretaría General de Seguridad y Gobernabilidad, en el cual “…se </w:t>
      </w:r>
      <w:r w:rsidRPr="00B7466F">
        <w:rPr>
          <w:sz w:val="22"/>
          <w:szCs w:val="22"/>
        </w:rPr>
        <w:t>ratifica</w:t>
      </w:r>
      <w:r w:rsidRPr="009A40F2">
        <w:rPr>
          <w:sz w:val="22"/>
          <w:szCs w:val="22"/>
        </w:rPr>
        <w:t xml:space="preserve"> en la calificación del nivel del riesgo frente a movimientos en masa, indicando que el AHHYC “18 de Septiembre” presenta varios niveles de riesgo, sin embargo se debe </w:t>
      </w:r>
      <w:r w:rsidRPr="00B7466F">
        <w:rPr>
          <w:sz w:val="22"/>
          <w:szCs w:val="22"/>
        </w:rPr>
        <w:t>rectificar</w:t>
      </w:r>
      <w:r w:rsidRPr="009A40F2">
        <w:rPr>
          <w:sz w:val="22"/>
          <w:szCs w:val="22"/>
        </w:rPr>
        <w:t xml:space="preserve"> indicando que el nivel de </w:t>
      </w:r>
      <w:r w:rsidRPr="00B7466F">
        <w:rPr>
          <w:sz w:val="22"/>
          <w:szCs w:val="22"/>
        </w:rPr>
        <w:t>riesgo es mitigable</w:t>
      </w:r>
      <w:r w:rsidRPr="009A40F2">
        <w:rPr>
          <w:sz w:val="22"/>
          <w:szCs w:val="22"/>
        </w:rPr>
        <w:t xml:space="preserve">, en tal virtud y con las observaciones realizadas, la Dirección Metropolitana de Gestión de Riesgos indica que los lotes del AHHYC “18 de Septiembre” presenta un </w:t>
      </w:r>
      <w:r w:rsidRPr="00216C61">
        <w:rPr>
          <w:sz w:val="22"/>
          <w:szCs w:val="22"/>
        </w:rPr>
        <w:t xml:space="preserve">Riesgo Muy Alto para los lotes 01, 02, 03, 04, 05, 14, 15, 16, 17, 22, 23, 24, 25, 26, 72 y 104; </w:t>
      </w:r>
      <w:r w:rsidRPr="00F67FB0">
        <w:rPr>
          <w:b/>
          <w:sz w:val="22"/>
          <w:szCs w:val="22"/>
        </w:rPr>
        <w:t>Riesgo Alto para los lotes 06, 07, 08, 09, 10, 11, 12, 13, 18, 19, 20, 21, 41, 42, 43, 45, 53, 54, 68, 70, 72, 73, 80, 81, 82, 83, 84, 85, 86, 87, 88, 89, 90, 91, 93, 94, 95, 102, 103 y 112; Riesgo Moderado para los lotes 30, 33, 34, 35, 37, 39, 46, 47, 55, 56, 57, 58, 59, 60, 61, 62, 66, 67, 92, 96, 97, 98, 99, 100, 101, 105, 31, 36, 38, 40, 48, 49, 50, 51, 52, 69, 71, 106, 107, 108, 110, 113, 114, 116, 125; y Riesgo Bajo para los lotes restantes.”</w:t>
      </w:r>
    </w:p>
    <w:p w14:paraId="4F554204" w14:textId="44519587" w:rsidR="00BF688F" w:rsidRPr="009A40F2" w:rsidRDefault="00BF688F" w:rsidP="009A40F2">
      <w:pPr>
        <w:spacing w:after="240" w:line="276" w:lineRule="auto"/>
        <w:jc w:val="both"/>
        <w:rPr>
          <w:sz w:val="22"/>
          <w:szCs w:val="22"/>
        </w:rPr>
      </w:pPr>
      <w:r w:rsidRPr="009A40F2">
        <w:rPr>
          <w:sz w:val="22"/>
          <w:szCs w:val="22"/>
        </w:rPr>
        <w:t xml:space="preserve">Los copropietarios del </w:t>
      </w:r>
      <w:r w:rsidR="004462D0" w:rsidRPr="009A40F2">
        <w:rPr>
          <w:sz w:val="22"/>
          <w:szCs w:val="22"/>
        </w:rPr>
        <w:t>asentamiento humano de hecho y consolidado</w:t>
      </w:r>
      <w:r w:rsidR="004462D0" w:rsidRPr="009A40F2">
        <w:rPr>
          <w:bCs/>
          <w:sz w:val="22"/>
          <w:szCs w:val="22"/>
          <w:lang w:val="es-ES_tradnl"/>
        </w:rPr>
        <w:t xml:space="preserve"> </w:t>
      </w:r>
      <w:r w:rsidRPr="009A40F2">
        <w:rPr>
          <w:bCs/>
          <w:sz w:val="22"/>
          <w:szCs w:val="22"/>
          <w:lang w:val="es-ES_tradnl"/>
        </w:rPr>
        <w:t xml:space="preserve">denominado </w:t>
      </w:r>
      <w:r w:rsidR="0059480A" w:rsidRPr="009A40F2">
        <w:rPr>
          <w:sz w:val="22"/>
          <w:szCs w:val="22"/>
        </w:rPr>
        <w:t>Comité Pro-Mejoras</w:t>
      </w:r>
      <w:r w:rsidR="004462D0">
        <w:rPr>
          <w:sz w:val="22"/>
          <w:szCs w:val="22"/>
        </w:rPr>
        <w:t xml:space="preserve"> d</w:t>
      </w:r>
      <w:r w:rsidR="0059480A" w:rsidRPr="009A40F2">
        <w:rPr>
          <w:sz w:val="22"/>
          <w:szCs w:val="22"/>
        </w:rPr>
        <w:t>el Barrio “18 de Septiembre”</w:t>
      </w:r>
      <w:r w:rsidR="00142CA3" w:rsidRPr="009A40F2">
        <w:rPr>
          <w:sz w:val="22"/>
          <w:szCs w:val="22"/>
        </w:rPr>
        <w:t xml:space="preserve"> ubicado en las parroquias San Isidro del Inca y Llano Chico</w:t>
      </w:r>
      <w:r w:rsidRPr="009A40F2">
        <w:rPr>
          <w:sz w:val="22"/>
          <w:szCs w:val="22"/>
        </w:rPr>
        <w:t xml:space="preserve">,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w:t>
      </w:r>
      <w:r w:rsidR="00F04E14" w:rsidRPr="009A40F2">
        <w:rPr>
          <w:sz w:val="22"/>
          <w:szCs w:val="22"/>
        </w:rPr>
        <w:t>Eugenio Espejo</w:t>
      </w:r>
      <w:r w:rsidRPr="009A40F2">
        <w:rPr>
          <w:sz w:val="22"/>
          <w:szCs w:val="22"/>
        </w:rPr>
        <w:t xml:space="preserve">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14D260C8" w14:textId="20A5A6CD" w:rsidR="00BF688F" w:rsidRPr="009A40F2" w:rsidRDefault="00BF688F" w:rsidP="009A40F2">
      <w:pPr>
        <w:spacing w:after="240" w:line="276" w:lineRule="auto"/>
        <w:jc w:val="both"/>
        <w:rPr>
          <w:sz w:val="22"/>
          <w:szCs w:val="22"/>
        </w:rPr>
      </w:pPr>
      <w:r w:rsidRPr="009A40F2">
        <w:rPr>
          <w:sz w:val="22"/>
          <w:szCs w:val="22"/>
        </w:rPr>
        <w:t xml:space="preserve">La Agencia Metropolitana de Control será notificada con el cronograma de obras de mitigación y realizará el seguimiento en la ejecución y avance de las obras de mitigación hasta la terminación de las mismas. </w:t>
      </w:r>
    </w:p>
    <w:p w14:paraId="3A6AC02A" w14:textId="6BB619E9" w:rsidR="007A35F2" w:rsidRPr="00C54988" w:rsidRDefault="00142CA3" w:rsidP="009A40F2">
      <w:pPr>
        <w:spacing w:after="240" w:line="276" w:lineRule="auto"/>
        <w:jc w:val="both"/>
        <w:rPr>
          <w:bCs/>
          <w:i/>
        </w:rPr>
      </w:pPr>
      <w:r w:rsidRPr="009A40F2">
        <w:rPr>
          <w:sz w:val="22"/>
          <w:szCs w:val="22"/>
        </w:rPr>
        <w:t>La Secretarí</w:t>
      </w:r>
      <w:r w:rsidR="00BF688F" w:rsidRPr="009A40F2">
        <w:rPr>
          <w:sz w:val="22"/>
          <w:szCs w:val="22"/>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AF5E6F" w:rsidRPr="009A40F2">
        <w:rPr>
          <w:sz w:val="22"/>
          <w:szCs w:val="22"/>
        </w:rPr>
        <w:t>”</w:t>
      </w:r>
    </w:p>
    <w:p w14:paraId="0F1A0FD6" w14:textId="4F92780F" w:rsidR="00E55568" w:rsidRPr="00B82F65" w:rsidRDefault="00E55568" w:rsidP="00E55568">
      <w:pPr>
        <w:spacing w:after="240" w:line="276" w:lineRule="auto"/>
        <w:jc w:val="both"/>
        <w:rPr>
          <w:bCs/>
          <w:sz w:val="22"/>
          <w:szCs w:val="22"/>
        </w:rPr>
      </w:pPr>
      <w:r w:rsidRPr="00B82F65">
        <w:rPr>
          <w:b/>
          <w:sz w:val="22"/>
          <w:szCs w:val="22"/>
          <w:lang w:val="es-EC"/>
        </w:rPr>
        <w:t xml:space="preserve">Artículo </w:t>
      </w:r>
      <w:r w:rsidR="005A54E0" w:rsidRPr="00B82F65">
        <w:rPr>
          <w:b/>
          <w:sz w:val="22"/>
          <w:szCs w:val="22"/>
          <w:lang w:val="es-EC"/>
        </w:rPr>
        <w:t>1</w:t>
      </w:r>
      <w:r w:rsidR="00C71650">
        <w:rPr>
          <w:b/>
          <w:sz w:val="22"/>
          <w:szCs w:val="22"/>
          <w:lang w:val="es-EC"/>
        </w:rPr>
        <w:t>3</w:t>
      </w:r>
      <w:r w:rsidRPr="00B82F65">
        <w:rPr>
          <w:b/>
          <w:sz w:val="22"/>
          <w:szCs w:val="22"/>
          <w:lang w:val="es-EC"/>
        </w:rPr>
        <w:t>.-</w:t>
      </w:r>
      <w:r w:rsidRPr="00B82F65">
        <w:rPr>
          <w:sz w:val="22"/>
          <w:szCs w:val="22"/>
          <w:lang w:val="es-EC"/>
        </w:rPr>
        <w:t xml:space="preserve"> </w:t>
      </w:r>
      <w:r w:rsidRPr="00B82F65">
        <w:rPr>
          <w:bCs/>
          <w:sz w:val="22"/>
          <w:szCs w:val="22"/>
        </w:rPr>
        <w:t xml:space="preserve">Sustitúyase el artículo 6 de la </w:t>
      </w:r>
      <w:r w:rsidR="0059480A" w:rsidRPr="00B82F65">
        <w:rPr>
          <w:bCs/>
          <w:sz w:val="22"/>
          <w:szCs w:val="22"/>
        </w:rPr>
        <w:t>Ordenanza No. 0473, sancionada el 26 de diciembre de 2013</w:t>
      </w:r>
      <w:r w:rsidRPr="00B82F65">
        <w:rPr>
          <w:bCs/>
          <w:sz w:val="22"/>
          <w:szCs w:val="22"/>
        </w:rPr>
        <w:t>, por el siguiente:</w:t>
      </w:r>
    </w:p>
    <w:p w14:paraId="3859B27A" w14:textId="1200936D" w:rsidR="00E55568" w:rsidRPr="00C54988" w:rsidRDefault="00E55568" w:rsidP="00E55568">
      <w:pPr>
        <w:jc w:val="both"/>
        <w:rPr>
          <w:i/>
        </w:rPr>
      </w:pPr>
      <w:r w:rsidRPr="00C54988">
        <w:rPr>
          <w:b/>
          <w:i/>
        </w:rPr>
        <w:t>Articulo 6.-</w:t>
      </w:r>
      <w:r w:rsidR="00B203C4" w:rsidRPr="00C54988">
        <w:rPr>
          <w:b/>
          <w:bCs/>
          <w:i/>
        </w:rPr>
        <w:t xml:space="preserve">De las vías, </w:t>
      </w:r>
      <w:r w:rsidRPr="00C54988">
        <w:rPr>
          <w:b/>
          <w:bCs/>
          <w:i/>
        </w:rPr>
        <w:t>pasajes</w:t>
      </w:r>
      <w:r w:rsidR="00B203C4" w:rsidRPr="00C54988">
        <w:rPr>
          <w:b/>
          <w:bCs/>
          <w:i/>
        </w:rPr>
        <w:t xml:space="preserve"> y escalinatas</w:t>
      </w:r>
      <w:r w:rsidRPr="00C54988">
        <w:rPr>
          <w:b/>
          <w:bCs/>
          <w:i/>
        </w:rPr>
        <w:t xml:space="preserve">.- </w:t>
      </w:r>
      <w:r w:rsidRPr="00C54988">
        <w:rPr>
          <w:i/>
        </w:rPr>
        <w:t xml:space="preserve">El </w:t>
      </w:r>
      <w:r w:rsidR="004462D0" w:rsidRPr="00C54988">
        <w:rPr>
          <w:i/>
        </w:rPr>
        <w:t xml:space="preserve">asentamiento humano de hecho y consolidado de interés </w:t>
      </w:r>
      <w:r w:rsidR="004462D0">
        <w:rPr>
          <w:i/>
        </w:rPr>
        <w:t>s</w:t>
      </w:r>
      <w:r w:rsidRPr="00C54988">
        <w:rPr>
          <w:i/>
        </w:rPr>
        <w:t xml:space="preserve">ocial denominado </w:t>
      </w:r>
      <w:r w:rsidR="0059480A" w:rsidRPr="00C54988">
        <w:rPr>
          <w:i/>
        </w:rPr>
        <w:t>Comité Pro-Mejoras Del Barrio “18 de Septiembre”</w:t>
      </w:r>
      <w:r w:rsidR="00142CA3" w:rsidRPr="00C54988">
        <w:t xml:space="preserve"> </w:t>
      </w:r>
      <w:r w:rsidR="00142CA3" w:rsidRPr="00C54988">
        <w:rPr>
          <w:i/>
        </w:rPr>
        <w:t>ubicado en las parroquias San Isidro del Inca y Llano Chico</w:t>
      </w:r>
      <w:r w:rsidRPr="00C54988">
        <w:rPr>
          <w:i/>
        </w:rPr>
        <w:t xml:space="preserve">, contempla un sistema vial de uso público, debido a que éste es un </w:t>
      </w:r>
      <w:r w:rsidR="004462D0" w:rsidRPr="00C54988">
        <w:rPr>
          <w:i/>
        </w:rPr>
        <w:t>asentamiento humano de hecho y consolidado</w:t>
      </w:r>
      <w:r w:rsidRPr="00C54988">
        <w:rPr>
          <w:i/>
        </w:rPr>
        <w:t xml:space="preserve"> de </w:t>
      </w:r>
      <w:r w:rsidR="00970299" w:rsidRPr="00C54988">
        <w:rPr>
          <w:i/>
        </w:rPr>
        <w:t>25</w:t>
      </w:r>
      <w:r w:rsidR="005A54E0" w:rsidRPr="00C54988">
        <w:rPr>
          <w:i/>
        </w:rPr>
        <w:t xml:space="preserve"> </w:t>
      </w:r>
      <w:r w:rsidRPr="00C54988">
        <w:rPr>
          <w:i/>
        </w:rPr>
        <w:t xml:space="preserve">años de existencia, con </w:t>
      </w:r>
      <w:r w:rsidR="00970299" w:rsidRPr="00C54988">
        <w:rPr>
          <w:i/>
        </w:rPr>
        <w:t xml:space="preserve">79,36% </w:t>
      </w:r>
      <w:r w:rsidRPr="00C54988">
        <w:rPr>
          <w:i/>
        </w:rPr>
        <w:t>de consolidación de viviendas y se encuentra ejecutando obras de infraestructura, razón por la cual los anchos</w:t>
      </w:r>
      <w:r w:rsidR="00B203C4" w:rsidRPr="00C54988">
        <w:rPr>
          <w:i/>
        </w:rPr>
        <w:t xml:space="preserve"> viales, </w:t>
      </w:r>
      <w:r w:rsidRPr="00C54988">
        <w:rPr>
          <w:i/>
        </w:rPr>
        <w:t xml:space="preserve">de pasajes </w:t>
      </w:r>
      <w:r w:rsidR="00B203C4" w:rsidRPr="00C54988">
        <w:rPr>
          <w:i/>
        </w:rPr>
        <w:t xml:space="preserve">y escalinatas </w:t>
      </w:r>
      <w:r w:rsidRPr="00C54988">
        <w:rPr>
          <w:i/>
        </w:rPr>
        <w:t xml:space="preserve">se sujetarán al plano adjunto a la presente ordenanza. </w:t>
      </w:r>
    </w:p>
    <w:p w14:paraId="316B03BB" w14:textId="77777777" w:rsidR="000005B3" w:rsidRPr="00C54988" w:rsidRDefault="000005B3" w:rsidP="00E55568">
      <w:pPr>
        <w:jc w:val="both"/>
        <w:rPr>
          <w:i/>
        </w:rPr>
      </w:pPr>
    </w:p>
    <w:p w14:paraId="6231EFA4" w14:textId="394A6BDF" w:rsidR="000005B3" w:rsidRPr="00C54988" w:rsidRDefault="000005B3" w:rsidP="000005B3">
      <w:pPr>
        <w:spacing w:line="276" w:lineRule="auto"/>
        <w:jc w:val="both"/>
        <w:rPr>
          <w:bCs/>
          <w:i/>
        </w:rPr>
      </w:pPr>
      <w:r w:rsidRPr="00C54988">
        <w:rPr>
          <w:i/>
        </w:rPr>
        <w:t xml:space="preserve">Se </w:t>
      </w:r>
      <w:r w:rsidR="00B203C4" w:rsidRPr="00C54988">
        <w:rPr>
          <w:i/>
        </w:rPr>
        <w:t xml:space="preserve">regularizan las calles, </w:t>
      </w:r>
      <w:r w:rsidRPr="00C54988">
        <w:rPr>
          <w:i/>
        </w:rPr>
        <w:t>pasajes</w:t>
      </w:r>
      <w:r w:rsidR="00B203C4" w:rsidRPr="00C54988">
        <w:rPr>
          <w:i/>
        </w:rPr>
        <w:t xml:space="preserve"> y escalinatas</w:t>
      </w:r>
      <w:r w:rsidRPr="00C54988">
        <w:rPr>
          <w:i/>
        </w:rPr>
        <w:t xml:space="preserve"> con los siguientes anchos:</w:t>
      </w:r>
    </w:p>
    <w:p w14:paraId="17A27856" w14:textId="4C1F1C27" w:rsidR="00E55568" w:rsidRPr="00C54988" w:rsidRDefault="00E55568" w:rsidP="000113CD">
      <w:pPr>
        <w:jc w:val="both"/>
        <w:rPr>
          <w:i/>
          <w:lang w:val="es-EC"/>
        </w:rPr>
      </w:pPr>
    </w:p>
    <w:tbl>
      <w:tblPr>
        <w:tblStyle w:val="Tablaconcuadrcula"/>
        <w:tblW w:w="0" w:type="auto"/>
        <w:tblLook w:val="04A0" w:firstRow="1" w:lastRow="0" w:firstColumn="1" w:lastColumn="0" w:noHBand="0" w:noVBand="1"/>
      </w:tblPr>
      <w:tblGrid>
        <w:gridCol w:w="2605"/>
        <w:gridCol w:w="2338"/>
      </w:tblGrid>
      <w:tr w:rsidR="00970299" w:rsidRPr="00C54988" w14:paraId="21AEC68C" w14:textId="77777777" w:rsidTr="00C54988">
        <w:trPr>
          <w:trHeight w:hRule="exact" w:val="284"/>
        </w:trPr>
        <w:tc>
          <w:tcPr>
            <w:tcW w:w="0" w:type="auto"/>
          </w:tcPr>
          <w:p w14:paraId="2CAC4F46" w14:textId="2B29D733" w:rsidR="00970299" w:rsidRPr="00C54988" w:rsidRDefault="00970299" w:rsidP="002F789F">
            <w:pPr>
              <w:spacing w:after="240" w:line="276" w:lineRule="auto"/>
              <w:jc w:val="both"/>
              <w:rPr>
                <w:b/>
                <w:lang w:val="es-EC"/>
              </w:rPr>
            </w:pPr>
            <w:r w:rsidRPr="00C54988">
              <w:rPr>
                <w:i/>
              </w:rPr>
              <w:t>Calle E15I</w:t>
            </w:r>
          </w:p>
        </w:tc>
        <w:tc>
          <w:tcPr>
            <w:tcW w:w="0" w:type="auto"/>
          </w:tcPr>
          <w:p w14:paraId="6969FA28" w14:textId="47881920" w:rsidR="00970299" w:rsidRPr="00C54988" w:rsidRDefault="00A411D5" w:rsidP="002F789F">
            <w:pPr>
              <w:spacing w:after="240" w:line="276" w:lineRule="auto"/>
              <w:jc w:val="both"/>
              <w:rPr>
                <w:b/>
                <w:lang w:val="es-EC"/>
              </w:rPr>
            </w:pPr>
            <w:r w:rsidRPr="00C54988">
              <w:rPr>
                <w:i/>
              </w:rPr>
              <w:t>(9.84 m – 7.99m) Variable</w:t>
            </w:r>
          </w:p>
        </w:tc>
      </w:tr>
      <w:tr w:rsidR="00970299" w:rsidRPr="00C54988" w14:paraId="2C1393B3" w14:textId="77777777" w:rsidTr="00C54988">
        <w:trPr>
          <w:trHeight w:hRule="exact" w:val="284"/>
        </w:trPr>
        <w:tc>
          <w:tcPr>
            <w:tcW w:w="0" w:type="auto"/>
          </w:tcPr>
          <w:p w14:paraId="49039F8F" w14:textId="13C7D99A" w:rsidR="00970299" w:rsidRPr="00C54988" w:rsidRDefault="00970299" w:rsidP="002F789F">
            <w:pPr>
              <w:spacing w:after="240" w:line="276" w:lineRule="auto"/>
              <w:jc w:val="both"/>
              <w:rPr>
                <w:b/>
                <w:lang w:val="es-EC"/>
              </w:rPr>
            </w:pPr>
            <w:r w:rsidRPr="00C54988">
              <w:rPr>
                <w:i/>
              </w:rPr>
              <w:t>Pasaje E15H</w:t>
            </w:r>
            <w:r w:rsidRPr="00C54988">
              <w:rPr>
                <w:i/>
              </w:rPr>
              <w:tab/>
            </w:r>
          </w:p>
        </w:tc>
        <w:tc>
          <w:tcPr>
            <w:tcW w:w="0" w:type="auto"/>
          </w:tcPr>
          <w:p w14:paraId="2B0CFB5B" w14:textId="5207D891" w:rsidR="00970299" w:rsidRPr="00C54988" w:rsidRDefault="00A411D5" w:rsidP="002F789F">
            <w:pPr>
              <w:spacing w:after="240" w:line="276" w:lineRule="auto"/>
              <w:jc w:val="both"/>
              <w:rPr>
                <w:b/>
                <w:lang w:val="es-EC"/>
              </w:rPr>
            </w:pPr>
            <w:r w:rsidRPr="00C54988">
              <w:rPr>
                <w:i/>
              </w:rPr>
              <w:t>(3.16m – 3.03m) Variable</w:t>
            </w:r>
          </w:p>
        </w:tc>
      </w:tr>
      <w:tr w:rsidR="00970299" w:rsidRPr="00C54988" w14:paraId="5E241599" w14:textId="77777777" w:rsidTr="00C54988">
        <w:trPr>
          <w:trHeight w:hRule="exact" w:val="284"/>
        </w:trPr>
        <w:tc>
          <w:tcPr>
            <w:tcW w:w="0" w:type="auto"/>
          </w:tcPr>
          <w:p w14:paraId="0615F201" w14:textId="329DD184" w:rsidR="00970299" w:rsidRPr="00C54988" w:rsidRDefault="00970299" w:rsidP="002F789F">
            <w:pPr>
              <w:spacing w:after="240" w:line="276" w:lineRule="auto"/>
              <w:jc w:val="both"/>
              <w:rPr>
                <w:b/>
                <w:lang w:val="es-EC"/>
              </w:rPr>
            </w:pPr>
            <w:r w:rsidRPr="00C54988">
              <w:rPr>
                <w:i/>
              </w:rPr>
              <w:t>Calle N64C</w:t>
            </w:r>
            <w:r w:rsidRPr="00C54988">
              <w:rPr>
                <w:i/>
              </w:rPr>
              <w:tab/>
            </w:r>
          </w:p>
        </w:tc>
        <w:tc>
          <w:tcPr>
            <w:tcW w:w="0" w:type="auto"/>
          </w:tcPr>
          <w:p w14:paraId="12F1B7C7" w14:textId="70C855B6" w:rsidR="00970299" w:rsidRPr="00C54988" w:rsidRDefault="00A411D5" w:rsidP="002F789F">
            <w:pPr>
              <w:spacing w:after="240" w:line="276" w:lineRule="auto"/>
              <w:jc w:val="both"/>
              <w:rPr>
                <w:b/>
                <w:lang w:val="es-EC"/>
              </w:rPr>
            </w:pPr>
            <w:r w:rsidRPr="00C54988">
              <w:rPr>
                <w:i/>
              </w:rPr>
              <w:t>(6.00m – 8.00m) Variable</w:t>
            </w:r>
          </w:p>
        </w:tc>
      </w:tr>
      <w:tr w:rsidR="00970299" w:rsidRPr="00C54988" w14:paraId="40B93FD1" w14:textId="77777777" w:rsidTr="00C54988">
        <w:trPr>
          <w:trHeight w:hRule="exact" w:val="284"/>
        </w:trPr>
        <w:tc>
          <w:tcPr>
            <w:tcW w:w="0" w:type="auto"/>
          </w:tcPr>
          <w:p w14:paraId="295D734A" w14:textId="0AEF9DF0" w:rsidR="00970299" w:rsidRPr="00C54988" w:rsidRDefault="00A411D5" w:rsidP="00A411D5">
            <w:pPr>
              <w:jc w:val="both"/>
              <w:rPr>
                <w:b/>
                <w:lang w:val="es-EC"/>
              </w:rPr>
            </w:pPr>
            <w:r w:rsidRPr="00C54988">
              <w:rPr>
                <w:i/>
              </w:rPr>
              <w:t>Calle N4G DE LOS PENCOS</w:t>
            </w:r>
          </w:p>
        </w:tc>
        <w:tc>
          <w:tcPr>
            <w:tcW w:w="0" w:type="auto"/>
          </w:tcPr>
          <w:p w14:paraId="011C9628" w14:textId="7E75DADC" w:rsidR="00970299" w:rsidRPr="00C54988" w:rsidRDefault="00A411D5" w:rsidP="002F789F">
            <w:pPr>
              <w:spacing w:after="240" w:line="276" w:lineRule="auto"/>
              <w:jc w:val="both"/>
              <w:rPr>
                <w:b/>
                <w:lang w:val="es-EC"/>
              </w:rPr>
            </w:pPr>
            <w:r w:rsidRPr="00C54988">
              <w:rPr>
                <w:i/>
              </w:rPr>
              <w:t>(9.24m –7.42m) Variable</w:t>
            </w:r>
          </w:p>
        </w:tc>
      </w:tr>
      <w:tr w:rsidR="00970299" w:rsidRPr="00C54988" w14:paraId="2A90A2A3" w14:textId="77777777" w:rsidTr="00C54988">
        <w:trPr>
          <w:trHeight w:hRule="exact" w:val="284"/>
        </w:trPr>
        <w:tc>
          <w:tcPr>
            <w:tcW w:w="0" w:type="auto"/>
          </w:tcPr>
          <w:p w14:paraId="1DD2131D" w14:textId="57F14C96" w:rsidR="00970299" w:rsidRPr="00C54988" w:rsidRDefault="00A411D5" w:rsidP="002F789F">
            <w:pPr>
              <w:spacing w:after="240" w:line="276" w:lineRule="auto"/>
              <w:jc w:val="both"/>
              <w:rPr>
                <w:b/>
                <w:lang w:val="es-EC"/>
              </w:rPr>
            </w:pPr>
            <w:r w:rsidRPr="00C54988">
              <w:rPr>
                <w:i/>
              </w:rPr>
              <w:t>Escalinata E15H</w:t>
            </w:r>
          </w:p>
        </w:tc>
        <w:tc>
          <w:tcPr>
            <w:tcW w:w="0" w:type="auto"/>
          </w:tcPr>
          <w:p w14:paraId="1F340AD7" w14:textId="25117A99" w:rsidR="00970299" w:rsidRPr="00C54988" w:rsidRDefault="00A411D5" w:rsidP="002F789F">
            <w:pPr>
              <w:spacing w:after="240" w:line="276" w:lineRule="auto"/>
              <w:jc w:val="both"/>
              <w:rPr>
                <w:b/>
                <w:lang w:val="es-EC"/>
              </w:rPr>
            </w:pPr>
            <w:r w:rsidRPr="00C54988">
              <w:rPr>
                <w:i/>
              </w:rPr>
              <w:t>(2.95m –3.16m) Variable</w:t>
            </w:r>
          </w:p>
        </w:tc>
      </w:tr>
      <w:tr w:rsidR="00970299" w:rsidRPr="00C54988" w14:paraId="662F707C" w14:textId="77777777" w:rsidTr="00C54988">
        <w:trPr>
          <w:trHeight w:hRule="exact" w:val="284"/>
        </w:trPr>
        <w:tc>
          <w:tcPr>
            <w:tcW w:w="0" w:type="auto"/>
          </w:tcPr>
          <w:p w14:paraId="09BC1A77" w14:textId="03737991" w:rsidR="00970299" w:rsidRPr="00C54988" w:rsidRDefault="00A411D5" w:rsidP="002F789F">
            <w:pPr>
              <w:spacing w:after="240" w:line="276" w:lineRule="auto"/>
              <w:jc w:val="both"/>
              <w:rPr>
                <w:b/>
                <w:lang w:val="es-EC"/>
              </w:rPr>
            </w:pPr>
            <w:r w:rsidRPr="00C54988">
              <w:rPr>
                <w:i/>
              </w:rPr>
              <w:t>Escalinata E18A</w:t>
            </w:r>
          </w:p>
        </w:tc>
        <w:tc>
          <w:tcPr>
            <w:tcW w:w="0" w:type="auto"/>
          </w:tcPr>
          <w:p w14:paraId="104FF324" w14:textId="21429738" w:rsidR="00970299" w:rsidRPr="00C54988" w:rsidRDefault="00A411D5" w:rsidP="002F789F">
            <w:pPr>
              <w:spacing w:after="240" w:line="276" w:lineRule="auto"/>
              <w:jc w:val="both"/>
              <w:rPr>
                <w:b/>
                <w:lang w:val="es-EC"/>
              </w:rPr>
            </w:pPr>
            <w:r w:rsidRPr="00C54988">
              <w:rPr>
                <w:i/>
              </w:rPr>
              <w:t>(5.16m –5.25m) Variable</w:t>
            </w:r>
          </w:p>
        </w:tc>
      </w:tr>
    </w:tbl>
    <w:p w14:paraId="4FB8C174" w14:textId="77777777" w:rsidR="000005B3" w:rsidRPr="00B82F65" w:rsidRDefault="000005B3" w:rsidP="00C54988">
      <w:pPr>
        <w:spacing w:line="276" w:lineRule="auto"/>
        <w:jc w:val="both"/>
        <w:rPr>
          <w:b/>
          <w:sz w:val="22"/>
          <w:szCs w:val="22"/>
          <w:lang w:val="es-EC"/>
        </w:rPr>
      </w:pPr>
    </w:p>
    <w:p w14:paraId="52271E59" w14:textId="51DF55AF" w:rsidR="002F789F" w:rsidRPr="00B82F65" w:rsidRDefault="002F789F" w:rsidP="002F789F">
      <w:pPr>
        <w:spacing w:after="240" w:line="276" w:lineRule="auto"/>
        <w:jc w:val="both"/>
        <w:rPr>
          <w:bCs/>
          <w:sz w:val="22"/>
          <w:szCs w:val="22"/>
        </w:rPr>
      </w:pPr>
      <w:r w:rsidRPr="00B82F65">
        <w:rPr>
          <w:b/>
          <w:sz w:val="22"/>
          <w:szCs w:val="22"/>
          <w:lang w:val="es-EC"/>
        </w:rPr>
        <w:t xml:space="preserve">Artículo </w:t>
      </w:r>
      <w:r w:rsidR="00A4461F" w:rsidRPr="00B82F65">
        <w:rPr>
          <w:b/>
          <w:sz w:val="22"/>
          <w:szCs w:val="22"/>
          <w:lang w:val="es-EC"/>
        </w:rPr>
        <w:t>1</w:t>
      </w:r>
      <w:r w:rsidR="00C71650">
        <w:rPr>
          <w:b/>
          <w:sz w:val="22"/>
          <w:szCs w:val="22"/>
          <w:lang w:val="es-EC"/>
        </w:rPr>
        <w:t>4</w:t>
      </w:r>
      <w:r w:rsidRPr="00B82F65">
        <w:rPr>
          <w:b/>
          <w:sz w:val="22"/>
          <w:szCs w:val="22"/>
          <w:lang w:val="es-EC"/>
        </w:rPr>
        <w:t>.-</w:t>
      </w:r>
      <w:r w:rsidRPr="00B82F65">
        <w:rPr>
          <w:sz w:val="22"/>
          <w:szCs w:val="22"/>
          <w:lang w:val="es-EC"/>
        </w:rPr>
        <w:t xml:space="preserve"> </w:t>
      </w:r>
      <w:r w:rsidRPr="00B82F65">
        <w:rPr>
          <w:bCs/>
          <w:sz w:val="22"/>
          <w:szCs w:val="22"/>
        </w:rPr>
        <w:t xml:space="preserve">Sustitúyase el artículo 7 de la </w:t>
      </w:r>
      <w:r w:rsidR="0059480A" w:rsidRPr="00B82F65">
        <w:rPr>
          <w:bCs/>
          <w:sz w:val="22"/>
          <w:szCs w:val="22"/>
        </w:rPr>
        <w:t>Ordenanza No. 0473, sancionada el 26 de diciembre de 2013</w:t>
      </w:r>
      <w:r w:rsidRPr="00B82F65">
        <w:rPr>
          <w:bCs/>
          <w:sz w:val="22"/>
          <w:szCs w:val="22"/>
        </w:rPr>
        <w:t>, por el siguiente:</w:t>
      </w:r>
    </w:p>
    <w:p w14:paraId="6CC95C44" w14:textId="49340F6E" w:rsidR="00A411D5" w:rsidRPr="00C54988" w:rsidRDefault="00A411D5" w:rsidP="00A411D5">
      <w:pPr>
        <w:spacing w:after="240" w:line="276" w:lineRule="auto"/>
        <w:jc w:val="both"/>
        <w:rPr>
          <w:i/>
        </w:rPr>
      </w:pPr>
      <w:r w:rsidRPr="00C54988">
        <w:rPr>
          <w:b/>
          <w:bCs/>
          <w:i/>
        </w:rPr>
        <w:t xml:space="preserve">“Artículo 7.- De las obras a ejecutarse.- </w:t>
      </w:r>
      <w:r w:rsidRPr="00C54988">
        <w:rPr>
          <w:i/>
        </w:rPr>
        <w:t xml:space="preserve">Las obras a ejecutarse en el </w:t>
      </w:r>
      <w:r w:rsidR="004462D0" w:rsidRPr="00C54988">
        <w:rPr>
          <w:i/>
        </w:rPr>
        <w:t>asentamiento humano de hecho y consolidado de interés social</w:t>
      </w:r>
      <w:r w:rsidR="00B203C4" w:rsidRPr="00C54988">
        <w:rPr>
          <w:i/>
        </w:rPr>
        <w:t xml:space="preserve"> denominado Comité Pro-Mejoras Del Barrio “18 de Septiembre”</w:t>
      </w:r>
      <w:r w:rsidR="00B203C4" w:rsidRPr="00C54988">
        <w:t xml:space="preserve"> </w:t>
      </w:r>
      <w:r w:rsidR="00B203C4" w:rsidRPr="00C54988">
        <w:rPr>
          <w:i/>
        </w:rPr>
        <w:t>ubicado en las parroquias San Isidro del Inca y Llano Chico</w:t>
      </w:r>
      <w:r w:rsidRPr="00C54988">
        <w:rPr>
          <w:i/>
        </w:rPr>
        <w:t xml:space="preserve">, son las siguientes: </w:t>
      </w:r>
    </w:p>
    <w:tbl>
      <w:tblPr>
        <w:tblStyle w:val="Tablaconcuadrcula"/>
        <w:tblW w:w="0" w:type="auto"/>
        <w:tblLook w:val="04A0" w:firstRow="1" w:lastRow="0" w:firstColumn="1" w:lastColumn="0" w:noHBand="0" w:noVBand="1"/>
      </w:tblPr>
      <w:tblGrid>
        <w:gridCol w:w="2098"/>
        <w:gridCol w:w="1725"/>
      </w:tblGrid>
      <w:tr w:rsidR="00A411D5" w:rsidRPr="00C54988" w14:paraId="4512CB46" w14:textId="77777777" w:rsidTr="00C54988">
        <w:trPr>
          <w:trHeight w:hRule="exact" w:val="284"/>
        </w:trPr>
        <w:tc>
          <w:tcPr>
            <w:tcW w:w="2098" w:type="dxa"/>
          </w:tcPr>
          <w:p w14:paraId="2977DC7A" w14:textId="1781C586" w:rsidR="00A411D5" w:rsidRPr="00C54988" w:rsidRDefault="00A411D5" w:rsidP="00354F0A">
            <w:pPr>
              <w:spacing w:after="240" w:line="276" w:lineRule="auto"/>
              <w:jc w:val="both"/>
              <w:rPr>
                <w:b/>
                <w:lang w:val="es-EC"/>
              </w:rPr>
            </w:pPr>
            <w:r w:rsidRPr="00C54988">
              <w:rPr>
                <w:i/>
              </w:rPr>
              <w:t>Calzadas:</w:t>
            </w:r>
          </w:p>
        </w:tc>
        <w:tc>
          <w:tcPr>
            <w:tcW w:w="1725" w:type="dxa"/>
          </w:tcPr>
          <w:p w14:paraId="76520EE8" w14:textId="61E622CE" w:rsidR="00A411D5" w:rsidRPr="00C54988" w:rsidRDefault="00A411D5" w:rsidP="00354F0A">
            <w:pPr>
              <w:spacing w:after="240" w:line="276" w:lineRule="auto"/>
              <w:jc w:val="both"/>
              <w:rPr>
                <w:b/>
                <w:lang w:val="es-EC"/>
              </w:rPr>
            </w:pPr>
            <w:r w:rsidRPr="00C54988">
              <w:rPr>
                <w:i/>
              </w:rPr>
              <w:t>100%</w:t>
            </w:r>
          </w:p>
        </w:tc>
      </w:tr>
      <w:tr w:rsidR="00A411D5" w:rsidRPr="00C54988" w14:paraId="30ECC703" w14:textId="77777777" w:rsidTr="00C54988">
        <w:trPr>
          <w:trHeight w:hRule="exact" w:val="284"/>
        </w:trPr>
        <w:tc>
          <w:tcPr>
            <w:tcW w:w="2098" w:type="dxa"/>
          </w:tcPr>
          <w:p w14:paraId="7D0D12F8" w14:textId="08AA9189" w:rsidR="00A411D5" w:rsidRPr="00C54988" w:rsidRDefault="00A411D5" w:rsidP="00354F0A">
            <w:pPr>
              <w:spacing w:after="240" w:line="276" w:lineRule="auto"/>
              <w:jc w:val="both"/>
              <w:rPr>
                <w:b/>
                <w:lang w:val="es-EC"/>
              </w:rPr>
            </w:pPr>
            <w:r w:rsidRPr="00C54988">
              <w:rPr>
                <w:i/>
              </w:rPr>
              <w:t>Aceras:</w:t>
            </w:r>
            <w:r w:rsidRPr="00C54988">
              <w:rPr>
                <w:i/>
              </w:rPr>
              <w:tab/>
            </w:r>
          </w:p>
        </w:tc>
        <w:tc>
          <w:tcPr>
            <w:tcW w:w="1725" w:type="dxa"/>
          </w:tcPr>
          <w:p w14:paraId="799DAC6D" w14:textId="54D21346" w:rsidR="00A411D5" w:rsidRPr="00C54988" w:rsidRDefault="00A411D5" w:rsidP="00354F0A">
            <w:pPr>
              <w:spacing w:after="240" w:line="276" w:lineRule="auto"/>
              <w:jc w:val="both"/>
              <w:rPr>
                <w:b/>
                <w:lang w:val="es-EC"/>
              </w:rPr>
            </w:pPr>
            <w:r w:rsidRPr="00C54988">
              <w:rPr>
                <w:i/>
              </w:rPr>
              <w:t>100%</w:t>
            </w:r>
          </w:p>
        </w:tc>
      </w:tr>
      <w:tr w:rsidR="00A411D5" w:rsidRPr="00C54988" w14:paraId="6A05C94B" w14:textId="77777777" w:rsidTr="00C54988">
        <w:trPr>
          <w:trHeight w:hRule="exact" w:val="284"/>
        </w:trPr>
        <w:tc>
          <w:tcPr>
            <w:tcW w:w="2098" w:type="dxa"/>
          </w:tcPr>
          <w:p w14:paraId="069B89D9" w14:textId="66F03B27" w:rsidR="00A411D5" w:rsidRPr="00C54988" w:rsidRDefault="00A411D5" w:rsidP="00354F0A">
            <w:pPr>
              <w:spacing w:after="240" w:line="276" w:lineRule="auto"/>
              <w:jc w:val="both"/>
              <w:rPr>
                <w:b/>
                <w:lang w:val="es-EC"/>
              </w:rPr>
            </w:pPr>
            <w:r w:rsidRPr="00C54988">
              <w:rPr>
                <w:i/>
              </w:rPr>
              <w:t>Bordillos:</w:t>
            </w:r>
          </w:p>
        </w:tc>
        <w:tc>
          <w:tcPr>
            <w:tcW w:w="1725" w:type="dxa"/>
          </w:tcPr>
          <w:p w14:paraId="1803EF73" w14:textId="1A3A477D" w:rsidR="00A411D5" w:rsidRPr="00C54988" w:rsidRDefault="00A411D5" w:rsidP="00354F0A">
            <w:pPr>
              <w:spacing w:after="240" w:line="276" w:lineRule="auto"/>
              <w:jc w:val="both"/>
              <w:rPr>
                <w:b/>
                <w:lang w:val="es-EC"/>
              </w:rPr>
            </w:pPr>
            <w:r w:rsidRPr="00C54988">
              <w:rPr>
                <w:i/>
              </w:rPr>
              <w:t>100%</w:t>
            </w:r>
          </w:p>
        </w:tc>
      </w:tr>
      <w:tr w:rsidR="00A411D5" w:rsidRPr="00C54988" w14:paraId="45A54201" w14:textId="77777777" w:rsidTr="00C54988">
        <w:trPr>
          <w:trHeight w:hRule="exact" w:val="284"/>
        </w:trPr>
        <w:tc>
          <w:tcPr>
            <w:tcW w:w="2098" w:type="dxa"/>
          </w:tcPr>
          <w:p w14:paraId="7B083D20" w14:textId="115734BF" w:rsidR="00A411D5" w:rsidRPr="00C54988" w:rsidRDefault="00A411D5" w:rsidP="00354F0A">
            <w:pPr>
              <w:jc w:val="both"/>
              <w:rPr>
                <w:b/>
                <w:lang w:val="es-EC"/>
              </w:rPr>
            </w:pPr>
            <w:r w:rsidRPr="00C54988">
              <w:rPr>
                <w:i/>
              </w:rPr>
              <w:t>Agua Potable:</w:t>
            </w:r>
          </w:p>
        </w:tc>
        <w:tc>
          <w:tcPr>
            <w:tcW w:w="1725" w:type="dxa"/>
          </w:tcPr>
          <w:p w14:paraId="061DF0A3" w14:textId="48D53ED5" w:rsidR="00A411D5" w:rsidRPr="00C54988" w:rsidRDefault="00A411D5" w:rsidP="00354F0A">
            <w:pPr>
              <w:spacing w:after="240" w:line="276" w:lineRule="auto"/>
              <w:jc w:val="both"/>
              <w:rPr>
                <w:i/>
                <w:lang w:val="es-EC"/>
              </w:rPr>
            </w:pPr>
            <w:r w:rsidRPr="00C54988">
              <w:rPr>
                <w:i/>
                <w:lang w:val="es-EC"/>
              </w:rPr>
              <w:t>50%</w:t>
            </w:r>
          </w:p>
        </w:tc>
      </w:tr>
      <w:tr w:rsidR="00A411D5" w:rsidRPr="00C54988" w14:paraId="20E7AF64" w14:textId="77777777" w:rsidTr="00C54988">
        <w:trPr>
          <w:trHeight w:hRule="exact" w:val="284"/>
        </w:trPr>
        <w:tc>
          <w:tcPr>
            <w:tcW w:w="2098" w:type="dxa"/>
          </w:tcPr>
          <w:p w14:paraId="6FE20151" w14:textId="6474A2E7" w:rsidR="00A411D5" w:rsidRPr="00C54988" w:rsidRDefault="00A411D5" w:rsidP="00354F0A">
            <w:pPr>
              <w:spacing w:after="240" w:line="276" w:lineRule="auto"/>
              <w:jc w:val="both"/>
              <w:rPr>
                <w:b/>
                <w:lang w:val="es-EC"/>
              </w:rPr>
            </w:pPr>
            <w:r w:rsidRPr="00C54988">
              <w:rPr>
                <w:i/>
              </w:rPr>
              <w:t>Alcantarillado:</w:t>
            </w:r>
            <w:r w:rsidRPr="00C54988">
              <w:rPr>
                <w:i/>
              </w:rPr>
              <w:tab/>
            </w:r>
          </w:p>
        </w:tc>
        <w:tc>
          <w:tcPr>
            <w:tcW w:w="1725" w:type="dxa"/>
          </w:tcPr>
          <w:p w14:paraId="4C598247" w14:textId="37D8429A" w:rsidR="00A411D5" w:rsidRPr="00C54988" w:rsidRDefault="00A411D5" w:rsidP="00354F0A">
            <w:pPr>
              <w:spacing w:after="240" w:line="276" w:lineRule="auto"/>
              <w:jc w:val="both"/>
              <w:rPr>
                <w:i/>
                <w:lang w:val="es-EC"/>
              </w:rPr>
            </w:pPr>
            <w:r w:rsidRPr="00C54988">
              <w:rPr>
                <w:i/>
              </w:rPr>
              <w:t>100%</w:t>
            </w:r>
          </w:p>
        </w:tc>
      </w:tr>
      <w:tr w:rsidR="00A411D5" w:rsidRPr="00C54988" w14:paraId="09E5EB8A" w14:textId="77777777" w:rsidTr="00C54988">
        <w:trPr>
          <w:trHeight w:hRule="exact" w:val="284"/>
        </w:trPr>
        <w:tc>
          <w:tcPr>
            <w:tcW w:w="2098" w:type="dxa"/>
          </w:tcPr>
          <w:p w14:paraId="734061BF" w14:textId="5426ACCD" w:rsidR="00A411D5" w:rsidRPr="00C54988" w:rsidRDefault="00A411D5" w:rsidP="00354F0A">
            <w:pPr>
              <w:spacing w:after="240" w:line="276" w:lineRule="auto"/>
              <w:jc w:val="both"/>
              <w:rPr>
                <w:b/>
                <w:lang w:val="es-EC"/>
              </w:rPr>
            </w:pPr>
            <w:r w:rsidRPr="00C54988">
              <w:rPr>
                <w:i/>
              </w:rPr>
              <w:t>Energía Eléctrica:</w:t>
            </w:r>
          </w:p>
        </w:tc>
        <w:tc>
          <w:tcPr>
            <w:tcW w:w="1725" w:type="dxa"/>
          </w:tcPr>
          <w:p w14:paraId="07F2D51A" w14:textId="7E7FE3E2" w:rsidR="00A411D5" w:rsidRPr="00C54988" w:rsidRDefault="00A411D5" w:rsidP="00354F0A">
            <w:pPr>
              <w:spacing w:after="240" w:line="276" w:lineRule="auto"/>
              <w:jc w:val="both"/>
              <w:rPr>
                <w:i/>
                <w:lang w:val="es-EC"/>
              </w:rPr>
            </w:pPr>
            <w:r w:rsidRPr="00C54988">
              <w:rPr>
                <w:i/>
                <w:lang w:val="es-EC"/>
              </w:rPr>
              <w:t>50%</w:t>
            </w:r>
          </w:p>
        </w:tc>
      </w:tr>
    </w:tbl>
    <w:p w14:paraId="30723C16" w14:textId="77777777" w:rsidR="00A411D5" w:rsidRPr="00B82F65" w:rsidRDefault="00A411D5" w:rsidP="00A411D5">
      <w:pPr>
        <w:spacing w:line="276" w:lineRule="auto"/>
        <w:jc w:val="both"/>
        <w:rPr>
          <w:i/>
          <w:sz w:val="22"/>
          <w:szCs w:val="22"/>
        </w:rPr>
      </w:pPr>
    </w:p>
    <w:p w14:paraId="0D2F2A0A" w14:textId="5AC831D7" w:rsidR="005B2F9E" w:rsidRPr="00B82F65" w:rsidRDefault="00085D70" w:rsidP="005C24F4">
      <w:pPr>
        <w:tabs>
          <w:tab w:val="left" w:pos="4253"/>
          <w:tab w:val="center" w:pos="4394"/>
        </w:tabs>
        <w:jc w:val="both"/>
        <w:rPr>
          <w:bCs/>
          <w:sz w:val="22"/>
          <w:szCs w:val="22"/>
        </w:rPr>
      </w:pPr>
      <w:r w:rsidRPr="00B82F65">
        <w:rPr>
          <w:b/>
          <w:sz w:val="22"/>
          <w:szCs w:val="22"/>
          <w:lang w:val="es-EC"/>
        </w:rPr>
        <w:t xml:space="preserve">Artículo </w:t>
      </w:r>
      <w:r w:rsidR="00AC3370" w:rsidRPr="00B82F65">
        <w:rPr>
          <w:b/>
          <w:sz w:val="22"/>
          <w:szCs w:val="22"/>
          <w:lang w:val="es-EC"/>
        </w:rPr>
        <w:t>1</w:t>
      </w:r>
      <w:r w:rsidR="00C71650">
        <w:rPr>
          <w:b/>
          <w:sz w:val="22"/>
          <w:szCs w:val="22"/>
          <w:lang w:val="es-EC"/>
        </w:rPr>
        <w:t>5</w:t>
      </w:r>
      <w:r w:rsidRPr="00B82F65">
        <w:rPr>
          <w:b/>
          <w:sz w:val="22"/>
          <w:szCs w:val="22"/>
          <w:lang w:val="es-EC"/>
        </w:rPr>
        <w:t>.-</w:t>
      </w:r>
      <w:r w:rsidRPr="00B82F65">
        <w:rPr>
          <w:sz w:val="22"/>
          <w:szCs w:val="22"/>
          <w:lang w:val="es-EC"/>
        </w:rPr>
        <w:t xml:space="preserve"> </w:t>
      </w:r>
      <w:r w:rsidRPr="00B82F65">
        <w:rPr>
          <w:bCs/>
          <w:sz w:val="22"/>
          <w:szCs w:val="22"/>
        </w:rPr>
        <w:t xml:space="preserve">Sustitúyase el artículo 8 de la </w:t>
      </w:r>
      <w:r w:rsidR="0059480A" w:rsidRPr="00B82F65">
        <w:rPr>
          <w:bCs/>
          <w:sz w:val="22"/>
          <w:szCs w:val="22"/>
        </w:rPr>
        <w:t>Ordenanza No. 0473, sancionada el 26 de diciembre de 2013</w:t>
      </w:r>
      <w:r w:rsidRPr="00B82F65">
        <w:rPr>
          <w:bCs/>
          <w:sz w:val="22"/>
          <w:szCs w:val="22"/>
        </w:rPr>
        <w:t>, por el siguiente:</w:t>
      </w:r>
    </w:p>
    <w:p w14:paraId="7D69EC9C" w14:textId="77777777" w:rsidR="00085D70" w:rsidRPr="00B82F65" w:rsidRDefault="00085D70" w:rsidP="005C24F4">
      <w:pPr>
        <w:tabs>
          <w:tab w:val="left" w:pos="4253"/>
          <w:tab w:val="center" w:pos="4394"/>
        </w:tabs>
        <w:jc w:val="both"/>
        <w:rPr>
          <w:sz w:val="22"/>
          <w:szCs w:val="22"/>
        </w:rPr>
      </w:pPr>
    </w:p>
    <w:p w14:paraId="705A2705" w14:textId="5E96EA97" w:rsidR="00533358" w:rsidRPr="00C54988" w:rsidRDefault="00684157" w:rsidP="00533358">
      <w:pPr>
        <w:spacing w:after="240" w:line="276" w:lineRule="auto"/>
        <w:jc w:val="both"/>
        <w:rPr>
          <w:i/>
          <w:lang w:val="es-EC"/>
        </w:rPr>
      </w:pPr>
      <w:r w:rsidRPr="00C54988">
        <w:rPr>
          <w:b/>
          <w:bCs/>
          <w:i/>
        </w:rPr>
        <w:t>“</w:t>
      </w:r>
      <w:r w:rsidR="00085D70" w:rsidRPr="00C54988">
        <w:rPr>
          <w:b/>
          <w:bCs/>
          <w:i/>
        </w:rPr>
        <w:t>Artículo 8.- Del plazo de ejecución de las obras.-</w:t>
      </w:r>
      <w:r w:rsidR="00533358" w:rsidRPr="00C54988">
        <w:rPr>
          <w:lang w:val="es-EC"/>
        </w:rPr>
        <w:t xml:space="preserve"> </w:t>
      </w:r>
      <w:r w:rsidR="00533358" w:rsidRPr="00C54988">
        <w:rPr>
          <w:i/>
          <w:lang w:val="es-EC"/>
        </w:rPr>
        <w:t xml:space="preserve">El plazo de ejecución de la totalidad de las obras civiles y de infraestructura, será de </w:t>
      </w:r>
      <w:r w:rsidR="00A411D5" w:rsidRPr="00C54988">
        <w:rPr>
          <w:i/>
          <w:lang w:val="es-EC"/>
        </w:rPr>
        <w:t>cinco</w:t>
      </w:r>
      <w:r w:rsidR="00533358" w:rsidRPr="00C54988">
        <w:rPr>
          <w:i/>
          <w:lang w:val="es-EC"/>
        </w:rPr>
        <w:t xml:space="preserve"> (</w:t>
      </w:r>
      <w:r w:rsidR="00A411D5" w:rsidRPr="00C54988">
        <w:rPr>
          <w:i/>
          <w:lang w:val="es-EC"/>
        </w:rPr>
        <w:t>5</w:t>
      </w:r>
      <w:r w:rsidR="00533358" w:rsidRPr="00C54988">
        <w:rPr>
          <w:i/>
          <w:lang w:val="es-EC"/>
        </w:rPr>
        <w:t xml:space="preserve">) años, de conformidad al cronograma de obras presentado por el </w:t>
      </w:r>
      <w:r w:rsidR="004462D0" w:rsidRPr="00C54988">
        <w:rPr>
          <w:i/>
          <w:lang w:val="es-EC"/>
        </w:rPr>
        <w:t xml:space="preserve">asentamiento humano de hecho y consolidado de interés social </w:t>
      </w:r>
      <w:r w:rsidR="00533358" w:rsidRPr="00C54988">
        <w:rPr>
          <w:i/>
        </w:rPr>
        <w:t xml:space="preserve">denominado </w:t>
      </w:r>
      <w:r w:rsidR="0059480A" w:rsidRPr="00C54988">
        <w:rPr>
          <w:i/>
        </w:rPr>
        <w:t xml:space="preserve">Comité Pro-Mejoras </w:t>
      </w:r>
      <w:r w:rsidR="00A411D5" w:rsidRPr="00C54988">
        <w:rPr>
          <w:i/>
        </w:rPr>
        <w:t>d</w:t>
      </w:r>
      <w:r w:rsidR="0059480A" w:rsidRPr="00C54988">
        <w:rPr>
          <w:i/>
        </w:rPr>
        <w:t>el Barrio “18 de Septiembre”</w:t>
      </w:r>
      <w:r w:rsidR="00B203C4" w:rsidRPr="00C54988">
        <w:t xml:space="preserve"> </w:t>
      </w:r>
      <w:r w:rsidR="00B203C4" w:rsidRPr="00C54988">
        <w:rPr>
          <w:i/>
        </w:rPr>
        <w:t>ubicado en las parroquias San Isidro del Inca y Llano Chico</w:t>
      </w:r>
      <w:r w:rsidR="00533358" w:rsidRPr="00C54988">
        <w:rPr>
          <w:i/>
          <w:lang w:val="es-EC"/>
        </w:rPr>
        <w:t>, y aprobado por la mesa institucional, plazo que se contará a partir de la fecha de inscripción de la presente Ordenanza en el Registro de la Propiedad del Distrito Metropolitano de Quito.</w:t>
      </w:r>
    </w:p>
    <w:p w14:paraId="699F72EA" w14:textId="63A61C7F" w:rsidR="00085D70" w:rsidRPr="00B82F65" w:rsidRDefault="00533358" w:rsidP="00533358">
      <w:pPr>
        <w:spacing w:after="240" w:line="276" w:lineRule="auto"/>
        <w:jc w:val="both"/>
        <w:rPr>
          <w:i/>
          <w:iCs/>
          <w:sz w:val="22"/>
          <w:szCs w:val="22"/>
        </w:rPr>
      </w:pPr>
      <w:r w:rsidRPr="00C54988">
        <w:rPr>
          <w:i/>
          <w:lang w:val="es-EC"/>
        </w:rPr>
        <w:t xml:space="preserve">Las obras de infraestructura podrán ser ejecutadas, mediante gestión individual o concurrente bajo las siguientes modalidades: gestión municipal o pública, gestión directa o cogestión de conformidad a lo establecido en el artículo </w:t>
      </w:r>
      <w:r w:rsidR="00B203C4" w:rsidRPr="00C54988">
        <w:rPr>
          <w:i/>
          <w:lang w:val="es-EC"/>
        </w:rPr>
        <w:t>IV.7.72</w:t>
      </w:r>
      <w:r w:rsidRPr="00C54988">
        <w:rPr>
          <w:i/>
          <w:lang w:val="es-EC"/>
        </w:rPr>
        <w:t>, de la Ordenanza Metropolitana No. 001, sancionada el 29 de marzo de 2019. El v</w:t>
      </w:r>
      <w:r w:rsidR="00B203C4" w:rsidRPr="00C54988">
        <w:rPr>
          <w:i/>
          <w:lang w:val="es-EC"/>
        </w:rPr>
        <w:t>alor por contribución especial de</w:t>
      </w:r>
      <w:r w:rsidRPr="00C54988">
        <w:rPr>
          <w:i/>
          <w:lang w:val="es-EC"/>
        </w:rPr>
        <w:t xml:space="preserve"> mejoras se aplicará conforme la modalidad ejecutada.</w:t>
      </w:r>
      <w:r w:rsidR="00085D70" w:rsidRPr="00C54988">
        <w:rPr>
          <w:i/>
          <w:lang w:val="es-EC"/>
        </w:rPr>
        <w:t>”</w:t>
      </w:r>
    </w:p>
    <w:p w14:paraId="2799BDC1" w14:textId="519F0B7A" w:rsidR="00085D70" w:rsidRPr="00B82F65" w:rsidRDefault="00085D70" w:rsidP="00085D70">
      <w:pPr>
        <w:tabs>
          <w:tab w:val="left" w:pos="4253"/>
          <w:tab w:val="center" w:pos="4394"/>
        </w:tabs>
        <w:jc w:val="both"/>
        <w:rPr>
          <w:bCs/>
          <w:sz w:val="22"/>
          <w:szCs w:val="22"/>
        </w:rPr>
      </w:pPr>
      <w:r w:rsidRPr="00B82F65">
        <w:rPr>
          <w:b/>
          <w:sz w:val="22"/>
          <w:szCs w:val="22"/>
          <w:lang w:val="es-EC"/>
        </w:rPr>
        <w:t>Artículo 1</w:t>
      </w:r>
      <w:r w:rsidR="00C71650">
        <w:rPr>
          <w:b/>
          <w:sz w:val="22"/>
          <w:szCs w:val="22"/>
          <w:lang w:val="es-EC"/>
        </w:rPr>
        <w:t>6</w:t>
      </w:r>
      <w:r w:rsidRPr="00B82F65">
        <w:rPr>
          <w:b/>
          <w:sz w:val="22"/>
          <w:szCs w:val="22"/>
          <w:lang w:val="es-EC"/>
        </w:rPr>
        <w:t>.-</w:t>
      </w:r>
      <w:r w:rsidRPr="00B82F65">
        <w:rPr>
          <w:sz w:val="22"/>
          <w:szCs w:val="22"/>
          <w:lang w:val="es-EC"/>
        </w:rPr>
        <w:t xml:space="preserve"> </w:t>
      </w:r>
      <w:r w:rsidRPr="00B82F65">
        <w:rPr>
          <w:bCs/>
          <w:sz w:val="22"/>
          <w:szCs w:val="22"/>
        </w:rPr>
        <w:t xml:space="preserve">Sustitúyase el artículo 9 de la </w:t>
      </w:r>
      <w:r w:rsidR="0059480A" w:rsidRPr="00B82F65">
        <w:rPr>
          <w:bCs/>
          <w:sz w:val="22"/>
          <w:szCs w:val="22"/>
        </w:rPr>
        <w:t>Ordenanza No. 0473, sancionada el 26 de diciembre de 2013</w:t>
      </w:r>
      <w:r w:rsidRPr="00B82F65">
        <w:rPr>
          <w:bCs/>
          <w:sz w:val="22"/>
          <w:szCs w:val="22"/>
        </w:rPr>
        <w:t>, por el siguiente:</w:t>
      </w:r>
    </w:p>
    <w:p w14:paraId="15C52939" w14:textId="77777777" w:rsidR="00085D70" w:rsidRPr="00B82F65" w:rsidRDefault="00085D70" w:rsidP="00085D70">
      <w:pPr>
        <w:tabs>
          <w:tab w:val="left" w:pos="4253"/>
          <w:tab w:val="center" w:pos="4394"/>
        </w:tabs>
        <w:jc w:val="both"/>
        <w:rPr>
          <w:iCs/>
          <w:sz w:val="22"/>
          <w:szCs w:val="22"/>
        </w:rPr>
      </w:pPr>
    </w:p>
    <w:p w14:paraId="47CB1AA4" w14:textId="3BAC7CF0" w:rsidR="00085D70" w:rsidRPr="00C54988" w:rsidRDefault="00085D70" w:rsidP="00085D70">
      <w:pPr>
        <w:tabs>
          <w:tab w:val="left" w:pos="4253"/>
          <w:tab w:val="center" w:pos="4394"/>
        </w:tabs>
        <w:jc w:val="both"/>
        <w:rPr>
          <w:i/>
          <w:iCs/>
        </w:rPr>
      </w:pPr>
      <w:r w:rsidRPr="00C54988">
        <w:rPr>
          <w:b/>
          <w:bCs/>
          <w:i/>
        </w:rPr>
        <w:t>“Artículo 9</w:t>
      </w:r>
      <w:r w:rsidRPr="00C54988">
        <w:rPr>
          <w:b/>
          <w:bCs/>
          <w:i/>
          <w:lang w:val="es-ES_tradnl"/>
        </w:rPr>
        <w:t xml:space="preserve">.- Del control de ejecución de las obras.- </w:t>
      </w:r>
      <w:r w:rsidR="008F70F3" w:rsidRPr="008F70F3">
        <w:rPr>
          <w:i/>
          <w:lang w:val="es-EC"/>
        </w:rPr>
        <w:t xml:space="preserve">La Administración Zonal </w:t>
      </w:r>
      <w:r w:rsidR="008F70F3">
        <w:rPr>
          <w:i/>
          <w:lang w:val="es-EC"/>
        </w:rPr>
        <w:t>Eugenio Espejo</w:t>
      </w:r>
      <w:r w:rsidR="008F70F3" w:rsidRPr="008F70F3">
        <w:rPr>
          <w:i/>
          <w:lang w:val="es-EC"/>
        </w:rPr>
        <w:t xml:space="preserv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será indispensable para cancelar la hipoteca, conforme a la normativa vigente.</w:t>
      </w:r>
      <w:r w:rsidRPr="00C54988">
        <w:rPr>
          <w:i/>
          <w:lang w:val="es-EC"/>
        </w:rPr>
        <w:t>”</w:t>
      </w:r>
    </w:p>
    <w:p w14:paraId="7B7251D1" w14:textId="77777777" w:rsidR="00085D70" w:rsidRPr="00B82F65" w:rsidRDefault="00085D70" w:rsidP="00085D70">
      <w:pPr>
        <w:tabs>
          <w:tab w:val="left" w:pos="4253"/>
          <w:tab w:val="center" w:pos="4394"/>
        </w:tabs>
        <w:jc w:val="both"/>
        <w:rPr>
          <w:sz w:val="22"/>
          <w:szCs w:val="22"/>
        </w:rPr>
      </w:pPr>
    </w:p>
    <w:p w14:paraId="2FDDDE64" w14:textId="4A9531C1" w:rsidR="00276671" w:rsidRPr="00B82F65" w:rsidRDefault="00276671" w:rsidP="00276671">
      <w:pPr>
        <w:tabs>
          <w:tab w:val="left" w:pos="4253"/>
          <w:tab w:val="center" w:pos="4394"/>
        </w:tabs>
        <w:jc w:val="both"/>
        <w:rPr>
          <w:bCs/>
          <w:sz w:val="22"/>
          <w:szCs w:val="22"/>
        </w:rPr>
      </w:pPr>
      <w:r w:rsidRPr="00B82F65">
        <w:rPr>
          <w:b/>
          <w:sz w:val="22"/>
          <w:szCs w:val="22"/>
          <w:lang w:val="es-EC"/>
        </w:rPr>
        <w:t>Artículo 1</w:t>
      </w:r>
      <w:r w:rsidR="00C71650">
        <w:rPr>
          <w:b/>
          <w:sz w:val="22"/>
          <w:szCs w:val="22"/>
          <w:lang w:val="es-EC"/>
        </w:rPr>
        <w:t>7</w:t>
      </w:r>
      <w:r w:rsidRPr="00B82F65">
        <w:rPr>
          <w:b/>
          <w:sz w:val="22"/>
          <w:szCs w:val="22"/>
          <w:lang w:val="es-EC"/>
        </w:rPr>
        <w:t>.-</w:t>
      </w:r>
      <w:r w:rsidRPr="00B82F65">
        <w:rPr>
          <w:sz w:val="22"/>
          <w:szCs w:val="22"/>
          <w:lang w:val="es-EC"/>
        </w:rPr>
        <w:t xml:space="preserve"> </w:t>
      </w:r>
      <w:r w:rsidRPr="00B82F65">
        <w:rPr>
          <w:bCs/>
          <w:sz w:val="22"/>
          <w:szCs w:val="22"/>
        </w:rPr>
        <w:t xml:space="preserve">Sustitúyase el artículo 10 de la </w:t>
      </w:r>
      <w:r w:rsidR="0059480A" w:rsidRPr="00B82F65">
        <w:rPr>
          <w:bCs/>
          <w:sz w:val="22"/>
          <w:szCs w:val="22"/>
        </w:rPr>
        <w:t>Ordenanza No. 0473, sancionada el 26 de diciembre de 2013</w:t>
      </w:r>
      <w:r w:rsidRPr="00B82F65">
        <w:rPr>
          <w:bCs/>
          <w:sz w:val="22"/>
          <w:szCs w:val="22"/>
        </w:rPr>
        <w:t>, por el siguiente:</w:t>
      </w:r>
    </w:p>
    <w:p w14:paraId="16A9365A" w14:textId="77777777" w:rsidR="00276671" w:rsidRPr="00B82F65" w:rsidRDefault="00276671" w:rsidP="00276671">
      <w:pPr>
        <w:tabs>
          <w:tab w:val="left" w:pos="4253"/>
          <w:tab w:val="center" w:pos="4394"/>
        </w:tabs>
        <w:jc w:val="both"/>
        <w:rPr>
          <w:b/>
          <w:bCs/>
          <w:sz w:val="22"/>
          <w:szCs w:val="22"/>
        </w:rPr>
      </w:pPr>
    </w:p>
    <w:p w14:paraId="02FA1626" w14:textId="186D08C3" w:rsidR="00BF688F" w:rsidRPr="00C54988" w:rsidRDefault="00684157" w:rsidP="00BF688F">
      <w:pPr>
        <w:shd w:val="clear" w:color="auto" w:fill="FFFFFF"/>
        <w:spacing w:after="240" w:line="276" w:lineRule="auto"/>
        <w:jc w:val="both"/>
        <w:rPr>
          <w:bCs/>
          <w:i/>
          <w:color w:val="000000"/>
        </w:rPr>
      </w:pPr>
      <w:r w:rsidRPr="00C54988">
        <w:rPr>
          <w:b/>
          <w:bCs/>
          <w:i/>
        </w:rPr>
        <w:t>“</w:t>
      </w:r>
      <w:r w:rsidR="00276671" w:rsidRPr="00C54988">
        <w:rPr>
          <w:b/>
          <w:bCs/>
          <w:i/>
        </w:rPr>
        <w:t>Artículo</w:t>
      </w:r>
      <w:r w:rsidR="00276671" w:rsidRPr="00C54988">
        <w:rPr>
          <w:b/>
          <w:bCs/>
          <w:i/>
          <w:lang w:val="es-ES_tradnl"/>
        </w:rPr>
        <w:t xml:space="preserve"> 10.- De la multa por retraso en ejecución de obras.- </w:t>
      </w:r>
      <w:r w:rsidR="00BF688F" w:rsidRPr="00C54988">
        <w:rPr>
          <w:bCs/>
          <w:i/>
          <w:color w:val="000000"/>
        </w:rPr>
        <w:t>En caso de retraso en la ejecución de las obras civiles y de infraestructura, los copropietarios del inmueble sobre el cual se ubica el Asentamiento Humano de Hecho y Consolidado de Interés Social denominado</w:t>
      </w:r>
      <w:r w:rsidR="00276671" w:rsidRPr="00C54988">
        <w:rPr>
          <w:bCs/>
          <w:i/>
          <w:color w:val="000000"/>
        </w:rPr>
        <w:t xml:space="preserve"> </w:t>
      </w:r>
      <w:r w:rsidR="0059480A" w:rsidRPr="00C54988">
        <w:rPr>
          <w:bCs/>
          <w:i/>
          <w:color w:val="000000"/>
        </w:rPr>
        <w:t>Comité Pro-Mejoras Del Barrio “18 de Septiembre”</w:t>
      </w:r>
      <w:r w:rsidR="00B203C4" w:rsidRPr="00C54988">
        <w:t xml:space="preserve"> </w:t>
      </w:r>
      <w:r w:rsidR="00BF688F" w:rsidRPr="00C54988">
        <w:rPr>
          <w:bCs/>
          <w:i/>
          <w:color w:val="000000"/>
        </w:rPr>
        <w:t>se sujetará a las sanciones contempladas en el Ordenamiento Jurídico Nacional y Metropolitano.”</w:t>
      </w:r>
    </w:p>
    <w:p w14:paraId="4C36C345" w14:textId="72B54C3D" w:rsidR="00276671" w:rsidRPr="00B82F65" w:rsidRDefault="00276671" w:rsidP="00BF688F">
      <w:pPr>
        <w:shd w:val="clear" w:color="auto" w:fill="FFFFFF"/>
        <w:spacing w:after="240" w:line="276" w:lineRule="auto"/>
        <w:jc w:val="both"/>
        <w:rPr>
          <w:bCs/>
          <w:sz w:val="22"/>
          <w:szCs w:val="22"/>
        </w:rPr>
      </w:pPr>
      <w:r w:rsidRPr="00B82F65">
        <w:rPr>
          <w:b/>
          <w:sz w:val="22"/>
          <w:szCs w:val="22"/>
          <w:lang w:val="es-EC"/>
        </w:rPr>
        <w:t>Artículo 1</w:t>
      </w:r>
      <w:r w:rsidR="00C71650">
        <w:rPr>
          <w:b/>
          <w:sz w:val="22"/>
          <w:szCs w:val="22"/>
          <w:lang w:val="es-EC"/>
        </w:rPr>
        <w:t>8</w:t>
      </w:r>
      <w:r w:rsidRPr="00B82F65">
        <w:rPr>
          <w:b/>
          <w:sz w:val="22"/>
          <w:szCs w:val="22"/>
          <w:lang w:val="es-EC"/>
        </w:rPr>
        <w:t>.-</w:t>
      </w:r>
      <w:r w:rsidRPr="00B82F65">
        <w:rPr>
          <w:sz w:val="22"/>
          <w:szCs w:val="22"/>
          <w:lang w:val="es-EC"/>
        </w:rPr>
        <w:t xml:space="preserve"> </w:t>
      </w:r>
      <w:r w:rsidRPr="00B82F65">
        <w:rPr>
          <w:bCs/>
          <w:sz w:val="22"/>
          <w:szCs w:val="22"/>
        </w:rPr>
        <w:t xml:space="preserve">Sustitúyase el artículo 11 de la </w:t>
      </w:r>
      <w:r w:rsidR="0059480A" w:rsidRPr="00B82F65">
        <w:rPr>
          <w:bCs/>
          <w:sz w:val="22"/>
          <w:szCs w:val="22"/>
        </w:rPr>
        <w:t>Ordenanza No. 0473, sancionada el 26 de diciembre de 2013</w:t>
      </w:r>
      <w:r w:rsidRPr="00B82F65">
        <w:rPr>
          <w:bCs/>
          <w:sz w:val="22"/>
          <w:szCs w:val="22"/>
        </w:rPr>
        <w:t>, por el siguiente:</w:t>
      </w:r>
    </w:p>
    <w:p w14:paraId="5E85CEDF" w14:textId="45FD1074" w:rsidR="00276671" w:rsidRPr="00C54988" w:rsidRDefault="00276671" w:rsidP="00276671">
      <w:pPr>
        <w:shd w:val="clear" w:color="auto" w:fill="FFFFFF"/>
        <w:spacing w:after="240" w:line="276" w:lineRule="auto"/>
        <w:jc w:val="both"/>
        <w:rPr>
          <w:i/>
        </w:rPr>
      </w:pPr>
      <w:r w:rsidRPr="00C54988">
        <w:rPr>
          <w:b/>
          <w:bCs/>
          <w:i/>
        </w:rPr>
        <w:t>“Artículo</w:t>
      </w:r>
      <w:r w:rsidRPr="00C54988">
        <w:rPr>
          <w:b/>
          <w:bCs/>
          <w:i/>
          <w:lang w:val="es-ES_tradnl"/>
        </w:rPr>
        <w:t xml:space="preserve"> </w:t>
      </w:r>
      <w:r w:rsidR="004626DD" w:rsidRPr="00C54988">
        <w:rPr>
          <w:b/>
          <w:bCs/>
          <w:i/>
          <w:color w:val="000000"/>
        </w:rPr>
        <w:t>11.- De la garantía de ejecución de las obras.-</w:t>
      </w:r>
      <w:r w:rsidR="004626DD" w:rsidRPr="00C54988">
        <w:rPr>
          <w:bCs/>
          <w:i/>
          <w:lang w:val="es-ES_tradnl"/>
        </w:rPr>
        <w:t xml:space="preserve"> </w:t>
      </w:r>
      <w:r w:rsidR="008F70F3" w:rsidRPr="008F70F3">
        <w:rPr>
          <w:bCs/>
          <w:i/>
          <w:color w:val="000000"/>
        </w:rPr>
        <w:t xml:space="preserve">Los lotes producto del fraccionamiento donde se encuentra ubicado el Asentamiento humano de hecho y consolidado de interés social denominado </w:t>
      </w:r>
      <w:r w:rsidR="008F70F3" w:rsidRPr="00C54988">
        <w:rPr>
          <w:bCs/>
          <w:i/>
          <w:color w:val="000000"/>
        </w:rPr>
        <w:t>Comité Pro-Mejoras Del Barrio “18 de Septiembre”</w:t>
      </w:r>
      <w:r w:rsidR="008F70F3" w:rsidRPr="008F70F3">
        <w:rPr>
          <w:bCs/>
          <w:i/>
          <w:color w:val="000000"/>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El gravamen constituido a favor de la Municipalidad deberá constar en cada escritura individualizada.</w:t>
      </w:r>
      <w:r w:rsidR="00BF688F" w:rsidRPr="008F70F3">
        <w:rPr>
          <w:bCs/>
          <w:i/>
          <w:color w:val="000000"/>
        </w:rPr>
        <w:t>”</w:t>
      </w:r>
    </w:p>
    <w:p w14:paraId="050C50B4" w14:textId="55326CBA" w:rsidR="00276671" w:rsidRPr="00B82F65" w:rsidRDefault="00276671" w:rsidP="00276671">
      <w:pPr>
        <w:tabs>
          <w:tab w:val="left" w:pos="4253"/>
          <w:tab w:val="center" w:pos="4394"/>
        </w:tabs>
        <w:jc w:val="both"/>
        <w:rPr>
          <w:bCs/>
          <w:sz w:val="22"/>
          <w:szCs w:val="22"/>
        </w:rPr>
      </w:pPr>
      <w:r w:rsidRPr="00B82F65">
        <w:rPr>
          <w:b/>
          <w:sz w:val="22"/>
          <w:szCs w:val="22"/>
          <w:lang w:val="es-EC"/>
        </w:rPr>
        <w:t xml:space="preserve">Artículo </w:t>
      </w:r>
      <w:r w:rsidR="00C71650">
        <w:rPr>
          <w:b/>
          <w:sz w:val="22"/>
          <w:szCs w:val="22"/>
          <w:lang w:val="es-EC"/>
        </w:rPr>
        <w:t>19</w:t>
      </w:r>
      <w:r w:rsidRPr="00B82F65">
        <w:rPr>
          <w:b/>
          <w:sz w:val="22"/>
          <w:szCs w:val="22"/>
          <w:lang w:val="es-EC"/>
        </w:rPr>
        <w:t>.-</w:t>
      </w:r>
      <w:r w:rsidRPr="00B82F65">
        <w:rPr>
          <w:sz w:val="22"/>
          <w:szCs w:val="22"/>
          <w:lang w:val="es-EC"/>
        </w:rPr>
        <w:t xml:space="preserve"> </w:t>
      </w:r>
      <w:r w:rsidRPr="00B82F65">
        <w:rPr>
          <w:bCs/>
          <w:sz w:val="22"/>
          <w:szCs w:val="22"/>
        </w:rPr>
        <w:t>Sustitúyase el artículo 1</w:t>
      </w:r>
      <w:r w:rsidR="00A4461F" w:rsidRPr="00B82F65">
        <w:rPr>
          <w:bCs/>
          <w:sz w:val="22"/>
          <w:szCs w:val="22"/>
        </w:rPr>
        <w:t>2</w:t>
      </w:r>
      <w:r w:rsidRPr="00B82F65">
        <w:rPr>
          <w:bCs/>
          <w:sz w:val="22"/>
          <w:szCs w:val="22"/>
        </w:rPr>
        <w:t xml:space="preserve"> de la </w:t>
      </w:r>
      <w:r w:rsidR="0059480A" w:rsidRPr="00B82F65">
        <w:rPr>
          <w:bCs/>
          <w:sz w:val="22"/>
          <w:szCs w:val="22"/>
        </w:rPr>
        <w:t>Ordenanza No. 0473, sancionada el 26 de diciembre de 2013</w:t>
      </w:r>
      <w:r w:rsidRPr="00B82F65">
        <w:rPr>
          <w:bCs/>
          <w:sz w:val="22"/>
          <w:szCs w:val="22"/>
        </w:rPr>
        <w:t>, por el siguiente:</w:t>
      </w:r>
    </w:p>
    <w:p w14:paraId="1BB87875" w14:textId="77777777" w:rsidR="00276671" w:rsidRPr="00B82F65" w:rsidRDefault="00276671" w:rsidP="00276671">
      <w:pPr>
        <w:tabs>
          <w:tab w:val="left" w:pos="4253"/>
          <w:tab w:val="center" w:pos="4394"/>
        </w:tabs>
        <w:jc w:val="both"/>
        <w:rPr>
          <w:bCs/>
          <w:sz w:val="22"/>
          <w:szCs w:val="22"/>
        </w:rPr>
      </w:pPr>
    </w:p>
    <w:p w14:paraId="7493E789" w14:textId="7BAB232A" w:rsidR="00276671" w:rsidRPr="00C54988" w:rsidRDefault="00276671" w:rsidP="00276671">
      <w:pPr>
        <w:pStyle w:val="Textoindependiente"/>
        <w:tabs>
          <w:tab w:val="left" w:pos="1306"/>
        </w:tabs>
        <w:spacing w:after="240" w:line="276" w:lineRule="auto"/>
        <w:jc w:val="both"/>
        <w:rPr>
          <w:i/>
          <w:lang w:val="es-EC"/>
        </w:rPr>
      </w:pPr>
      <w:r w:rsidRPr="00C54988">
        <w:rPr>
          <w:b/>
          <w:bCs/>
          <w:i/>
        </w:rPr>
        <w:t>“Artículo</w:t>
      </w:r>
      <w:r w:rsidRPr="00C54988">
        <w:rPr>
          <w:b/>
          <w:bCs/>
          <w:i/>
          <w:lang w:val="es-ES_tradnl"/>
        </w:rPr>
        <w:t xml:space="preserve"> 1</w:t>
      </w:r>
      <w:r w:rsidR="003A6887" w:rsidRPr="00C54988">
        <w:rPr>
          <w:b/>
          <w:bCs/>
          <w:i/>
          <w:lang w:val="es-ES_tradnl"/>
        </w:rPr>
        <w:t>2</w:t>
      </w:r>
      <w:r w:rsidRPr="00C54988">
        <w:rPr>
          <w:b/>
          <w:bCs/>
          <w:i/>
          <w:lang w:val="es-ES_tradnl"/>
        </w:rPr>
        <w:t xml:space="preserve">.- De la Protocolización e inscripción de la Ordenanza.- </w:t>
      </w:r>
      <w:r w:rsidRPr="00C54988">
        <w:rPr>
          <w:bCs/>
          <w:i/>
          <w:lang w:val="es-ES_tradnl"/>
        </w:rPr>
        <w:t xml:space="preserve">Los </w:t>
      </w:r>
      <w:r w:rsidR="00D06BF7" w:rsidRPr="00C54988">
        <w:rPr>
          <w:bCs/>
          <w:i/>
          <w:lang w:val="es-ES_tradnl"/>
        </w:rPr>
        <w:t>copropietarios</w:t>
      </w:r>
      <w:r w:rsidRPr="00C54988">
        <w:rPr>
          <w:bCs/>
          <w:i/>
          <w:lang w:val="es-ES_tradnl"/>
        </w:rPr>
        <w:t xml:space="preserve"> </w:t>
      </w:r>
      <w:r w:rsidR="009A10BE" w:rsidRPr="00C54988">
        <w:rPr>
          <w:bCs/>
          <w:i/>
          <w:lang w:val="es-ES_tradnl"/>
        </w:rPr>
        <w:t>de</w:t>
      </w:r>
      <w:r w:rsidR="00A4461F" w:rsidRPr="00C54988">
        <w:rPr>
          <w:bCs/>
          <w:i/>
          <w:lang w:val="es-ES_tradnl"/>
        </w:rPr>
        <w:t xml:space="preserve">l Asentamiento Humano de Hecho y Consolidado de Interés Social denominado </w:t>
      </w:r>
      <w:r w:rsidR="00A411D5" w:rsidRPr="00C54988">
        <w:rPr>
          <w:i/>
        </w:rPr>
        <w:t>Comité Pro-Mejoras d</w:t>
      </w:r>
      <w:r w:rsidR="0059480A" w:rsidRPr="00C54988">
        <w:rPr>
          <w:i/>
        </w:rPr>
        <w:t>el Barrio “18 de Septiembre”</w:t>
      </w:r>
      <w:r w:rsidR="00B203C4" w:rsidRPr="00C54988">
        <w:rPr>
          <w:i/>
        </w:rPr>
        <w:t xml:space="preserve"> ubicado en las parroquias San Isidro del Inca y Llano Chico</w:t>
      </w:r>
      <w:r w:rsidR="008952CC" w:rsidRPr="00C54988">
        <w:rPr>
          <w:i/>
        </w:rPr>
        <w:t xml:space="preserve"> </w:t>
      </w:r>
      <w:r w:rsidRPr="00C54988">
        <w:rPr>
          <w:i/>
          <w:lang w:val="es-ES_tradnl"/>
        </w:rPr>
        <w:t xml:space="preserve">deberán </w:t>
      </w:r>
      <w:r w:rsidRPr="00C54988">
        <w:rPr>
          <w:i/>
          <w:lang w:val="es-EC"/>
        </w:rPr>
        <w:t>protocolizar la presente Ordenanza ante Notario Público e inscribirla en el Registro de la Propiedad del Distrito Metropolitano de Quito, con todos sus documentos habilitantes.</w:t>
      </w:r>
    </w:p>
    <w:p w14:paraId="7CD72237" w14:textId="77777777" w:rsidR="003A6887" w:rsidRPr="00C54988" w:rsidRDefault="003A6887" w:rsidP="003A6887">
      <w:pPr>
        <w:pStyle w:val="Textoindependiente"/>
        <w:tabs>
          <w:tab w:val="left" w:pos="1306"/>
        </w:tabs>
        <w:spacing w:after="240" w:line="276" w:lineRule="auto"/>
        <w:jc w:val="both"/>
        <w:rPr>
          <w:i/>
          <w:lang w:val="es-EC"/>
        </w:rPr>
      </w:pPr>
      <w:r w:rsidRPr="00C54988">
        <w:rPr>
          <w:i/>
          <w:lang w:val="es-EC"/>
        </w:rPr>
        <w:t xml:space="preserve">En caso de no legalizar la presente ordenanza, ésta caducará en el plazo de tres (03) años de conformidad con lo dispuesto en el artículo IV.7.64 de la Ordenanza No. 001 de 29 de marzo de 2019. </w:t>
      </w:r>
    </w:p>
    <w:p w14:paraId="75BE41B4" w14:textId="4CA79B6A" w:rsidR="00276671" w:rsidRDefault="003A6887" w:rsidP="003A6887">
      <w:pPr>
        <w:pStyle w:val="Textoindependiente"/>
        <w:tabs>
          <w:tab w:val="left" w:pos="1306"/>
        </w:tabs>
        <w:spacing w:after="240" w:line="276" w:lineRule="auto"/>
        <w:jc w:val="both"/>
        <w:rPr>
          <w:i/>
          <w:lang w:val="es-EC"/>
        </w:rPr>
      </w:pPr>
      <w:r w:rsidRPr="00C54988">
        <w:rPr>
          <w:i/>
          <w:lang w:val="es-EC"/>
        </w:rPr>
        <w:t>La inscripción de la presente ordenanza servirá como título de dominio para efectos de la transferencia de áreas verdes, en caso de que existan.</w:t>
      </w:r>
      <w:r w:rsidR="00276671" w:rsidRPr="00C54988">
        <w:rPr>
          <w:i/>
          <w:lang w:val="es-EC"/>
        </w:rPr>
        <w:t>”</w:t>
      </w:r>
    </w:p>
    <w:p w14:paraId="304E2AF7" w14:textId="36F86B96" w:rsidR="00C71650" w:rsidRDefault="00C71650" w:rsidP="003A6887">
      <w:pPr>
        <w:pStyle w:val="Textoindependiente"/>
        <w:tabs>
          <w:tab w:val="left" w:pos="1306"/>
        </w:tabs>
        <w:spacing w:after="240" w:line="276" w:lineRule="auto"/>
        <w:jc w:val="both"/>
        <w:rPr>
          <w:bCs/>
          <w:sz w:val="22"/>
          <w:szCs w:val="22"/>
        </w:rPr>
      </w:pPr>
      <w:r w:rsidRPr="00B82F65">
        <w:rPr>
          <w:b/>
          <w:sz w:val="22"/>
          <w:szCs w:val="22"/>
          <w:lang w:val="es-EC"/>
        </w:rPr>
        <w:t xml:space="preserve">Artículo </w:t>
      </w:r>
      <w:r>
        <w:rPr>
          <w:b/>
          <w:sz w:val="22"/>
          <w:szCs w:val="22"/>
          <w:lang w:val="es-EC"/>
        </w:rPr>
        <w:t>20</w:t>
      </w:r>
      <w:r w:rsidRPr="00B82F65">
        <w:rPr>
          <w:b/>
          <w:sz w:val="22"/>
          <w:szCs w:val="22"/>
          <w:lang w:val="es-EC"/>
        </w:rPr>
        <w:t>.-</w:t>
      </w:r>
      <w:r w:rsidRPr="00C71650">
        <w:rPr>
          <w:bCs/>
          <w:sz w:val="22"/>
          <w:szCs w:val="22"/>
        </w:rPr>
        <w:t xml:space="preserve"> </w:t>
      </w:r>
      <w:r w:rsidRPr="00B82F65">
        <w:rPr>
          <w:bCs/>
          <w:sz w:val="22"/>
          <w:szCs w:val="22"/>
        </w:rPr>
        <w:t>Sustitúyase el artículo 1</w:t>
      </w:r>
      <w:r>
        <w:rPr>
          <w:bCs/>
          <w:sz w:val="22"/>
          <w:szCs w:val="22"/>
        </w:rPr>
        <w:t>3</w:t>
      </w:r>
      <w:r w:rsidRPr="00B82F65">
        <w:rPr>
          <w:bCs/>
          <w:sz w:val="22"/>
          <w:szCs w:val="22"/>
        </w:rPr>
        <w:t xml:space="preserve"> de la Ordenanza No. 0473, sancionada el 26 de diciembre de 2013, por el siguiente:</w:t>
      </w:r>
    </w:p>
    <w:p w14:paraId="174C18C7" w14:textId="70132521" w:rsidR="00C71650" w:rsidRPr="00C71650" w:rsidRDefault="00C71650" w:rsidP="003A6887">
      <w:pPr>
        <w:pStyle w:val="Textoindependiente"/>
        <w:tabs>
          <w:tab w:val="left" w:pos="1306"/>
        </w:tabs>
        <w:spacing w:after="240" w:line="276" w:lineRule="auto"/>
        <w:jc w:val="both"/>
        <w:rPr>
          <w:bCs/>
          <w:i/>
        </w:rPr>
      </w:pPr>
      <w:r>
        <w:rPr>
          <w:b/>
          <w:bCs/>
          <w:i/>
        </w:rPr>
        <w:t>“</w:t>
      </w:r>
      <w:r w:rsidRPr="00C71650">
        <w:rPr>
          <w:b/>
          <w:bCs/>
          <w:i/>
        </w:rPr>
        <w:t>Artículo</w:t>
      </w:r>
      <w:r w:rsidRPr="00C71650">
        <w:rPr>
          <w:b/>
          <w:bCs/>
          <w:i/>
          <w:lang w:val="es-ES_tradnl"/>
        </w:rPr>
        <w:t xml:space="preserve"> </w:t>
      </w:r>
      <w:r w:rsidRPr="00C71650">
        <w:rPr>
          <w:b/>
          <w:bCs/>
          <w:i/>
        </w:rPr>
        <w:t xml:space="preserve">13.-De la partición y adjudicación.- </w:t>
      </w:r>
      <w:r w:rsidRPr="00C71650">
        <w:rPr>
          <w:bCs/>
          <w:i/>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r>
        <w:rPr>
          <w:bCs/>
          <w:i/>
        </w:rPr>
        <w:t>”</w:t>
      </w:r>
    </w:p>
    <w:p w14:paraId="0164ADD6" w14:textId="11FA9E01" w:rsidR="00B203C4" w:rsidRPr="00B82F65" w:rsidRDefault="00276671" w:rsidP="00B203C4">
      <w:pPr>
        <w:spacing w:after="240" w:line="276" w:lineRule="auto"/>
        <w:jc w:val="both"/>
        <w:rPr>
          <w:sz w:val="22"/>
          <w:szCs w:val="22"/>
          <w:lang w:val="es-EC"/>
        </w:rPr>
      </w:pPr>
      <w:r w:rsidRPr="00B82F65">
        <w:rPr>
          <w:b/>
          <w:sz w:val="22"/>
          <w:szCs w:val="22"/>
          <w:lang w:val="es-EC"/>
        </w:rPr>
        <w:t xml:space="preserve">Artículo </w:t>
      </w:r>
      <w:r w:rsidR="009A40F2">
        <w:rPr>
          <w:b/>
          <w:sz w:val="22"/>
          <w:szCs w:val="22"/>
          <w:lang w:val="es-EC"/>
        </w:rPr>
        <w:t>21</w:t>
      </w:r>
      <w:r w:rsidRPr="00B82F65">
        <w:rPr>
          <w:b/>
          <w:sz w:val="22"/>
          <w:szCs w:val="22"/>
          <w:lang w:val="es-EC"/>
        </w:rPr>
        <w:t>.-</w:t>
      </w:r>
      <w:r w:rsidRPr="00B82F65">
        <w:rPr>
          <w:sz w:val="22"/>
          <w:szCs w:val="22"/>
          <w:lang w:val="es-EC"/>
        </w:rPr>
        <w:t xml:space="preserve"> </w:t>
      </w:r>
      <w:r w:rsidR="00B203C4" w:rsidRPr="00B82F65">
        <w:rPr>
          <w:sz w:val="22"/>
          <w:szCs w:val="22"/>
          <w:lang w:val="es-EC"/>
        </w:rPr>
        <w:t xml:space="preserve">Elimínese el artículo </w:t>
      </w:r>
      <w:r w:rsidR="00B203C4" w:rsidRPr="00B82F65">
        <w:rPr>
          <w:bCs/>
          <w:sz w:val="22"/>
          <w:szCs w:val="22"/>
        </w:rPr>
        <w:t>14 de la Ordenanza No. 0473, sancionada el 26 de diciembre de 2013.</w:t>
      </w:r>
    </w:p>
    <w:p w14:paraId="26CEFA0B" w14:textId="5DC4A96A" w:rsidR="00A411D5" w:rsidRDefault="00D43925" w:rsidP="003A6887">
      <w:pPr>
        <w:spacing w:after="240" w:line="276" w:lineRule="auto"/>
        <w:jc w:val="both"/>
        <w:rPr>
          <w:bCs/>
          <w:sz w:val="22"/>
          <w:szCs w:val="22"/>
        </w:rPr>
      </w:pPr>
      <w:r>
        <w:rPr>
          <w:b/>
          <w:sz w:val="22"/>
          <w:szCs w:val="22"/>
          <w:lang w:val="es-EC"/>
        </w:rPr>
        <w:t>Artículo 2</w:t>
      </w:r>
      <w:r w:rsidR="009A40F2">
        <w:rPr>
          <w:b/>
          <w:sz w:val="22"/>
          <w:szCs w:val="22"/>
          <w:lang w:val="es-EC"/>
        </w:rPr>
        <w:t>2</w:t>
      </w:r>
      <w:r w:rsidR="00B203C4" w:rsidRPr="00B82F65">
        <w:rPr>
          <w:b/>
          <w:sz w:val="22"/>
          <w:szCs w:val="22"/>
          <w:lang w:val="es-EC"/>
        </w:rPr>
        <w:t>.-</w:t>
      </w:r>
      <w:r w:rsidR="00B203C4" w:rsidRPr="00B82F65">
        <w:rPr>
          <w:sz w:val="22"/>
          <w:szCs w:val="22"/>
          <w:lang w:val="es-EC"/>
        </w:rPr>
        <w:t xml:space="preserve"> </w:t>
      </w:r>
      <w:r w:rsidR="00A411D5" w:rsidRPr="00B82F65">
        <w:rPr>
          <w:sz w:val="22"/>
          <w:szCs w:val="22"/>
          <w:lang w:val="es-EC"/>
        </w:rPr>
        <w:t>Elimínese</w:t>
      </w:r>
      <w:r w:rsidR="006A57A4" w:rsidRPr="00B82F65">
        <w:rPr>
          <w:sz w:val="22"/>
          <w:szCs w:val="22"/>
          <w:lang w:val="es-EC"/>
        </w:rPr>
        <w:t xml:space="preserve"> el a</w:t>
      </w:r>
      <w:r w:rsidR="00A411D5" w:rsidRPr="00B82F65">
        <w:rPr>
          <w:sz w:val="22"/>
          <w:szCs w:val="22"/>
          <w:lang w:val="es-EC"/>
        </w:rPr>
        <w:t xml:space="preserve">rtículo </w:t>
      </w:r>
      <w:r w:rsidR="00A411D5" w:rsidRPr="00B82F65">
        <w:rPr>
          <w:bCs/>
          <w:sz w:val="22"/>
          <w:szCs w:val="22"/>
        </w:rPr>
        <w:t>15 de la Ordenanza No. 0473, sancionada el 26 de diciembre de 2013</w:t>
      </w:r>
      <w:r w:rsidR="006A57A4" w:rsidRPr="00B82F65">
        <w:rPr>
          <w:bCs/>
          <w:sz w:val="22"/>
          <w:szCs w:val="22"/>
        </w:rPr>
        <w:t>.</w:t>
      </w:r>
    </w:p>
    <w:p w14:paraId="39078330" w14:textId="6BC7EB85" w:rsidR="00C71650" w:rsidRDefault="00C71650" w:rsidP="00C71650">
      <w:pPr>
        <w:pStyle w:val="Textoindependiente"/>
        <w:tabs>
          <w:tab w:val="left" w:pos="1306"/>
        </w:tabs>
        <w:spacing w:after="240" w:line="276" w:lineRule="auto"/>
        <w:jc w:val="both"/>
        <w:rPr>
          <w:bCs/>
          <w:sz w:val="22"/>
          <w:szCs w:val="22"/>
        </w:rPr>
      </w:pPr>
      <w:r w:rsidRPr="00B82F65">
        <w:rPr>
          <w:b/>
          <w:sz w:val="22"/>
          <w:szCs w:val="22"/>
          <w:lang w:val="es-EC"/>
        </w:rPr>
        <w:t xml:space="preserve">Artículo </w:t>
      </w:r>
      <w:r>
        <w:rPr>
          <w:b/>
          <w:sz w:val="22"/>
          <w:szCs w:val="22"/>
          <w:lang w:val="es-EC"/>
        </w:rPr>
        <w:t>23</w:t>
      </w:r>
      <w:r w:rsidRPr="00B82F65">
        <w:rPr>
          <w:b/>
          <w:sz w:val="22"/>
          <w:szCs w:val="22"/>
          <w:lang w:val="es-EC"/>
        </w:rPr>
        <w:t>.-</w:t>
      </w:r>
      <w:r w:rsidRPr="00C71650">
        <w:rPr>
          <w:bCs/>
          <w:sz w:val="22"/>
          <w:szCs w:val="22"/>
        </w:rPr>
        <w:t xml:space="preserve"> </w:t>
      </w:r>
      <w:r w:rsidRPr="00B82F65">
        <w:rPr>
          <w:bCs/>
          <w:sz w:val="22"/>
          <w:szCs w:val="22"/>
        </w:rPr>
        <w:t>Sustitúyase el artículo 1</w:t>
      </w:r>
      <w:r>
        <w:rPr>
          <w:bCs/>
          <w:sz w:val="22"/>
          <w:szCs w:val="22"/>
        </w:rPr>
        <w:t>6</w:t>
      </w:r>
      <w:r w:rsidRPr="00B82F65">
        <w:rPr>
          <w:bCs/>
          <w:sz w:val="22"/>
          <w:szCs w:val="22"/>
        </w:rPr>
        <w:t xml:space="preserve"> de la Ordenanza No. 0473, sancionada el 26 de diciembre de 2013, por el siguiente:</w:t>
      </w:r>
    </w:p>
    <w:p w14:paraId="29846584" w14:textId="3AE89BE9" w:rsidR="00C71650" w:rsidRPr="00B82F65" w:rsidRDefault="00C71650" w:rsidP="003A6887">
      <w:pPr>
        <w:spacing w:after="240" w:line="276" w:lineRule="auto"/>
        <w:jc w:val="both"/>
        <w:rPr>
          <w:sz w:val="22"/>
          <w:szCs w:val="22"/>
          <w:lang w:val="es-EC"/>
        </w:rPr>
      </w:pPr>
      <w:r w:rsidRPr="00C71650">
        <w:rPr>
          <w:b/>
          <w:bCs/>
          <w:i/>
        </w:rPr>
        <w:t>“Artículo 16.- Potestad de ejecución.-</w:t>
      </w:r>
      <w:r w:rsidRPr="00512618">
        <w:rPr>
          <w:bCs/>
          <w:sz w:val="23"/>
          <w:szCs w:val="23"/>
          <w:lang w:val="es-ES_tradnl"/>
        </w:rPr>
        <w:t xml:space="preserve"> </w:t>
      </w:r>
      <w:r w:rsidRPr="00C71650">
        <w:rPr>
          <w:bCs/>
          <w:i/>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3F82DF85" w14:textId="166FE3B9" w:rsidR="00C75CD0" w:rsidRPr="00B82F65" w:rsidRDefault="00B203C4" w:rsidP="003A6887">
      <w:pPr>
        <w:spacing w:after="240" w:line="276" w:lineRule="auto"/>
        <w:jc w:val="both"/>
        <w:rPr>
          <w:bCs/>
          <w:sz w:val="22"/>
          <w:szCs w:val="22"/>
        </w:rPr>
      </w:pPr>
      <w:r w:rsidRPr="00B82F65">
        <w:rPr>
          <w:b/>
          <w:bCs/>
          <w:sz w:val="22"/>
          <w:szCs w:val="22"/>
        </w:rPr>
        <w:t>Artículo 2</w:t>
      </w:r>
      <w:r w:rsidR="00C71650">
        <w:rPr>
          <w:b/>
          <w:bCs/>
          <w:sz w:val="22"/>
          <w:szCs w:val="22"/>
        </w:rPr>
        <w:t>4</w:t>
      </w:r>
      <w:r w:rsidR="006A57A4" w:rsidRPr="00B82F65">
        <w:rPr>
          <w:b/>
          <w:bCs/>
          <w:sz w:val="22"/>
          <w:szCs w:val="22"/>
        </w:rPr>
        <w:t>.-</w:t>
      </w:r>
      <w:r w:rsidR="006A57A4" w:rsidRPr="00B82F65">
        <w:rPr>
          <w:bCs/>
          <w:sz w:val="22"/>
          <w:szCs w:val="22"/>
        </w:rPr>
        <w:t xml:space="preserve"> </w:t>
      </w:r>
      <w:r w:rsidR="003A6887" w:rsidRPr="00B82F65">
        <w:rPr>
          <w:bCs/>
          <w:sz w:val="22"/>
          <w:szCs w:val="22"/>
        </w:rPr>
        <w:t xml:space="preserve">Sustitúyase </w:t>
      </w:r>
      <w:r w:rsidR="00276671" w:rsidRPr="00B82F65">
        <w:rPr>
          <w:bCs/>
          <w:sz w:val="22"/>
          <w:szCs w:val="22"/>
        </w:rPr>
        <w:t xml:space="preserve"> el artículo 1</w:t>
      </w:r>
      <w:r w:rsidR="006A57A4" w:rsidRPr="00B82F65">
        <w:rPr>
          <w:bCs/>
          <w:sz w:val="22"/>
          <w:szCs w:val="22"/>
        </w:rPr>
        <w:t>7</w:t>
      </w:r>
      <w:r w:rsidR="00276671" w:rsidRPr="00B82F65">
        <w:rPr>
          <w:bCs/>
          <w:sz w:val="22"/>
          <w:szCs w:val="22"/>
        </w:rPr>
        <w:t xml:space="preserve"> de la </w:t>
      </w:r>
      <w:r w:rsidR="0059480A" w:rsidRPr="00B82F65">
        <w:rPr>
          <w:bCs/>
          <w:sz w:val="22"/>
          <w:szCs w:val="22"/>
        </w:rPr>
        <w:t>Ordenanza No. 0473, sancionada el 26 de diciembre de 2013</w:t>
      </w:r>
      <w:r w:rsidR="003A6887" w:rsidRPr="00B82F65">
        <w:rPr>
          <w:bCs/>
          <w:sz w:val="22"/>
          <w:szCs w:val="22"/>
        </w:rPr>
        <w:t>, por el siguiente:</w:t>
      </w:r>
    </w:p>
    <w:p w14:paraId="40C67BDC" w14:textId="6944C4A0" w:rsidR="003A6887" w:rsidRPr="00C54988" w:rsidRDefault="003A6887" w:rsidP="003A6887">
      <w:pPr>
        <w:spacing w:line="276" w:lineRule="auto"/>
        <w:jc w:val="both"/>
        <w:rPr>
          <w:bCs/>
          <w:i/>
          <w:lang w:val="es-ES_tradnl"/>
        </w:rPr>
      </w:pPr>
      <w:r w:rsidRPr="00C54988">
        <w:rPr>
          <w:b/>
          <w:bCs/>
          <w:i/>
          <w:lang w:val="es-ES_tradnl"/>
        </w:rPr>
        <w:t>“Artículo 1</w:t>
      </w:r>
      <w:r w:rsidR="00466634" w:rsidRPr="00C54988">
        <w:rPr>
          <w:b/>
          <w:bCs/>
          <w:i/>
          <w:lang w:val="es-ES_tradnl"/>
        </w:rPr>
        <w:t>7</w:t>
      </w:r>
      <w:r w:rsidRPr="00C54988">
        <w:rPr>
          <w:b/>
          <w:bCs/>
          <w:i/>
          <w:lang w:val="es-ES_tradnl"/>
        </w:rPr>
        <w:t xml:space="preserve">.- Solicitudes de ampliación de plazo. - </w:t>
      </w:r>
      <w:r w:rsidRPr="00C54988">
        <w:rPr>
          <w:bCs/>
          <w:i/>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14:paraId="198A7C58" w14:textId="77777777" w:rsidR="003A6887" w:rsidRPr="00C54988" w:rsidRDefault="003A6887" w:rsidP="003A6887">
      <w:pPr>
        <w:spacing w:line="276" w:lineRule="auto"/>
        <w:jc w:val="both"/>
        <w:rPr>
          <w:bCs/>
          <w:i/>
          <w:lang w:val="es-ES_tradnl"/>
        </w:rPr>
      </w:pPr>
    </w:p>
    <w:p w14:paraId="70D0F224" w14:textId="00982B03" w:rsidR="003A6887" w:rsidRPr="00C54988" w:rsidRDefault="003A6887" w:rsidP="003A6887">
      <w:pPr>
        <w:spacing w:line="276" w:lineRule="auto"/>
        <w:jc w:val="both"/>
        <w:rPr>
          <w:bCs/>
          <w:i/>
          <w:color w:val="000000" w:themeColor="text1"/>
          <w:lang w:val="es-ES_tradnl"/>
        </w:rPr>
      </w:pPr>
      <w:r w:rsidRPr="00C54988">
        <w:rPr>
          <w:bCs/>
          <w:i/>
          <w:color w:val="000000" w:themeColor="text1"/>
          <w:lang w:val="es-ES_tradnl"/>
        </w:rPr>
        <w:t xml:space="preserve">La Administración Zonal </w:t>
      </w:r>
      <w:r w:rsidR="006A57A4" w:rsidRPr="00C54988">
        <w:rPr>
          <w:bCs/>
          <w:i/>
          <w:color w:val="000000" w:themeColor="text1"/>
          <w:lang w:val="es-ES_tradnl"/>
        </w:rPr>
        <w:t>Eugenio Espejo</w:t>
      </w:r>
      <w:r w:rsidRPr="00C54988">
        <w:rPr>
          <w:bCs/>
          <w:i/>
          <w:color w:val="000000" w:themeColor="text1"/>
          <w:lang w:val="es-ES_tradnl"/>
        </w:rPr>
        <w:t xml:space="preserve"> deberá notificar a los copropietarios del asentamiento 6 meses antes a la conclusión del plazo establecido.</w:t>
      </w:r>
    </w:p>
    <w:p w14:paraId="1AE6356F" w14:textId="77777777" w:rsidR="003A6887" w:rsidRPr="00C54988" w:rsidRDefault="003A6887" w:rsidP="003A6887">
      <w:pPr>
        <w:spacing w:line="276" w:lineRule="auto"/>
        <w:jc w:val="both"/>
        <w:rPr>
          <w:bCs/>
          <w:i/>
          <w:color w:val="000000" w:themeColor="text1"/>
          <w:lang w:val="es-ES_tradnl"/>
        </w:rPr>
      </w:pPr>
    </w:p>
    <w:p w14:paraId="0C9C9B99" w14:textId="614CAD9F" w:rsidR="003A6887" w:rsidRPr="00C54988" w:rsidRDefault="003A6887" w:rsidP="003A6887">
      <w:pPr>
        <w:spacing w:line="276" w:lineRule="auto"/>
        <w:jc w:val="both"/>
        <w:rPr>
          <w:bCs/>
          <w:i/>
          <w:lang w:val="es-ES_tradnl"/>
        </w:rPr>
      </w:pPr>
      <w:r w:rsidRPr="00C54988">
        <w:rPr>
          <w:bCs/>
          <w:i/>
          <w:lang w:val="es-ES_tradnl"/>
        </w:rPr>
        <w:t xml:space="preserve">La Administración Zonal </w:t>
      </w:r>
      <w:r w:rsidR="006A57A4" w:rsidRPr="00C54988">
        <w:rPr>
          <w:bCs/>
          <w:i/>
          <w:lang w:val="es-ES_tradnl"/>
        </w:rPr>
        <w:t>Eugenio Espejo</w:t>
      </w:r>
      <w:r w:rsidRPr="00C54988">
        <w:rPr>
          <w:bCs/>
          <w:i/>
          <w:lang w:val="es-ES_tradnl"/>
        </w:rPr>
        <w:t xml:space="preserve"> realizará el seguimiento en la ejecución y avance del cronograma de obras de mitigación hasta la terminación de las mismas.</w:t>
      </w:r>
    </w:p>
    <w:p w14:paraId="6F09FFDD" w14:textId="77777777" w:rsidR="003A6887" w:rsidRPr="00C54988" w:rsidRDefault="003A6887" w:rsidP="003A6887">
      <w:pPr>
        <w:spacing w:line="276" w:lineRule="auto"/>
        <w:jc w:val="both"/>
        <w:rPr>
          <w:bCs/>
          <w:i/>
          <w:lang w:val="es-ES_tradnl"/>
        </w:rPr>
      </w:pPr>
    </w:p>
    <w:p w14:paraId="16B5D0B1" w14:textId="53B46963" w:rsidR="00C75CD0" w:rsidRPr="00B82F65" w:rsidRDefault="003A6887" w:rsidP="003A6887">
      <w:pPr>
        <w:spacing w:after="240" w:line="276" w:lineRule="auto"/>
        <w:jc w:val="both"/>
        <w:rPr>
          <w:i/>
          <w:sz w:val="22"/>
          <w:szCs w:val="22"/>
          <w:lang w:val="es-ES_tradnl"/>
        </w:rPr>
      </w:pPr>
      <w:r w:rsidRPr="00C54988">
        <w:rPr>
          <w:bCs/>
          <w:i/>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7ED2539" w14:textId="2EA8E94D" w:rsidR="00C71650" w:rsidRPr="00C71650" w:rsidRDefault="00C71650" w:rsidP="00C71650">
      <w:pPr>
        <w:spacing w:after="240" w:line="276" w:lineRule="auto"/>
        <w:jc w:val="both"/>
        <w:rPr>
          <w:bCs/>
          <w:sz w:val="22"/>
          <w:szCs w:val="22"/>
        </w:rPr>
      </w:pPr>
      <w:r w:rsidRPr="00C71650">
        <w:rPr>
          <w:b/>
          <w:bCs/>
          <w:sz w:val="22"/>
          <w:szCs w:val="22"/>
        </w:rPr>
        <w:t>Artículo 2</w:t>
      </w:r>
      <w:r>
        <w:rPr>
          <w:b/>
          <w:bCs/>
          <w:sz w:val="22"/>
          <w:szCs w:val="22"/>
        </w:rPr>
        <w:t>5</w:t>
      </w:r>
      <w:r w:rsidRPr="00C71650">
        <w:rPr>
          <w:b/>
          <w:bCs/>
          <w:sz w:val="22"/>
          <w:szCs w:val="22"/>
        </w:rPr>
        <w:t>.-</w:t>
      </w:r>
      <w:r w:rsidRPr="00C71650">
        <w:rPr>
          <w:bCs/>
          <w:sz w:val="22"/>
          <w:szCs w:val="22"/>
        </w:rPr>
        <w:t xml:space="preserve"> Sustitúyase  l</w:t>
      </w:r>
      <w:r>
        <w:rPr>
          <w:bCs/>
          <w:sz w:val="22"/>
          <w:szCs w:val="22"/>
        </w:rPr>
        <w:t xml:space="preserve">a disposición final de </w:t>
      </w:r>
      <w:r w:rsidRPr="00C71650">
        <w:rPr>
          <w:bCs/>
          <w:sz w:val="22"/>
          <w:szCs w:val="22"/>
        </w:rPr>
        <w:t>la Ordenanza No. 0473, sancionada el 26 de diciembre de 2013, por l</w:t>
      </w:r>
      <w:r>
        <w:rPr>
          <w:bCs/>
          <w:sz w:val="22"/>
          <w:szCs w:val="22"/>
        </w:rPr>
        <w:t>a</w:t>
      </w:r>
      <w:r w:rsidRPr="00C71650">
        <w:rPr>
          <w:bCs/>
          <w:sz w:val="22"/>
          <w:szCs w:val="22"/>
        </w:rPr>
        <w:t xml:space="preserve"> siguiente:</w:t>
      </w:r>
    </w:p>
    <w:p w14:paraId="2FB9B52E" w14:textId="5C615677" w:rsidR="00C71650" w:rsidRPr="00B82F65" w:rsidRDefault="00EC0326" w:rsidP="00C71650">
      <w:pPr>
        <w:spacing w:after="360" w:line="276" w:lineRule="auto"/>
        <w:jc w:val="both"/>
        <w:rPr>
          <w:i/>
          <w:sz w:val="22"/>
          <w:szCs w:val="22"/>
          <w:lang w:val="es-ES_tradnl"/>
        </w:rPr>
      </w:pPr>
      <w:r>
        <w:rPr>
          <w:b/>
          <w:bCs/>
          <w:i/>
          <w:lang w:val="es-ES_tradnl"/>
        </w:rPr>
        <w:t>“</w:t>
      </w:r>
      <w:r w:rsidR="00C71650" w:rsidRPr="00EC0326">
        <w:rPr>
          <w:b/>
          <w:bCs/>
          <w:i/>
          <w:lang w:val="es-ES_tradnl"/>
        </w:rPr>
        <w:t>Disposición Final. -</w:t>
      </w:r>
      <w:r w:rsidR="00C71650" w:rsidRPr="00B82F65">
        <w:rPr>
          <w:b/>
          <w:sz w:val="22"/>
          <w:szCs w:val="22"/>
          <w:lang w:val="es-ES_tradnl"/>
        </w:rPr>
        <w:t xml:space="preserve"> </w:t>
      </w:r>
      <w:r w:rsidR="00C71650" w:rsidRPr="00B82F65">
        <w:rPr>
          <w:bCs/>
          <w:sz w:val="22"/>
          <w:szCs w:val="22"/>
          <w:lang w:val="es-ES_tradnl"/>
        </w:rPr>
        <w:t xml:space="preserve"> </w:t>
      </w:r>
      <w:r w:rsidR="00C71650" w:rsidRPr="00EC0326">
        <w:rPr>
          <w:bCs/>
          <w:i/>
          <w:color w:val="000000" w:themeColor="text1"/>
          <w:lang w:val="es-ES_tradnl"/>
        </w:rPr>
        <w:t>Esta ordenanza entrará en vigencia a partir de la fecha de su sanción, sin perjuicio de su publicación en el Registro Oficial, Gaceta Municipal o la página web institucional de la Municipalidad.</w:t>
      </w:r>
      <w:r>
        <w:rPr>
          <w:bCs/>
          <w:i/>
          <w:color w:val="000000" w:themeColor="text1"/>
          <w:lang w:val="es-ES_tradnl"/>
        </w:rPr>
        <w:t>”</w:t>
      </w:r>
    </w:p>
    <w:p w14:paraId="21C617F9" w14:textId="77777777" w:rsidR="003A6887" w:rsidRPr="00B82F65" w:rsidRDefault="003A6887" w:rsidP="003A6887">
      <w:pPr>
        <w:spacing w:after="240" w:line="276" w:lineRule="auto"/>
        <w:jc w:val="center"/>
        <w:rPr>
          <w:b/>
          <w:sz w:val="22"/>
          <w:szCs w:val="22"/>
          <w:lang w:val="es-ES_tradnl"/>
        </w:rPr>
      </w:pPr>
      <w:r w:rsidRPr="00B82F65">
        <w:rPr>
          <w:b/>
          <w:sz w:val="22"/>
          <w:szCs w:val="22"/>
          <w:lang w:val="es-ES_tradnl"/>
        </w:rPr>
        <w:t>Disposiciones Generales</w:t>
      </w:r>
    </w:p>
    <w:p w14:paraId="4792799B" w14:textId="77777777" w:rsidR="003A6887" w:rsidRPr="00B82F65" w:rsidRDefault="003A6887" w:rsidP="003A6887">
      <w:pPr>
        <w:spacing w:after="240" w:line="276" w:lineRule="auto"/>
        <w:jc w:val="both"/>
        <w:rPr>
          <w:b/>
          <w:sz w:val="22"/>
          <w:szCs w:val="22"/>
          <w:lang w:val="es-ES_tradnl"/>
        </w:rPr>
      </w:pPr>
      <w:r w:rsidRPr="00B82F65">
        <w:rPr>
          <w:b/>
          <w:sz w:val="22"/>
          <w:szCs w:val="22"/>
          <w:lang w:val="es-ES_tradnl"/>
        </w:rPr>
        <w:t xml:space="preserve">Primera.- </w:t>
      </w:r>
      <w:r w:rsidRPr="00B82F65">
        <w:rPr>
          <w:sz w:val="22"/>
          <w:szCs w:val="22"/>
          <w:lang w:val="es-ES_tradnl"/>
        </w:rPr>
        <w:t>Todos los anexos adjuntos al proyecto de regularización son documentos habilitantes de esta Ordenanza</w:t>
      </w:r>
      <w:r w:rsidRPr="00B82F65">
        <w:rPr>
          <w:b/>
          <w:sz w:val="22"/>
          <w:szCs w:val="22"/>
          <w:lang w:val="es-ES_tradnl"/>
        </w:rPr>
        <w:t>.</w:t>
      </w:r>
    </w:p>
    <w:p w14:paraId="59501A74" w14:textId="50EB02A7" w:rsidR="003A6887" w:rsidRPr="00B82F65" w:rsidRDefault="003A6887" w:rsidP="003A6887">
      <w:pPr>
        <w:spacing w:after="240" w:line="276" w:lineRule="auto"/>
        <w:jc w:val="both"/>
        <w:rPr>
          <w:sz w:val="22"/>
          <w:szCs w:val="22"/>
          <w:lang w:val="es-ES_tradnl"/>
        </w:rPr>
      </w:pPr>
      <w:r w:rsidRPr="00B82F65">
        <w:rPr>
          <w:b/>
          <w:sz w:val="22"/>
          <w:szCs w:val="22"/>
          <w:lang w:val="es-ES_tradnl"/>
        </w:rPr>
        <w:t xml:space="preserve">Segunda.-  </w:t>
      </w:r>
      <w:r w:rsidRPr="00B82F65">
        <w:rPr>
          <w:sz w:val="22"/>
          <w:szCs w:val="22"/>
          <w:lang w:val="es-ES_tradnl"/>
        </w:rPr>
        <w:t xml:space="preserve">De acuerdo al Oficio </w:t>
      </w:r>
      <w:r w:rsidRPr="00B82F65">
        <w:rPr>
          <w:sz w:val="22"/>
          <w:szCs w:val="22"/>
        </w:rPr>
        <w:t>Nro. GADDMQ-SGSG-DMGR-2019-0648-OF, de 21 de agosto</w:t>
      </w:r>
      <w:r w:rsidR="00C54988">
        <w:rPr>
          <w:sz w:val="22"/>
          <w:szCs w:val="22"/>
        </w:rPr>
        <w:t xml:space="preserve"> de 2019 </w:t>
      </w:r>
      <w:r w:rsidR="00C54988">
        <w:rPr>
          <w:sz w:val="22"/>
          <w:szCs w:val="22"/>
          <w:lang w:val="es-ES_tradnl"/>
        </w:rPr>
        <w:t xml:space="preserve">se deberán cumplir las siguientes disposiciones, además de las </w:t>
      </w:r>
      <w:r w:rsidR="00765489">
        <w:rPr>
          <w:sz w:val="22"/>
          <w:szCs w:val="22"/>
          <w:lang w:val="es-ES_tradnl"/>
        </w:rPr>
        <w:t xml:space="preserve">recomendaciones generales y normativa legal vigente contenida en este mismo oficio y las del </w:t>
      </w:r>
      <w:r w:rsidR="00C54988">
        <w:rPr>
          <w:sz w:val="22"/>
          <w:szCs w:val="22"/>
          <w:lang w:val="es-ES_tradnl"/>
        </w:rPr>
        <w:t xml:space="preserve">informe No. 264-AT-DMGR-2018, de </w:t>
      </w:r>
      <w:r w:rsidR="00EF29C0">
        <w:rPr>
          <w:sz w:val="22"/>
          <w:szCs w:val="22"/>
          <w:lang w:val="es-ES_tradnl"/>
        </w:rPr>
        <w:t>19</w:t>
      </w:r>
      <w:r w:rsidR="00C54988">
        <w:rPr>
          <w:sz w:val="22"/>
          <w:szCs w:val="22"/>
          <w:lang w:val="es-ES_tradnl"/>
        </w:rPr>
        <w:t xml:space="preserve"> de septiembre de 2018:</w:t>
      </w:r>
    </w:p>
    <w:p w14:paraId="652871D5" w14:textId="3797DDCB" w:rsidR="00466634" w:rsidRDefault="0088391F" w:rsidP="00466634">
      <w:pPr>
        <w:pStyle w:val="Prrafodelista"/>
        <w:numPr>
          <w:ilvl w:val="0"/>
          <w:numId w:val="10"/>
        </w:numPr>
        <w:spacing w:after="240" w:line="276" w:lineRule="auto"/>
        <w:jc w:val="both"/>
        <w:rPr>
          <w:sz w:val="22"/>
          <w:szCs w:val="22"/>
          <w:lang w:val="es-ES_tradnl"/>
        </w:rPr>
      </w:pPr>
      <w:r>
        <w:rPr>
          <w:sz w:val="22"/>
          <w:szCs w:val="22"/>
          <w:lang w:val="es-ES_tradnl"/>
        </w:rPr>
        <w:t>Se dispone que, d</w:t>
      </w:r>
      <w:r w:rsidR="00466634" w:rsidRPr="00B82F65">
        <w:rPr>
          <w:sz w:val="22"/>
          <w:szCs w:val="22"/>
          <w:lang w:val="es-ES_tradnl"/>
        </w:rPr>
        <w:t xml:space="preserve">ebido a que los lotes 01, 02, 03, 04, 05, 14, 15, 16, 17, 18, 19, 20, 21, 22, 23, 24, 25 y 26 se encuentran bajo el nivel de la vía es indispensable como obra de mitigación la construcción de una red de descargas para evitar las mismas hacia la quebrada San Antonio. </w:t>
      </w:r>
    </w:p>
    <w:p w14:paraId="1AF47AA7" w14:textId="77777777" w:rsidR="000B178F" w:rsidRPr="000B178F" w:rsidRDefault="000B178F" w:rsidP="000B178F">
      <w:pPr>
        <w:pStyle w:val="Prrafodelista"/>
        <w:spacing w:after="240" w:line="276" w:lineRule="auto"/>
        <w:ind w:left="360" w:firstLine="708"/>
        <w:jc w:val="both"/>
        <w:rPr>
          <w:lang w:val="es-ES_tradnl"/>
        </w:rPr>
      </w:pPr>
    </w:p>
    <w:p w14:paraId="376E1863" w14:textId="7D6EA63F" w:rsidR="00466634" w:rsidRDefault="0088391F" w:rsidP="00466634">
      <w:pPr>
        <w:pStyle w:val="Prrafodelista"/>
        <w:numPr>
          <w:ilvl w:val="0"/>
          <w:numId w:val="10"/>
        </w:numPr>
        <w:spacing w:after="240" w:line="276" w:lineRule="auto"/>
        <w:jc w:val="both"/>
        <w:rPr>
          <w:sz w:val="22"/>
          <w:szCs w:val="22"/>
          <w:lang w:val="es-ES_tradnl"/>
        </w:rPr>
      </w:pPr>
      <w:r>
        <w:rPr>
          <w:sz w:val="22"/>
          <w:szCs w:val="22"/>
          <w:lang w:val="es-ES_tradnl"/>
        </w:rPr>
        <w:t>Se dispone que, l</w:t>
      </w:r>
      <w:r w:rsidR="00466634" w:rsidRPr="00B82F65">
        <w:rPr>
          <w:sz w:val="22"/>
          <w:szCs w:val="22"/>
          <w:lang w:val="es-ES_tradnl"/>
        </w:rPr>
        <w:t xml:space="preserve">os propietarios de los lotes 07, 08, 09, 10, 11, 12, 13, 18, 19, 20, 21, 41, 42, 45, 68, 70, 72, 73, 82, 83, 84, 85, 87, 88, 89, 90, 93, 94, 103, 01, 02, 03, 04, 05, 14, 15, 16, 17, 22, 23, 24, 25, 26, 104 deben realizar las obras de protección de los cortes de terreno identificados, esta obra corresponde a muros de protección o estabilización según lo determinen las condiciones particulares del predio. El diseño y construcción de la obra de protección estará debidamente avalada por un profesional competente posterior a un estudio de estabilidad de taludes.  </w:t>
      </w:r>
    </w:p>
    <w:p w14:paraId="3F155CDD" w14:textId="77777777" w:rsidR="000B178F" w:rsidRPr="000B178F" w:rsidRDefault="000B178F" w:rsidP="000B178F">
      <w:pPr>
        <w:pStyle w:val="Prrafodelista"/>
        <w:rPr>
          <w:lang w:val="es-ES_tradnl"/>
        </w:rPr>
      </w:pPr>
    </w:p>
    <w:p w14:paraId="435A92A8" w14:textId="4790E9CE" w:rsidR="00466634" w:rsidRDefault="0088391F" w:rsidP="00466634">
      <w:pPr>
        <w:pStyle w:val="Prrafodelista"/>
        <w:numPr>
          <w:ilvl w:val="0"/>
          <w:numId w:val="10"/>
        </w:numPr>
        <w:spacing w:after="240" w:line="276" w:lineRule="auto"/>
        <w:jc w:val="both"/>
        <w:rPr>
          <w:sz w:val="22"/>
          <w:szCs w:val="22"/>
          <w:lang w:val="es-ES_tradnl"/>
        </w:rPr>
      </w:pPr>
      <w:r>
        <w:rPr>
          <w:sz w:val="22"/>
          <w:szCs w:val="22"/>
          <w:lang w:val="es-ES_tradnl"/>
        </w:rPr>
        <w:t>Se dispone que, l</w:t>
      </w:r>
      <w:r w:rsidR="00466634" w:rsidRPr="00B82F65">
        <w:rPr>
          <w:sz w:val="22"/>
          <w:szCs w:val="22"/>
          <w:lang w:val="es-ES_tradnl"/>
        </w:rPr>
        <w:t xml:space="preserve">os propietarios/posesionarios de los lotes de “18 de Septiembre” no deben realizar excavaciones en el terreno (desbanques de tierra) hasta que culmine el proceso de regularización y se establezca su normativa de edificabilidad específica. </w:t>
      </w:r>
    </w:p>
    <w:p w14:paraId="43410173" w14:textId="77777777" w:rsidR="000B178F" w:rsidRPr="000B178F" w:rsidRDefault="000B178F" w:rsidP="000B178F">
      <w:pPr>
        <w:pStyle w:val="Prrafodelista"/>
        <w:rPr>
          <w:lang w:val="es-ES_tradnl"/>
        </w:rPr>
      </w:pPr>
    </w:p>
    <w:p w14:paraId="4C081E54" w14:textId="25B152AE" w:rsidR="00466634" w:rsidRDefault="0088391F" w:rsidP="00466634">
      <w:pPr>
        <w:pStyle w:val="Prrafodelista"/>
        <w:numPr>
          <w:ilvl w:val="0"/>
          <w:numId w:val="10"/>
        </w:numPr>
        <w:spacing w:after="240" w:line="276" w:lineRule="auto"/>
        <w:jc w:val="both"/>
        <w:rPr>
          <w:sz w:val="22"/>
          <w:szCs w:val="22"/>
          <w:lang w:val="es-ES_tradnl"/>
        </w:rPr>
      </w:pPr>
      <w:r>
        <w:rPr>
          <w:sz w:val="22"/>
          <w:szCs w:val="22"/>
          <w:lang w:val="es-ES_tradnl"/>
        </w:rPr>
        <w:t>Se dispone que, l</w:t>
      </w:r>
      <w:r w:rsidR="00466634" w:rsidRPr="00B82F65">
        <w:rPr>
          <w:sz w:val="22"/>
          <w:szCs w:val="22"/>
          <w:lang w:val="es-ES_tradnl"/>
        </w:rPr>
        <w:t xml:space="preserve">os propietarios de los lotes 01, 02, 03, 04, 05, 14, 15, 16, 17, 22, 23, 24, 25, 26, 72 y 104 que presentan una calificación de Muy Alto Riesgo frente a procesos de remoción en masa colindantes con la quebrada San Antonio, deben contratar a un especialista geotécnico para que realice los estudios técnicos necesarios, como lo establece la Norma Ecuatoriana de Construcción vigente y su respectiva Guía Práctica (NEC-SE-GC), y determine las alternativas de mitigación del riesgo tanto para salvaguardar sus predios así como los predios colindantes.  </w:t>
      </w:r>
    </w:p>
    <w:p w14:paraId="742AB5AF" w14:textId="77777777" w:rsidR="000B178F" w:rsidRPr="000B178F" w:rsidRDefault="000B178F" w:rsidP="000B178F">
      <w:pPr>
        <w:pStyle w:val="Prrafodelista"/>
        <w:rPr>
          <w:lang w:val="es-ES_tradnl"/>
        </w:rPr>
      </w:pPr>
    </w:p>
    <w:p w14:paraId="4CDC8E76" w14:textId="64B8E3C3" w:rsidR="00466634" w:rsidRDefault="0088391F" w:rsidP="00466634">
      <w:pPr>
        <w:pStyle w:val="Prrafodelista"/>
        <w:numPr>
          <w:ilvl w:val="0"/>
          <w:numId w:val="10"/>
        </w:numPr>
        <w:spacing w:after="240" w:line="276" w:lineRule="auto"/>
        <w:jc w:val="both"/>
        <w:rPr>
          <w:sz w:val="22"/>
          <w:szCs w:val="22"/>
          <w:lang w:val="es-ES_tradnl"/>
        </w:rPr>
      </w:pPr>
      <w:r>
        <w:rPr>
          <w:sz w:val="22"/>
          <w:szCs w:val="22"/>
          <w:lang w:val="es-ES_tradnl"/>
        </w:rPr>
        <w:t>Se dispone que, l</w:t>
      </w:r>
      <w:r w:rsidR="00466634" w:rsidRPr="00B82F65">
        <w:rPr>
          <w:sz w:val="22"/>
          <w:szCs w:val="22"/>
          <w:lang w:val="es-ES_tradnl"/>
        </w:rPr>
        <w:t>os propietarios y/o posesionarios actuales no construirán más viviendas en el macrolote evaluado, ni aumentarán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w:t>
      </w:r>
      <w:r w:rsidR="000B178F">
        <w:rPr>
          <w:sz w:val="22"/>
          <w:szCs w:val="22"/>
          <w:lang w:val="es-ES_tradnl"/>
        </w:rPr>
        <w:t>oridad competente.</w:t>
      </w:r>
    </w:p>
    <w:p w14:paraId="01D60C25" w14:textId="77777777" w:rsidR="000B178F" w:rsidRPr="000B178F" w:rsidRDefault="000B178F" w:rsidP="000B178F">
      <w:pPr>
        <w:pStyle w:val="Prrafodelista"/>
        <w:rPr>
          <w:lang w:val="es-ES_tradnl"/>
        </w:rPr>
      </w:pPr>
    </w:p>
    <w:p w14:paraId="4478BC42" w14:textId="44522FCA" w:rsidR="003A6887" w:rsidRPr="00B82F65" w:rsidRDefault="00466634" w:rsidP="00466634">
      <w:pPr>
        <w:pStyle w:val="Prrafodelista"/>
        <w:numPr>
          <w:ilvl w:val="0"/>
          <w:numId w:val="10"/>
        </w:numPr>
        <w:spacing w:after="240" w:line="276" w:lineRule="auto"/>
        <w:jc w:val="both"/>
        <w:rPr>
          <w:sz w:val="22"/>
          <w:szCs w:val="22"/>
          <w:lang w:val="es-ES_tradnl"/>
        </w:rPr>
      </w:pPr>
      <w:r w:rsidRPr="00B82F65">
        <w:rPr>
          <w:sz w:val="22"/>
          <w:szCs w:val="22"/>
          <w:lang w:val="es-ES_tradnl"/>
        </w:rPr>
        <w:t>La Unidad Especial Regula Tu Barrio deberá comunicar a la comunidad del AHHYC “18 de Septiembre” lo descrito en el presente informe, especialmente la calificación del riesgo ante las diferentes amenazas analizadas y las respectivas recomendaciones técnicas.</w:t>
      </w:r>
    </w:p>
    <w:p w14:paraId="7A6CF5A6" w14:textId="77777777" w:rsidR="003A6887" w:rsidRPr="00B82F65" w:rsidRDefault="003A6887" w:rsidP="003A6887">
      <w:pPr>
        <w:tabs>
          <w:tab w:val="left" w:pos="1077"/>
        </w:tabs>
        <w:spacing w:after="240" w:line="276" w:lineRule="auto"/>
        <w:contextualSpacing/>
        <w:jc w:val="both"/>
        <w:rPr>
          <w:sz w:val="22"/>
          <w:szCs w:val="22"/>
        </w:rPr>
      </w:pPr>
      <w:r w:rsidRPr="00B82F65">
        <w:rPr>
          <w:sz w:val="22"/>
          <w:szCs w:val="22"/>
        </w:rPr>
        <w:tab/>
      </w:r>
    </w:p>
    <w:p w14:paraId="4118EDF2" w14:textId="2C63A7E9" w:rsidR="003A6887" w:rsidRPr="00B82F65" w:rsidRDefault="003A6887" w:rsidP="003A6887">
      <w:pPr>
        <w:jc w:val="both"/>
        <w:rPr>
          <w:sz w:val="22"/>
          <w:szCs w:val="22"/>
        </w:rPr>
      </w:pPr>
      <w:r w:rsidRPr="00B82F65">
        <w:rPr>
          <w:sz w:val="22"/>
          <w:szCs w:val="22"/>
        </w:rPr>
        <w:t>Dada, en la Sala de Sesiones del Concejo Metropolitano de Quito, el.…… de …………. del 20</w:t>
      </w:r>
      <w:r w:rsidR="00F67FB0">
        <w:rPr>
          <w:sz w:val="22"/>
          <w:szCs w:val="22"/>
        </w:rPr>
        <w:t>19</w:t>
      </w:r>
    </w:p>
    <w:p w14:paraId="746D3481" w14:textId="77777777" w:rsidR="003A6887" w:rsidRPr="00B82F65" w:rsidRDefault="003A6887" w:rsidP="003A6887">
      <w:pPr>
        <w:pStyle w:val="Textopredeterminado"/>
        <w:shd w:val="clear" w:color="auto" w:fill="FFFFFF"/>
        <w:jc w:val="both"/>
        <w:rPr>
          <w:sz w:val="22"/>
          <w:szCs w:val="22"/>
          <w:lang w:val="es-ES"/>
        </w:rPr>
      </w:pPr>
    </w:p>
    <w:p w14:paraId="1C841FAB" w14:textId="5DBF8459" w:rsidR="003A6887" w:rsidRPr="00B82F65" w:rsidRDefault="003A6887" w:rsidP="003A6887">
      <w:pPr>
        <w:pStyle w:val="Textopredeterminado"/>
        <w:shd w:val="clear" w:color="auto" w:fill="FFFFFF"/>
        <w:jc w:val="both"/>
        <w:rPr>
          <w:sz w:val="22"/>
          <w:szCs w:val="22"/>
          <w:lang w:val="es-ES"/>
        </w:rPr>
      </w:pPr>
    </w:p>
    <w:p w14:paraId="17453675" w14:textId="735DE51C" w:rsidR="003A6ABE" w:rsidRPr="00B82F65" w:rsidRDefault="003A6ABE" w:rsidP="003A6887">
      <w:pPr>
        <w:pStyle w:val="Textopredeterminado"/>
        <w:shd w:val="clear" w:color="auto" w:fill="FFFFFF"/>
        <w:jc w:val="both"/>
        <w:rPr>
          <w:sz w:val="22"/>
          <w:szCs w:val="22"/>
          <w:lang w:val="es-ES"/>
        </w:rPr>
      </w:pPr>
    </w:p>
    <w:p w14:paraId="742B52D0" w14:textId="77777777" w:rsidR="003A6ABE" w:rsidRPr="00B82F65" w:rsidRDefault="003A6ABE" w:rsidP="003A6887">
      <w:pPr>
        <w:pStyle w:val="Textopredeterminado"/>
        <w:shd w:val="clear" w:color="auto" w:fill="FFFFFF"/>
        <w:jc w:val="both"/>
        <w:rPr>
          <w:sz w:val="22"/>
          <w:szCs w:val="22"/>
          <w:lang w:val="es-ES"/>
        </w:rPr>
      </w:pPr>
    </w:p>
    <w:p w14:paraId="284C6C32" w14:textId="77777777" w:rsidR="003A6887" w:rsidRPr="00B82F65" w:rsidRDefault="003A6887" w:rsidP="003A6887">
      <w:pPr>
        <w:pStyle w:val="Textopredeterminado"/>
        <w:shd w:val="clear" w:color="auto" w:fill="FFFFFF"/>
        <w:jc w:val="both"/>
        <w:rPr>
          <w:sz w:val="22"/>
          <w:szCs w:val="22"/>
          <w:lang w:val="es-ES"/>
        </w:rPr>
      </w:pPr>
    </w:p>
    <w:tbl>
      <w:tblPr>
        <w:tblW w:w="10190" w:type="dxa"/>
        <w:jc w:val="center"/>
        <w:tblLook w:val="04A0" w:firstRow="1" w:lastRow="0" w:firstColumn="1" w:lastColumn="0" w:noHBand="0" w:noVBand="1"/>
      </w:tblPr>
      <w:tblGrid>
        <w:gridCol w:w="10190"/>
      </w:tblGrid>
      <w:tr w:rsidR="003A6887" w:rsidRPr="00B82F65" w14:paraId="29FB84D0" w14:textId="77777777" w:rsidTr="00CA7D73">
        <w:trPr>
          <w:jc w:val="center"/>
        </w:trPr>
        <w:tc>
          <w:tcPr>
            <w:tcW w:w="10190" w:type="dxa"/>
            <w:hideMark/>
          </w:tcPr>
          <w:p w14:paraId="039778DF" w14:textId="77777777" w:rsidR="003A6ABE" w:rsidRPr="00B82F65" w:rsidRDefault="003A6ABE" w:rsidP="003A6ABE">
            <w:pPr>
              <w:pStyle w:val="Textosinformato"/>
              <w:jc w:val="center"/>
              <w:rPr>
                <w:rFonts w:ascii="Times New Roman" w:eastAsia="MS Mincho" w:hAnsi="Times New Roman"/>
                <w:sz w:val="22"/>
                <w:szCs w:val="22"/>
              </w:rPr>
            </w:pPr>
            <w:r w:rsidRPr="00B82F65">
              <w:rPr>
                <w:rFonts w:ascii="Times New Roman" w:eastAsia="MS Mincho" w:hAnsi="Times New Roman"/>
                <w:sz w:val="22"/>
                <w:szCs w:val="22"/>
              </w:rPr>
              <w:t>Abg. Damaris Priscila Ortiz Pasuy</w:t>
            </w:r>
          </w:p>
          <w:p w14:paraId="18D0AC76" w14:textId="6504BFB4" w:rsidR="003A6887" w:rsidRPr="00B82F65" w:rsidRDefault="003A6ABE" w:rsidP="003A6ABE">
            <w:pPr>
              <w:pStyle w:val="Textopredeterminado"/>
              <w:jc w:val="center"/>
              <w:rPr>
                <w:b/>
                <w:sz w:val="22"/>
                <w:szCs w:val="22"/>
              </w:rPr>
            </w:pPr>
            <w:r w:rsidRPr="00B82F65">
              <w:rPr>
                <w:b/>
                <w:sz w:val="22"/>
                <w:szCs w:val="22"/>
              </w:rPr>
              <w:t>SECRETARIA GENERAL DEL CONCEJO METROPOLITANO DE QUITO (E)</w:t>
            </w:r>
          </w:p>
          <w:p w14:paraId="1874F68C" w14:textId="77777777" w:rsidR="003A6887" w:rsidRPr="00B82F65" w:rsidRDefault="003A6887" w:rsidP="00CA7D73">
            <w:pPr>
              <w:pStyle w:val="Textopredeterminado"/>
              <w:jc w:val="center"/>
              <w:rPr>
                <w:b/>
                <w:sz w:val="22"/>
                <w:szCs w:val="22"/>
              </w:rPr>
            </w:pPr>
          </w:p>
          <w:p w14:paraId="5A231DDE" w14:textId="77777777" w:rsidR="003A6887" w:rsidRPr="00B82F65" w:rsidRDefault="003A6887" w:rsidP="00CA7D73">
            <w:pPr>
              <w:pStyle w:val="Textopredeterminado"/>
              <w:jc w:val="center"/>
              <w:rPr>
                <w:b/>
                <w:sz w:val="22"/>
                <w:szCs w:val="22"/>
              </w:rPr>
            </w:pPr>
          </w:p>
          <w:p w14:paraId="17B2E8CA" w14:textId="77777777" w:rsidR="003A6887" w:rsidRPr="00B82F65" w:rsidRDefault="003A6887" w:rsidP="00CA7D73">
            <w:pPr>
              <w:pStyle w:val="Textopredeterminado"/>
              <w:jc w:val="center"/>
              <w:rPr>
                <w:b/>
                <w:sz w:val="22"/>
                <w:szCs w:val="22"/>
              </w:rPr>
            </w:pPr>
          </w:p>
          <w:p w14:paraId="799B4273" w14:textId="77777777" w:rsidR="003A6ABE" w:rsidRPr="00B82F65" w:rsidRDefault="003A6ABE" w:rsidP="00CA7D73">
            <w:pPr>
              <w:pStyle w:val="Textopredeterminado"/>
              <w:jc w:val="center"/>
              <w:rPr>
                <w:b/>
                <w:sz w:val="22"/>
                <w:szCs w:val="22"/>
              </w:rPr>
            </w:pPr>
          </w:p>
          <w:p w14:paraId="103DB2A8" w14:textId="207391E2" w:rsidR="003A6ABE" w:rsidRPr="00B82F65" w:rsidRDefault="003A6ABE" w:rsidP="00CA7D73">
            <w:pPr>
              <w:pStyle w:val="Textopredeterminado"/>
              <w:jc w:val="center"/>
              <w:rPr>
                <w:b/>
                <w:sz w:val="22"/>
                <w:szCs w:val="22"/>
              </w:rPr>
            </w:pPr>
          </w:p>
        </w:tc>
      </w:tr>
    </w:tbl>
    <w:p w14:paraId="3122F8BA" w14:textId="77777777" w:rsidR="003A6887" w:rsidRPr="00B82F65"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B82F65">
        <w:rPr>
          <w:rFonts w:ascii="Times New Roman" w:eastAsia="MS Mincho" w:hAnsi="Times New Roman"/>
          <w:b/>
          <w:bCs/>
          <w:sz w:val="22"/>
          <w:szCs w:val="22"/>
        </w:rPr>
        <w:t>CERTIFICADO DE DISCUSIÓN</w:t>
      </w:r>
    </w:p>
    <w:p w14:paraId="25ACD741" w14:textId="77777777" w:rsidR="003A6887" w:rsidRPr="00B82F65" w:rsidRDefault="003A6887" w:rsidP="003A6887">
      <w:pPr>
        <w:pStyle w:val="Textosinformato"/>
        <w:jc w:val="center"/>
        <w:rPr>
          <w:rFonts w:ascii="Times New Roman" w:eastAsia="MS Mincho" w:hAnsi="Times New Roman"/>
          <w:sz w:val="22"/>
          <w:szCs w:val="22"/>
        </w:rPr>
      </w:pPr>
    </w:p>
    <w:p w14:paraId="72CAB0BA" w14:textId="77777777" w:rsidR="003A6887" w:rsidRPr="00B82F65" w:rsidRDefault="003A6887" w:rsidP="003A6887">
      <w:pPr>
        <w:pStyle w:val="Textosinformato"/>
        <w:spacing w:line="276" w:lineRule="auto"/>
        <w:jc w:val="center"/>
        <w:rPr>
          <w:rFonts w:ascii="Times New Roman" w:eastAsia="MS Mincho" w:hAnsi="Times New Roman"/>
          <w:sz w:val="22"/>
          <w:szCs w:val="22"/>
        </w:rPr>
      </w:pPr>
    </w:p>
    <w:p w14:paraId="64EAC0C9" w14:textId="566D983F" w:rsidR="003A6887" w:rsidRPr="00B82F65" w:rsidRDefault="003A6887" w:rsidP="003A6887">
      <w:pPr>
        <w:pStyle w:val="Textosinformato"/>
        <w:spacing w:line="276" w:lineRule="auto"/>
        <w:jc w:val="center"/>
        <w:rPr>
          <w:rFonts w:ascii="Times New Roman" w:eastAsia="MS Mincho" w:hAnsi="Times New Roman"/>
          <w:sz w:val="22"/>
          <w:szCs w:val="22"/>
        </w:rPr>
      </w:pPr>
      <w:r w:rsidRPr="00B82F65">
        <w:rPr>
          <w:rFonts w:ascii="Times New Roman" w:eastAsia="MS Mincho" w:hAnsi="Times New Roman"/>
          <w:sz w:val="22"/>
          <w:szCs w:val="22"/>
        </w:rPr>
        <w:t>La infrascrita Secretaria General del Concejo Metropolitano de Quito, certifica que la presente ordenanza fue discutida y aprobada en dos debates, en sesiones de ….. de ……..  y ….. de …………. de 20</w:t>
      </w:r>
      <w:r w:rsidR="00F67FB0">
        <w:rPr>
          <w:rFonts w:ascii="Times New Roman" w:eastAsia="MS Mincho" w:hAnsi="Times New Roman"/>
          <w:sz w:val="22"/>
          <w:szCs w:val="22"/>
        </w:rPr>
        <w:t>19</w:t>
      </w:r>
      <w:r w:rsidR="00C71650">
        <w:rPr>
          <w:rFonts w:ascii="Times New Roman" w:eastAsia="MS Mincho" w:hAnsi="Times New Roman"/>
          <w:sz w:val="22"/>
          <w:szCs w:val="22"/>
        </w:rPr>
        <w:t>..</w:t>
      </w:r>
      <w:r w:rsidRPr="00B82F65">
        <w:rPr>
          <w:rFonts w:ascii="Times New Roman" w:eastAsia="MS Mincho" w:hAnsi="Times New Roman"/>
          <w:sz w:val="22"/>
          <w:szCs w:val="22"/>
        </w:rPr>
        <w:t>- Quito,</w:t>
      </w:r>
    </w:p>
    <w:p w14:paraId="1CF2CA8B" w14:textId="77777777" w:rsidR="003A6887" w:rsidRPr="00B82F65" w:rsidRDefault="003A6887" w:rsidP="003A6887">
      <w:pPr>
        <w:pStyle w:val="Textosinformato"/>
        <w:ind w:left="708" w:hanging="708"/>
        <w:jc w:val="center"/>
        <w:rPr>
          <w:rFonts w:ascii="Times New Roman" w:eastAsia="MS Mincho" w:hAnsi="Times New Roman"/>
          <w:sz w:val="22"/>
          <w:szCs w:val="22"/>
        </w:rPr>
      </w:pPr>
    </w:p>
    <w:p w14:paraId="29510313" w14:textId="77777777" w:rsidR="003A6887" w:rsidRPr="00B82F65" w:rsidRDefault="003A6887" w:rsidP="003A6887">
      <w:pPr>
        <w:pStyle w:val="Textosinformato"/>
        <w:rPr>
          <w:rFonts w:ascii="Times New Roman" w:eastAsia="MS Mincho" w:hAnsi="Times New Roman"/>
          <w:sz w:val="22"/>
          <w:szCs w:val="22"/>
        </w:rPr>
      </w:pPr>
    </w:p>
    <w:p w14:paraId="23EFBBCF" w14:textId="77777777" w:rsidR="003A6887" w:rsidRPr="00B82F65" w:rsidRDefault="003A6887" w:rsidP="003A6887">
      <w:pPr>
        <w:pStyle w:val="Textosinformato"/>
        <w:rPr>
          <w:rFonts w:ascii="Times New Roman" w:eastAsia="MS Mincho" w:hAnsi="Times New Roman"/>
          <w:sz w:val="22"/>
          <w:szCs w:val="22"/>
        </w:rPr>
      </w:pPr>
    </w:p>
    <w:p w14:paraId="3F04A7C0" w14:textId="77777777" w:rsidR="003A6887" w:rsidRPr="00B82F65" w:rsidRDefault="003A6887" w:rsidP="003A6887">
      <w:pPr>
        <w:pStyle w:val="Textosinformato"/>
        <w:jc w:val="center"/>
        <w:rPr>
          <w:rFonts w:ascii="Times New Roman" w:eastAsia="MS Mincho" w:hAnsi="Times New Roman"/>
          <w:sz w:val="22"/>
          <w:szCs w:val="22"/>
        </w:rPr>
      </w:pPr>
    </w:p>
    <w:p w14:paraId="3AD3519E" w14:textId="77777777" w:rsidR="003A6ABE" w:rsidRPr="00B82F65" w:rsidRDefault="003A6ABE" w:rsidP="003A6ABE">
      <w:pPr>
        <w:pStyle w:val="Textosinformato"/>
        <w:spacing w:line="276" w:lineRule="auto"/>
        <w:jc w:val="center"/>
        <w:rPr>
          <w:rFonts w:ascii="Times New Roman" w:eastAsia="MS Mincho" w:hAnsi="Times New Roman"/>
          <w:sz w:val="22"/>
          <w:szCs w:val="22"/>
        </w:rPr>
      </w:pPr>
      <w:r w:rsidRPr="00B82F65">
        <w:rPr>
          <w:rFonts w:ascii="Times New Roman" w:eastAsia="MS Mincho" w:hAnsi="Times New Roman"/>
          <w:sz w:val="22"/>
          <w:szCs w:val="22"/>
        </w:rPr>
        <w:t>Abg. Damaris Priscila Ortiz Pasuy</w:t>
      </w:r>
    </w:p>
    <w:p w14:paraId="29A05699" w14:textId="57EEEB9F" w:rsidR="003A6887" w:rsidRPr="00B82F65" w:rsidRDefault="003A6ABE" w:rsidP="003A6ABE">
      <w:pPr>
        <w:pStyle w:val="Textosinformato"/>
        <w:jc w:val="center"/>
        <w:rPr>
          <w:rFonts w:ascii="Times New Roman" w:eastAsia="MS Mincho" w:hAnsi="Times New Roman"/>
          <w:b/>
          <w:bCs/>
          <w:sz w:val="22"/>
          <w:szCs w:val="22"/>
        </w:rPr>
      </w:pPr>
      <w:r w:rsidRPr="00B82F65">
        <w:rPr>
          <w:rFonts w:ascii="Times New Roman" w:eastAsia="MS Mincho" w:hAnsi="Times New Roman"/>
          <w:b/>
          <w:bCs/>
          <w:sz w:val="22"/>
          <w:szCs w:val="22"/>
        </w:rPr>
        <w:t>SECRETARIA GENERAL DEL CONCEJO METROPOLITANO DE QUITO (E)</w:t>
      </w:r>
    </w:p>
    <w:p w14:paraId="0726FA30" w14:textId="77777777" w:rsidR="003A6887" w:rsidRPr="00B82F65" w:rsidRDefault="003A6887" w:rsidP="003A6887">
      <w:pPr>
        <w:pStyle w:val="Textosinformato"/>
        <w:jc w:val="center"/>
        <w:rPr>
          <w:rFonts w:ascii="Times New Roman" w:eastAsia="MS Mincho" w:hAnsi="Times New Roman"/>
          <w:sz w:val="22"/>
          <w:szCs w:val="22"/>
        </w:rPr>
      </w:pPr>
    </w:p>
    <w:p w14:paraId="7D58A54D" w14:textId="77777777" w:rsidR="003A6887" w:rsidRPr="00B82F65" w:rsidRDefault="003A6887" w:rsidP="003A6887">
      <w:pPr>
        <w:pStyle w:val="Textosinformato"/>
        <w:jc w:val="center"/>
        <w:rPr>
          <w:rFonts w:ascii="Times New Roman" w:eastAsia="MS Mincho" w:hAnsi="Times New Roman"/>
          <w:sz w:val="22"/>
          <w:szCs w:val="22"/>
        </w:rPr>
      </w:pPr>
      <w:r w:rsidRPr="00B82F65">
        <w:rPr>
          <w:rFonts w:ascii="Times New Roman" w:eastAsia="MS Mincho" w:hAnsi="Times New Roman"/>
          <w:b/>
          <w:bCs/>
          <w:sz w:val="22"/>
          <w:szCs w:val="22"/>
        </w:rPr>
        <w:t>ALCALDÍA DEL DISTRITO METROPOLITANO. -</w:t>
      </w:r>
      <w:r w:rsidRPr="00B82F65">
        <w:rPr>
          <w:rFonts w:ascii="Times New Roman" w:eastAsia="MS Mincho" w:hAnsi="Times New Roman"/>
          <w:sz w:val="22"/>
          <w:szCs w:val="22"/>
        </w:rPr>
        <w:t xml:space="preserve">  Distrito Metropolitano de Quito,</w:t>
      </w:r>
    </w:p>
    <w:p w14:paraId="4CCA7F12" w14:textId="77777777" w:rsidR="003A6887" w:rsidRPr="00B82F65" w:rsidRDefault="003A6887" w:rsidP="003A6887">
      <w:pPr>
        <w:pStyle w:val="Textosinformato"/>
        <w:jc w:val="center"/>
        <w:rPr>
          <w:rFonts w:ascii="Times New Roman" w:eastAsia="MS Mincho" w:hAnsi="Times New Roman"/>
          <w:b/>
          <w:sz w:val="22"/>
          <w:szCs w:val="22"/>
        </w:rPr>
      </w:pPr>
    </w:p>
    <w:p w14:paraId="0F79B85F" w14:textId="77777777" w:rsidR="003A6887" w:rsidRPr="00B82F65" w:rsidRDefault="003A6887" w:rsidP="00B82F65">
      <w:pPr>
        <w:pStyle w:val="Textosinformato"/>
        <w:jc w:val="center"/>
        <w:rPr>
          <w:rFonts w:ascii="Times New Roman" w:eastAsia="MS Mincho" w:hAnsi="Times New Roman"/>
          <w:b/>
          <w:sz w:val="22"/>
          <w:szCs w:val="22"/>
        </w:rPr>
      </w:pPr>
    </w:p>
    <w:p w14:paraId="3660B1BB" w14:textId="77777777" w:rsidR="00001C56" w:rsidRDefault="00001C56" w:rsidP="003A6887">
      <w:pPr>
        <w:pStyle w:val="Textosinformato"/>
        <w:spacing w:after="480"/>
        <w:jc w:val="center"/>
        <w:rPr>
          <w:rFonts w:ascii="Times New Roman" w:eastAsia="MS Mincho" w:hAnsi="Times New Roman"/>
          <w:b/>
          <w:sz w:val="22"/>
          <w:szCs w:val="22"/>
        </w:rPr>
      </w:pPr>
    </w:p>
    <w:p w14:paraId="4BA2DE64" w14:textId="77777777" w:rsidR="003A6887" w:rsidRPr="00B82F65" w:rsidRDefault="003A6887" w:rsidP="003A6887">
      <w:pPr>
        <w:pStyle w:val="Textosinformato"/>
        <w:spacing w:after="480"/>
        <w:jc w:val="center"/>
        <w:rPr>
          <w:rFonts w:ascii="Times New Roman" w:eastAsia="MS Mincho" w:hAnsi="Times New Roman"/>
          <w:b/>
          <w:sz w:val="22"/>
          <w:szCs w:val="22"/>
        </w:rPr>
      </w:pPr>
      <w:r w:rsidRPr="00B82F65">
        <w:rPr>
          <w:rFonts w:ascii="Times New Roman" w:eastAsia="MS Mincho" w:hAnsi="Times New Roman"/>
          <w:b/>
          <w:sz w:val="22"/>
          <w:szCs w:val="22"/>
        </w:rPr>
        <w:t>EJECÚTESE:</w:t>
      </w:r>
    </w:p>
    <w:p w14:paraId="423A7FEA" w14:textId="77777777" w:rsidR="003A6887" w:rsidRPr="00B82F65" w:rsidRDefault="003A6887" w:rsidP="003A6887">
      <w:pPr>
        <w:pStyle w:val="Textosinformato"/>
        <w:jc w:val="center"/>
        <w:rPr>
          <w:rFonts w:ascii="Times New Roman" w:eastAsia="MS Mincho" w:hAnsi="Times New Roman"/>
          <w:sz w:val="22"/>
          <w:szCs w:val="22"/>
        </w:rPr>
      </w:pPr>
    </w:p>
    <w:p w14:paraId="594A08D3" w14:textId="77777777" w:rsidR="003A6887" w:rsidRPr="00B82F65" w:rsidRDefault="003A6887" w:rsidP="003A6887">
      <w:pPr>
        <w:pStyle w:val="Textosinformato"/>
        <w:jc w:val="center"/>
        <w:rPr>
          <w:rFonts w:ascii="Times New Roman" w:eastAsia="MS Mincho" w:hAnsi="Times New Roman"/>
          <w:sz w:val="22"/>
          <w:szCs w:val="22"/>
        </w:rPr>
      </w:pPr>
    </w:p>
    <w:p w14:paraId="0841782C" w14:textId="77777777" w:rsidR="003A6887" w:rsidRPr="00B82F65" w:rsidRDefault="003A6887" w:rsidP="003A6887">
      <w:pPr>
        <w:pStyle w:val="Textosinformato"/>
        <w:jc w:val="center"/>
        <w:rPr>
          <w:rFonts w:ascii="Times New Roman" w:eastAsia="MS Mincho" w:hAnsi="Times New Roman"/>
          <w:sz w:val="22"/>
          <w:szCs w:val="22"/>
        </w:rPr>
      </w:pPr>
      <w:r w:rsidRPr="00B82F65">
        <w:rPr>
          <w:rFonts w:ascii="Times New Roman" w:eastAsia="MS Mincho" w:hAnsi="Times New Roman"/>
          <w:sz w:val="22"/>
          <w:szCs w:val="22"/>
        </w:rPr>
        <w:t>Dr. Jorge Yunda Machado</w:t>
      </w:r>
    </w:p>
    <w:p w14:paraId="52ABEA94" w14:textId="77777777" w:rsidR="003A6887" w:rsidRPr="00B82F65" w:rsidRDefault="003A6887" w:rsidP="003A6887">
      <w:pPr>
        <w:pStyle w:val="Textosinformato"/>
        <w:jc w:val="center"/>
        <w:rPr>
          <w:rFonts w:ascii="Times New Roman" w:eastAsia="MS Mincho" w:hAnsi="Times New Roman"/>
          <w:b/>
          <w:bCs/>
          <w:sz w:val="22"/>
          <w:szCs w:val="22"/>
        </w:rPr>
      </w:pPr>
      <w:r w:rsidRPr="00B82F65">
        <w:rPr>
          <w:rFonts w:ascii="Times New Roman" w:eastAsia="MS Mincho" w:hAnsi="Times New Roman"/>
          <w:b/>
          <w:bCs/>
          <w:sz w:val="22"/>
          <w:szCs w:val="22"/>
        </w:rPr>
        <w:t>ALCALDE DEL DISTRITO METROPOLITANO DE QUITO</w:t>
      </w:r>
    </w:p>
    <w:p w14:paraId="28530B41" w14:textId="77777777" w:rsidR="003A6887" w:rsidRPr="00B82F65" w:rsidRDefault="003A6887" w:rsidP="003A6887">
      <w:pPr>
        <w:pStyle w:val="Textosinformato"/>
        <w:jc w:val="center"/>
        <w:rPr>
          <w:rFonts w:ascii="Times New Roman" w:eastAsia="MS Mincho" w:hAnsi="Times New Roman"/>
          <w:sz w:val="22"/>
          <w:szCs w:val="22"/>
        </w:rPr>
      </w:pPr>
    </w:p>
    <w:p w14:paraId="14E38E23" w14:textId="77777777" w:rsidR="003A6887" w:rsidRPr="00B82F65" w:rsidRDefault="003A6887" w:rsidP="003A6887">
      <w:pPr>
        <w:pStyle w:val="Textosinformato"/>
        <w:jc w:val="center"/>
        <w:rPr>
          <w:rFonts w:ascii="Times New Roman" w:eastAsia="MS Mincho" w:hAnsi="Times New Roman"/>
          <w:sz w:val="22"/>
          <w:szCs w:val="22"/>
        </w:rPr>
      </w:pPr>
    </w:p>
    <w:p w14:paraId="78D0A02A" w14:textId="026147BD" w:rsidR="003A6887" w:rsidRPr="00B82F65" w:rsidRDefault="003A6887" w:rsidP="003A6887">
      <w:pPr>
        <w:pStyle w:val="Textosinformato"/>
        <w:jc w:val="center"/>
        <w:rPr>
          <w:rFonts w:ascii="Times New Roman" w:eastAsia="MS Mincho" w:hAnsi="Times New Roman"/>
          <w:sz w:val="22"/>
          <w:szCs w:val="22"/>
        </w:rPr>
      </w:pPr>
      <w:r w:rsidRPr="00B82F65">
        <w:rPr>
          <w:rFonts w:ascii="Times New Roman" w:eastAsia="MS Mincho" w:hAnsi="Times New Roman"/>
          <w:b/>
          <w:bCs/>
          <w:sz w:val="22"/>
          <w:szCs w:val="22"/>
        </w:rPr>
        <w:t>CERTIFICO,</w:t>
      </w:r>
      <w:r w:rsidRPr="00B82F65">
        <w:rPr>
          <w:rFonts w:ascii="Times New Roman" w:eastAsia="MS Mincho" w:hAnsi="Times New Roman"/>
          <w:sz w:val="22"/>
          <w:szCs w:val="22"/>
        </w:rPr>
        <w:t xml:space="preserve"> que la presente ordenanza fue sancionada por el Dr. Jorge Yunda Machado, Alcalde del Distrito Metropolitano de Quito, el …………. de 20</w:t>
      </w:r>
      <w:r w:rsidR="00F67FB0">
        <w:rPr>
          <w:rFonts w:ascii="Times New Roman" w:eastAsia="MS Mincho" w:hAnsi="Times New Roman"/>
          <w:sz w:val="22"/>
          <w:szCs w:val="22"/>
        </w:rPr>
        <w:t>19</w:t>
      </w:r>
    </w:p>
    <w:p w14:paraId="0FAF0583" w14:textId="57AE4DE5" w:rsidR="003A6887" w:rsidRPr="00B82F65" w:rsidRDefault="003A6887" w:rsidP="00B82F65">
      <w:pPr>
        <w:pStyle w:val="Textosinformato"/>
        <w:jc w:val="center"/>
        <w:rPr>
          <w:rFonts w:ascii="Times New Roman" w:hAnsi="Times New Roman"/>
          <w:sz w:val="22"/>
          <w:szCs w:val="22"/>
        </w:rPr>
      </w:pPr>
      <w:r w:rsidRPr="00B82F65">
        <w:rPr>
          <w:rFonts w:ascii="Times New Roman" w:eastAsia="MS Mincho" w:hAnsi="Times New Roman"/>
          <w:sz w:val="22"/>
          <w:szCs w:val="22"/>
        </w:rPr>
        <w:t>.- Distrito Metropolitano de Quito,</w:t>
      </w:r>
    </w:p>
    <w:sectPr w:rsidR="003A6887" w:rsidRPr="00B82F65" w:rsidSect="002E3313">
      <w:headerReference w:type="even" r:id="rId9"/>
      <w:headerReference w:type="default" r:id="rId10"/>
      <w:footerReference w:type="default" r:id="rId11"/>
      <w:headerReference w:type="first" r:id="rId12"/>
      <w:pgSz w:w="11906" w:h="16838"/>
      <w:pgMar w:top="3119" w:right="1274" w:bottom="1134"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01E12" w14:textId="77777777" w:rsidR="00752457" w:rsidRDefault="00752457" w:rsidP="00276199">
      <w:r>
        <w:separator/>
      </w:r>
    </w:p>
  </w:endnote>
  <w:endnote w:type="continuationSeparator" w:id="0">
    <w:p w14:paraId="249C5D65" w14:textId="77777777" w:rsidR="00752457" w:rsidRDefault="00752457"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58154"/>
      <w:docPartObj>
        <w:docPartGallery w:val="Page Numbers (Bottom of Page)"/>
        <w:docPartUnique/>
      </w:docPartObj>
    </w:sdtPr>
    <w:sdtEndPr/>
    <w:sdtContent>
      <w:sdt>
        <w:sdtPr>
          <w:id w:val="1206993268"/>
          <w:docPartObj>
            <w:docPartGallery w:val="Page Numbers (Top of Page)"/>
            <w:docPartUnique/>
          </w:docPartObj>
        </w:sdtPr>
        <w:sdtEndPr/>
        <w:sdtContent>
          <w:p w14:paraId="2750086D" w14:textId="1619D512" w:rsidR="004462D0" w:rsidRDefault="004462D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5245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52457">
              <w:rPr>
                <w:b/>
                <w:noProof/>
              </w:rPr>
              <w:t>1</w:t>
            </w:r>
            <w:r>
              <w:rPr>
                <w:b/>
                <w:sz w:val="24"/>
                <w:szCs w:val="24"/>
              </w:rPr>
              <w:fldChar w:fldCharType="end"/>
            </w:r>
          </w:p>
        </w:sdtContent>
      </w:sdt>
    </w:sdtContent>
  </w:sdt>
  <w:p w14:paraId="446001A2" w14:textId="77777777" w:rsidR="004462D0" w:rsidRDefault="004462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28836" w14:textId="77777777" w:rsidR="00752457" w:rsidRDefault="00752457" w:rsidP="00276199">
      <w:r>
        <w:separator/>
      </w:r>
    </w:p>
  </w:footnote>
  <w:footnote w:type="continuationSeparator" w:id="0">
    <w:p w14:paraId="1E78F3A2" w14:textId="77777777" w:rsidR="00752457" w:rsidRDefault="00752457" w:rsidP="0027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38FE" w14:textId="77777777" w:rsidR="004462D0" w:rsidRDefault="004462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85C3" w14:textId="77777777" w:rsidR="004462D0" w:rsidRDefault="004462D0" w:rsidP="00D46305">
    <w:pPr>
      <w:pStyle w:val="Encabezado"/>
      <w:jc w:val="center"/>
    </w:pPr>
  </w:p>
  <w:p w14:paraId="0A455CB7" w14:textId="77777777" w:rsidR="004462D0" w:rsidRDefault="004462D0" w:rsidP="00D46305">
    <w:pPr>
      <w:pStyle w:val="Encabezado"/>
      <w:jc w:val="center"/>
    </w:pPr>
  </w:p>
  <w:p w14:paraId="220287EA" w14:textId="77777777" w:rsidR="004462D0" w:rsidRDefault="004462D0" w:rsidP="00D46305">
    <w:pPr>
      <w:pStyle w:val="Encabezado"/>
      <w:jc w:val="center"/>
    </w:pPr>
  </w:p>
  <w:p w14:paraId="5624CEA9" w14:textId="77777777" w:rsidR="004462D0" w:rsidRDefault="004462D0" w:rsidP="00D46305">
    <w:pPr>
      <w:pStyle w:val="Encabezado"/>
      <w:jc w:val="center"/>
    </w:pPr>
  </w:p>
  <w:p w14:paraId="5D18FB24" w14:textId="77777777" w:rsidR="004462D0" w:rsidRDefault="004462D0" w:rsidP="00D46305">
    <w:pPr>
      <w:pStyle w:val="Encabezado"/>
      <w:jc w:val="center"/>
    </w:pPr>
  </w:p>
  <w:p w14:paraId="22677470" w14:textId="77777777" w:rsidR="004462D0" w:rsidRDefault="004462D0" w:rsidP="00D46305">
    <w:pPr>
      <w:pStyle w:val="Encabezado"/>
      <w:jc w:val="center"/>
    </w:pPr>
  </w:p>
  <w:p w14:paraId="75EAB6CA" w14:textId="77777777" w:rsidR="004462D0" w:rsidRDefault="004462D0" w:rsidP="00D46305">
    <w:pPr>
      <w:pStyle w:val="Encabezado"/>
      <w:jc w:val="center"/>
    </w:pPr>
  </w:p>
  <w:p w14:paraId="487355E0" w14:textId="77777777" w:rsidR="004462D0" w:rsidRDefault="004462D0" w:rsidP="00D46305">
    <w:pPr>
      <w:pStyle w:val="Encabezado"/>
      <w:jc w:val="center"/>
    </w:pPr>
  </w:p>
  <w:p w14:paraId="0BB23AD6" w14:textId="77777777" w:rsidR="004462D0" w:rsidRPr="00F3288D" w:rsidRDefault="004462D0" w:rsidP="00D46305">
    <w:pPr>
      <w:pStyle w:val="Encabezado"/>
      <w:jc w:val="center"/>
      <w:rPr>
        <w:sz w:val="28"/>
        <w:szCs w:val="28"/>
      </w:rPr>
    </w:pPr>
    <w:r w:rsidRPr="00F3288D">
      <w:rPr>
        <w:sz w:val="28"/>
        <w:szCs w:val="28"/>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45A1" w14:textId="77777777" w:rsidR="004462D0" w:rsidRDefault="004462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0"/>
  </w:num>
  <w:num w:numId="6">
    <w:abstractNumId w:val="8"/>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C6"/>
    <w:rsid w:val="000005B3"/>
    <w:rsid w:val="00001C56"/>
    <w:rsid w:val="000113CD"/>
    <w:rsid w:val="00012B8B"/>
    <w:rsid w:val="00015353"/>
    <w:rsid w:val="00016E32"/>
    <w:rsid w:val="00037D6A"/>
    <w:rsid w:val="00041F29"/>
    <w:rsid w:val="00047931"/>
    <w:rsid w:val="00085D6F"/>
    <w:rsid w:val="00085D70"/>
    <w:rsid w:val="00086B25"/>
    <w:rsid w:val="0009793C"/>
    <w:rsid w:val="000A3FDC"/>
    <w:rsid w:val="000A48F0"/>
    <w:rsid w:val="000B0DF3"/>
    <w:rsid w:val="000B178F"/>
    <w:rsid w:val="000B675F"/>
    <w:rsid w:val="000C6C3A"/>
    <w:rsid w:val="000E1737"/>
    <w:rsid w:val="000E1A25"/>
    <w:rsid w:val="000F3292"/>
    <w:rsid w:val="000F3C68"/>
    <w:rsid w:val="0011735A"/>
    <w:rsid w:val="00130797"/>
    <w:rsid w:val="00142CA3"/>
    <w:rsid w:val="00150FF1"/>
    <w:rsid w:val="001534BF"/>
    <w:rsid w:val="001A55FF"/>
    <w:rsid w:val="001A7A12"/>
    <w:rsid w:val="001C42B9"/>
    <w:rsid w:val="001D1679"/>
    <w:rsid w:val="001D277D"/>
    <w:rsid w:val="001E0D47"/>
    <w:rsid w:val="001E17F4"/>
    <w:rsid w:val="001F13D8"/>
    <w:rsid w:val="001F7020"/>
    <w:rsid w:val="0020195C"/>
    <w:rsid w:val="00202A54"/>
    <w:rsid w:val="00203EA2"/>
    <w:rsid w:val="002108E8"/>
    <w:rsid w:val="002113C1"/>
    <w:rsid w:val="00212F98"/>
    <w:rsid w:val="00215B85"/>
    <w:rsid w:val="00216C61"/>
    <w:rsid w:val="0022083F"/>
    <w:rsid w:val="0022251E"/>
    <w:rsid w:val="00241908"/>
    <w:rsid w:val="00242E5C"/>
    <w:rsid w:val="00246705"/>
    <w:rsid w:val="002626BF"/>
    <w:rsid w:val="00275A10"/>
    <w:rsid w:val="00276199"/>
    <w:rsid w:val="00276671"/>
    <w:rsid w:val="00277D55"/>
    <w:rsid w:val="00282623"/>
    <w:rsid w:val="00287975"/>
    <w:rsid w:val="0029168D"/>
    <w:rsid w:val="002A7AFB"/>
    <w:rsid w:val="002B6D23"/>
    <w:rsid w:val="002C24C6"/>
    <w:rsid w:val="002D3D3B"/>
    <w:rsid w:val="002D4699"/>
    <w:rsid w:val="002E24F2"/>
    <w:rsid w:val="002E3313"/>
    <w:rsid w:val="002F789F"/>
    <w:rsid w:val="00302CBB"/>
    <w:rsid w:val="003104BA"/>
    <w:rsid w:val="0032353B"/>
    <w:rsid w:val="003321E8"/>
    <w:rsid w:val="003371AA"/>
    <w:rsid w:val="00354F0A"/>
    <w:rsid w:val="00362DC9"/>
    <w:rsid w:val="00364EDA"/>
    <w:rsid w:val="0038195B"/>
    <w:rsid w:val="00387F5C"/>
    <w:rsid w:val="003A39E8"/>
    <w:rsid w:val="003A622E"/>
    <w:rsid w:val="003A6887"/>
    <w:rsid w:val="003A6ABE"/>
    <w:rsid w:val="003B1F04"/>
    <w:rsid w:val="003B274D"/>
    <w:rsid w:val="003F4574"/>
    <w:rsid w:val="003F5515"/>
    <w:rsid w:val="003F7F08"/>
    <w:rsid w:val="00404B07"/>
    <w:rsid w:val="00422A57"/>
    <w:rsid w:val="00426BFF"/>
    <w:rsid w:val="00427E2B"/>
    <w:rsid w:val="004316A7"/>
    <w:rsid w:val="00435BB7"/>
    <w:rsid w:val="004456FB"/>
    <w:rsid w:val="004462D0"/>
    <w:rsid w:val="004626DD"/>
    <w:rsid w:val="004640E3"/>
    <w:rsid w:val="004654E8"/>
    <w:rsid w:val="00466634"/>
    <w:rsid w:val="0046780D"/>
    <w:rsid w:val="00477CF3"/>
    <w:rsid w:val="004816DA"/>
    <w:rsid w:val="004A16F9"/>
    <w:rsid w:val="004C6453"/>
    <w:rsid w:val="004E4219"/>
    <w:rsid w:val="004E4AFF"/>
    <w:rsid w:val="004E7D0A"/>
    <w:rsid w:val="0052426F"/>
    <w:rsid w:val="00525BC8"/>
    <w:rsid w:val="00530CDF"/>
    <w:rsid w:val="00533358"/>
    <w:rsid w:val="005340A5"/>
    <w:rsid w:val="005364CA"/>
    <w:rsid w:val="00540BD8"/>
    <w:rsid w:val="00547B6D"/>
    <w:rsid w:val="005500E4"/>
    <w:rsid w:val="00552681"/>
    <w:rsid w:val="005572F3"/>
    <w:rsid w:val="00574209"/>
    <w:rsid w:val="0059480A"/>
    <w:rsid w:val="0059617D"/>
    <w:rsid w:val="005974BF"/>
    <w:rsid w:val="005A54E0"/>
    <w:rsid w:val="005A790F"/>
    <w:rsid w:val="005B2F9E"/>
    <w:rsid w:val="005B3090"/>
    <w:rsid w:val="005B62BA"/>
    <w:rsid w:val="005C24F4"/>
    <w:rsid w:val="005D2650"/>
    <w:rsid w:val="005E1C86"/>
    <w:rsid w:val="005F7AC3"/>
    <w:rsid w:val="00601CB4"/>
    <w:rsid w:val="00613F02"/>
    <w:rsid w:val="00615393"/>
    <w:rsid w:val="00664563"/>
    <w:rsid w:val="00670254"/>
    <w:rsid w:val="00684157"/>
    <w:rsid w:val="00691575"/>
    <w:rsid w:val="00696615"/>
    <w:rsid w:val="006A403D"/>
    <w:rsid w:val="006A57A4"/>
    <w:rsid w:val="006D1096"/>
    <w:rsid w:val="006F6AE4"/>
    <w:rsid w:val="00705465"/>
    <w:rsid w:val="007138B1"/>
    <w:rsid w:val="007369C9"/>
    <w:rsid w:val="00752457"/>
    <w:rsid w:val="0076266F"/>
    <w:rsid w:val="00765489"/>
    <w:rsid w:val="00785381"/>
    <w:rsid w:val="007A35F2"/>
    <w:rsid w:val="007E5268"/>
    <w:rsid w:val="008115D8"/>
    <w:rsid w:val="008235B8"/>
    <w:rsid w:val="00830E3E"/>
    <w:rsid w:val="00830E91"/>
    <w:rsid w:val="00834126"/>
    <w:rsid w:val="00840268"/>
    <w:rsid w:val="00851218"/>
    <w:rsid w:val="008621CB"/>
    <w:rsid w:val="00872113"/>
    <w:rsid w:val="0088391F"/>
    <w:rsid w:val="00885CFB"/>
    <w:rsid w:val="00892747"/>
    <w:rsid w:val="00892FDB"/>
    <w:rsid w:val="008952CC"/>
    <w:rsid w:val="00897A58"/>
    <w:rsid w:val="008B7AD1"/>
    <w:rsid w:val="008C1357"/>
    <w:rsid w:val="008C24D4"/>
    <w:rsid w:val="008D7329"/>
    <w:rsid w:val="008F417E"/>
    <w:rsid w:val="008F70F3"/>
    <w:rsid w:val="00902FB9"/>
    <w:rsid w:val="0090522E"/>
    <w:rsid w:val="00906E99"/>
    <w:rsid w:val="00915E4B"/>
    <w:rsid w:val="0094670F"/>
    <w:rsid w:val="0094735E"/>
    <w:rsid w:val="00961B1A"/>
    <w:rsid w:val="00965D60"/>
    <w:rsid w:val="00970299"/>
    <w:rsid w:val="009812D2"/>
    <w:rsid w:val="00995681"/>
    <w:rsid w:val="0099767B"/>
    <w:rsid w:val="009A10BE"/>
    <w:rsid w:val="009A40F2"/>
    <w:rsid w:val="009A4E9E"/>
    <w:rsid w:val="009A540C"/>
    <w:rsid w:val="009B0D1A"/>
    <w:rsid w:val="009F4A97"/>
    <w:rsid w:val="00A411D5"/>
    <w:rsid w:val="00A4461F"/>
    <w:rsid w:val="00A54603"/>
    <w:rsid w:val="00A56C6F"/>
    <w:rsid w:val="00A7364C"/>
    <w:rsid w:val="00A86854"/>
    <w:rsid w:val="00AA20AC"/>
    <w:rsid w:val="00AB5849"/>
    <w:rsid w:val="00AC3370"/>
    <w:rsid w:val="00AC767A"/>
    <w:rsid w:val="00AD0DE2"/>
    <w:rsid w:val="00AD11DE"/>
    <w:rsid w:val="00AD62E1"/>
    <w:rsid w:val="00AE6CBB"/>
    <w:rsid w:val="00AE7D52"/>
    <w:rsid w:val="00AF5E6F"/>
    <w:rsid w:val="00B176A4"/>
    <w:rsid w:val="00B203C4"/>
    <w:rsid w:val="00B244A4"/>
    <w:rsid w:val="00B46EA4"/>
    <w:rsid w:val="00B52C4F"/>
    <w:rsid w:val="00B54862"/>
    <w:rsid w:val="00B61E16"/>
    <w:rsid w:val="00B704EE"/>
    <w:rsid w:val="00B710D0"/>
    <w:rsid w:val="00B7466F"/>
    <w:rsid w:val="00B75822"/>
    <w:rsid w:val="00B807CD"/>
    <w:rsid w:val="00B82F65"/>
    <w:rsid w:val="00B85F3A"/>
    <w:rsid w:val="00B95A13"/>
    <w:rsid w:val="00BA583F"/>
    <w:rsid w:val="00BB7C21"/>
    <w:rsid w:val="00BC1870"/>
    <w:rsid w:val="00BC3187"/>
    <w:rsid w:val="00BC7948"/>
    <w:rsid w:val="00BC7D41"/>
    <w:rsid w:val="00BD008E"/>
    <w:rsid w:val="00BD5C4A"/>
    <w:rsid w:val="00BE5EA7"/>
    <w:rsid w:val="00BF688F"/>
    <w:rsid w:val="00C07B1F"/>
    <w:rsid w:val="00C12CE5"/>
    <w:rsid w:val="00C15EEE"/>
    <w:rsid w:val="00C4733C"/>
    <w:rsid w:val="00C514A6"/>
    <w:rsid w:val="00C54988"/>
    <w:rsid w:val="00C55D90"/>
    <w:rsid w:val="00C71650"/>
    <w:rsid w:val="00C75CD0"/>
    <w:rsid w:val="00C95869"/>
    <w:rsid w:val="00C965F9"/>
    <w:rsid w:val="00CA57E2"/>
    <w:rsid w:val="00CA7D73"/>
    <w:rsid w:val="00CB4844"/>
    <w:rsid w:val="00CD387E"/>
    <w:rsid w:val="00CE3924"/>
    <w:rsid w:val="00CE5133"/>
    <w:rsid w:val="00CF05C5"/>
    <w:rsid w:val="00D01B4C"/>
    <w:rsid w:val="00D038E3"/>
    <w:rsid w:val="00D06BF7"/>
    <w:rsid w:val="00D1427F"/>
    <w:rsid w:val="00D43925"/>
    <w:rsid w:val="00D45350"/>
    <w:rsid w:val="00D46305"/>
    <w:rsid w:val="00D47024"/>
    <w:rsid w:val="00D61BEE"/>
    <w:rsid w:val="00D70913"/>
    <w:rsid w:val="00D77262"/>
    <w:rsid w:val="00DA3EEF"/>
    <w:rsid w:val="00DA7AAD"/>
    <w:rsid w:val="00DB7AB3"/>
    <w:rsid w:val="00DE0BC0"/>
    <w:rsid w:val="00DF3A71"/>
    <w:rsid w:val="00E07586"/>
    <w:rsid w:val="00E217A4"/>
    <w:rsid w:val="00E268ED"/>
    <w:rsid w:val="00E40A3E"/>
    <w:rsid w:val="00E53D2E"/>
    <w:rsid w:val="00E55568"/>
    <w:rsid w:val="00E56CA8"/>
    <w:rsid w:val="00E56E24"/>
    <w:rsid w:val="00E61E04"/>
    <w:rsid w:val="00E71848"/>
    <w:rsid w:val="00E94DB3"/>
    <w:rsid w:val="00EB5DDF"/>
    <w:rsid w:val="00EC0326"/>
    <w:rsid w:val="00EC6510"/>
    <w:rsid w:val="00ED38ED"/>
    <w:rsid w:val="00EE29DF"/>
    <w:rsid w:val="00EF29C0"/>
    <w:rsid w:val="00EF5ED6"/>
    <w:rsid w:val="00F0416E"/>
    <w:rsid w:val="00F04E14"/>
    <w:rsid w:val="00F16729"/>
    <w:rsid w:val="00F31218"/>
    <w:rsid w:val="00F60F33"/>
    <w:rsid w:val="00F64C09"/>
    <w:rsid w:val="00F67FB0"/>
    <w:rsid w:val="00FA0EB5"/>
    <w:rsid w:val="00FA464D"/>
    <w:rsid w:val="00FD14F5"/>
    <w:rsid w:val="00FE0B84"/>
    <w:rsid w:val="00FE38EA"/>
    <w:rsid w:val="00FE41B8"/>
    <w:rsid w:val="00FE7BED"/>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C4"/>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nhideWhenUsed/>
    <w:qFormat/>
    <w:rsid w:val="00242E5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Ttulo">
    <w:name w:val="Title"/>
    <w:basedOn w:val="Normal"/>
    <w:link w:val="TtuloCar"/>
    <w:qFormat/>
    <w:rsid w:val="00242E5C"/>
    <w:pPr>
      <w:jc w:val="center"/>
    </w:pPr>
    <w:rPr>
      <w:b/>
      <w:bCs/>
      <w:sz w:val="24"/>
      <w:szCs w:val="24"/>
    </w:rPr>
  </w:style>
  <w:style w:type="character" w:customStyle="1" w:styleId="TtuloCar">
    <w:name w:val="Título Car"/>
    <w:basedOn w:val="Fuentedeprrafopredeter"/>
    <w:link w:val="Ttul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59"/>
    <w:rsid w:val="00DA3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540C"/>
    <w:pPr>
      <w:spacing w:before="100" w:beforeAutospacing="1" w:after="100" w:afterAutospacing="1"/>
    </w:pPr>
    <w:rPr>
      <w:sz w:val="24"/>
      <w:szCs w:val="24"/>
      <w:lang w:val="es-EC"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C4"/>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nhideWhenUsed/>
    <w:qFormat/>
    <w:rsid w:val="00242E5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Ttulo">
    <w:name w:val="Title"/>
    <w:basedOn w:val="Normal"/>
    <w:link w:val="TtuloCar"/>
    <w:qFormat/>
    <w:rsid w:val="00242E5C"/>
    <w:pPr>
      <w:jc w:val="center"/>
    </w:pPr>
    <w:rPr>
      <w:b/>
      <w:bCs/>
      <w:sz w:val="24"/>
      <w:szCs w:val="24"/>
    </w:rPr>
  </w:style>
  <w:style w:type="character" w:customStyle="1" w:styleId="TtuloCar">
    <w:name w:val="Título Car"/>
    <w:basedOn w:val="Fuentedeprrafopredeter"/>
    <w:link w:val="Ttul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59"/>
    <w:rsid w:val="00DA3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540C"/>
    <w:pPr>
      <w:spacing w:before="100" w:beforeAutospacing="1" w:after="100" w:afterAutospacing="1"/>
    </w:pPr>
    <w:rPr>
      <w:sz w:val="24"/>
      <w:szCs w:val="24"/>
      <w:lang w:val="es-EC"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2685-2B03-4D71-9011-C00CF358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6049</Words>
  <Characters>33271</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sherrerag</dc:creator>
  <cp:lastModifiedBy>Glenda Alexandra Allan Alegria</cp:lastModifiedBy>
  <cp:revision>2</cp:revision>
  <cp:lastPrinted>2019-10-26T00:33:00Z</cp:lastPrinted>
  <dcterms:created xsi:type="dcterms:W3CDTF">2019-12-06T00:10:00Z</dcterms:created>
  <dcterms:modified xsi:type="dcterms:W3CDTF">2019-12-06T00:10:00Z</dcterms:modified>
</cp:coreProperties>
</file>