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086F22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86F22">
        <w:rPr>
          <w:rFonts w:ascii="Times New Roman" w:hAnsi="Times New Roman" w:cs="Times New Roman"/>
          <w:sz w:val="22"/>
          <w:szCs w:val="22"/>
        </w:rPr>
        <w:t>EXPOSICIÓN DE MOTIVOS</w:t>
      </w:r>
    </w:p>
    <w:p w:rsidR="00A15C64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086F22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>”.</w:t>
      </w:r>
    </w:p>
    <w:p w:rsidR="00361728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Regula Tu Barrio,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:rsidR="00361728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F72905" w:rsidRPr="00086F22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9D5BD5">
        <w:rPr>
          <w:rFonts w:ascii="Times New Roman" w:hAnsi="Times New Roman" w:cs="Times New Roman"/>
          <w:b w:val="0"/>
          <w:sz w:val="22"/>
          <w:szCs w:val="22"/>
        </w:rPr>
        <w:t>Chiche “S</w:t>
      </w:r>
      <w:r w:rsidR="009D5BD5" w:rsidRPr="00182078">
        <w:rPr>
          <w:rFonts w:ascii="Times New Roman" w:hAnsi="Times New Roman" w:cs="Times New Roman"/>
          <w:b w:val="0"/>
          <w:sz w:val="22"/>
          <w:szCs w:val="22"/>
        </w:rPr>
        <w:t>ector Mendoza”,</w:t>
      </w:r>
      <w:r w:rsidR="00596889" w:rsidRPr="00086F22">
        <w:rPr>
          <w:rFonts w:ascii="Times New Roman" w:hAnsi="Times New Roman" w:cs="Times New Roman"/>
          <w:sz w:val="22"/>
          <w:szCs w:val="22"/>
        </w:rPr>
        <w:t xml:space="preserve"> 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 xml:space="preserve">ubicado en la parroquia </w:t>
      </w:r>
      <w:proofErr w:type="spellStart"/>
      <w:r w:rsidR="009D5BD5">
        <w:rPr>
          <w:rFonts w:ascii="Times New Roman" w:hAnsi="Times New Roman" w:cs="Times New Roman"/>
          <w:b w:val="0"/>
          <w:sz w:val="22"/>
          <w:szCs w:val="22"/>
        </w:rPr>
        <w:t>Puembo</w:t>
      </w:r>
      <w:proofErr w:type="spellEnd"/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086F22">
        <w:rPr>
          <w:rFonts w:ascii="Times New Roman" w:hAnsi="Times New Roman" w:cs="Times New Roman"/>
          <w:sz w:val="22"/>
          <w:szCs w:val="22"/>
        </w:rPr>
        <w:t xml:space="preserve">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 xml:space="preserve">tiene una consolidación del </w:t>
      </w:r>
      <w:r w:rsidR="009D5BD5">
        <w:rPr>
          <w:rFonts w:ascii="Times New Roman" w:hAnsi="Times New Roman" w:cs="Times New Roman"/>
          <w:b w:val="0"/>
          <w:sz w:val="22"/>
          <w:szCs w:val="22"/>
        </w:rPr>
        <w:t>83.33%</w:t>
      </w:r>
      <w:r w:rsidR="009856E7" w:rsidRPr="00086F22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9D5BD5">
        <w:rPr>
          <w:rFonts w:ascii="Times New Roman" w:hAnsi="Times New Roman" w:cs="Times New Roman"/>
          <w:b w:val="0"/>
          <w:sz w:val="22"/>
          <w:szCs w:val="22"/>
        </w:rPr>
        <w:t>18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086F22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asentamiento cuenta con </w:t>
      </w:r>
      <w:r w:rsidR="009D5BD5">
        <w:rPr>
          <w:rFonts w:ascii="Times New Roman" w:hAnsi="Times New Roman" w:cs="Times New Roman"/>
          <w:b w:val="0"/>
          <w:sz w:val="22"/>
          <w:szCs w:val="22"/>
        </w:rPr>
        <w:t>19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años de asentamiento</w:t>
      </w:r>
      <w:r w:rsidR="00DD5206">
        <w:rPr>
          <w:rFonts w:ascii="Times New Roman" w:hAnsi="Times New Roman" w:cs="Times New Roman"/>
          <w:b w:val="0"/>
          <w:sz w:val="22"/>
          <w:szCs w:val="22"/>
        </w:rPr>
        <w:t>, 12 lotes a fraccionar</w:t>
      </w:r>
      <w:r w:rsidR="006954C8" w:rsidRPr="00086F22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005E6E" w:rsidRPr="00086F22">
        <w:rPr>
          <w:rFonts w:ascii="Times New Roman" w:hAnsi="Times New Roman" w:cs="Times New Roman"/>
          <w:b w:val="0"/>
          <w:sz w:val="22"/>
          <w:szCs w:val="22"/>
        </w:rPr>
        <w:t>4</w:t>
      </w:r>
      <w:r w:rsidR="00D2730C">
        <w:rPr>
          <w:rFonts w:ascii="Times New Roman" w:hAnsi="Times New Roman" w:cs="Times New Roman"/>
          <w:b w:val="0"/>
          <w:sz w:val="22"/>
          <w:szCs w:val="22"/>
        </w:rPr>
        <w:t>8</w:t>
      </w:r>
      <w:r w:rsidR="00AE6BF9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61728" w:rsidRPr="00086F2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Dicho Asentamiento Humano de Hecho y Consolidado de Interés Social no cuenta con reconocimiento legal por parte de la Municipalidad, por lo que la Unidad Especial Regula Tu Barrio </w:t>
      </w:r>
      <w:r w:rsidR="00AD5A83" w:rsidRPr="00086F22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086F22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086F22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:rsidR="00361728" w:rsidRPr="00086F22" w:rsidRDefault="00361728" w:rsidP="00D13ABD">
      <w:pPr>
        <w:pStyle w:val="a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361728" w:rsidRPr="00086F22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  <w:r w:rsidRPr="00086F22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086F22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086F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D5BD5">
        <w:rPr>
          <w:rFonts w:ascii="Times New Roman" w:hAnsi="Times New Roman" w:cs="Times New Roman"/>
          <w:b w:val="0"/>
          <w:sz w:val="22"/>
          <w:szCs w:val="22"/>
        </w:rPr>
        <w:t>Chiche “S</w:t>
      </w:r>
      <w:r w:rsidR="009D5BD5" w:rsidRPr="00182078">
        <w:rPr>
          <w:rFonts w:ascii="Times New Roman" w:hAnsi="Times New Roman" w:cs="Times New Roman"/>
          <w:b w:val="0"/>
          <w:sz w:val="22"/>
          <w:szCs w:val="22"/>
        </w:rPr>
        <w:t>ector Mendoza”,</w:t>
      </w:r>
      <w:r w:rsidR="009D5B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86F22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:rsidR="00361728" w:rsidRPr="00086F22" w:rsidRDefault="00361728" w:rsidP="00D13ABD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086F22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:rsidR="00DD59DA" w:rsidRPr="00086F22" w:rsidRDefault="00005E6E" w:rsidP="00D13ABD">
      <w:pPr>
        <w:pStyle w:val="Textoindependiente"/>
        <w:jc w:val="both"/>
        <w:rPr>
          <w:sz w:val="22"/>
          <w:szCs w:val="22"/>
        </w:rPr>
      </w:pPr>
      <w:r w:rsidRPr="00F96A77">
        <w:rPr>
          <w:sz w:val="22"/>
          <w:szCs w:val="22"/>
        </w:rPr>
        <w:t>Informe No. IC-O-2019</w:t>
      </w:r>
      <w:r w:rsidR="00A4184B" w:rsidRPr="00F96A77">
        <w:rPr>
          <w:sz w:val="22"/>
          <w:szCs w:val="22"/>
        </w:rPr>
        <w:t>-</w:t>
      </w:r>
      <w:r w:rsidR="00F96A77">
        <w:rPr>
          <w:sz w:val="22"/>
          <w:szCs w:val="22"/>
        </w:rPr>
        <w:t>058</w:t>
      </w:r>
      <w:r w:rsidRPr="00F96A77">
        <w:rPr>
          <w:sz w:val="22"/>
          <w:szCs w:val="22"/>
        </w:rPr>
        <w:t xml:space="preserve"> de fecha </w:t>
      </w:r>
      <w:r w:rsidR="00F96A77">
        <w:rPr>
          <w:sz w:val="22"/>
          <w:szCs w:val="22"/>
        </w:rPr>
        <w:t>28</w:t>
      </w:r>
      <w:r w:rsidRPr="00F96A77">
        <w:rPr>
          <w:sz w:val="22"/>
          <w:szCs w:val="22"/>
        </w:rPr>
        <w:t xml:space="preserve"> de </w:t>
      </w:r>
      <w:r w:rsidR="00F96A77">
        <w:rPr>
          <w:sz w:val="22"/>
          <w:szCs w:val="22"/>
        </w:rPr>
        <w:t>febrero</w:t>
      </w:r>
      <w:r w:rsidRPr="00F96A77">
        <w:rPr>
          <w:sz w:val="22"/>
          <w:szCs w:val="22"/>
        </w:rPr>
        <w:t xml:space="preserve"> de 2019</w:t>
      </w:r>
      <w:r w:rsidR="00F96A77">
        <w:rPr>
          <w:sz w:val="22"/>
          <w:szCs w:val="22"/>
        </w:rPr>
        <w:t>,</w:t>
      </w:r>
      <w:r w:rsidRPr="00F96A77">
        <w:rPr>
          <w:sz w:val="22"/>
          <w:szCs w:val="22"/>
        </w:rPr>
        <w:t xml:space="preserve"> de la</w:t>
      </w:r>
      <w:r w:rsidRPr="00086F22">
        <w:rPr>
          <w:sz w:val="22"/>
          <w:szCs w:val="22"/>
        </w:rPr>
        <w:t xml:space="preserve"> Comis</w:t>
      </w:r>
      <w:r w:rsidR="00DD59DA" w:rsidRPr="00086F22">
        <w:rPr>
          <w:sz w:val="22"/>
          <w:szCs w:val="22"/>
        </w:rPr>
        <w:t xml:space="preserve">ión de Ordenamiento Territorial; y el Informe No. …………… de </w:t>
      </w:r>
      <w:proofErr w:type="gramStart"/>
      <w:r w:rsidR="00DD59DA" w:rsidRPr="00086F22">
        <w:rPr>
          <w:sz w:val="22"/>
          <w:szCs w:val="22"/>
        </w:rPr>
        <w:t>fecha ….</w:t>
      </w:r>
      <w:proofErr w:type="gramEnd"/>
      <w:r w:rsidR="00DD59DA" w:rsidRPr="00086F22">
        <w:rPr>
          <w:sz w:val="22"/>
          <w:szCs w:val="22"/>
        </w:rPr>
        <w:t xml:space="preserve"> </w:t>
      </w:r>
      <w:proofErr w:type="gramStart"/>
      <w:r w:rsidR="00DD59DA" w:rsidRPr="00086F22">
        <w:rPr>
          <w:sz w:val="22"/>
          <w:szCs w:val="22"/>
        </w:rPr>
        <w:t>de</w:t>
      </w:r>
      <w:proofErr w:type="gramEnd"/>
      <w:r w:rsidR="00DD59DA" w:rsidRPr="00086F22">
        <w:rPr>
          <w:sz w:val="22"/>
          <w:szCs w:val="22"/>
        </w:rPr>
        <w:t xml:space="preserve"> …..…… de 2019 de la Comisión de Ordenamiento Territorial;</w:t>
      </w:r>
    </w:p>
    <w:p w:rsidR="00385E8D" w:rsidRPr="00086F22" w:rsidRDefault="00385E8D" w:rsidP="00022E75">
      <w:pPr>
        <w:jc w:val="both"/>
        <w:rPr>
          <w:sz w:val="22"/>
          <w:szCs w:val="22"/>
        </w:rPr>
      </w:pPr>
    </w:p>
    <w:p w:rsidR="00596910" w:rsidRPr="00086F22" w:rsidRDefault="00086F22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86F22" w:rsidRPr="00086F22" w:rsidRDefault="00086F22" w:rsidP="00086F22">
      <w:pPr>
        <w:rPr>
          <w:sz w:val="22"/>
          <w:szCs w:val="22"/>
        </w:rPr>
      </w:pP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</w:rPr>
        <w:t xml:space="preserve">Que, </w:t>
      </w:r>
      <w:r w:rsidRPr="00086F22">
        <w:rPr>
          <w:rFonts w:ascii="Times New Roman" w:hAnsi="Times New Roman"/>
          <w:b/>
        </w:rPr>
        <w:tab/>
      </w:r>
      <w:r w:rsidRPr="00086F22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086F22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086F22">
        <w:rPr>
          <w:rFonts w:ascii="Times New Roman" w:hAnsi="Times New Roman"/>
        </w:rPr>
        <w:t>”;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el artículo 31 de la Constitución expresa que: “</w:t>
      </w:r>
      <w:r w:rsidRPr="00086F22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086F22">
        <w:rPr>
          <w:rFonts w:ascii="Times New Roman" w:hAnsi="Times New Roman"/>
          <w:bCs/>
        </w:rPr>
        <w:t xml:space="preserve">”; </w:t>
      </w:r>
    </w:p>
    <w:p w:rsidR="00E928E4" w:rsidRPr="00086F22" w:rsidRDefault="00596910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</w:rPr>
        <w:t>el artículo 240 de la Constitución establece que: “</w:t>
      </w:r>
      <w:r w:rsidRPr="00086F22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086F22">
        <w:rPr>
          <w:rFonts w:ascii="Times New Roman" w:hAnsi="Times New Roman"/>
        </w:rPr>
        <w:t>”;</w:t>
      </w:r>
    </w:p>
    <w:p w:rsidR="00E928E4" w:rsidRPr="00086F22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086F22">
        <w:rPr>
          <w:rFonts w:ascii="Times New Roman" w:hAnsi="Times New Roman"/>
          <w:b/>
        </w:rPr>
        <w:t>Que,</w:t>
      </w:r>
      <w:r w:rsidRPr="00086F22">
        <w:rPr>
          <w:rFonts w:ascii="Times New Roman" w:hAnsi="Times New Roman"/>
        </w:rPr>
        <w:tab/>
        <w:t>el artículo 266 de la Constitución establece que</w:t>
      </w:r>
      <w:r w:rsidRPr="00086F22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928E4" w:rsidRPr="00086F22" w:rsidRDefault="00E928E4" w:rsidP="00E928E4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644C2D" w:rsidRPr="00086F22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</w:rPr>
        <w:tab/>
      </w:r>
      <w:r w:rsidRPr="00086F22">
        <w:rPr>
          <w:rFonts w:ascii="Times New Roman" w:hAnsi="Times New Roman"/>
          <w:bCs/>
        </w:rPr>
        <w:t>el literal c)</w:t>
      </w:r>
      <w:r w:rsidR="00164A30" w:rsidRPr="00086F22">
        <w:rPr>
          <w:rFonts w:ascii="Times New Roman" w:hAnsi="Times New Roman"/>
          <w:bCs/>
        </w:rPr>
        <w:t xml:space="preserve"> </w:t>
      </w:r>
      <w:r w:rsidRPr="00086F22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086F22">
        <w:rPr>
          <w:rFonts w:ascii="Times New Roman" w:hAnsi="Times New Roman"/>
          <w:bCs/>
          <w:i/>
        </w:rPr>
        <w:t>“</w:t>
      </w:r>
      <w:r w:rsidRPr="00086F22">
        <w:rPr>
          <w:rFonts w:ascii="Times New Roman" w:hAnsi="Times New Roman"/>
          <w:b/>
          <w:i/>
        </w:rPr>
        <w:t>c)</w:t>
      </w:r>
      <w:r w:rsidRPr="00086F22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086F22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los literales a)</w:t>
      </w:r>
      <w:r w:rsidR="00721932" w:rsidRPr="00086F22">
        <w:rPr>
          <w:rFonts w:ascii="Times New Roman" w:hAnsi="Times New Roman"/>
          <w:bCs/>
        </w:rPr>
        <w:t>,</w:t>
      </w:r>
      <w:r w:rsidR="00AE4123" w:rsidRPr="00086F22">
        <w:rPr>
          <w:rFonts w:ascii="Times New Roman" w:hAnsi="Times New Roman"/>
          <w:bCs/>
        </w:rPr>
        <w:t xml:space="preserve"> y</w:t>
      </w:r>
      <w:r w:rsidR="00CD23C8" w:rsidRPr="00086F22">
        <w:rPr>
          <w:rFonts w:ascii="Times New Roman" w:hAnsi="Times New Roman"/>
          <w:bCs/>
        </w:rPr>
        <w:t xml:space="preserve"> </w:t>
      </w:r>
      <w:r w:rsidRPr="00086F22">
        <w:rPr>
          <w:rFonts w:ascii="Times New Roman" w:hAnsi="Times New Roman"/>
          <w:bCs/>
        </w:rPr>
        <w:t>x)</w:t>
      </w:r>
      <w:r w:rsidR="00742540" w:rsidRPr="00086F22">
        <w:rPr>
          <w:rFonts w:ascii="Times New Roman" w:hAnsi="Times New Roman"/>
          <w:bCs/>
        </w:rPr>
        <w:t xml:space="preserve"> </w:t>
      </w:r>
      <w:r w:rsidRPr="00086F22">
        <w:rPr>
          <w:rFonts w:ascii="Times New Roman" w:hAnsi="Times New Roman"/>
          <w:bCs/>
        </w:rPr>
        <w:t>d</w:t>
      </w:r>
      <w:r w:rsidRPr="00086F22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086F22">
        <w:rPr>
          <w:rFonts w:ascii="Times New Roman" w:hAnsi="Times New Roman"/>
          <w:i/>
          <w:iCs/>
        </w:rPr>
        <w:t>“</w:t>
      </w:r>
      <w:r w:rsidRPr="00086F22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086F22">
        <w:rPr>
          <w:rFonts w:ascii="Times New Roman" w:hAnsi="Times New Roman"/>
          <w:i/>
          <w:iCs/>
        </w:rPr>
        <w:t xml:space="preserve"> (…) x) </w:t>
      </w:r>
      <w:r w:rsidRPr="00086F22">
        <w:rPr>
          <w:rFonts w:ascii="Times New Roman" w:hAnsi="Times New Roman"/>
          <w:i/>
        </w:rPr>
        <w:t xml:space="preserve">Regular </w:t>
      </w:r>
      <w:r w:rsidRPr="00086F22">
        <w:rPr>
          <w:rFonts w:ascii="Times New Roman" w:hAnsi="Times New Roman"/>
          <w:i/>
        </w:rPr>
        <w:lastRenderedPageBreak/>
        <w:t xml:space="preserve">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086F22">
        <w:rPr>
          <w:rFonts w:ascii="Times New Roman" w:hAnsi="Times New Roman"/>
          <w:i/>
        </w:rPr>
        <w:t>interbarrial</w:t>
      </w:r>
      <w:proofErr w:type="spellEnd"/>
      <w:r w:rsidRPr="00086F22">
        <w:rPr>
          <w:rFonts w:ascii="Times New Roman" w:hAnsi="Times New Roman"/>
          <w:i/>
          <w:iCs/>
        </w:rPr>
        <w:t>;</w:t>
      </w:r>
      <w:r w:rsidR="00A063D6" w:rsidRPr="00086F22">
        <w:rPr>
          <w:rFonts w:ascii="Times New Roman" w:hAnsi="Times New Roman"/>
          <w:i/>
          <w:iCs/>
        </w:rPr>
        <w:t xml:space="preserve"> </w:t>
      </w:r>
      <w:r w:rsidR="00644C2D" w:rsidRPr="00086F22">
        <w:rPr>
          <w:rFonts w:ascii="Times New Roman" w:hAnsi="Times New Roman"/>
          <w:i/>
          <w:iCs/>
        </w:rPr>
        <w:t xml:space="preserve"> 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 xml:space="preserve">Que,  </w:t>
      </w:r>
      <w:r w:rsidRPr="00086F22">
        <w:rPr>
          <w:rFonts w:ascii="Times New Roman" w:hAnsi="Times New Roman"/>
        </w:rPr>
        <w:t>el artículo 322 del COOTAD establece el procedimiento para la aprobación de las ordenanzas municipales;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086F22">
        <w:rPr>
          <w:rFonts w:ascii="Times New Roman" w:hAnsi="Times New Roman"/>
          <w:b/>
          <w:bCs/>
        </w:rPr>
        <w:t xml:space="preserve">Que,    </w:t>
      </w:r>
      <w:r w:rsidRPr="00086F22">
        <w:rPr>
          <w:rFonts w:ascii="Times New Roman" w:hAnsi="Times New Roman"/>
          <w:bCs/>
        </w:rPr>
        <w:t>el artículo 486 del COOTAD reformado establece que: “</w:t>
      </w:r>
      <w:r w:rsidRPr="00086F22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086F22">
        <w:rPr>
          <w:rFonts w:ascii="Times New Roman" w:hAnsi="Times New Roman"/>
          <w:bCs/>
          <w:lang w:val="es-ES_tradnl"/>
        </w:rPr>
        <w:t>”</w:t>
      </w:r>
      <w:r w:rsidRPr="00086F22">
        <w:rPr>
          <w:rFonts w:ascii="Times New Roman" w:hAnsi="Times New Roman"/>
          <w:bCs/>
        </w:rPr>
        <w:t>;</w:t>
      </w:r>
    </w:p>
    <w:p w:rsidR="00596910" w:rsidRPr="00086F22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la Disposición Transitoria Décima Cuarta del COOTAD, señala: “</w:t>
      </w:r>
      <w:r w:rsidRPr="00086F22">
        <w:rPr>
          <w:rFonts w:ascii="Times New Roman" w:hAnsi="Times New Roman"/>
          <w:bCs/>
          <w:i/>
        </w:rPr>
        <w:t xml:space="preserve">(…) </w:t>
      </w:r>
      <w:r w:rsidRPr="00086F22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086F22">
        <w:rPr>
          <w:rFonts w:ascii="Times New Roman" w:hAnsi="Times New Roman"/>
        </w:rPr>
        <w:t>.”;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086F22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928E4" w:rsidRPr="00086F22" w:rsidRDefault="00E928E4" w:rsidP="00E928E4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 </w:t>
      </w:r>
      <w:r w:rsidRPr="00086F22">
        <w:rPr>
          <w:bCs/>
          <w:sz w:val="22"/>
          <w:szCs w:val="22"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E928E4" w:rsidRDefault="00E928E4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</w:t>
      </w:r>
      <w:r w:rsidRPr="00086F22">
        <w:rPr>
          <w:bCs/>
          <w:sz w:val="22"/>
          <w:szCs w:val="22"/>
        </w:rPr>
        <w:t xml:space="preserve">el libro IV.7., título II de la Ordenanza No. 001 de 29 de marzo de 2019,  establece los procesos y procedimientos para la regularización integral de los asentamientos humanos de hecho y consolidados, así como su declaratoria de interés social, para aquellos </w:t>
      </w:r>
      <w:r w:rsidRPr="00086F22">
        <w:rPr>
          <w:bCs/>
          <w:sz w:val="22"/>
          <w:szCs w:val="22"/>
        </w:rPr>
        <w:lastRenderedPageBreak/>
        <w:t>asentamientos que cumplen las condiciones socioeconómicas, legales y físicas establecidas para el efecto;</w:t>
      </w:r>
    </w:p>
    <w:p w:rsidR="00C70A83" w:rsidRPr="00086F22" w:rsidRDefault="00C70A83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C70A83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 </w:t>
      </w:r>
      <w:r w:rsidRPr="00086F22">
        <w:rPr>
          <w:bCs/>
          <w:sz w:val="22"/>
          <w:szCs w:val="22"/>
        </w:rPr>
        <w:t xml:space="preserve">el </w:t>
      </w:r>
      <w:r>
        <w:rPr>
          <w:bCs/>
          <w:sz w:val="22"/>
          <w:szCs w:val="22"/>
        </w:rPr>
        <w:t>Art. IV.7.31, último párrafo</w:t>
      </w:r>
      <w:r w:rsidRPr="00086F22">
        <w:rPr>
          <w:bCs/>
          <w:sz w:val="22"/>
          <w:szCs w:val="22"/>
        </w:rPr>
        <w:t xml:space="preserve"> de la Ordenanza No. 001 de 29 de marzo de 2019,  establece </w:t>
      </w:r>
      <w:r>
        <w:rPr>
          <w:bCs/>
          <w:sz w:val="22"/>
          <w:szCs w:val="22"/>
        </w:rPr>
        <w:t>que con la declaratoria de</w:t>
      </w:r>
      <w:r w:rsidRPr="00086F22">
        <w:rPr>
          <w:bCs/>
          <w:sz w:val="22"/>
          <w:szCs w:val="22"/>
        </w:rPr>
        <w:t xml:space="preserve"> interés social</w:t>
      </w:r>
      <w:r>
        <w:rPr>
          <w:bCs/>
          <w:sz w:val="22"/>
          <w:szCs w:val="22"/>
        </w:rPr>
        <w:t xml:space="preserve"> del Asentamiento Humano de Hecho y Consolidado dará lugar a la exoneración referentes a la contribución de áreas verdes;</w:t>
      </w:r>
    </w:p>
    <w:p w:rsidR="00C70A83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086F22" w:rsidRPr="00C70A83" w:rsidRDefault="00C70A83" w:rsidP="00C70A83">
      <w:pPr>
        <w:spacing w:after="240" w:line="276" w:lineRule="auto"/>
        <w:ind w:left="705" w:hanging="705"/>
        <w:jc w:val="both"/>
        <w:rPr>
          <w:b/>
          <w:bCs/>
          <w:sz w:val="22"/>
          <w:szCs w:val="22"/>
        </w:rPr>
      </w:pPr>
      <w:r w:rsidRPr="00086F22">
        <w:rPr>
          <w:b/>
          <w:bCs/>
          <w:sz w:val="22"/>
          <w:szCs w:val="22"/>
        </w:rPr>
        <w:t>Que,</w:t>
      </w:r>
      <w:r w:rsidRPr="00086F22">
        <w:rPr>
          <w:b/>
          <w:bCs/>
          <w:sz w:val="22"/>
          <w:szCs w:val="22"/>
        </w:rPr>
        <w:tab/>
      </w:r>
      <w:r w:rsidRPr="00086F22">
        <w:rPr>
          <w:bCs/>
          <w:sz w:val="22"/>
          <w:szCs w:val="22"/>
        </w:rPr>
        <w:t>el artículo IV.7.45 de la Ordenanza No. 001 de 29 de marzo de 2019 en su parte pertinente de la excepción de las áreas verdes dispone: “… El faltante de áreas verdes será compensado pecuniariamente con excepción de los asentamientos declarados de interés social...”</w:t>
      </w:r>
      <w:r w:rsidRPr="00086F22">
        <w:rPr>
          <w:b/>
          <w:bCs/>
          <w:sz w:val="22"/>
          <w:szCs w:val="22"/>
        </w:rPr>
        <w:t xml:space="preserve"> </w:t>
      </w:r>
    </w:p>
    <w:p w:rsidR="00ED7620" w:rsidRPr="00086F22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086F22">
        <w:rPr>
          <w:rFonts w:ascii="Times New Roman" w:hAnsi="Times New Roman"/>
          <w:b/>
          <w:bCs/>
        </w:rPr>
        <w:t xml:space="preserve">Que, 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086F22">
        <w:rPr>
          <w:rFonts w:ascii="Times New Roman" w:hAnsi="Times New Roman"/>
          <w:bCs/>
          <w:i/>
        </w:rPr>
        <w:t>“…Deróguense todas las Ordenanzas que se detallan en el cuadro adjunto (Anexo Derogatorias), con excepción de sus disposiciones de carácter transitorio hasta la verificación del efectivo cumplimiento de las mismas;…</w:t>
      </w:r>
      <w:r w:rsidRPr="00086F22">
        <w:rPr>
          <w:rFonts w:ascii="Times New Roman" w:hAnsi="Times New Roman"/>
          <w:bCs/>
        </w:rPr>
        <w:t>”</w:t>
      </w:r>
      <w:r w:rsidR="00BF5886" w:rsidRPr="00086F22">
        <w:rPr>
          <w:rFonts w:ascii="Times New Roman" w:hAnsi="Times New Roman"/>
          <w:bCs/>
        </w:rPr>
        <w:t xml:space="preserve"> </w:t>
      </w:r>
    </w:p>
    <w:p w:rsidR="00E928E4" w:rsidRPr="00086F22" w:rsidRDefault="00ED7620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D13ABD">
        <w:rPr>
          <w:rFonts w:ascii="Times New Roman" w:hAnsi="Times New Roman"/>
          <w:b/>
          <w:bCs/>
        </w:rPr>
        <w:t>Que,</w:t>
      </w:r>
      <w:r w:rsidRPr="00086F22">
        <w:rPr>
          <w:rFonts w:ascii="Times New Roman" w:hAnsi="Times New Roman"/>
          <w:bCs/>
        </w:rPr>
        <w:t xml:space="preserve">  </w:t>
      </w:r>
      <w:r w:rsidR="00E928E4" w:rsidRPr="00086F22">
        <w:rPr>
          <w:rFonts w:ascii="Times New Roman" w:hAnsi="Times New Roman"/>
          <w:bCs/>
        </w:rPr>
        <w:t>En concordancia con el considerando precedente,</w:t>
      </w:r>
      <w:r w:rsidR="00E928E4" w:rsidRPr="00086F22">
        <w:rPr>
          <w:rFonts w:ascii="Times New Roman" w:hAnsi="Times New Roman"/>
          <w:b/>
          <w:bCs/>
        </w:rPr>
        <w:t xml:space="preserve"> </w:t>
      </w:r>
      <w:r w:rsidR="00E928E4" w:rsidRPr="00086F22">
        <w:rPr>
          <w:rFonts w:ascii="Times New Roman" w:hAnsi="Times New Roman"/>
          <w:bCs/>
        </w:rPr>
        <w:t xml:space="preserve">la </w:t>
      </w:r>
      <w:r w:rsidRPr="00086F22">
        <w:rPr>
          <w:rFonts w:ascii="Times New Roman" w:hAnsi="Times New Roman"/>
          <w:bCs/>
        </w:rPr>
        <w:t xml:space="preserve">Disposición Transitoria Segunda </w:t>
      </w:r>
      <w:r w:rsidR="00E928E4" w:rsidRPr="00086F22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086F22">
        <w:rPr>
          <w:rFonts w:ascii="Times New Roman" w:hAnsi="Times New Roman"/>
          <w:bCs/>
        </w:rPr>
        <w:t xml:space="preserve">ularización del asentamiento; </w:t>
      </w:r>
    </w:p>
    <w:p w:rsidR="00E928E4" w:rsidRPr="00086F22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086F22">
        <w:rPr>
          <w:rFonts w:ascii="Times New Roman" w:hAnsi="Times New Roman"/>
          <w:b/>
          <w:bCs/>
        </w:rPr>
        <w:t xml:space="preserve">Que, </w:t>
      </w:r>
      <w:r w:rsidRPr="00086F22">
        <w:rPr>
          <w:rFonts w:ascii="Times New Roman" w:hAnsi="Times New Roman"/>
          <w:b/>
          <w:bCs/>
        </w:rPr>
        <w:tab/>
      </w:r>
      <w:r w:rsidRPr="00086F22">
        <w:rPr>
          <w:rFonts w:ascii="Times New Roman" w:hAnsi="Times New Roman"/>
          <w:bCs/>
        </w:rPr>
        <w:t>mediante Resolución No.</w:t>
      </w:r>
      <w:r w:rsidR="00A7613E">
        <w:rPr>
          <w:rFonts w:ascii="Times New Roman" w:hAnsi="Times New Roman"/>
          <w:bCs/>
        </w:rPr>
        <w:t xml:space="preserve"> C</w:t>
      </w:r>
      <w:r w:rsidRPr="00086F22">
        <w:rPr>
          <w:rFonts w:ascii="Times New Roman" w:hAnsi="Times New Roman"/>
          <w:bCs/>
        </w:rPr>
        <w:t xml:space="preserve"> 037-2019 reformada mediante Resolución No.</w:t>
      </w:r>
      <w:r w:rsidR="00A7613E">
        <w:rPr>
          <w:rFonts w:ascii="Times New Roman" w:hAnsi="Times New Roman"/>
          <w:bCs/>
        </w:rPr>
        <w:t xml:space="preserve"> C</w:t>
      </w:r>
      <w:r w:rsidRPr="00086F22">
        <w:rPr>
          <w:rFonts w:ascii="Times New Roman" w:hAnsi="Times New Roman"/>
          <w:bCs/>
        </w:rPr>
        <w:t xml:space="preserve"> 062-2019, se establecen los parámetros integrale</w:t>
      </w:r>
      <w:r w:rsidR="00BF5886" w:rsidRPr="00086F22">
        <w:rPr>
          <w:rFonts w:ascii="Times New Roman" w:hAnsi="Times New Roman"/>
          <w:bCs/>
        </w:rPr>
        <w:t xml:space="preserve">s para la identificación de </w:t>
      </w:r>
      <w:r w:rsidRPr="00086F22">
        <w:rPr>
          <w:rFonts w:ascii="Times New Roman" w:hAnsi="Times New Roman"/>
          <w:bCs/>
        </w:rPr>
        <w:t>los asentamientos humanos de hecho y consolidados existentes hasta la fecha de aprobación de esta Resolución, así como la priorización de su tratamiento, la metodología de su análisis y revisión, y presentación de los informes ratificatorios/</w:t>
      </w:r>
      <w:proofErr w:type="spellStart"/>
      <w:r w:rsidRPr="00086F22">
        <w:rPr>
          <w:rFonts w:ascii="Times New Roman" w:hAnsi="Times New Roman"/>
          <w:bCs/>
        </w:rPr>
        <w:t>rectificatorios</w:t>
      </w:r>
      <w:proofErr w:type="spellEnd"/>
      <w:r w:rsidRPr="00086F22">
        <w:rPr>
          <w:rFonts w:ascii="Times New Roman" w:hAnsi="Times New Roman"/>
          <w:bCs/>
        </w:rPr>
        <w:t xml:space="preserve"> de acuerdo a los plazos señalados en la norma.  </w:t>
      </w:r>
    </w:p>
    <w:p w:rsidR="009D5BD5" w:rsidRDefault="009D5BD5" w:rsidP="00E928E4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182078">
        <w:rPr>
          <w:b/>
          <w:bCs/>
          <w:sz w:val="22"/>
          <w:szCs w:val="22"/>
        </w:rPr>
        <w:t>Que,</w:t>
      </w:r>
      <w:r w:rsidRPr="00182078">
        <w:rPr>
          <w:sz w:val="22"/>
          <w:szCs w:val="22"/>
        </w:rPr>
        <w:tab/>
      </w:r>
      <w:r w:rsidRPr="00182078">
        <w:rPr>
          <w:sz w:val="22"/>
          <w:szCs w:val="22"/>
        </w:rPr>
        <w:tab/>
        <w:t xml:space="preserve">la Mesa Institucional, reunida </w:t>
      </w:r>
      <w:r w:rsidRPr="009F72D9">
        <w:rPr>
          <w:sz w:val="22"/>
          <w:szCs w:val="22"/>
        </w:rPr>
        <w:t xml:space="preserve">el 23 de octubre del 2018 en la Administración Zonal Tumbaco, integrada por: Lcda. Sofía Castillo, Administradora Zona Tumbaco; Abg. Carlos Camacho, Director del Departamento Jurídico (E)  Zona Tumbaco; Arq. Salomé Salazar, Delegada de la Dirección de Gestión de Territorio Zona Tumbaco; Arq. María Belén Cueva, Delegada de la Dirección Metropolitana de Catastro; Arq. Elizabeth Ortiz, Delegada de la Secretaría de Territorio, Hábitat y Vivienda; Ing. Luis Albán Delegado de la Dirección Metropolitana de Gestión de Riesgo; Arq. Carlos </w:t>
      </w:r>
      <w:proofErr w:type="spellStart"/>
      <w:r w:rsidRPr="009F72D9">
        <w:rPr>
          <w:sz w:val="22"/>
          <w:szCs w:val="22"/>
        </w:rPr>
        <w:t>Lizarzaburu</w:t>
      </w:r>
      <w:proofErr w:type="spellEnd"/>
      <w:r w:rsidRPr="009F72D9">
        <w:rPr>
          <w:sz w:val="22"/>
          <w:szCs w:val="22"/>
        </w:rPr>
        <w:t>, Delegado de la Dirección de la Unidad Especial Regula Tu Barrio y Socio-Organizativo; Dr. Fernando Quintana, Responsable Legal; y, Arq. Pablo Alcocer, Responsable Técnico, de la Unidad Especial “Regula Tu Barrio” Oficina Central, aprobaron  el Informe Socio Organizativo Legal y Técnico No.</w:t>
      </w:r>
      <w:r w:rsidR="009232C4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9F72D9">
        <w:rPr>
          <w:sz w:val="22"/>
          <w:szCs w:val="22"/>
        </w:rPr>
        <w:t xml:space="preserve">2-UERB-OC-SOLT-2018, de 28 de Septiembre del 2018, habilitante de la Ordenanza de Reconocimiento del Asentamiento Humano de Hecho y Consolidado de Interés Social, denominado: Chiche </w:t>
      </w:r>
      <w:r>
        <w:rPr>
          <w:sz w:val="22"/>
          <w:szCs w:val="22"/>
        </w:rPr>
        <w:t>“S</w:t>
      </w:r>
      <w:r w:rsidRPr="009F72D9">
        <w:rPr>
          <w:sz w:val="22"/>
          <w:szCs w:val="22"/>
        </w:rPr>
        <w:t>ector Mendoza”</w:t>
      </w:r>
      <w:r w:rsidRPr="009F72D9">
        <w:rPr>
          <w:bCs/>
          <w:sz w:val="22"/>
          <w:szCs w:val="22"/>
        </w:rPr>
        <w:t>,</w:t>
      </w:r>
      <w:r w:rsidRPr="009F72D9">
        <w:rPr>
          <w:b/>
          <w:sz w:val="22"/>
          <w:szCs w:val="22"/>
        </w:rPr>
        <w:t xml:space="preserve"> </w:t>
      </w:r>
      <w:r w:rsidRPr="009F72D9">
        <w:rPr>
          <w:sz w:val="22"/>
          <w:szCs w:val="22"/>
        </w:rPr>
        <w:t xml:space="preserve"> a favor de sus copropietarios</w:t>
      </w:r>
    </w:p>
    <w:p w:rsidR="00E928E4" w:rsidRPr="00086F22" w:rsidRDefault="00E928E4" w:rsidP="00E928E4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 xml:space="preserve">Que, </w:t>
      </w:r>
      <w:r w:rsidRPr="00086F22">
        <w:rPr>
          <w:b/>
          <w:bCs/>
          <w:sz w:val="22"/>
          <w:szCs w:val="22"/>
        </w:rPr>
        <w:tab/>
      </w:r>
      <w:r w:rsidRPr="00086F22">
        <w:rPr>
          <w:sz w:val="22"/>
          <w:szCs w:val="22"/>
        </w:rPr>
        <w:t xml:space="preserve">el informe de la Dirección Metropolitana de Gestión de Riesgos No. </w:t>
      </w:r>
      <w:r w:rsidR="00F96A77">
        <w:rPr>
          <w:sz w:val="22"/>
          <w:szCs w:val="22"/>
        </w:rPr>
        <w:t>210</w:t>
      </w:r>
      <w:r w:rsidRPr="00086F22">
        <w:rPr>
          <w:sz w:val="22"/>
          <w:szCs w:val="22"/>
        </w:rPr>
        <w:t xml:space="preserve">-AT-DMGR-2018, de </w:t>
      </w:r>
      <w:r w:rsidR="00F96A77">
        <w:rPr>
          <w:sz w:val="22"/>
          <w:szCs w:val="22"/>
        </w:rPr>
        <w:t>21</w:t>
      </w:r>
      <w:r w:rsidRPr="00086F22">
        <w:rPr>
          <w:sz w:val="22"/>
          <w:szCs w:val="22"/>
        </w:rPr>
        <w:t xml:space="preserve"> de </w:t>
      </w:r>
      <w:r w:rsidR="00F96A77">
        <w:rPr>
          <w:sz w:val="22"/>
          <w:szCs w:val="22"/>
        </w:rPr>
        <w:t>agosto</w:t>
      </w:r>
      <w:r w:rsidRPr="00086F22">
        <w:rPr>
          <w:sz w:val="22"/>
          <w:szCs w:val="22"/>
        </w:rPr>
        <w:t xml:space="preserve"> de 2018, califica al AHHYC </w:t>
      </w:r>
      <w:r w:rsidR="009D5BD5" w:rsidRPr="00182078">
        <w:rPr>
          <w:sz w:val="22"/>
          <w:szCs w:val="22"/>
        </w:rPr>
        <w:t xml:space="preserve">Chiche </w:t>
      </w:r>
      <w:r w:rsidR="009D5BD5">
        <w:rPr>
          <w:sz w:val="22"/>
          <w:szCs w:val="22"/>
        </w:rPr>
        <w:t>“S</w:t>
      </w:r>
      <w:r w:rsidR="009D5BD5" w:rsidRPr="00182078">
        <w:rPr>
          <w:sz w:val="22"/>
          <w:szCs w:val="22"/>
        </w:rPr>
        <w:t>ector Mendoza”</w:t>
      </w:r>
      <w:r w:rsidR="009D5BD5" w:rsidRPr="00182078">
        <w:rPr>
          <w:bCs/>
          <w:sz w:val="22"/>
          <w:szCs w:val="22"/>
        </w:rPr>
        <w:t>,</w:t>
      </w:r>
      <w:r w:rsidR="009D5BD5" w:rsidRPr="00182078">
        <w:rPr>
          <w:sz w:val="22"/>
          <w:szCs w:val="22"/>
        </w:rPr>
        <w:t xml:space="preserve"> </w:t>
      </w:r>
      <w:r w:rsidR="00F96A77">
        <w:rPr>
          <w:sz w:val="22"/>
          <w:szCs w:val="22"/>
        </w:rPr>
        <w:t>en general presenta un Riesgo Bajo para los lotes expuestos.</w:t>
      </w:r>
    </w:p>
    <w:p w:rsidR="00E928E4" w:rsidRPr="00086F22" w:rsidRDefault="00E928E4" w:rsidP="00630196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lastRenderedPageBreak/>
        <w:t xml:space="preserve">Que, </w:t>
      </w:r>
      <w:r w:rsidRPr="00086F22">
        <w:rPr>
          <w:b/>
          <w:bCs/>
          <w:sz w:val="22"/>
          <w:szCs w:val="22"/>
        </w:rPr>
        <w:tab/>
      </w:r>
      <w:r w:rsidRPr="00086F22">
        <w:rPr>
          <w:bCs/>
          <w:sz w:val="22"/>
          <w:szCs w:val="22"/>
        </w:rPr>
        <w:t>mediante</w:t>
      </w:r>
      <w:r w:rsidRPr="00086F22">
        <w:rPr>
          <w:b/>
          <w:bCs/>
          <w:sz w:val="22"/>
          <w:szCs w:val="22"/>
        </w:rPr>
        <w:t xml:space="preserve"> </w:t>
      </w:r>
      <w:r w:rsidRPr="00086F22">
        <w:rPr>
          <w:sz w:val="22"/>
          <w:szCs w:val="22"/>
        </w:rPr>
        <w:t>Oficio Nro. GADDMQ-SGSG-DMGR-2019-</w:t>
      </w:r>
      <w:r w:rsidR="006E2599">
        <w:rPr>
          <w:sz w:val="22"/>
          <w:szCs w:val="22"/>
        </w:rPr>
        <w:t>0711</w:t>
      </w:r>
      <w:r w:rsidRPr="00086F22">
        <w:rPr>
          <w:sz w:val="22"/>
          <w:szCs w:val="22"/>
        </w:rPr>
        <w:t xml:space="preserve">-OF, de fecha </w:t>
      </w:r>
      <w:r w:rsidR="006E2599">
        <w:rPr>
          <w:sz w:val="22"/>
          <w:szCs w:val="22"/>
        </w:rPr>
        <w:t>11</w:t>
      </w:r>
      <w:r w:rsidRPr="00086F22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F572B9">
        <w:rPr>
          <w:sz w:val="22"/>
          <w:szCs w:val="22"/>
        </w:rPr>
        <w:t xml:space="preserve">se ratifica </w:t>
      </w:r>
      <w:r w:rsidR="00FC1938" w:rsidRPr="00086F22">
        <w:rPr>
          <w:sz w:val="22"/>
          <w:szCs w:val="22"/>
        </w:rPr>
        <w:t xml:space="preserve">en </w:t>
      </w:r>
      <w:r w:rsidRPr="00086F22">
        <w:rPr>
          <w:sz w:val="22"/>
          <w:szCs w:val="22"/>
        </w:rPr>
        <w:t>la calificación del nivel del ries</w:t>
      </w:r>
      <w:r w:rsidR="00F572B9">
        <w:rPr>
          <w:sz w:val="22"/>
          <w:szCs w:val="22"/>
        </w:rPr>
        <w:t>go frente a movimientos en masa</w:t>
      </w:r>
      <w:r w:rsidR="00FC1938" w:rsidRPr="00086F22">
        <w:rPr>
          <w:sz w:val="22"/>
          <w:szCs w:val="22"/>
        </w:rPr>
        <w:t xml:space="preserve">, indicando </w:t>
      </w:r>
      <w:r w:rsidRPr="00086F22">
        <w:rPr>
          <w:sz w:val="22"/>
          <w:szCs w:val="22"/>
        </w:rPr>
        <w:t>que el</w:t>
      </w:r>
      <w:r w:rsidRPr="00086F22">
        <w:rPr>
          <w:b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AHHYC </w:t>
      </w:r>
      <w:r w:rsidR="009D5BD5" w:rsidRPr="00182078">
        <w:rPr>
          <w:sz w:val="22"/>
          <w:szCs w:val="22"/>
        </w:rPr>
        <w:t xml:space="preserve">Chiche </w:t>
      </w:r>
      <w:r w:rsidR="009D5BD5">
        <w:rPr>
          <w:sz w:val="22"/>
          <w:szCs w:val="22"/>
        </w:rPr>
        <w:t>“S</w:t>
      </w:r>
      <w:r w:rsidR="009D5BD5" w:rsidRPr="00182078">
        <w:rPr>
          <w:sz w:val="22"/>
          <w:szCs w:val="22"/>
        </w:rPr>
        <w:t>ector Mendoza”</w:t>
      </w:r>
      <w:r w:rsidR="009D5BD5" w:rsidRPr="00182078">
        <w:rPr>
          <w:bCs/>
          <w:sz w:val="22"/>
          <w:szCs w:val="22"/>
        </w:rPr>
        <w:t>,</w:t>
      </w:r>
      <w:r w:rsidR="009D5BD5" w:rsidRPr="00182078">
        <w:rPr>
          <w:b/>
          <w:sz w:val="22"/>
          <w:szCs w:val="22"/>
        </w:rPr>
        <w:t xml:space="preserve"> </w:t>
      </w:r>
      <w:r w:rsidR="009D5BD5" w:rsidRPr="00182078">
        <w:rPr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en general presenta un Riesgo </w:t>
      </w:r>
      <w:r w:rsidR="00F572B9">
        <w:rPr>
          <w:sz w:val="22"/>
          <w:szCs w:val="22"/>
        </w:rPr>
        <w:t>Bajo</w:t>
      </w:r>
      <w:r w:rsidR="00FC1938" w:rsidRPr="00086F22">
        <w:rPr>
          <w:sz w:val="22"/>
          <w:szCs w:val="22"/>
        </w:rPr>
        <w:t>, sin embargo se debe rectificar indicando que el nivel de Riesgo es Mitigable, en tal virtud y con</w:t>
      </w:r>
      <w:r w:rsidR="00DD5206">
        <w:rPr>
          <w:sz w:val="22"/>
          <w:szCs w:val="22"/>
        </w:rPr>
        <w:t xml:space="preserve"> las observaciones realizadas, l</w:t>
      </w:r>
      <w:r w:rsidR="00FC1938" w:rsidRPr="00086F22">
        <w:rPr>
          <w:sz w:val="22"/>
          <w:szCs w:val="22"/>
        </w:rPr>
        <w:t xml:space="preserve">a Dirección Metropolitana de Gestión de Riesgos indica que todos los lotes del AHHYC </w:t>
      </w:r>
      <w:r w:rsidR="009E413B" w:rsidRPr="00182078">
        <w:rPr>
          <w:sz w:val="22"/>
          <w:szCs w:val="22"/>
        </w:rPr>
        <w:t xml:space="preserve">Chiche </w:t>
      </w:r>
      <w:r w:rsidR="009E413B">
        <w:rPr>
          <w:sz w:val="22"/>
          <w:szCs w:val="22"/>
        </w:rPr>
        <w:t>“S</w:t>
      </w:r>
      <w:r w:rsidR="009E413B" w:rsidRPr="00182078">
        <w:rPr>
          <w:sz w:val="22"/>
          <w:szCs w:val="22"/>
        </w:rPr>
        <w:t>ector Mendoza”</w:t>
      </w:r>
      <w:r w:rsidR="00FC1938" w:rsidRPr="00086F22">
        <w:rPr>
          <w:sz w:val="22"/>
          <w:szCs w:val="22"/>
        </w:rPr>
        <w:t xml:space="preserve">, tienen una calificación de Riesgo </w:t>
      </w:r>
      <w:r w:rsidR="00F572B9">
        <w:rPr>
          <w:sz w:val="22"/>
          <w:szCs w:val="22"/>
        </w:rPr>
        <w:t>Bajo</w:t>
      </w:r>
      <w:r w:rsidR="00FC1938" w:rsidRPr="00086F22">
        <w:rPr>
          <w:sz w:val="22"/>
          <w:szCs w:val="22"/>
        </w:rPr>
        <w:t xml:space="preserve"> Mitigable.</w:t>
      </w:r>
    </w:p>
    <w:p w:rsidR="00D625C6" w:rsidRPr="00086F22" w:rsidRDefault="007720D0" w:rsidP="00005E6E">
      <w:pPr>
        <w:spacing w:after="240" w:line="276" w:lineRule="auto"/>
        <w:ind w:left="705" w:hanging="705"/>
        <w:jc w:val="both"/>
        <w:rPr>
          <w:b/>
          <w:sz w:val="22"/>
          <w:szCs w:val="22"/>
        </w:rPr>
      </w:pPr>
      <w:r w:rsidRPr="00086F22">
        <w:rPr>
          <w:b/>
          <w:sz w:val="22"/>
          <w:szCs w:val="22"/>
        </w:rPr>
        <w:t xml:space="preserve">          </w:t>
      </w:r>
      <w:r w:rsidR="00D625C6" w:rsidRPr="00086F22">
        <w:rPr>
          <w:b/>
          <w:sz w:val="22"/>
          <w:szCs w:val="22"/>
        </w:rPr>
        <w:t>En ejercicio de sus atribuciones legales constantes en los artículos 30, 31</w:t>
      </w:r>
      <w:r w:rsidR="002D7709" w:rsidRPr="00086F22">
        <w:rPr>
          <w:b/>
          <w:sz w:val="22"/>
          <w:szCs w:val="22"/>
        </w:rPr>
        <w:t xml:space="preserve">, </w:t>
      </w:r>
      <w:r w:rsidR="00D625C6" w:rsidRPr="00086F22">
        <w:rPr>
          <w:b/>
          <w:sz w:val="22"/>
          <w:szCs w:val="22"/>
        </w:rPr>
        <w:t xml:space="preserve">240 numerales 1 y 2 </w:t>
      </w:r>
      <w:r w:rsidR="002D7709" w:rsidRPr="00086F22">
        <w:rPr>
          <w:b/>
          <w:sz w:val="22"/>
          <w:szCs w:val="22"/>
        </w:rPr>
        <w:t xml:space="preserve">y 266 </w:t>
      </w:r>
      <w:r w:rsidR="00D625C6" w:rsidRPr="00086F22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:rsidR="00361728" w:rsidRPr="00086F22" w:rsidRDefault="00361728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>EXPIDE LA SIGUIENTE:</w:t>
      </w:r>
    </w:p>
    <w:p w:rsidR="00086F22" w:rsidRPr="00086F22" w:rsidRDefault="00086F22" w:rsidP="00086F22">
      <w:pPr>
        <w:rPr>
          <w:sz w:val="22"/>
          <w:szCs w:val="22"/>
        </w:rPr>
      </w:pPr>
    </w:p>
    <w:p w:rsidR="009D5BD5" w:rsidRPr="00D2730C" w:rsidRDefault="00F75497" w:rsidP="009D5BD5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F22">
        <w:rPr>
          <w:rFonts w:ascii="Times New Roman" w:hAnsi="Times New Roman"/>
          <w:b/>
          <w:bCs/>
          <w:sz w:val="22"/>
          <w:szCs w:val="22"/>
        </w:rPr>
        <w:t xml:space="preserve">ORDENANZA QUE APRUEBA EL </w:t>
      </w:r>
      <w:r w:rsidR="00363A17" w:rsidRPr="00086F22">
        <w:rPr>
          <w:rFonts w:ascii="Times New Roman" w:hAnsi="Times New Roman"/>
          <w:b/>
          <w:bCs/>
          <w:sz w:val="22"/>
          <w:szCs w:val="22"/>
        </w:rPr>
        <w:t xml:space="preserve">PROCESO </w:t>
      </w:r>
      <w:r w:rsidR="00D625C6" w:rsidRPr="00086F22">
        <w:rPr>
          <w:rFonts w:ascii="Times New Roman" w:hAnsi="Times New Roman"/>
          <w:b/>
          <w:bCs/>
          <w:sz w:val="22"/>
          <w:szCs w:val="22"/>
        </w:rPr>
        <w:t xml:space="preserve">INTEGRAL </w:t>
      </w:r>
      <w:r w:rsidR="00363A17" w:rsidRPr="00086F22">
        <w:rPr>
          <w:rFonts w:ascii="Times New Roman" w:hAnsi="Times New Roman"/>
          <w:b/>
          <w:bCs/>
          <w:sz w:val="22"/>
          <w:szCs w:val="22"/>
        </w:rPr>
        <w:t xml:space="preserve">DE REGULARIZACION DEL ASENTAMIENTO </w:t>
      </w:r>
      <w:r w:rsidRPr="00086F22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</w:t>
      </w:r>
      <w:r w:rsidRPr="00D2730C">
        <w:rPr>
          <w:rFonts w:ascii="Times New Roman" w:hAnsi="Times New Roman"/>
          <w:b/>
          <w:bCs/>
          <w:sz w:val="22"/>
          <w:szCs w:val="22"/>
        </w:rPr>
        <w:t xml:space="preserve">DENOMINADO </w:t>
      </w:r>
      <w:r w:rsidR="009D5BD5" w:rsidRPr="00D2730C">
        <w:rPr>
          <w:rFonts w:ascii="Times New Roman" w:hAnsi="Times New Roman"/>
          <w:b/>
          <w:bCs/>
          <w:sz w:val="22"/>
          <w:szCs w:val="22"/>
        </w:rPr>
        <w:t>CHICHE “SECTOR MENDOZA”</w:t>
      </w:r>
    </w:p>
    <w:p w:rsidR="00363A17" w:rsidRPr="009D5BD5" w:rsidRDefault="00363A17" w:rsidP="009D5BD5">
      <w:pPr>
        <w:pStyle w:val="Ttulo7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DD5206">
        <w:rPr>
          <w:rFonts w:ascii="Times New Roman" w:hAnsi="Times New Roman"/>
          <w:b/>
          <w:sz w:val="22"/>
          <w:szCs w:val="22"/>
        </w:rPr>
        <w:t>Articulo 1.- Objeto.-</w:t>
      </w:r>
      <w:r w:rsidRPr="009D5BD5">
        <w:rPr>
          <w:rFonts w:ascii="Times New Roman" w:hAnsi="Times New Roman"/>
          <w:sz w:val="22"/>
          <w:szCs w:val="22"/>
        </w:rPr>
        <w:t xml:space="preserve"> </w:t>
      </w:r>
      <w:r w:rsidR="00DD59DA" w:rsidRPr="009D5BD5">
        <w:rPr>
          <w:rFonts w:ascii="Times New Roman" w:hAnsi="Times New Roman"/>
          <w:sz w:val="22"/>
          <w:szCs w:val="22"/>
        </w:rPr>
        <w:t>La presente ordenanza tiene por objeto r</w:t>
      </w:r>
      <w:r w:rsidRPr="009D5BD5">
        <w:rPr>
          <w:rFonts w:ascii="Times New Roman" w:hAnsi="Times New Roman"/>
          <w:sz w:val="22"/>
          <w:szCs w:val="22"/>
        </w:rPr>
        <w:t>econocer y aprobar el fraccionamiento de</w:t>
      </w:r>
      <w:r w:rsidR="00094F57" w:rsidRPr="009D5BD5">
        <w:rPr>
          <w:rFonts w:ascii="Times New Roman" w:hAnsi="Times New Roman"/>
          <w:sz w:val="22"/>
          <w:szCs w:val="22"/>
        </w:rPr>
        <w:t>l</w:t>
      </w:r>
      <w:r w:rsidRPr="009D5BD5">
        <w:rPr>
          <w:rFonts w:ascii="Times New Roman" w:hAnsi="Times New Roman"/>
          <w:sz w:val="22"/>
          <w:szCs w:val="22"/>
        </w:rPr>
        <w:t xml:space="preserve"> predio </w:t>
      </w:r>
      <w:r w:rsidR="00D9238F" w:rsidRPr="00D9238F">
        <w:rPr>
          <w:rFonts w:ascii="Times New Roman" w:hAnsi="Times New Roman"/>
          <w:sz w:val="22"/>
          <w:szCs w:val="22"/>
        </w:rPr>
        <w:t>5148538</w:t>
      </w:r>
      <w:r w:rsidR="00F71A2D">
        <w:rPr>
          <w:rFonts w:ascii="Times New Roman" w:hAnsi="Times New Roman"/>
          <w:sz w:val="22"/>
          <w:szCs w:val="22"/>
        </w:rPr>
        <w:t>,</w:t>
      </w:r>
      <w:r w:rsidR="00D625C6" w:rsidRPr="009D5BD5">
        <w:rPr>
          <w:rFonts w:ascii="Times New Roman" w:hAnsi="Times New Roman"/>
          <w:sz w:val="22"/>
          <w:szCs w:val="22"/>
        </w:rPr>
        <w:t xml:space="preserve"> </w:t>
      </w:r>
      <w:r w:rsidRPr="009D5BD5">
        <w:rPr>
          <w:rFonts w:ascii="Times New Roman" w:hAnsi="Times New Roman"/>
          <w:sz w:val="22"/>
          <w:szCs w:val="22"/>
        </w:rPr>
        <w:t>sobre el que se encuentra e</w:t>
      </w:r>
      <w:r w:rsidR="001A5E4E" w:rsidRPr="009D5BD5">
        <w:rPr>
          <w:rFonts w:ascii="Times New Roman" w:hAnsi="Times New Roman"/>
          <w:sz w:val="22"/>
          <w:szCs w:val="22"/>
        </w:rPr>
        <w:t xml:space="preserve">l </w:t>
      </w:r>
      <w:r w:rsidR="00A16448" w:rsidRPr="009D5BD5">
        <w:rPr>
          <w:rFonts w:ascii="Times New Roman" w:hAnsi="Times New Roman"/>
          <w:sz w:val="22"/>
          <w:szCs w:val="22"/>
        </w:rPr>
        <w:t>Asentamiento Humano d</w:t>
      </w:r>
      <w:r w:rsidR="001A5E4E" w:rsidRPr="009D5BD5">
        <w:rPr>
          <w:rFonts w:ascii="Times New Roman" w:hAnsi="Times New Roman"/>
          <w:sz w:val="22"/>
          <w:szCs w:val="22"/>
        </w:rPr>
        <w:t>e Hecho y Consolidado d</w:t>
      </w:r>
      <w:r w:rsidR="00E62A62" w:rsidRPr="009D5BD5">
        <w:rPr>
          <w:rFonts w:ascii="Times New Roman" w:hAnsi="Times New Roman"/>
          <w:sz w:val="22"/>
          <w:szCs w:val="22"/>
        </w:rPr>
        <w:t>e Interés Social d</w:t>
      </w:r>
      <w:r w:rsidRPr="009D5BD5">
        <w:rPr>
          <w:rFonts w:ascii="Times New Roman" w:hAnsi="Times New Roman"/>
          <w:sz w:val="22"/>
          <w:szCs w:val="22"/>
        </w:rPr>
        <w:t xml:space="preserve">enominado </w:t>
      </w:r>
      <w:r w:rsidR="009D5BD5" w:rsidRPr="00D661FF">
        <w:rPr>
          <w:rFonts w:ascii="Times New Roman" w:hAnsi="Times New Roman"/>
          <w:sz w:val="22"/>
          <w:szCs w:val="22"/>
        </w:rPr>
        <w:t>Chiche “Sector Mendoza”,</w:t>
      </w:r>
      <w:r w:rsidR="00D661FF">
        <w:rPr>
          <w:rFonts w:ascii="Times New Roman" w:hAnsi="Times New Roman"/>
          <w:sz w:val="22"/>
          <w:szCs w:val="22"/>
        </w:rPr>
        <w:t xml:space="preserve"> </w:t>
      </w:r>
      <w:r w:rsidR="001A5E4E" w:rsidRPr="009D5BD5">
        <w:rPr>
          <w:rFonts w:ascii="Times New Roman" w:hAnsi="Times New Roman"/>
          <w:sz w:val="22"/>
          <w:szCs w:val="22"/>
        </w:rPr>
        <w:t>a</w:t>
      </w:r>
      <w:r w:rsidRPr="009D5BD5">
        <w:rPr>
          <w:rFonts w:ascii="Times New Roman" w:hAnsi="Times New Roman"/>
          <w:sz w:val="22"/>
          <w:szCs w:val="22"/>
        </w:rPr>
        <w:t xml:space="preserve"> </w:t>
      </w:r>
      <w:r w:rsidR="00BF73D8" w:rsidRPr="009D5BD5">
        <w:rPr>
          <w:rFonts w:ascii="Times New Roman" w:hAnsi="Times New Roman"/>
          <w:sz w:val="22"/>
          <w:szCs w:val="22"/>
        </w:rPr>
        <w:t>f</w:t>
      </w:r>
      <w:r w:rsidRPr="009D5BD5">
        <w:rPr>
          <w:rFonts w:ascii="Times New Roman" w:hAnsi="Times New Roman"/>
          <w:sz w:val="22"/>
          <w:szCs w:val="22"/>
        </w:rPr>
        <w:t xml:space="preserve">avor </w:t>
      </w:r>
      <w:r w:rsidR="00BF73D8" w:rsidRPr="009D5BD5">
        <w:rPr>
          <w:rFonts w:ascii="Times New Roman" w:hAnsi="Times New Roman"/>
          <w:sz w:val="22"/>
          <w:szCs w:val="22"/>
        </w:rPr>
        <w:t>d</w:t>
      </w:r>
      <w:r w:rsidRPr="009D5BD5">
        <w:rPr>
          <w:rFonts w:ascii="Times New Roman" w:hAnsi="Times New Roman"/>
          <w:sz w:val="22"/>
          <w:szCs w:val="22"/>
        </w:rPr>
        <w:t xml:space="preserve">e </w:t>
      </w:r>
      <w:r w:rsidR="00BF73D8" w:rsidRPr="009D5BD5">
        <w:rPr>
          <w:rFonts w:ascii="Times New Roman" w:hAnsi="Times New Roman"/>
          <w:sz w:val="22"/>
          <w:szCs w:val="22"/>
        </w:rPr>
        <w:t>s</w:t>
      </w:r>
      <w:r w:rsidRPr="009D5BD5">
        <w:rPr>
          <w:rFonts w:ascii="Times New Roman" w:hAnsi="Times New Roman"/>
          <w:sz w:val="22"/>
          <w:szCs w:val="22"/>
        </w:rPr>
        <w:t xml:space="preserve">us </w:t>
      </w:r>
      <w:r w:rsidR="00BF73D8" w:rsidRPr="009D5BD5">
        <w:rPr>
          <w:rFonts w:ascii="Times New Roman" w:hAnsi="Times New Roman"/>
          <w:sz w:val="22"/>
          <w:szCs w:val="22"/>
        </w:rPr>
        <w:t>c</w:t>
      </w:r>
      <w:r w:rsidRPr="009D5BD5">
        <w:rPr>
          <w:rFonts w:ascii="Times New Roman" w:hAnsi="Times New Roman"/>
          <w:sz w:val="22"/>
          <w:szCs w:val="22"/>
        </w:rPr>
        <w:t>opropietarios</w:t>
      </w:r>
      <w:r w:rsidR="00C876E8" w:rsidRPr="009D5BD5">
        <w:rPr>
          <w:rFonts w:ascii="Times New Roman" w:hAnsi="Times New Roman"/>
          <w:sz w:val="22"/>
          <w:szCs w:val="22"/>
        </w:rPr>
        <w:t>.</w:t>
      </w:r>
    </w:p>
    <w:p w:rsidR="00630196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DD5206">
        <w:rPr>
          <w:b/>
          <w:sz w:val="22"/>
          <w:szCs w:val="22"/>
        </w:rPr>
        <w:t xml:space="preserve">Artículo </w:t>
      </w:r>
      <w:r w:rsidR="00363A17" w:rsidRPr="00DD5206">
        <w:rPr>
          <w:b/>
          <w:sz w:val="22"/>
          <w:szCs w:val="22"/>
        </w:rPr>
        <w:t>2</w:t>
      </w:r>
      <w:r w:rsidRPr="00DD5206">
        <w:rPr>
          <w:b/>
          <w:sz w:val="22"/>
          <w:szCs w:val="22"/>
        </w:rPr>
        <w:t>.- De los planos y documentos presentados.-</w:t>
      </w:r>
      <w:r w:rsidRPr="009D5BD5">
        <w:rPr>
          <w:sz w:val="22"/>
          <w:szCs w:val="22"/>
        </w:rPr>
        <w:t xml:space="preserve"> </w:t>
      </w:r>
      <w:r w:rsidR="00596910" w:rsidRPr="00086F22">
        <w:rPr>
          <w:sz w:val="22"/>
          <w:szCs w:val="22"/>
        </w:rPr>
        <w:t xml:space="preserve">Los planos y documentos presentados </w:t>
      </w:r>
      <w:r w:rsidR="00DD59DA" w:rsidRPr="00086F22">
        <w:rPr>
          <w:sz w:val="22"/>
          <w:szCs w:val="22"/>
        </w:rPr>
        <w:t xml:space="preserve">para la aprobación del presente acto normativo </w:t>
      </w:r>
      <w:r w:rsidR="00596910" w:rsidRPr="00086F22">
        <w:rPr>
          <w:sz w:val="22"/>
          <w:szCs w:val="22"/>
        </w:rPr>
        <w:t xml:space="preserve">son de exclusiva responsabilidad del proyectista y de los copropietarios del Asentamiento Humano de Hecho y Consolidado de Interés Social denominado </w:t>
      </w:r>
      <w:r w:rsidR="009D5BD5" w:rsidRPr="00182078">
        <w:rPr>
          <w:sz w:val="22"/>
          <w:szCs w:val="22"/>
        </w:rPr>
        <w:t xml:space="preserve">Chiche </w:t>
      </w:r>
      <w:r w:rsidR="009D5BD5">
        <w:rPr>
          <w:sz w:val="22"/>
          <w:szCs w:val="22"/>
        </w:rPr>
        <w:t>“S</w:t>
      </w:r>
      <w:r w:rsidR="009D5BD5" w:rsidRPr="00182078">
        <w:rPr>
          <w:sz w:val="22"/>
          <w:szCs w:val="22"/>
        </w:rPr>
        <w:t>ector Mendoza”</w:t>
      </w:r>
      <w:r w:rsidR="009D5BD5" w:rsidRPr="00182078">
        <w:rPr>
          <w:bCs/>
          <w:sz w:val="22"/>
          <w:szCs w:val="22"/>
        </w:rPr>
        <w:t>,</w:t>
      </w:r>
      <w:r w:rsidR="009D5BD5" w:rsidRPr="00182078">
        <w:rPr>
          <w:b/>
          <w:sz w:val="22"/>
          <w:szCs w:val="22"/>
        </w:rPr>
        <w:t xml:space="preserve"> </w:t>
      </w:r>
      <w:r w:rsidR="009D5BD5" w:rsidRPr="00182078">
        <w:rPr>
          <w:sz w:val="22"/>
          <w:szCs w:val="22"/>
        </w:rPr>
        <w:t xml:space="preserve"> </w:t>
      </w:r>
      <w:r w:rsidR="00596910" w:rsidRPr="00086F22">
        <w:rPr>
          <w:sz w:val="22"/>
          <w:szCs w:val="22"/>
        </w:rPr>
        <w:t xml:space="preserve">ubicado en la parroquia </w:t>
      </w:r>
      <w:proofErr w:type="spellStart"/>
      <w:r w:rsidR="009D5BD5">
        <w:rPr>
          <w:sz w:val="22"/>
          <w:szCs w:val="22"/>
        </w:rPr>
        <w:t>Puembo</w:t>
      </w:r>
      <w:proofErr w:type="spellEnd"/>
      <w:r w:rsidR="00596910" w:rsidRPr="00086F22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086F22">
        <w:rPr>
          <w:sz w:val="22"/>
          <w:szCs w:val="22"/>
        </w:rPr>
        <w:t>salvo que estos hayan sido inducidos a engaño o al error.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 xml:space="preserve">Los copropietarios del Asentamiento Humano de Hecho y Consolidado de Interés Social denominado </w:t>
      </w:r>
      <w:r w:rsidR="009D5BD5" w:rsidRPr="00182078">
        <w:rPr>
          <w:sz w:val="22"/>
          <w:szCs w:val="22"/>
        </w:rPr>
        <w:t xml:space="preserve">Chiche </w:t>
      </w:r>
      <w:r w:rsidR="009D5BD5">
        <w:rPr>
          <w:sz w:val="22"/>
          <w:szCs w:val="22"/>
        </w:rPr>
        <w:t>“S</w:t>
      </w:r>
      <w:r w:rsidR="009D5BD5" w:rsidRPr="00182078">
        <w:rPr>
          <w:sz w:val="22"/>
          <w:szCs w:val="22"/>
        </w:rPr>
        <w:t>ector Mendoza”</w:t>
      </w:r>
      <w:r w:rsidR="009D5BD5" w:rsidRPr="00182078">
        <w:rPr>
          <w:bCs/>
          <w:sz w:val="22"/>
          <w:szCs w:val="22"/>
        </w:rPr>
        <w:t>,</w:t>
      </w:r>
      <w:r w:rsidR="009D5BD5" w:rsidRPr="00182078">
        <w:rPr>
          <w:b/>
          <w:sz w:val="22"/>
          <w:szCs w:val="22"/>
        </w:rPr>
        <w:t xml:space="preserve"> </w:t>
      </w:r>
      <w:r w:rsidRPr="00086F22">
        <w:rPr>
          <w:sz w:val="22"/>
          <w:szCs w:val="22"/>
        </w:rPr>
        <w:t xml:space="preserve">ubicado en la parroquia </w:t>
      </w:r>
      <w:proofErr w:type="spellStart"/>
      <w:r w:rsidR="009D5BD5">
        <w:rPr>
          <w:sz w:val="22"/>
          <w:szCs w:val="22"/>
        </w:rPr>
        <w:t>Puembo</w:t>
      </w:r>
      <w:proofErr w:type="spellEnd"/>
      <w:r w:rsidRPr="00086F22">
        <w:rPr>
          <w:sz w:val="22"/>
          <w:szCs w:val="22"/>
        </w:rPr>
        <w:t>, se comprometen a respetar las características de los lotes establecidas en el Plano y en este instrumento; por tanto, no podrán fraccionarlos o dividirlos.</w:t>
      </w:r>
    </w:p>
    <w:p w:rsidR="00596910" w:rsidRPr="00086F22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lastRenderedPageBreak/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086F22" w:rsidRDefault="00335B5A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bCs/>
          <w:sz w:val="22"/>
          <w:szCs w:val="22"/>
        </w:rPr>
        <w:t>Artículo 3.- Declaratoria de Interés S</w:t>
      </w:r>
      <w:r w:rsidR="0024191F" w:rsidRPr="00086F22">
        <w:rPr>
          <w:b/>
          <w:bCs/>
          <w:sz w:val="22"/>
          <w:szCs w:val="22"/>
        </w:rPr>
        <w:t xml:space="preserve">ocial.- </w:t>
      </w:r>
      <w:r w:rsidR="0024191F" w:rsidRPr="00086F22">
        <w:rPr>
          <w:sz w:val="22"/>
          <w:szCs w:val="22"/>
        </w:rPr>
        <w:t>Por las condiciones del Asentamiento Humano de Hecho y Consolidado, s</w:t>
      </w:r>
      <w:r w:rsidRPr="00086F22">
        <w:rPr>
          <w:sz w:val="22"/>
          <w:szCs w:val="22"/>
        </w:rPr>
        <w:t>e lo aprueba considerándolo de Interés S</w:t>
      </w:r>
      <w:r w:rsidR="0024191F" w:rsidRPr="00086F22">
        <w:rPr>
          <w:sz w:val="22"/>
          <w:szCs w:val="22"/>
        </w:rPr>
        <w:t>ocial de conformidad con la normativa vigente.</w:t>
      </w:r>
    </w:p>
    <w:p w:rsidR="00BF5886" w:rsidRPr="00086F22" w:rsidRDefault="004C50AE" w:rsidP="00086F22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6F22">
        <w:rPr>
          <w:rFonts w:ascii="Times New Roman" w:hAnsi="Times New Roman" w:cs="Times New Roman"/>
          <w:color w:val="auto"/>
          <w:sz w:val="22"/>
          <w:szCs w:val="22"/>
        </w:rPr>
        <w:t xml:space="preserve">Artículo </w:t>
      </w:r>
      <w:r w:rsidR="0024191F" w:rsidRPr="00086F2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361728" w:rsidRPr="00086F22">
        <w:rPr>
          <w:rFonts w:ascii="Times New Roman" w:hAnsi="Times New Roman" w:cs="Times New Roman"/>
          <w:color w:val="auto"/>
          <w:sz w:val="22"/>
          <w:szCs w:val="22"/>
        </w:rPr>
        <w:t>.- Especificaciones técnicas.-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465"/>
        <w:gridCol w:w="3118"/>
      </w:tblGrid>
      <w:tr w:rsidR="00086F22" w:rsidRPr="00086F22" w:rsidTr="00882965">
        <w:trPr>
          <w:trHeight w:val="367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bCs/>
                <w:sz w:val="22"/>
                <w:szCs w:val="22"/>
                <w:lang w:val="es-EC" w:eastAsia="en-US"/>
              </w:rPr>
              <w:t>Predio Número: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5148538</w:t>
            </w:r>
          </w:p>
        </w:tc>
      </w:tr>
      <w:tr w:rsidR="00086F22" w:rsidRPr="00086F22" w:rsidTr="00882965">
        <w:trPr>
          <w:trHeight w:val="415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Zonificación actual: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A1(A602-50)</w:t>
            </w:r>
          </w:p>
        </w:tc>
      </w:tr>
      <w:tr w:rsidR="00086F22" w:rsidRPr="00086F22" w:rsidTr="00882965">
        <w:trPr>
          <w:trHeight w:val="422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Lote mínimo: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600m2</w:t>
            </w:r>
          </w:p>
        </w:tc>
      </w:tr>
      <w:tr w:rsidR="00086F22" w:rsidRPr="00086F22" w:rsidTr="007C7247">
        <w:trPr>
          <w:trHeight w:val="528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Forma ocupación del suelo: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(A) Aislada</w:t>
            </w:r>
          </w:p>
        </w:tc>
      </w:tr>
      <w:tr w:rsidR="00086F22" w:rsidRPr="00086F22" w:rsidTr="007C7247">
        <w:trPr>
          <w:trHeight w:val="533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Uso principal del suelo: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(ARU) Agrícola Residencial Urbano</w:t>
            </w:r>
            <w:r w:rsidRPr="00182078">
              <w:rPr>
                <w:b/>
                <w:sz w:val="22"/>
                <w:szCs w:val="22"/>
                <w:lang w:val="es-EC" w:eastAsia="en-US"/>
              </w:rPr>
              <w:t xml:space="preserve">    </w:t>
            </w:r>
          </w:p>
        </w:tc>
      </w:tr>
      <w:tr w:rsidR="00086F22" w:rsidRPr="00086F22" w:rsidTr="003956ED">
        <w:trPr>
          <w:trHeight w:val="103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086F22">
              <w:rPr>
                <w:b/>
                <w:sz w:val="22"/>
                <w:szCs w:val="22"/>
                <w:lang w:val="es-EC" w:eastAsia="en-US"/>
              </w:rPr>
              <w:t>Clasificación del Suelo: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(SU) Suelo Urbano</w:t>
            </w:r>
          </w:p>
        </w:tc>
      </w:tr>
      <w:tr w:rsidR="00086F22" w:rsidRPr="00086F22" w:rsidTr="003956ED">
        <w:trPr>
          <w:trHeight w:val="181"/>
        </w:trPr>
        <w:tc>
          <w:tcPr>
            <w:tcW w:w="4465" w:type="dxa"/>
          </w:tcPr>
          <w:p w:rsidR="00882965" w:rsidRPr="00086F22" w:rsidRDefault="00882965" w:rsidP="00086F22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>Número de lotes:</w:t>
            </w:r>
          </w:p>
        </w:tc>
        <w:tc>
          <w:tcPr>
            <w:tcW w:w="3118" w:type="dxa"/>
          </w:tcPr>
          <w:p w:rsidR="00882965" w:rsidRPr="009D5BD5" w:rsidRDefault="009D5BD5" w:rsidP="009D5BD5">
            <w:pPr>
              <w:spacing w:after="240" w:line="276" w:lineRule="auto"/>
              <w:ind w:left="4245" w:hanging="4245"/>
              <w:jc w:val="both"/>
              <w:rPr>
                <w:color w:val="000000" w:themeColor="text1"/>
                <w:sz w:val="22"/>
                <w:szCs w:val="22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086F22" w:rsidRPr="00086F22" w:rsidTr="00A7613E">
        <w:trPr>
          <w:trHeight w:val="384"/>
        </w:trPr>
        <w:tc>
          <w:tcPr>
            <w:tcW w:w="4465" w:type="dxa"/>
          </w:tcPr>
          <w:p w:rsidR="00882965" w:rsidRPr="00086F22" w:rsidRDefault="00882965" w:rsidP="00086F22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6F22">
              <w:rPr>
                <w:rFonts w:ascii="Times New Roman" w:hAnsi="Times New Roman" w:cs="Times New Roman"/>
                <w:sz w:val="22"/>
                <w:szCs w:val="22"/>
              </w:rPr>
              <w:t>Área útil de lotes: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272A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7.427,04</w:t>
            </w:r>
            <w:r w:rsidRPr="001820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m2</w:t>
            </w:r>
          </w:p>
        </w:tc>
      </w:tr>
      <w:tr w:rsidR="00086F22" w:rsidRPr="00086F22" w:rsidTr="00882965">
        <w:trPr>
          <w:trHeight w:val="413"/>
        </w:trPr>
        <w:tc>
          <w:tcPr>
            <w:tcW w:w="4465" w:type="dxa"/>
          </w:tcPr>
          <w:p w:rsidR="00882965" w:rsidRPr="00086F22" w:rsidRDefault="00882965" w:rsidP="00086F2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>Área de Afectación Vial (Lotes)</w:t>
            </w:r>
            <w:r w:rsidR="00D923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82078">
              <w:rPr>
                <w:color w:val="000000" w:themeColor="text1"/>
                <w:sz w:val="22"/>
                <w:szCs w:val="22"/>
              </w:rPr>
              <w:t>86.06</w:t>
            </w:r>
            <w:r w:rsidRPr="00182078">
              <w:rPr>
                <w:sz w:val="22"/>
                <w:szCs w:val="22"/>
              </w:rPr>
              <w:t xml:space="preserve"> m2</w:t>
            </w:r>
          </w:p>
        </w:tc>
      </w:tr>
      <w:tr w:rsidR="00086F22" w:rsidRPr="00086F22" w:rsidTr="00882965">
        <w:tc>
          <w:tcPr>
            <w:tcW w:w="4465" w:type="dxa"/>
          </w:tcPr>
          <w:p w:rsidR="00882965" w:rsidRPr="00086F22" w:rsidRDefault="00882965" w:rsidP="00086F2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 xml:space="preserve">Área de Afectación Vial </w:t>
            </w:r>
          </w:p>
          <w:p w:rsidR="00882965" w:rsidRPr="00086F22" w:rsidRDefault="00882965" w:rsidP="00086F2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86F22">
              <w:rPr>
                <w:b/>
                <w:sz w:val="22"/>
                <w:szCs w:val="22"/>
              </w:rPr>
              <w:t>(MACRO LOTE)</w:t>
            </w:r>
            <w:r w:rsidR="00D923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272A4">
              <w:rPr>
                <w:color w:val="000000" w:themeColor="text1"/>
                <w:sz w:val="22"/>
                <w:szCs w:val="22"/>
              </w:rPr>
              <w:t>1.356,76</w:t>
            </w:r>
            <w:r w:rsidRPr="00182078">
              <w:rPr>
                <w:sz w:val="22"/>
                <w:szCs w:val="22"/>
              </w:rPr>
              <w:t xml:space="preserve"> m2</w:t>
            </w:r>
          </w:p>
        </w:tc>
      </w:tr>
      <w:tr w:rsidR="00882965" w:rsidRPr="00086F22" w:rsidTr="00A7613E">
        <w:trPr>
          <w:trHeight w:val="360"/>
        </w:trPr>
        <w:tc>
          <w:tcPr>
            <w:tcW w:w="4465" w:type="dxa"/>
          </w:tcPr>
          <w:p w:rsidR="00882965" w:rsidRPr="00086F22" w:rsidRDefault="00882965" w:rsidP="00086F22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6F22">
              <w:rPr>
                <w:rFonts w:ascii="Times New Roman" w:hAnsi="Times New Roman" w:cs="Times New Roman"/>
                <w:sz w:val="22"/>
                <w:szCs w:val="22"/>
              </w:rPr>
              <w:t>Área bruta del  terreno  (Área Total)</w:t>
            </w:r>
            <w:r w:rsidRPr="00086F22">
              <w:rPr>
                <w:rFonts w:ascii="Times New Roman" w:hAnsi="Times New Roman" w:cs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882965" w:rsidRPr="00086F22" w:rsidRDefault="009D5BD5" w:rsidP="00086F22">
            <w:pPr>
              <w:pStyle w:val="Ttulo3"/>
              <w:spacing w:before="0" w:after="24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7A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8.869,86</w:t>
            </w:r>
            <w:r w:rsidRPr="00DD57AB">
              <w:rPr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</w:p>
        </w:tc>
      </w:tr>
    </w:tbl>
    <w:p w:rsidR="003956ED" w:rsidRDefault="003956ED" w:rsidP="003956ED">
      <w:pPr>
        <w:pStyle w:val="Textoindependiente"/>
        <w:spacing w:after="0" w:line="276" w:lineRule="auto"/>
        <w:jc w:val="both"/>
        <w:rPr>
          <w:sz w:val="22"/>
          <w:szCs w:val="22"/>
        </w:rPr>
      </w:pPr>
    </w:p>
    <w:p w:rsidR="0057335B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El número total de lotes</w:t>
      </w:r>
      <w:r w:rsidR="0024191F" w:rsidRPr="00086F22">
        <w:rPr>
          <w:sz w:val="22"/>
          <w:szCs w:val="22"/>
        </w:rPr>
        <w:t>,</w:t>
      </w:r>
      <w:r w:rsidR="00F14104" w:rsidRPr="00086F22">
        <w:rPr>
          <w:sz w:val="22"/>
          <w:szCs w:val="22"/>
        </w:rPr>
        <w:t xml:space="preserve"> producto del fraccionamiento</w:t>
      </w:r>
      <w:r w:rsidR="0024191F" w:rsidRPr="00086F22">
        <w:rPr>
          <w:sz w:val="22"/>
          <w:szCs w:val="22"/>
        </w:rPr>
        <w:t>,</w:t>
      </w:r>
      <w:r w:rsidRPr="00086F22">
        <w:rPr>
          <w:sz w:val="22"/>
          <w:szCs w:val="22"/>
        </w:rPr>
        <w:t xml:space="preserve"> </w:t>
      </w:r>
      <w:r w:rsidR="009D5BD5">
        <w:rPr>
          <w:sz w:val="22"/>
          <w:szCs w:val="22"/>
        </w:rPr>
        <w:t>es de 12, signados del uno (1) al doce (12</w:t>
      </w:r>
      <w:r w:rsidR="00C876E8" w:rsidRPr="00086F22">
        <w:rPr>
          <w:sz w:val="22"/>
          <w:szCs w:val="22"/>
        </w:rPr>
        <w:t xml:space="preserve">) </w:t>
      </w:r>
      <w:r w:rsidRPr="00086F22">
        <w:rPr>
          <w:sz w:val="22"/>
          <w:szCs w:val="22"/>
        </w:rPr>
        <w:t>cuyo detalle es el que consta en los planos aprobatorios que forman parte de la presente Ordenanza.</w:t>
      </w:r>
      <w:r w:rsidR="000B7E01" w:rsidRPr="00086F22">
        <w:rPr>
          <w:sz w:val="22"/>
          <w:szCs w:val="22"/>
        </w:rPr>
        <w:t xml:space="preserve"> </w:t>
      </w:r>
    </w:p>
    <w:p w:rsidR="00192470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 xml:space="preserve">Artículo </w:t>
      </w:r>
      <w:r w:rsidR="0024191F" w:rsidRPr="00086F22">
        <w:rPr>
          <w:b/>
          <w:sz w:val="22"/>
          <w:szCs w:val="22"/>
        </w:rPr>
        <w:t>5</w:t>
      </w:r>
      <w:r w:rsidRPr="00086F22">
        <w:rPr>
          <w:b/>
          <w:sz w:val="22"/>
          <w:szCs w:val="22"/>
        </w:rPr>
        <w:t>.- Zonificación de los lotes.-</w:t>
      </w:r>
      <w:r w:rsidRPr="00086F22">
        <w:rPr>
          <w:sz w:val="22"/>
          <w:szCs w:val="22"/>
        </w:rPr>
        <w:t xml:space="preserve"> </w:t>
      </w:r>
      <w:r w:rsidR="00192470" w:rsidRPr="00086F22">
        <w:rPr>
          <w:sz w:val="22"/>
          <w:szCs w:val="22"/>
        </w:rPr>
        <w:t xml:space="preserve">Los lotes fraccionados, </w:t>
      </w:r>
      <w:r w:rsidR="008E0C68">
        <w:rPr>
          <w:sz w:val="22"/>
          <w:szCs w:val="22"/>
        </w:rPr>
        <w:t>mantendrán</w:t>
      </w:r>
      <w:r w:rsidR="00192470" w:rsidRPr="00086F22">
        <w:rPr>
          <w:sz w:val="22"/>
          <w:szCs w:val="22"/>
        </w:rPr>
        <w:t xml:space="preserve"> la zonificación para los </w:t>
      </w:r>
      <w:r w:rsidR="00F96A77">
        <w:rPr>
          <w:sz w:val="22"/>
          <w:szCs w:val="22"/>
        </w:rPr>
        <w:t>12</w:t>
      </w:r>
      <w:r w:rsidR="00192470" w:rsidRPr="00086F22">
        <w:rPr>
          <w:sz w:val="22"/>
          <w:szCs w:val="22"/>
        </w:rPr>
        <w:t xml:space="preserve"> lotes, conforme se detalla a continuación: </w:t>
      </w:r>
      <w:proofErr w:type="gramStart"/>
      <w:r w:rsidR="00F96A77" w:rsidRPr="00182078">
        <w:rPr>
          <w:color w:val="000000" w:themeColor="text1"/>
          <w:sz w:val="22"/>
          <w:szCs w:val="22"/>
        </w:rPr>
        <w:t>A1(</w:t>
      </w:r>
      <w:proofErr w:type="gramEnd"/>
      <w:r w:rsidR="00F96A77" w:rsidRPr="00182078">
        <w:rPr>
          <w:color w:val="000000" w:themeColor="text1"/>
          <w:sz w:val="22"/>
          <w:szCs w:val="22"/>
        </w:rPr>
        <w:t>A602-50</w:t>
      </w:r>
      <w:r w:rsidR="00F96A77" w:rsidRPr="001272A4">
        <w:rPr>
          <w:color w:val="000000" w:themeColor="text1"/>
          <w:sz w:val="22"/>
          <w:szCs w:val="22"/>
        </w:rPr>
        <w:t>)</w:t>
      </w:r>
      <w:r w:rsidR="00F96A77" w:rsidRPr="001272A4">
        <w:rPr>
          <w:sz w:val="22"/>
          <w:szCs w:val="22"/>
        </w:rPr>
        <w:t xml:space="preserve">; </w:t>
      </w:r>
      <w:r w:rsidR="00F96A77" w:rsidRPr="001272A4">
        <w:rPr>
          <w:color w:val="000000" w:themeColor="text1"/>
          <w:sz w:val="22"/>
          <w:szCs w:val="22"/>
        </w:rPr>
        <w:t xml:space="preserve">Lote mínimo: 600m2; </w:t>
      </w:r>
      <w:r w:rsidR="00F96A77" w:rsidRPr="001272A4">
        <w:rPr>
          <w:sz w:val="22"/>
          <w:szCs w:val="22"/>
        </w:rPr>
        <w:t xml:space="preserve">Forma de Ocupación del Suelo </w:t>
      </w:r>
      <w:r w:rsidR="00F96A77" w:rsidRPr="001272A4">
        <w:rPr>
          <w:color w:val="000000" w:themeColor="text1"/>
          <w:sz w:val="22"/>
          <w:szCs w:val="22"/>
        </w:rPr>
        <w:t>(A) Aislada</w:t>
      </w:r>
      <w:r w:rsidR="00F96A77" w:rsidRPr="001272A4">
        <w:rPr>
          <w:sz w:val="22"/>
          <w:szCs w:val="22"/>
        </w:rPr>
        <w:t xml:space="preserve">; Uso Principal del Suelo  </w:t>
      </w:r>
      <w:r w:rsidR="00F96A77" w:rsidRPr="001272A4">
        <w:rPr>
          <w:color w:val="000000" w:themeColor="text1"/>
          <w:sz w:val="22"/>
          <w:szCs w:val="22"/>
        </w:rPr>
        <w:t>(A</w:t>
      </w:r>
      <w:r w:rsidR="00D9238F">
        <w:rPr>
          <w:color w:val="000000" w:themeColor="text1"/>
          <w:sz w:val="22"/>
          <w:szCs w:val="22"/>
        </w:rPr>
        <w:t>RU) Agrícola Residencial Urbano</w:t>
      </w:r>
      <w:r w:rsidR="00192470" w:rsidRPr="00086F22">
        <w:rPr>
          <w:sz w:val="22"/>
          <w:szCs w:val="22"/>
        </w:rPr>
        <w:t xml:space="preserve">; </w:t>
      </w:r>
      <w:r w:rsidR="006D3A42" w:rsidRPr="00086F22">
        <w:rPr>
          <w:sz w:val="22"/>
          <w:szCs w:val="22"/>
        </w:rPr>
        <w:t xml:space="preserve">Número de </w:t>
      </w:r>
      <w:r w:rsidR="006D3A42" w:rsidRPr="00D9238F">
        <w:rPr>
          <w:sz w:val="22"/>
          <w:szCs w:val="22"/>
        </w:rPr>
        <w:t>pisos</w:t>
      </w:r>
      <w:r w:rsidR="00D9238F">
        <w:rPr>
          <w:sz w:val="22"/>
          <w:szCs w:val="22"/>
        </w:rPr>
        <w:t xml:space="preserve"> 2</w:t>
      </w:r>
      <w:r w:rsidR="006D3A42" w:rsidRPr="00086F22">
        <w:rPr>
          <w:sz w:val="22"/>
          <w:szCs w:val="22"/>
        </w:rPr>
        <w:t>, COS pla</w:t>
      </w:r>
      <w:r w:rsidR="00D9238F">
        <w:rPr>
          <w:sz w:val="22"/>
          <w:szCs w:val="22"/>
        </w:rPr>
        <w:t>nta baja: 50%, COS total: 100</w:t>
      </w:r>
      <w:r w:rsidR="00F96A77">
        <w:rPr>
          <w:sz w:val="22"/>
          <w:szCs w:val="22"/>
        </w:rPr>
        <w:t>%.</w:t>
      </w:r>
    </w:p>
    <w:p w:rsidR="00192470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 xml:space="preserve">Artículo </w:t>
      </w:r>
      <w:r w:rsidR="0024191F" w:rsidRPr="00086F22">
        <w:rPr>
          <w:b/>
          <w:sz w:val="22"/>
          <w:szCs w:val="22"/>
        </w:rPr>
        <w:t>6</w:t>
      </w:r>
      <w:r w:rsidRPr="00086F22">
        <w:rPr>
          <w:b/>
          <w:sz w:val="22"/>
          <w:szCs w:val="22"/>
        </w:rPr>
        <w:t xml:space="preserve">.- Clasificación del Suelo.- </w:t>
      </w:r>
      <w:r w:rsidR="00192470" w:rsidRPr="00086F22">
        <w:rPr>
          <w:sz w:val="22"/>
          <w:szCs w:val="22"/>
        </w:rPr>
        <w:t>Los lotes fraccionados mantendrán la clasificación vigente esto es (SU) Suelo Urbano</w:t>
      </w:r>
      <w:r w:rsidR="00D9238F">
        <w:rPr>
          <w:sz w:val="22"/>
          <w:szCs w:val="22"/>
        </w:rPr>
        <w:t>.</w:t>
      </w:r>
    </w:p>
    <w:p w:rsidR="00F96A77" w:rsidRDefault="00387489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 xml:space="preserve">Artículo </w:t>
      </w:r>
      <w:r w:rsidR="0024191F" w:rsidRPr="00086F22">
        <w:rPr>
          <w:b/>
          <w:sz w:val="22"/>
          <w:szCs w:val="22"/>
        </w:rPr>
        <w:t>7</w:t>
      </w:r>
      <w:r w:rsidRPr="00086F22">
        <w:rPr>
          <w:b/>
          <w:sz w:val="22"/>
          <w:szCs w:val="22"/>
        </w:rPr>
        <w:t>.-</w:t>
      </w:r>
      <w:r w:rsidR="0024191F" w:rsidRPr="00086F22">
        <w:rPr>
          <w:b/>
          <w:sz w:val="22"/>
          <w:szCs w:val="22"/>
        </w:rPr>
        <w:t xml:space="preserve"> </w:t>
      </w:r>
      <w:r w:rsidRPr="00086F22">
        <w:rPr>
          <w:b/>
          <w:sz w:val="22"/>
          <w:szCs w:val="22"/>
        </w:rPr>
        <w:t xml:space="preserve">Lotes por excepción.- </w:t>
      </w:r>
      <w:r w:rsidR="006D3A42" w:rsidRPr="00086F22">
        <w:rPr>
          <w:sz w:val="22"/>
          <w:szCs w:val="22"/>
        </w:rPr>
        <w:t xml:space="preserve">Por tratarse de un asentamiento de hecho y consolidado de interés social, se aprueban por excepción, esto es, con aéreas inferiores a las mínimas establecidas en la zonificación </w:t>
      </w:r>
      <w:r w:rsidR="00321C5A" w:rsidRPr="00086F22">
        <w:rPr>
          <w:sz w:val="22"/>
          <w:szCs w:val="22"/>
        </w:rPr>
        <w:t>propuesta</w:t>
      </w:r>
      <w:r w:rsidR="006D3A42" w:rsidRPr="00086F22">
        <w:rPr>
          <w:sz w:val="22"/>
          <w:szCs w:val="22"/>
        </w:rPr>
        <w:t xml:space="preserve">, los lotes </w:t>
      </w:r>
      <w:r w:rsidR="00F96A77" w:rsidRPr="00182078">
        <w:rPr>
          <w:sz w:val="22"/>
          <w:szCs w:val="22"/>
        </w:rPr>
        <w:t>6, 7, 8, 9 y 10.</w:t>
      </w:r>
    </w:p>
    <w:p w:rsidR="006D3A42" w:rsidRPr="00086F22" w:rsidRDefault="00BF5886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b/>
          <w:sz w:val="22"/>
          <w:szCs w:val="22"/>
        </w:rPr>
        <w:t>Artículo 8</w:t>
      </w:r>
      <w:r w:rsidR="006D3A42" w:rsidRPr="00086F22">
        <w:rPr>
          <w:b/>
          <w:sz w:val="22"/>
          <w:szCs w:val="22"/>
        </w:rPr>
        <w:t>.- Exoneración del porcentaje del área verde y de equipamiento comunal</w:t>
      </w:r>
      <w:r w:rsidR="006D3A42" w:rsidRPr="00086F22">
        <w:rPr>
          <w:sz w:val="22"/>
          <w:szCs w:val="22"/>
        </w:rPr>
        <w:t xml:space="preserve">.- A los copropietarios del predio donde se encuentra el Asentamiento Humano de Hecho y Consolidado de Interés Social denominado </w:t>
      </w:r>
      <w:r w:rsidR="00F96A77">
        <w:rPr>
          <w:sz w:val="22"/>
          <w:szCs w:val="22"/>
        </w:rPr>
        <w:t>Chiche “Sector Mendoza”</w:t>
      </w:r>
      <w:r w:rsidR="00F96A77" w:rsidRPr="00182078">
        <w:rPr>
          <w:bCs/>
          <w:sz w:val="22"/>
          <w:szCs w:val="22"/>
        </w:rPr>
        <w:t xml:space="preserve">, </w:t>
      </w:r>
      <w:r w:rsidR="006D3A42" w:rsidRPr="00086F22">
        <w:rPr>
          <w:sz w:val="22"/>
          <w:szCs w:val="22"/>
        </w:rPr>
        <w:t xml:space="preserve">conforme a la normativa vigente se les </w:t>
      </w:r>
      <w:r w:rsidR="006D3A42" w:rsidRPr="00086F22">
        <w:rPr>
          <w:sz w:val="22"/>
          <w:szCs w:val="22"/>
        </w:rPr>
        <w:lastRenderedPageBreak/>
        <w:t>exonera el 15%</w:t>
      </w:r>
      <w:r w:rsidR="00D701A9" w:rsidRPr="00086F22">
        <w:rPr>
          <w:sz w:val="22"/>
          <w:szCs w:val="22"/>
        </w:rPr>
        <w:t xml:space="preserve"> como contribución</w:t>
      </w:r>
      <w:r w:rsidR="006D3A42" w:rsidRPr="00086F22">
        <w:rPr>
          <w:sz w:val="22"/>
          <w:szCs w:val="22"/>
        </w:rPr>
        <w:t xml:space="preserve"> del área verde, por ser considerado como un Asentamiento declarado de Interés Social. </w:t>
      </w:r>
    </w:p>
    <w:p w:rsidR="000F7FCF" w:rsidRPr="003956ED" w:rsidRDefault="00361728" w:rsidP="00D2730C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 w:rsidRPr="00086F22">
        <w:rPr>
          <w:b/>
          <w:sz w:val="22"/>
          <w:szCs w:val="22"/>
        </w:rPr>
        <w:t>Artí</w:t>
      </w:r>
      <w:r w:rsidR="007317A4" w:rsidRPr="00086F22">
        <w:rPr>
          <w:b/>
          <w:sz w:val="22"/>
          <w:szCs w:val="22"/>
        </w:rPr>
        <w:t>cu</w:t>
      </w:r>
      <w:r w:rsidRPr="00086F22">
        <w:rPr>
          <w:b/>
          <w:sz w:val="22"/>
          <w:szCs w:val="22"/>
        </w:rPr>
        <w:t xml:space="preserve">lo </w:t>
      </w:r>
      <w:r w:rsidR="00BF5886" w:rsidRPr="00086F22">
        <w:rPr>
          <w:b/>
          <w:sz w:val="22"/>
          <w:szCs w:val="22"/>
        </w:rPr>
        <w:t>9</w:t>
      </w:r>
      <w:r w:rsidRPr="00086F22">
        <w:rPr>
          <w:b/>
          <w:bCs/>
          <w:sz w:val="22"/>
          <w:szCs w:val="22"/>
        </w:rPr>
        <w:t xml:space="preserve">.- </w:t>
      </w:r>
      <w:r w:rsidR="0024191F" w:rsidRPr="00086F22">
        <w:rPr>
          <w:b/>
          <w:bCs/>
          <w:sz w:val="22"/>
          <w:szCs w:val="22"/>
        </w:rPr>
        <w:t>Calificación de Riesgos</w:t>
      </w:r>
      <w:r w:rsidR="00596910" w:rsidRPr="00086F22">
        <w:rPr>
          <w:b/>
          <w:bCs/>
          <w:sz w:val="22"/>
          <w:szCs w:val="22"/>
        </w:rPr>
        <w:t xml:space="preserve">.- </w:t>
      </w:r>
      <w:r w:rsidR="00596910" w:rsidRPr="00086F22">
        <w:rPr>
          <w:bCs/>
          <w:sz w:val="22"/>
          <w:szCs w:val="22"/>
        </w:rPr>
        <w:t xml:space="preserve"> </w:t>
      </w:r>
      <w:r w:rsidR="007E6037" w:rsidRPr="00086F22">
        <w:rPr>
          <w:sz w:val="22"/>
          <w:szCs w:val="22"/>
        </w:rPr>
        <w:t>El Asentamiento Humano de Hecho y Consolidado de Interés Social</w:t>
      </w:r>
      <w:r w:rsidR="007E6037" w:rsidRPr="00086F22">
        <w:rPr>
          <w:bCs/>
          <w:sz w:val="22"/>
          <w:szCs w:val="22"/>
        </w:rPr>
        <w:t xml:space="preserve"> denominado </w:t>
      </w:r>
      <w:r w:rsidR="00F96A77">
        <w:rPr>
          <w:sz w:val="22"/>
          <w:szCs w:val="22"/>
        </w:rPr>
        <w:t>Chiche “Sector Mendoza”</w:t>
      </w:r>
      <w:r w:rsidR="00F96A77" w:rsidRPr="00182078">
        <w:rPr>
          <w:bCs/>
          <w:sz w:val="22"/>
          <w:szCs w:val="22"/>
        </w:rPr>
        <w:t xml:space="preserve">, </w:t>
      </w:r>
      <w:r w:rsidR="007E6037" w:rsidRPr="00086F22">
        <w:rPr>
          <w:sz w:val="22"/>
          <w:szCs w:val="22"/>
        </w:rPr>
        <w:t xml:space="preserve">deberá cumplir y acatar las recomendaciones que se encuentran determinadas en el informe de la Dirección Metropolitana de Gestión de Riesgos </w:t>
      </w:r>
      <w:r w:rsidR="00192470" w:rsidRPr="00086F22">
        <w:rPr>
          <w:sz w:val="22"/>
          <w:szCs w:val="22"/>
        </w:rPr>
        <w:t xml:space="preserve">No. </w:t>
      </w:r>
      <w:r w:rsidR="00F96A77" w:rsidRPr="00182078">
        <w:rPr>
          <w:color w:val="000000" w:themeColor="text1"/>
          <w:sz w:val="22"/>
          <w:szCs w:val="22"/>
        </w:rPr>
        <w:t>No.210-AT-DMGR-20</w:t>
      </w:r>
      <w:r w:rsidR="00F96A77">
        <w:rPr>
          <w:color w:val="000000" w:themeColor="text1"/>
          <w:sz w:val="22"/>
          <w:szCs w:val="22"/>
        </w:rPr>
        <w:t>18, fecha  21 de agosto del 2018</w:t>
      </w:r>
      <w:r w:rsidR="007E6037" w:rsidRPr="00086F22">
        <w:rPr>
          <w:sz w:val="22"/>
          <w:szCs w:val="22"/>
        </w:rPr>
        <w:t>,</w:t>
      </w:r>
      <w:r w:rsidR="000F7FCF" w:rsidRPr="000F7FCF">
        <w:rPr>
          <w:sz w:val="22"/>
          <w:szCs w:val="22"/>
        </w:rPr>
        <w:t xml:space="preserve"> </w:t>
      </w:r>
      <w:r w:rsidR="000F7FCF" w:rsidRPr="00086F22">
        <w:rPr>
          <w:sz w:val="22"/>
          <w:szCs w:val="22"/>
        </w:rPr>
        <w:t xml:space="preserve">califica al </w:t>
      </w:r>
      <w:r w:rsidR="003956ED">
        <w:rPr>
          <w:sz w:val="22"/>
          <w:szCs w:val="22"/>
        </w:rPr>
        <w:t>“</w:t>
      </w:r>
      <w:r w:rsidR="000F7FCF" w:rsidRPr="003956ED">
        <w:rPr>
          <w:i/>
          <w:sz w:val="22"/>
          <w:szCs w:val="22"/>
        </w:rPr>
        <w:t>AHHYC Chiche “Sector Mendoza”</w:t>
      </w:r>
      <w:r w:rsidR="000F7FCF" w:rsidRPr="003956ED">
        <w:rPr>
          <w:bCs/>
          <w:i/>
          <w:sz w:val="22"/>
          <w:szCs w:val="22"/>
        </w:rPr>
        <w:t>,</w:t>
      </w:r>
      <w:r w:rsidR="000F7FCF" w:rsidRPr="003956ED">
        <w:rPr>
          <w:i/>
          <w:sz w:val="22"/>
          <w:szCs w:val="22"/>
        </w:rPr>
        <w:t xml:space="preserve"> en general presenta un </w:t>
      </w:r>
      <w:r w:rsidR="000F7FCF" w:rsidRPr="003956ED">
        <w:rPr>
          <w:b/>
          <w:i/>
          <w:sz w:val="22"/>
          <w:szCs w:val="22"/>
        </w:rPr>
        <w:t xml:space="preserve">Riesgo Bajo </w:t>
      </w:r>
      <w:r w:rsidR="000F7FCF" w:rsidRPr="003956ED">
        <w:rPr>
          <w:i/>
          <w:sz w:val="22"/>
          <w:szCs w:val="22"/>
        </w:rPr>
        <w:t>para los lotes expuestos.</w:t>
      </w:r>
      <w:r w:rsidR="003956ED">
        <w:rPr>
          <w:i/>
          <w:sz w:val="22"/>
          <w:szCs w:val="22"/>
        </w:rPr>
        <w:t>”</w:t>
      </w:r>
      <w:r w:rsidR="00C5601A" w:rsidRPr="003956ED">
        <w:rPr>
          <w:i/>
          <w:sz w:val="22"/>
          <w:szCs w:val="22"/>
        </w:rPr>
        <w:t xml:space="preserve"> </w:t>
      </w:r>
    </w:p>
    <w:p w:rsidR="00D9238F" w:rsidRDefault="00D2730C" w:rsidP="00D2730C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>Oficio Nro. GADDMQ-SGSG-DMGR-2019-</w:t>
      </w:r>
      <w:r>
        <w:rPr>
          <w:sz w:val="22"/>
          <w:szCs w:val="22"/>
        </w:rPr>
        <w:t>0711</w:t>
      </w:r>
      <w:r w:rsidRPr="00086F22">
        <w:rPr>
          <w:sz w:val="22"/>
          <w:szCs w:val="22"/>
        </w:rPr>
        <w:t xml:space="preserve">-OF, de fecha </w:t>
      </w:r>
      <w:r>
        <w:rPr>
          <w:sz w:val="22"/>
          <w:szCs w:val="22"/>
        </w:rPr>
        <w:t>11</w:t>
      </w:r>
      <w:r w:rsidRPr="00086F22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672D44">
        <w:rPr>
          <w:sz w:val="22"/>
          <w:szCs w:val="22"/>
        </w:rPr>
        <w:t>“</w:t>
      </w:r>
      <w:r w:rsidR="00D9238F" w:rsidRPr="00672D44">
        <w:rPr>
          <w:i/>
          <w:sz w:val="22"/>
          <w:szCs w:val="22"/>
        </w:rPr>
        <w:t>se ratifica en la calificación del nivel del riesgo frente a movimientos en masa, indicando que el</w:t>
      </w:r>
      <w:r w:rsidR="00D9238F" w:rsidRPr="00672D44">
        <w:rPr>
          <w:b/>
          <w:i/>
          <w:sz w:val="22"/>
          <w:szCs w:val="22"/>
        </w:rPr>
        <w:t xml:space="preserve"> </w:t>
      </w:r>
      <w:r w:rsidR="00D9238F" w:rsidRPr="00672D44">
        <w:rPr>
          <w:i/>
          <w:sz w:val="22"/>
          <w:szCs w:val="22"/>
        </w:rPr>
        <w:t>AHHYC Chiche “Sector Mendoza”</w:t>
      </w:r>
      <w:r w:rsidR="00D9238F" w:rsidRPr="00672D44">
        <w:rPr>
          <w:bCs/>
          <w:i/>
          <w:sz w:val="22"/>
          <w:szCs w:val="22"/>
        </w:rPr>
        <w:t>,</w:t>
      </w:r>
      <w:r w:rsidR="00D9238F" w:rsidRPr="00672D44">
        <w:rPr>
          <w:b/>
          <w:i/>
          <w:sz w:val="22"/>
          <w:szCs w:val="22"/>
        </w:rPr>
        <w:t xml:space="preserve"> </w:t>
      </w:r>
      <w:r w:rsidR="00D9238F" w:rsidRPr="00672D44">
        <w:rPr>
          <w:i/>
          <w:sz w:val="22"/>
          <w:szCs w:val="22"/>
        </w:rPr>
        <w:t xml:space="preserve"> en general presenta un Riesgo Bajo, sin embargo se debe rectificar indicando que el nivel de Riesgo es Mitigable, en tal virtud y con las observaciones realizadas, La Dirección Metropolitana de Gestión de Riesgos indica que todos los</w:t>
      </w:r>
      <w:r w:rsidR="00D9238F" w:rsidRPr="00086F22">
        <w:rPr>
          <w:sz w:val="22"/>
          <w:szCs w:val="22"/>
        </w:rPr>
        <w:t xml:space="preserve"> </w:t>
      </w:r>
      <w:r w:rsidR="00D9238F" w:rsidRPr="00672D44">
        <w:rPr>
          <w:i/>
          <w:sz w:val="22"/>
          <w:szCs w:val="22"/>
        </w:rPr>
        <w:t xml:space="preserve">lotes del AHHYC Chiche “Sector Mendoza”, tienen una calificación de </w:t>
      </w:r>
      <w:r w:rsidR="00D9238F" w:rsidRPr="00672D44">
        <w:rPr>
          <w:b/>
          <w:i/>
          <w:sz w:val="22"/>
          <w:szCs w:val="22"/>
        </w:rPr>
        <w:t>Riesgo Bajo Mitigable.</w:t>
      </w:r>
      <w:r w:rsidR="00672D44" w:rsidRPr="00672D44">
        <w:rPr>
          <w:b/>
          <w:i/>
          <w:sz w:val="22"/>
          <w:szCs w:val="22"/>
        </w:rPr>
        <w:t>”</w:t>
      </w:r>
    </w:p>
    <w:p w:rsidR="00BA5B5A" w:rsidRPr="00672D44" w:rsidRDefault="00672D44" w:rsidP="00BA5B5A">
      <w:pPr>
        <w:pStyle w:val="Textoindependiente"/>
        <w:spacing w:line="276" w:lineRule="auto"/>
        <w:jc w:val="both"/>
        <w:rPr>
          <w:i/>
          <w:sz w:val="22"/>
          <w:szCs w:val="22"/>
        </w:rPr>
      </w:pPr>
      <w:r w:rsidRPr="00672D44">
        <w:rPr>
          <w:i/>
          <w:sz w:val="22"/>
          <w:szCs w:val="22"/>
        </w:rPr>
        <w:t>Finalmente solicitarle que el articulado referente a la realización del estudio y cronograma de obras de mitigación no sea incluido en el cuerpo de la Ordenanza de regularización de AHHYC debido a las condiciones de consolidación y físicas obse</w:t>
      </w:r>
      <w:r>
        <w:rPr>
          <w:i/>
          <w:sz w:val="22"/>
          <w:szCs w:val="22"/>
        </w:rPr>
        <w:t>rvadas en el a</w:t>
      </w:r>
      <w:r w:rsidRPr="00672D44">
        <w:rPr>
          <w:i/>
          <w:sz w:val="22"/>
          <w:szCs w:val="22"/>
        </w:rPr>
        <w:t>sentamiento</w:t>
      </w:r>
      <w:r>
        <w:rPr>
          <w:i/>
          <w:sz w:val="22"/>
          <w:szCs w:val="22"/>
        </w:rPr>
        <w:t>”</w:t>
      </w:r>
      <w:r w:rsidRPr="00672D44">
        <w:rPr>
          <w:i/>
          <w:sz w:val="22"/>
          <w:szCs w:val="22"/>
        </w:rPr>
        <w:t>.</w:t>
      </w:r>
    </w:p>
    <w:p w:rsidR="00361728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bCs/>
          <w:sz w:val="22"/>
          <w:szCs w:val="22"/>
        </w:rPr>
        <w:t>Artículo</w:t>
      </w:r>
      <w:r w:rsidRPr="00086F22">
        <w:rPr>
          <w:b/>
          <w:bCs/>
          <w:sz w:val="22"/>
          <w:szCs w:val="22"/>
          <w:lang w:val="es-ES_tradnl"/>
        </w:rPr>
        <w:t xml:space="preserve"> 1</w:t>
      </w:r>
      <w:r w:rsidR="00D2730C">
        <w:rPr>
          <w:b/>
          <w:bCs/>
          <w:sz w:val="22"/>
          <w:szCs w:val="22"/>
          <w:lang w:val="es-ES_tradnl"/>
        </w:rPr>
        <w:t>0</w:t>
      </w:r>
      <w:r w:rsidRPr="00086F22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086F22">
        <w:rPr>
          <w:b/>
          <w:bCs/>
          <w:sz w:val="22"/>
          <w:szCs w:val="22"/>
          <w:lang w:val="es-ES_tradnl"/>
        </w:rPr>
        <w:t>Ordenanza. -</w:t>
      </w:r>
      <w:r w:rsidRPr="00086F22">
        <w:rPr>
          <w:b/>
          <w:bCs/>
          <w:sz w:val="22"/>
          <w:szCs w:val="22"/>
          <w:lang w:val="es-ES_tradnl"/>
        </w:rPr>
        <w:t xml:space="preserve">  </w:t>
      </w:r>
      <w:r w:rsidRPr="00086F22">
        <w:rPr>
          <w:sz w:val="22"/>
          <w:szCs w:val="22"/>
          <w:lang w:val="es-EC"/>
        </w:rPr>
        <w:t xml:space="preserve">Los copropietarios del predio del </w:t>
      </w:r>
      <w:r w:rsidR="00BE4CA3" w:rsidRPr="00086F22">
        <w:rPr>
          <w:sz w:val="22"/>
          <w:szCs w:val="22"/>
        </w:rPr>
        <w:t xml:space="preserve">Asentamiento Humano de Hecho y Consolidado de </w:t>
      </w:r>
      <w:r w:rsidR="00CC33DF" w:rsidRPr="00086F22">
        <w:rPr>
          <w:sz w:val="22"/>
          <w:szCs w:val="22"/>
        </w:rPr>
        <w:t>I</w:t>
      </w:r>
      <w:r w:rsidR="00BE4CA3" w:rsidRPr="00086F22">
        <w:rPr>
          <w:sz w:val="22"/>
          <w:szCs w:val="22"/>
        </w:rPr>
        <w:t>nterés</w:t>
      </w:r>
      <w:r w:rsidR="00BE4CA3" w:rsidRPr="00086F22">
        <w:rPr>
          <w:bCs/>
          <w:sz w:val="22"/>
          <w:szCs w:val="22"/>
        </w:rPr>
        <w:t xml:space="preserve"> </w:t>
      </w:r>
      <w:r w:rsidR="00CC33DF" w:rsidRPr="00086F22">
        <w:rPr>
          <w:bCs/>
          <w:sz w:val="22"/>
          <w:szCs w:val="22"/>
        </w:rPr>
        <w:t>S</w:t>
      </w:r>
      <w:r w:rsidR="00922C0D" w:rsidRPr="00086F22">
        <w:rPr>
          <w:bCs/>
          <w:sz w:val="22"/>
          <w:szCs w:val="22"/>
        </w:rPr>
        <w:t>ocial</w:t>
      </w:r>
      <w:r w:rsidR="007E6037" w:rsidRPr="00086F22">
        <w:rPr>
          <w:bCs/>
          <w:sz w:val="22"/>
          <w:szCs w:val="22"/>
        </w:rPr>
        <w:t xml:space="preserve"> denominado</w:t>
      </w:r>
      <w:r w:rsidR="00922C0D" w:rsidRPr="00086F22">
        <w:rPr>
          <w:bCs/>
          <w:sz w:val="22"/>
          <w:szCs w:val="22"/>
        </w:rPr>
        <w:t xml:space="preserve"> </w:t>
      </w:r>
      <w:r w:rsidR="00F96A77">
        <w:rPr>
          <w:sz w:val="22"/>
          <w:szCs w:val="22"/>
        </w:rPr>
        <w:t>Chiche “Sector Mendoza”</w:t>
      </w:r>
      <w:r w:rsidR="00F96A77" w:rsidRPr="00182078">
        <w:rPr>
          <w:bCs/>
          <w:sz w:val="22"/>
          <w:szCs w:val="22"/>
        </w:rPr>
        <w:t xml:space="preserve">, </w:t>
      </w:r>
      <w:r w:rsidR="00D61E64" w:rsidRPr="00086F22">
        <w:rPr>
          <w:bCs/>
          <w:sz w:val="22"/>
          <w:szCs w:val="22"/>
        </w:rPr>
        <w:t xml:space="preserve"> </w:t>
      </w:r>
      <w:r w:rsidR="00C94AA7" w:rsidRPr="00086F22">
        <w:rPr>
          <w:sz w:val="22"/>
          <w:szCs w:val="22"/>
          <w:lang w:val="es-ES_tradnl"/>
        </w:rPr>
        <w:t>deberán</w:t>
      </w:r>
      <w:r w:rsidRPr="00086F22">
        <w:rPr>
          <w:sz w:val="22"/>
          <w:szCs w:val="22"/>
          <w:lang w:val="es-ES_tradnl"/>
        </w:rPr>
        <w:t xml:space="preserve"> </w:t>
      </w:r>
      <w:r w:rsidRPr="00086F22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086F22">
        <w:rPr>
          <w:sz w:val="22"/>
          <w:szCs w:val="22"/>
          <w:lang w:val="es-ES_tradnl"/>
        </w:rPr>
        <w:t xml:space="preserve">con todos sus documentos </w:t>
      </w:r>
      <w:r w:rsidR="003A2B74" w:rsidRPr="00086F22">
        <w:rPr>
          <w:sz w:val="22"/>
          <w:szCs w:val="22"/>
          <w:lang w:val="es-ES_tradnl"/>
        </w:rPr>
        <w:t>habilitantes</w:t>
      </w:r>
      <w:r w:rsidR="003A2B74" w:rsidRPr="00086F22">
        <w:rPr>
          <w:sz w:val="22"/>
          <w:szCs w:val="22"/>
          <w:lang w:val="es-EC"/>
        </w:rPr>
        <w:t>;</w:t>
      </w:r>
      <w:r w:rsidR="00BE22D3" w:rsidRPr="00086F22">
        <w:rPr>
          <w:sz w:val="22"/>
          <w:szCs w:val="22"/>
          <w:lang w:val="es-ES_tradnl"/>
        </w:rPr>
        <w:t xml:space="preserve"> </w:t>
      </w:r>
    </w:p>
    <w:p w:rsidR="005F405A" w:rsidRPr="00086F22" w:rsidRDefault="003F5AD0" w:rsidP="00086F22">
      <w:pPr>
        <w:pStyle w:val="Textoindependiente"/>
        <w:spacing w:line="276" w:lineRule="auto"/>
        <w:jc w:val="both"/>
        <w:rPr>
          <w:rFonts w:eastAsiaTheme="minorHAnsi"/>
          <w:sz w:val="22"/>
          <w:szCs w:val="22"/>
          <w:lang w:val="es-EC" w:eastAsia="en-US"/>
        </w:rPr>
      </w:pPr>
      <w:r w:rsidRPr="00086F22">
        <w:rPr>
          <w:sz w:val="22"/>
          <w:szCs w:val="22"/>
          <w:lang w:val="es-ES_tradnl"/>
        </w:rPr>
        <w:t xml:space="preserve">En caso de no legalizar la presente ordenanza, ésta caducará en el plazo de tres (03) años de conformidad con lo dispuesto en el artículo </w:t>
      </w:r>
      <w:r w:rsidRPr="00086F22">
        <w:rPr>
          <w:rFonts w:eastAsiaTheme="minorHAnsi"/>
          <w:sz w:val="22"/>
          <w:szCs w:val="22"/>
          <w:lang w:val="es-EC" w:eastAsia="en-US"/>
        </w:rPr>
        <w:t xml:space="preserve">IV.7.64 de la Ordenanza </w:t>
      </w:r>
      <w:r w:rsidR="00D701A9" w:rsidRPr="00086F22">
        <w:rPr>
          <w:rFonts w:eastAsiaTheme="minorHAnsi"/>
          <w:sz w:val="22"/>
          <w:szCs w:val="22"/>
          <w:lang w:val="es-EC" w:eastAsia="en-US"/>
        </w:rPr>
        <w:t>No. 001 de 29 de marzo de 2019.</w:t>
      </w:r>
    </w:p>
    <w:p w:rsidR="00361728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</w:p>
    <w:p w:rsidR="009E010D" w:rsidRPr="00086F22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>Artículo 1</w:t>
      </w:r>
      <w:r w:rsidR="00D2730C">
        <w:rPr>
          <w:b/>
          <w:sz w:val="22"/>
          <w:szCs w:val="22"/>
          <w:lang w:val="es-ES_tradnl"/>
        </w:rPr>
        <w:t>1</w:t>
      </w:r>
      <w:r w:rsidRPr="00086F22">
        <w:rPr>
          <w:b/>
          <w:sz w:val="22"/>
          <w:szCs w:val="22"/>
          <w:lang w:val="es-ES_tradnl"/>
        </w:rPr>
        <w:t>.- De la partición y adjudicación.-</w:t>
      </w:r>
      <w:r w:rsidRPr="00086F22">
        <w:rPr>
          <w:sz w:val="22"/>
          <w:szCs w:val="22"/>
          <w:lang w:val="es-ES_tradnl"/>
        </w:rPr>
        <w:t xml:space="preserve"> </w:t>
      </w:r>
      <w:r w:rsidR="005F405A" w:rsidRPr="00086F22">
        <w:rPr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 </w:t>
      </w:r>
      <w:r w:rsidRPr="00086F22">
        <w:rPr>
          <w:sz w:val="22"/>
          <w:szCs w:val="22"/>
          <w:lang w:val="es-ES_tradnl"/>
        </w:rPr>
        <w:t xml:space="preserve"> </w:t>
      </w:r>
    </w:p>
    <w:p w:rsidR="005F405A" w:rsidRPr="00086F22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Artículo </w:t>
      </w:r>
      <w:r w:rsidR="00A16448" w:rsidRPr="00086F22">
        <w:rPr>
          <w:b/>
          <w:sz w:val="22"/>
          <w:szCs w:val="22"/>
          <w:lang w:val="es-ES_tradnl"/>
        </w:rPr>
        <w:t>1</w:t>
      </w:r>
      <w:r w:rsidR="00D2730C">
        <w:rPr>
          <w:b/>
          <w:sz w:val="22"/>
          <w:szCs w:val="22"/>
          <w:lang w:val="es-ES_tradnl"/>
        </w:rPr>
        <w:t>2</w:t>
      </w:r>
      <w:r w:rsidR="00361728" w:rsidRPr="00086F22">
        <w:rPr>
          <w:b/>
          <w:sz w:val="22"/>
          <w:szCs w:val="22"/>
          <w:lang w:val="es-ES_tradnl"/>
        </w:rPr>
        <w:t>.- Potestad de ejecución.-</w:t>
      </w:r>
      <w:r w:rsidR="00361728" w:rsidRPr="00086F22">
        <w:rPr>
          <w:sz w:val="22"/>
          <w:szCs w:val="22"/>
          <w:lang w:val="es-ES_tradnl"/>
        </w:rPr>
        <w:t xml:space="preserve"> </w:t>
      </w:r>
      <w:r w:rsidRPr="00086F22">
        <w:rPr>
          <w:sz w:val="22"/>
          <w:szCs w:val="22"/>
          <w:lang w:val="es-ES_tradnl"/>
        </w:rPr>
        <w:t xml:space="preserve">Para el fiel cumplimiento de las disposiciones de esta Ordenanza, y en caso de que no se hayan cumplido los plazos establecidos, se podrá solicitar el auxilio de la Policía Nacional o ejecutar en forma subsidiaria, los actos que el obligado no hubiere </w:t>
      </w:r>
      <w:r w:rsidRPr="00086F22">
        <w:rPr>
          <w:sz w:val="22"/>
          <w:szCs w:val="22"/>
          <w:lang w:val="es-ES_tradnl"/>
        </w:rPr>
        <w:lastRenderedPageBreak/>
        <w:t>cumplido, a costa de estos. En este evento, se podrá recuperar los valores invertidos por la vía coactiva, con un recargo del veinte por ciento (20%) más los intereses correspondientes.</w:t>
      </w:r>
      <w:r w:rsidRPr="00086F22">
        <w:rPr>
          <w:b/>
          <w:sz w:val="22"/>
          <w:szCs w:val="22"/>
          <w:lang w:val="es-ES_tradnl"/>
        </w:rPr>
        <w:t xml:space="preserve"> </w:t>
      </w:r>
    </w:p>
    <w:p w:rsidR="005F405A" w:rsidRPr="00086F22" w:rsidRDefault="005F405A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086F22">
        <w:rPr>
          <w:rFonts w:ascii="Times New Roman" w:hAnsi="Times New Roman" w:cs="Times New Roman"/>
          <w:sz w:val="22"/>
          <w:szCs w:val="22"/>
          <w:lang w:val="es-ES_tradnl"/>
        </w:rPr>
        <w:t>Disposiciones Generales</w:t>
      </w:r>
    </w:p>
    <w:p w:rsidR="00086F22" w:rsidRPr="00086F22" w:rsidRDefault="00086F22" w:rsidP="00086F22">
      <w:pPr>
        <w:rPr>
          <w:sz w:val="22"/>
          <w:szCs w:val="22"/>
          <w:lang w:val="es-ES_tradnl"/>
        </w:rPr>
      </w:pPr>
    </w:p>
    <w:p w:rsidR="005F405A" w:rsidRPr="00086F22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Primera.- </w:t>
      </w:r>
      <w:r w:rsidRPr="00086F22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086F22">
        <w:rPr>
          <w:b/>
          <w:sz w:val="22"/>
          <w:szCs w:val="22"/>
          <w:lang w:val="es-ES_tradnl"/>
        </w:rPr>
        <w:t>.</w:t>
      </w:r>
    </w:p>
    <w:p w:rsidR="005F405A" w:rsidRPr="00086F22" w:rsidRDefault="005F405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Segunda.-  </w:t>
      </w:r>
      <w:r w:rsidRPr="00086F22">
        <w:rPr>
          <w:sz w:val="22"/>
          <w:szCs w:val="22"/>
          <w:lang w:val="es-ES_tradnl"/>
        </w:rPr>
        <w:t>De acuerdo al Oficio No</w:t>
      </w:r>
      <w:r w:rsidR="00335B5A" w:rsidRPr="00086F22">
        <w:rPr>
          <w:sz w:val="22"/>
          <w:szCs w:val="22"/>
          <w:lang w:val="es-ES_tradnl"/>
        </w:rPr>
        <w:t xml:space="preserve"> </w:t>
      </w:r>
      <w:r w:rsidR="00C5601A" w:rsidRPr="00086F22">
        <w:rPr>
          <w:sz w:val="22"/>
          <w:szCs w:val="22"/>
        </w:rPr>
        <w:t>GADDMQ-SGSG-DMGR-2019-</w:t>
      </w:r>
      <w:r w:rsidR="00672D44">
        <w:rPr>
          <w:sz w:val="22"/>
          <w:szCs w:val="22"/>
        </w:rPr>
        <w:t>0711</w:t>
      </w:r>
      <w:r w:rsidR="00C5601A" w:rsidRPr="00086F22">
        <w:rPr>
          <w:sz w:val="22"/>
          <w:szCs w:val="22"/>
        </w:rPr>
        <w:t xml:space="preserve">-OF, de fecha </w:t>
      </w:r>
      <w:r w:rsidR="00672D44">
        <w:rPr>
          <w:sz w:val="22"/>
          <w:szCs w:val="22"/>
        </w:rPr>
        <w:t>11</w:t>
      </w:r>
      <w:r w:rsidR="00C5601A" w:rsidRPr="00086F22">
        <w:rPr>
          <w:sz w:val="22"/>
          <w:szCs w:val="22"/>
        </w:rPr>
        <w:t xml:space="preserve"> de </w:t>
      </w:r>
      <w:r w:rsidR="003663CF" w:rsidRPr="00086F22">
        <w:rPr>
          <w:sz w:val="22"/>
          <w:szCs w:val="22"/>
        </w:rPr>
        <w:t>Septiembre</w:t>
      </w:r>
      <w:r w:rsidR="00C5601A" w:rsidRPr="00086F22">
        <w:rPr>
          <w:sz w:val="22"/>
          <w:szCs w:val="22"/>
        </w:rPr>
        <w:t xml:space="preserve"> de 2019, </w:t>
      </w:r>
      <w:r w:rsidR="00032D16" w:rsidRPr="00086F22">
        <w:rPr>
          <w:sz w:val="22"/>
          <w:szCs w:val="22"/>
          <w:lang w:val="es-ES_tradnl"/>
        </w:rPr>
        <w:t>los copropietarios del A</w:t>
      </w:r>
      <w:r w:rsidRPr="00086F22">
        <w:rPr>
          <w:sz w:val="22"/>
          <w:szCs w:val="22"/>
          <w:lang w:val="es-ES_tradnl"/>
        </w:rPr>
        <w:t>sentamiento deberán cumpl</w:t>
      </w:r>
      <w:r w:rsidR="00E10CE6">
        <w:rPr>
          <w:sz w:val="22"/>
          <w:szCs w:val="22"/>
          <w:lang w:val="es-ES_tradnl"/>
        </w:rPr>
        <w:t xml:space="preserve">ir las siguientes disposiciones, además de las recomendaciones generales y normativa legal vigente contenida en este mismo oficio y en el informe </w:t>
      </w:r>
      <w:r w:rsidR="00E10CE6" w:rsidRPr="00086F22">
        <w:rPr>
          <w:sz w:val="22"/>
          <w:szCs w:val="22"/>
        </w:rPr>
        <w:t xml:space="preserve">No. </w:t>
      </w:r>
      <w:r w:rsidR="00E10CE6" w:rsidRPr="00182078">
        <w:rPr>
          <w:color w:val="000000" w:themeColor="text1"/>
          <w:sz w:val="22"/>
          <w:szCs w:val="22"/>
        </w:rPr>
        <w:t>No.210-AT-DMGR-20</w:t>
      </w:r>
      <w:r w:rsidR="00E10CE6">
        <w:rPr>
          <w:color w:val="000000" w:themeColor="text1"/>
          <w:sz w:val="22"/>
          <w:szCs w:val="22"/>
        </w:rPr>
        <w:t>18 de  21 de agosto del 2018.</w:t>
      </w:r>
      <w:r w:rsidR="00E10CE6">
        <w:rPr>
          <w:sz w:val="22"/>
          <w:szCs w:val="22"/>
          <w:lang w:val="es-ES_tradnl"/>
        </w:rPr>
        <w:t xml:space="preserve"> </w:t>
      </w:r>
    </w:p>
    <w:p w:rsidR="003663CF" w:rsidRPr="00086F22" w:rsidRDefault="00C5601A" w:rsidP="00E10CE6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 xml:space="preserve">Se dispone </w:t>
      </w:r>
      <w:r w:rsidR="003663CF" w:rsidRPr="00086F22">
        <w:rPr>
          <w:sz w:val="22"/>
          <w:szCs w:val="22"/>
          <w:lang w:val="es-ES_tradnl"/>
        </w:rPr>
        <w:t>que los propietarios / posesionarios de los lotes de “</w:t>
      </w:r>
      <w:r w:rsidR="00F96A77">
        <w:rPr>
          <w:sz w:val="22"/>
          <w:szCs w:val="22"/>
        </w:rPr>
        <w:t>Chiche “Sector Mendoza”</w:t>
      </w:r>
      <w:r w:rsidR="00F96A77" w:rsidRPr="00182078">
        <w:rPr>
          <w:bCs/>
          <w:sz w:val="22"/>
          <w:szCs w:val="22"/>
        </w:rPr>
        <w:t xml:space="preserve">, </w:t>
      </w:r>
      <w:r w:rsidR="003663CF" w:rsidRPr="00086F22">
        <w:rPr>
          <w:sz w:val="22"/>
          <w:szCs w:val="22"/>
          <w:lang w:val="es-ES_tradnl"/>
        </w:rPr>
        <w:t>no deben realizar excavaciones en el terreno (desbanques de tierra) hasta que culmine el proceso de regularizaci</w:t>
      </w:r>
      <w:r w:rsidR="00455836" w:rsidRPr="00086F22">
        <w:rPr>
          <w:sz w:val="22"/>
          <w:szCs w:val="22"/>
          <w:lang w:val="es-ES_tradnl"/>
        </w:rPr>
        <w:t>ón y se establez</w:t>
      </w:r>
      <w:r w:rsidR="003663CF" w:rsidRPr="00086F22">
        <w:rPr>
          <w:sz w:val="22"/>
          <w:szCs w:val="22"/>
          <w:lang w:val="es-ES_tradnl"/>
        </w:rPr>
        <w:t>ca su normativa de edificabilidad específica.</w:t>
      </w:r>
    </w:p>
    <w:p w:rsidR="00A90817" w:rsidRPr="00086F22" w:rsidRDefault="00A90817" w:rsidP="00E10CE6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sz w:val="22"/>
          <w:szCs w:val="22"/>
          <w:lang w:val="es-ES_tradnl"/>
        </w:rPr>
        <w:t>La Unidad</w:t>
      </w:r>
      <w:r w:rsidR="000E3F3B" w:rsidRPr="00086F22">
        <w:rPr>
          <w:sz w:val="22"/>
          <w:szCs w:val="22"/>
          <w:lang w:val="es-ES_tradnl"/>
        </w:rPr>
        <w:t xml:space="preserve"> </w:t>
      </w:r>
      <w:r w:rsidR="00672D44">
        <w:rPr>
          <w:sz w:val="22"/>
          <w:szCs w:val="22"/>
          <w:lang w:val="es-ES_tradnl"/>
        </w:rPr>
        <w:t xml:space="preserve">Especial </w:t>
      </w:r>
      <w:r w:rsidR="000E3F3B" w:rsidRPr="00086F22">
        <w:rPr>
          <w:sz w:val="22"/>
          <w:szCs w:val="22"/>
          <w:lang w:val="es-ES_tradnl"/>
        </w:rPr>
        <w:t>Regula T</w:t>
      </w:r>
      <w:r w:rsidRPr="00086F22">
        <w:rPr>
          <w:sz w:val="22"/>
          <w:szCs w:val="22"/>
          <w:lang w:val="es-ES_tradnl"/>
        </w:rPr>
        <w:t xml:space="preserve">u </w:t>
      </w:r>
      <w:r w:rsidR="000E3F3B" w:rsidRPr="00086F22">
        <w:rPr>
          <w:sz w:val="22"/>
          <w:szCs w:val="22"/>
          <w:lang w:val="es-ES_tradnl"/>
        </w:rPr>
        <w:t>B</w:t>
      </w:r>
      <w:r w:rsidRPr="00086F22">
        <w:rPr>
          <w:sz w:val="22"/>
          <w:szCs w:val="22"/>
          <w:lang w:val="es-ES_tradnl"/>
        </w:rPr>
        <w:t>arrio deberá comuni</w:t>
      </w:r>
      <w:r w:rsidR="005938DA" w:rsidRPr="00086F22">
        <w:rPr>
          <w:sz w:val="22"/>
          <w:szCs w:val="22"/>
          <w:lang w:val="es-ES_tradnl"/>
        </w:rPr>
        <w:t xml:space="preserve">car a la comunidad del AHHYC </w:t>
      </w:r>
      <w:r w:rsidR="00D2730C" w:rsidRPr="00086F22">
        <w:rPr>
          <w:sz w:val="22"/>
          <w:szCs w:val="22"/>
          <w:lang w:val="es-ES_tradnl"/>
        </w:rPr>
        <w:t>“</w:t>
      </w:r>
      <w:r w:rsidR="00D2730C">
        <w:rPr>
          <w:sz w:val="22"/>
          <w:szCs w:val="22"/>
        </w:rPr>
        <w:t>Chiche “Sector Mendoza”</w:t>
      </w:r>
      <w:r w:rsidR="003663CF" w:rsidRPr="00086F22">
        <w:rPr>
          <w:sz w:val="22"/>
          <w:szCs w:val="22"/>
          <w:lang w:val="es-ES_tradnl"/>
        </w:rPr>
        <w:t>,</w:t>
      </w:r>
      <w:r w:rsidRPr="00086F22">
        <w:rPr>
          <w:sz w:val="22"/>
          <w:szCs w:val="22"/>
          <w:lang w:val="es-ES_tradnl"/>
        </w:rPr>
        <w:t xml:space="preserve"> </w:t>
      </w:r>
      <w:r w:rsidR="005938DA" w:rsidRPr="00086F22">
        <w:rPr>
          <w:sz w:val="22"/>
          <w:szCs w:val="22"/>
          <w:lang w:val="es-ES_tradnl"/>
        </w:rPr>
        <w:t>lo descrito en el presente informe, especialmente la calificación del riesgo ante las diferentes amenazas analizadas y las respectivas recomendaciones técnicas</w:t>
      </w:r>
      <w:r w:rsidR="00EF33AF" w:rsidRPr="00086F22">
        <w:rPr>
          <w:sz w:val="22"/>
          <w:szCs w:val="22"/>
          <w:lang w:val="es-ES_tradnl"/>
        </w:rPr>
        <w:t>.</w:t>
      </w:r>
      <w:r w:rsidRPr="00086F22">
        <w:rPr>
          <w:sz w:val="22"/>
          <w:szCs w:val="22"/>
          <w:lang w:val="es-ES_tradnl"/>
        </w:rPr>
        <w:t xml:space="preserve"> </w:t>
      </w:r>
    </w:p>
    <w:p w:rsidR="00361728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086F22">
        <w:rPr>
          <w:b/>
          <w:sz w:val="22"/>
          <w:szCs w:val="22"/>
          <w:lang w:val="es-ES_tradnl"/>
        </w:rPr>
        <w:t xml:space="preserve">Disposición Final.- </w:t>
      </w:r>
      <w:r w:rsidRPr="00086F22">
        <w:rPr>
          <w:sz w:val="22"/>
          <w:szCs w:val="22"/>
          <w:lang w:val="es-ES_tradnl"/>
        </w:rPr>
        <w:t xml:space="preserve"> Esta ordenanza entrará en vigencia a partir de la fecha de su sanción, sin perjuicio de su publicación </w:t>
      </w:r>
      <w:r w:rsidR="00D701A9" w:rsidRPr="00086F22">
        <w:rPr>
          <w:sz w:val="22"/>
          <w:szCs w:val="22"/>
          <w:lang w:val="es-ES_tradnl"/>
        </w:rPr>
        <w:t xml:space="preserve">en el Registro Oficial, Gaceta Municipal o </w:t>
      </w:r>
      <w:r w:rsidRPr="00086F22">
        <w:rPr>
          <w:sz w:val="22"/>
          <w:szCs w:val="22"/>
          <w:lang w:val="es-ES_tradnl"/>
        </w:rPr>
        <w:t>la página web institucional de la Municipalidad.</w:t>
      </w:r>
    </w:p>
    <w:p w:rsidR="00562DB6" w:rsidRDefault="00562DB6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:rsidR="0049591B" w:rsidRPr="00086F22" w:rsidRDefault="0049591B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86F22">
        <w:rPr>
          <w:sz w:val="22"/>
          <w:szCs w:val="22"/>
        </w:rPr>
        <w:t xml:space="preserve">Dada, en la Sala de Sesiones del Concejo Metropolitano de Quito, </w:t>
      </w:r>
      <w:proofErr w:type="gramStart"/>
      <w:r w:rsidRPr="00086F22">
        <w:rPr>
          <w:sz w:val="22"/>
          <w:szCs w:val="22"/>
        </w:rPr>
        <w:t>el.……</w:t>
      </w:r>
      <w:proofErr w:type="gramEnd"/>
      <w:r w:rsidRPr="00086F22">
        <w:rPr>
          <w:sz w:val="22"/>
          <w:szCs w:val="22"/>
        </w:rPr>
        <w:t xml:space="preserve"> de …………. del 201...</w:t>
      </w:r>
    </w:p>
    <w:p w:rsidR="00532C34" w:rsidRPr="00086F22" w:rsidRDefault="00532C34" w:rsidP="0049591B">
      <w:pPr>
        <w:jc w:val="both"/>
        <w:rPr>
          <w:sz w:val="22"/>
          <w:szCs w:val="22"/>
        </w:rPr>
      </w:pPr>
    </w:p>
    <w:p w:rsidR="00532C34" w:rsidRDefault="00532C34" w:rsidP="0049591B">
      <w:pPr>
        <w:jc w:val="both"/>
        <w:rPr>
          <w:sz w:val="22"/>
          <w:szCs w:val="22"/>
        </w:rPr>
      </w:pPr>
    </w:p>
    <w:p w:rsidR="00153F77" w:rsidRPr="00086F22" w:rsidRDefault="00153F77" w:rsidP="0049591B">
      <w:pPr>
        <w:jc w:val="both"/>
        <w:rPr>
          <w:sz w:val="22"/>
          <w:szCs w:val="22"/>
        </w:rPr>
      </w:pPr>
    </w:p>
    <w:p w:rsidR="0049591B" w:rsidRPr="00D13ABD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D13ABD" w:rsidRDefault="00532C34" w:rsidP="00086F22">
      <w:pPr>
        <w:pStyle w:val="Ttulo4"/>
        <w:jc w:val="center"/>
        <w:rPr>
          <w:rFonts w:ascii="Times New Roman" w:eastAsia="MS Mincho" w:hAnsi="Times New Roman" w:cs="Times New Roman"/>
          <w:b w:val="0"/>
          <w:i w:val="0"/>
          <w:color w:val="auto"/>
          <w:sz w:val="22"/>
          <w:szCs w:val="22"/>
        </w:rPr>
      </w:pPr>
      <w:r w:rsidRPr="00D13ABD">
        <w:rPr>
          <w:rFonts w:ascii="Times New Roman" w:eastAsia="MS Mincho" w:hAnsi="Times New Roman" w:cs="Times New Roman"/>
          <w:b w:val="0"/>
          <w:i w:val="0"/>
          <w:color w:val="auto"/>
          <w:sz w:val="22"/>
          <w:szCs w:val="22"/>
        </w:rPr>
        <w:t xml:space="preserve">Abg. Carlos </w:t>
      </w:r>
      <w:proofErr w:type="spellStart"/>
      <w:r w:rsidRPr="00D13ABD">
        <w:rPr>
          <w:rFonts w:ascii="Times New Roman" w:eastAsia="MS Mincho" w:hAnsi="Times New Roman" w:cs="Times New Roman"/>
          <w:b w:val="0"/>
          <w:i w:val="0"/>
          <w:color w:val="auto"/>
          <w:sz w:val="22"/>
          <w:szCs w:val="22"/>
        </w:rPr>
        <w:t>Alomoto</w:t>
      </w:r>
      <w:proofErr w:type="spellEnd"/>
      <w:r w:rsidRPr="00D13ABD">
        <w:rPr>
          <w:rFonts w:ascii="Times New Roman" w:eastAsia="MS Mincho" w:hAnsi="Times New Roman" w:cs="Times New Roman"/>
          <w:b w:val="0"/>
          <w:i w:val="0"/>
          <w:color w:val="auto"/>
          <w:sz w:val="22"/>
          <w:szCs w:val="22"/>
        </w:rPr>
        <w:t xml:space="preserve"> Rosales</w:t>
      </w:r>
    </w:p>
    <w:p w:rsidR="0049591B" w:rsidRPr="00086F22" w:rsidRDefault="00532C34" w:rsidP="00086F22">
      <w:pPr>
        <w:pStyle w:val="Textopredeterminado"/>
        <w:shd w:val="clear" w:color="auto" w:fill="FFFFFF"/>
        <w:jc w:val="center"/>
        <w:rPr>
          <w:b/>
          <w:sz w:val="22"/>
          <w:szCs w:val="22"/>
        </w:rPr>
      </w:pPr>
      <w:r w:rsidRPr="00086F22">
        <w:rPr>
          <w:b/>
          <w:sz w:val="22"/>
          <w:szCs w:val="22"/>
        </w:rPr>
        <w:t>SECRETARIO GENERAL DEL CONCEJO METROPOLITANO DE</w:t>
      </w:r>
      <w:r w:rsidRPr="00086F22">
        <w:rPr>
          <w:sz w:val="22"/>
          <w:szCs w:val="22"/>
          <w:lang w:val="es-ES"/>
        </w:rPr>
        <w:t xml:space="preserve"> </w:t>
      </w:r>
      <w:r w:rsidRPr="00086F22">
        <w:rPr>
          <w:b/>
          <w:sz w:val="22"/>
          <w:szCs w:val="22"/>
        </w:rPr>
        <w:t>QUITO</w:t>
      </w:r>
    </w:p>
    <w:p w:rsidR="00532C34" w:rsidRPr="00086F22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086F22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086F22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086F22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D01BBF" w:rsidRDefault="00D01BBF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:rsidR="0036389C" w:rsidRDefault="0036389C" w:rsidP="0036389C">
      <w:pPr>
        <w:rPr>
          <w:rFonts w:eastAsia="MS Mincho"/>
        </w:rPr>
      </w:pPr>
    </w:p>
    <w:p w:rsidR="0036389C" w:rsidRDefault="0036389C" w:rsidP="0036389C">
      <w:pPr>
        <w:rPr>
          <w:rFonts w:eastAsia="MS Mincho"/>
        </w:rPr>
      </w:pPr>
    </w:p>
    <w:p w:rsidR="0036389C" w:rsidRDefault="0036389C" w:rsidP="0036389C">
      <w:pPr>
        <w:rPr>
          <w:rFonts w:eastAsia="MS Mincho"/>
        </w:rPr>
      </w:pPr>
    </w:p>
    <w:p w:rsidR="0036389C" w:rsidRPr="0036389C" w:rsidRDefault="0036389C" w:rsidP="0036389C">
      <w:pPr>
        <w:rPr>
          <w:rFonts w:eastAsia="MS Mincho"/>
        </w:rPr>
      </w:pPr>
    </w:p>
    <w:p w:rsidR="0049591B" w:rsidRPr="00086F22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086F22">
        <w:rPr>
          <w:rFonts w:ascii="Times New Roman" w:eastAsia="MS Mincho" w:hAnsi="Times New Roman" w:cs="Times New Roman"/>
          <w:color w:val="auto"/>
          <w:sz w:val="22"/>
          <w:szCs w:val="22"/>
        </w:rPr>
        <w:lastRenderedPageBreak/>
        <w:t>CERTIFICADO DE DISCUSIÓN</w:t>
      </w:r>
    </w:p>
    <w:p w:rsidR="0049591B" w:rsidRPr="00086F22" w:rsidRDefault="0049591B" w:rsidP="00086F22">
      <w:pPr>
        <w:jc w:val="center"/>
        <w:rPr>
          <w:rFonts w:eastAsia="MS Mincho"/>
          <w:sz w:val="22"/>
          <w:szCs w:val="22"/>
        </w:rPr>
      </w:pPr>
    </w:p>
    <w:p w:rsidR="0049591B" w:rsidRPr="00086F22" w:rsidRDefault="0049591B" w:rsidP="00086F22">
      <w:pPr>
        <w:pStyle w:val="Textoindependiente"/>
        <w:rPr>
          <w:rFonts w:eastAsia="MS Mincho"/>
          <w:sz w:val="22"/>
          <w:szCs w:val="22"/>
        </w:rPr>
      </w:pPr>
      <w:r w:rsidRPr="00086F22">
        <w:rPr>
          <w:rFonts w:eastAsia="MS Mincho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086F22">
        <w:rPr>
          <w:rFonts w:eastAsia="MS Mincho"/>
          <w:sz w:val="22"/>
          <w:szCs w:val="22"/>
        </w:rPr>
        <w:t>..de</w:t>
      </w:r>
      <w:proofErr w:type="gramEnd"/>
      <w:r w:rsidRPr="00086F22">
        <w:rPr>
          <w:rFonts w:eastAsia="MS Mincho"/>
          <w:sz w:val="22"/>
          <w:szCs w:val="22"/>
        </w:rPr>
        <w:t xml:space="preserve"> ……..  </w:t>
      </w:r>
      <w:proofErr w:type="gramStart"/>
      <w:r w:rsidRPr="00086F22">
        <w:rPr>
          <w:rFonts w:eastAsia="MS Mincho"/>
          <w:sz w:val="22"/>
          <w:szCs w:val="22"/>
        </w:rPr>
        <w:t>y</w:t>
      </w:r>
      <w:proofErr w:type="gramEnd"/>
      <w:r w:rsidRPr="00086F22">
        <w:rPr>
          <w:rFonts w:eastAsia="MS Mincho"/>
          <w:sz w:val="22"/>
          <w:szCs w:val="22"/>
        </w:rPr>
        <w:t xml:space="preserve"> ….. </w:t>
      </w:r>
      <w:proofErr w:type="gramStart"/>
      <w:r w:rsidRPr="00086F22">
        <w:rPr>
          <w:rFonts w:eastAsia="MS Mincho"/>
          <w:sz w:val="22"/>
          <w:szCs w:val="22"/>
        </w:rPr>
        <w:t>de</w:t>
      </w:r>
      <w:proofErr w:type="gramEnd"/>
      <w:r w:rsidRPr="00086F22">
        <w:rPr>
          <w:rFonts w:eastAsia="MS Mincho"/>
          <w:sz w:val="22"/>
          <w:szCs w:val="22"/>
        </w:rPr>
        <w:t xml:space="preserve"> …………. de 201...- Quito,</w:t>
      </w:r>
    </w:p>
    <w:p w:rsidR="0049591B" w:rsidRPr="00086F22" w:rsidRDefault="0049591B" w:rsidP="00086F22">
      <w:pPr>
        <w:rPr>
          <w:rFonts w:eastAsia="MS Mincho"/>
          <w:sz w:val="22"/>
          <w:szCs w:val="22"/>
        </w:rPr>
      </w:pPr>
    </w:p>
    <w:p w:rsidR="0049591B" w:rsidRDefault="0049591B" w:rsidP="00841CD8">
      <w:pPr>
        <w:rPr>
          <w:rFonts w:eastAsia="MS Mincho"/>
          <w:sz w:val="22"/>
          <w:szCs w:val="22"/>
        </w:rPr>
      </w:pPr>
    </w:p>
    <w:p w:rsidR="00153F77" w:rsidRPr="00086F22" w:rsidRDefault="00153F77" w:rsidP="00841CD8">
      <w:pPr>
        <w:rPr>
          <w:rFonts w:eastAsia="MS Mincho"/>
          <w:sz w:val="22"/>
          <w:szCs w:val="22"/>
        </w:rPr>
      </w:pPr>
    </w:p>
    <w:p w:rsidR="0049591B" w:rsidRPr="00086F22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 xml:space="preserve">Abg. Carlos </w:t>
      </w:r>
      <w:proofErr w:type="spellStart"/>
      <w:r w:rsidRPr="00086F22">
        <w:rPr>
          <w:rFonts w:ascii="Times New Roman" w:eastAsia="MS Mincho" w:hAnsi="Times New Roman"/>
          <w:sz w:val="22"/>
          <w:szCs w:val="22"/>
        </w:rPr>
        <w:t>Alomoto</w:t>
      </w:r>
      <w:proofErr w:type="spellEnd"/>
      <w:r w:rsidRPr="00086F22">
        <w:rPr>
          <w:rFonts w:ascii="Times New Roman" w:eastAsia="MS Mincho" w:hAnsi="Times New Roman"/>
          <w:sz w:val="22"/>
          <w:szCs w:val="22"/>
        </w:rPr>
        <w:t xml:space="preserve"> Rosales</w:t>
      </w:r>
    </w:p>
    <w:p w:rsidR="0049591B" w:rsidRPr="00086F22" w:rsidRDefault="0049591B" w:rsidP="0049591B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086F22">
        <w:rPr>
          <w:rFonts w:ascii="Times New Roman" w:eastAsia="MS Mincho" w:hAnsi="Times New Roman"/>
          <w:b/>
          <w:bCs/>
          <w:sz w:val="22"/>
          <w:szCs w:val="22"/>
        </w:rPr>
        <w:t>SECRETARIO GENERAL DEL CONCEJO METROPOLITANO DE QUITO</w:t>
      </w:r>
    </w:p>
    <w:p w:rsidR="0049591B" w:rsidRPr="00086F22" w:rsidRDefault="0049591B" w:rsidP="00841CD8">
      <w:pPr>
        <w:rPr>
          <w:rFonts w:eastAsia="MS Mincho"/>
          <w:sz w:val="22"/>
          <w:szCs w:val="22"/>
        </w:rPr>
      </w:pPr>
    </w:p>
    <w:p w:rsidR="0049591B" w:rsidRPr="00086F22" w:rsidRDefault="0049591B" w:rsidP="00086F22">
      <w:pPr>
        <w:pStyle w:val="Ttulo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086F22">
        <w:rPr>
          <w:rFonts w:ascii="Times New Roman" w:eastAsia="MS Mincho" w:hAnsi="Times New Roman" w:cs="Times New Roman"/>
          <w:sz w:val="22"/>
          <w:szCs w:val="22"/>
        </w:rPr>
        <w:t>ALCALDÍA</w:t>
      </w:r>
      <w:r w:rsidR="00086F22" w:rsidRPr="00086F22">
        <w:rPr>
          <w:rFonts w:ascii="Times New Roman" w:eastAsia="MS Mincho" w:hAnsi="Times New Roman" w:cs="Times New Roman"/>
          <w:sz w:val="22"/>
          <w:szCs w:val="22"/>
        </w:rPr>
        <w:t xml:space="preserve"> DEL DISTRITO METROPOLITANO.- </w:t>
      </w:r>
      <w:r w:rsidRPr="00086F22">
        <w:rPr>
          <w:rFonts w:ascii="Times New Roman" w:eastAsia="MS Mincho" w:hAnsi="Times New Roman" w:cs="Times New Roman"/>
          <w:sz w:val="22"/>
          <w:szCs w:val="22"/>
        </w:rPr>
        <w:t>Distrito Metropolitano de Quito,</w:t>
      </w:r>
    </w:p>
    <w:p w:rsidR="00086F22" w:rsidRDefault="00086F22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</w:p>
    <w:p w:rsidR="0049591B" w:rsidRPr="00086F22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086F22">
        <w:rPr>
          <w:rFonts w:ascii="Times New Roman" w:eastAsia="MS Mincho" w:hAnsi="Times New Roman" w:cs="Times New Roman"/>
          <w:color w:val="auto"/>
          <w:sz w:val="22"/>
          <w:szCs w:val="22"/>
        </w:rPr>
        <w:t>EJECÚTESE:</w:t>
      </w:r>
    </w:p>
    <w:p w:rsidR="0049591B" w:rsidRPr="00086F22" w:rsidRDefault="0049591B" w:rsidP="00086F2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 xml:space="preserve">Dr. Jorge </w:t>
      </w:r>
      <w:proofErr w:type="spellStart"/>
      <w:r w:rsidRPr="00086F22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086F22">
        <w:rPr>
          <w:rFonts w:ascii="Times New Roman" w:eastAsia="MS Mincho" w:hAnsi="Times New Roman"/>
          <w:sz w:val="22"/>
          <w:szCs w:val="22"/>
        </w:rPr>
        <w:t xml:space="preserve"> Machado</w:t>
      </w:r>
    </w:p>
    <w:p w:rsidR="0049591B" w:rsidRPr="00086F22" w:rsidRDefault="0049591B" w:rsidP="00086F22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086F22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49591B" w:rsidRPr="00086F22" w:rsidRDefault="0049591B" w:rsidP="00841CD8">
      <w:pPr>
        <w:rPr>
          <w:rFonts w:eastAsia="MS Mincho"/>
          <w:sz w:val="22"/>
          <w:szCs w:val="22"/>
        </w:rPr>
      </w:pPr>
    </w:p>
    <w:p w:rsidR="0049591B" w:rsidRDefault="0049591B" w:rsidP="00841CD8">
      <w:pPr>
        <w:rPr>
          <w:rFonts w:eastAsia="MS Mincho"/>
          <w:sz w:val="22"/>
          <w:szCs w:val="22"/>
        </w:rPr>
      </w:pPr>
    </w:p>
    <w:p w:rsidR="00086F22" w:rsidRPr="00086F22" w:rsidRDefault="00086F22" w:rsidP="00841CD8">
      <w:pPr>
        <w:rPr>
          <w:rFonts w:eastAsia="MS Mincho"/>
          <w:sz w:val="22"/>
          <w:szCs w:val="22"/>
        </w:rPr>
      </w:pPr>
    </w:p>
    <w:p w:rsidR="00A37108" w:rsidRPr="00086F22" w:rsidRDefault="00A37108" w:rsidP="00841CD8">
      <w:pPr>
        <w:rPr>
          <w:rFonts w:eastAsia="MS Mincho"/>
          <w:sz w:val="22"/>
          <w:szCs w:val="22"/>
        </w:rPr>
      </w:pPr>
    </w:p>
    <w:p w:rsidR="0049591B" w:rsidRPr="00086F22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086F22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086F22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</w:t>
      </w:r>
      <w:proofErr w:type="spellStart"/>
      <w:r w:rsidRPr="00086F22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086F22">
        <w:rPr>
          <w:rFonts w:ascii="Times New Roman" w:eastAsia="MS Mincho" w:hAnsi="Times New Roman"/>
          <w:sz w:val="22"/>
          <w:szCs w:val="22"/>
        </w:rPr>
        <w:t xml:space="preserve"> Machado</w:t>
      </w:r>
    </w:p>
    <w:p w:rsidR="0049591B" w:rsidRPr="00086F22" w:rsidRDefault="00C94F86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, Alcalde </w:t>
      </w:r>
      <w:r w:rsidR="0049591B" w:rsidRPr="00086F22">
        <w:rPr>
          <w:rFonts w:ascii="Times New Roman" w:eastAsia="MS Mincho" w:hAnsi="Times New Roman"/>
          <w:sz w:val="22"/>
          <w:szCs w:val="22"/>
        </w:rPr>
        <w:t>del Distrito Metropolitano de Quito, el</w:t>
      </w:r>
    </w:p>
    <w:p w:rsidR="0049591B" w:rsidRPr="00086F22" w:rsidRDefault="0049591B" w:rsidP="0049591B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086F22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49591B" w:rsidRPr="00086F22" w:rsidRDefault="0049591B" w:rsidP="0049591B">
      <w:pPr>
        <w:jc w:val="center"/>
        <w:rPr>
          <w:sz w:val="22"/>
          <w:szCs w:val="22"/>
        </w:rPr>
      </w:pPr>
    </w:p>
    <w:p w:rsidR="00AD3778" w:rsidRPr="00086F22" w:rsidRDefault="00AD3778" w:rsidP="00841CD8">
      <w:pPr>
        <w:rPr>
          <w:sz w:val="22"/>
          <w:szCs w:val="22"/>
        </w:rPr>
      </w:pPr>
    </w:p>
    <w:sectPr w:rsidR="00AD3778" w:rsidRPr="00086F22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E3" w:rsidRDefault="004257E3">
      <w:r>
        <w:separator/>
      </w:r>
    </w:p>
  </w:endnote>
  <w:endnote w:type="continuationSeparator" w:id="0">
    <w:p w:rsidR="004257E3" w:rsidRDefault="0042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5A5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5A5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5A5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5A5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5A5D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5A5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E3" w:rsidRDefault="004257E3">
      <w:r>
        <w:separator/>
      </w:r>
    </w:p>
  </w:footnote>
  <w:footnote w:type="continuationSeparator" w:id="0">
    <w:p w:rsidR="004257E3" w:rsidRDefault="0042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2DD5"/>
    <w:multiLevelType w:val="hybridMultilevel"/>
    <w:tmpl w:val="753CD8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0"/>
  </w:num>
  <w:num w:numId="9">
    <w:abstractNumId w:val="3"/>
  </w:num>
  <w:num w:numId="10">
    <w:abstractNumId w:val="4"/>
  </w:num>
  <w:num w:numId="11">
    <w:abstractNumId w:val="20"/>
  </w:num>
  <w:num w:numId="12">
    <w:abstractNumId w:val="1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1"/>
  </w:num>
  <w:num w:numId="18">
    <w:abstractNumId w:val="6"/>
  </w:num>
  <w:num w:numId="19">
    <w:abstractNumId w:val="10"/>
  </w:num>
  <w:num w:numId="20">
    <w:abstractNumId w:val="12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5E6E"/>
    <w:rsid w:val="0002035D"/>
    <w:rsid w:val="00022E75"/>
    <w:rsid w:val="00023FAD"/>
    <w:rsid w:val="000314C0"/>
    <w:rsid w:val="00032D16"/>
    <w:rsid w:val="00042667"/>
    <w:rsid w:val="00060266"/>
    <w:rsid w:val="00063281"/>
    <w:rsid w:val="0007425E"/>
    <w:rsid w:val="00086F22"/>
    <w:rsid w:val="00093383"/>
    <w:rsid w:val="00094F57"/>
    <w:rsid w:val="000B7CCA"/>
    <w:rsid w:val="000B7E01"/>
    <w:rsid w:val="000C069F"/>
    <w:rsid w:val="000D39A4"/>
    <w:rsid w:val="000E3F3B"/>
    <w:rsid w:val="000F7FCF"/>
    <w:rsid w:val="00130E73"/>
    <w:rsid w:val="00137EFC"/>
    <w:rsid w:val="001479B2"/>
    <w:rsid w:val="00153F77"/>
    <w:rsid w:val="00164A30"/>
    <w:rsid w:val="001732B0"/>
    <w:rsid w:val="00173584"/>
    <w:rsid w:val="001824A5"/>
    <w:rsid w:val="00192470"/>
    <w:rsid w:val="001A5E4E"/>
    <w:rsid w:val="001B4536"/>
    <w:rsid w:val="001C179D"/>
    <w:rsid w:val="001C6677"/>
    <w:rsid w:val="001D7099"/>
    <w:rsid w:val="001E1CA2"/>
    <w:rsid w:val="001E2E3A"/>
    <w:rsid w:val="001E41B8"/>
    <w:rsid w:val="001F4C88"/>
    <w:rsid w:val="00213D93"/>
    <w:rsid w:val="00235024"/>
    <w:rsid w:val="0024191F"/>
    <w:rsid w:val="00242929"/>
    <w:rsid w:val="00250463"/>
    <w:rsid w:val="002578F2"/>
    <w:rsid w:val="00264F1D"/>
    <w:rsid w:val="00266076"/>
    <w:rsid w:val="00271C6D"/>
    <w:rsid w:val="002930CE"/>
    <w:rsid w:val="00296C41"/>
    <w:rsid w:val="002B2BD8"/>
    <w:rsid w:val="002B6340"/>
    <w:rsid w:val="002D5A0F"/>
    <w:rsid w:val="002D7709"/>
    <w:rsid w:val="002F5FCE"/>
    <w:rsid w:val="0030415D"/>
    <w:rsid w:val="00316263"/>
    <w:rsid w:val="00316973"/>
    <w:rsid w:val="00321C5A"/>
    <w:rsid w:val="00324476"/>
    <w:rsid w:val="00325915"/>
    <w:rsid w:val="00335B5A"/>
    <w:rsid w:val="00342FD0"/>
    <w:rsid w:val="00361728"/>
    <w:rsid w:val="0036389C"/>
    <w:rsid w:val="00363A17"/>
    <w:rsid w:val="003663CF"/>
    <w:rsid w:val="00385DE9"/>
    <w:rsid w:val="00385E8D"/>
    <w:rsid w:val="00387489"/>
    <w:rsid w:val="003956ED"/>
    <w:rsid w:val="003A2B74"/>
    <w:rsid w:val="003B1F9D"/>
    <w:rsid w:val="003C2823"/>
    <w:rsid w:val="003D125D"/>
    <w:rsid w:val="003E3B0F"/>
    <w:rsid w:val="003F5593"/>
    <w:rsid w:val="003F5AD0"/>
    <w:rsid w:val="00410912"/>
    <w:rsid w:val="0042085C"/>
    <w:rsid w:val="004257E3"/>
    <w:rsid w:val="004279DF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91B"/>
    <w:rsid w:val="004A7E87"/>
    <w:rsid w:val="004C26CE"/>
    <w:rsid w:val="004C50AE"/>
    <w:rsid w:val="004E327F"/>
    <w:rsid w:val="004F380C"/>
    <w:rsid w:val="00520190"/>
    <w:rsid w:val="0053116D"/>
    <w:rsid w:val="00532C34"/>
    <w:rsid w:val="005479C2"/>
    <w:rsid w:val="00550771"/>
    <w:rsid w:val="00554E19"/>
    <w:rsid w:val="00561828"/>
    <w:rsid w:val="00562DB6"/>
    <w:rsid w:val="0057335B"/>
    <w:rsid w:val="00576A9F"/>
    <w:rsid w:val="00590276"/>
    <w:rsid w:val="00590C70"/>
    <w:rsid w:val="005938DA"/>
    <w:rsid w:val="00595523"/>
    <w:rsid w:val="00596889"/>
    <w:rsid w:val="00596910"/>
    <w:rsid w:val="005A753B"/>
    <w:rsid w:val="005C20B8"/>
    <w:rsid w:val="005C3577"/>
    <w:rsid w:val="005D1D84"/>
    <w:rsid w:val="005E4505"/>
    <w:rsid w:val="005F405A"/>
    <w:rsid w:val="005F7459"/>
    <w:rsid w:val="0061073C"/>
    <w:rsid w:val="00630196"/>
    <w:rsid w:val="00642CAB"/>
    <w:rsid w:val="0064351E"/>
    <w:rsid w:val="00644C2D"/>
    <w:rsid w:val="0065581E"/>
    <w:rsid w:val="00664F79"/>
    <w:rsid w:val="00672D44"/>
    <w:rsid w:val="00673C25"/>
    <w:rsid w:val="00673D81"/>
    <w:rsid w:val="0068550F"/>
    <w:rsid w:val="006954C8"/>
    <w:rsid w:val="00696669"/>
    <w:rsid w:val="006A4617"/>
    <w:rsid w:val="006C1482"/>
    <w:rsid w:val="006C27BF"/>
    <w:rsid w:val="006C3D0D"/>
    <w:rsid w:val="006C53B2"/>
    <w:rsid w:val="006C713F"/>
    <w:rsid w:val="006D0D23"/>
    <w:rsid w:val="006D36F7"/>
    <w:rsid w:val="006D3A42"/>
    <w:rsid w:val="006D69D0"/>
    <w:rsid w:val="006E0F9E"/>
    <w:rsid w:val="006E2599"/>
    <w:rsid w:val="00700ACA"/>
    <w:rsid w:val="0071397E"/>
    <w:rsid w:val="00713EB4"/>
    <w:rsid w:val="00714037"/>
    <w:rsid w:val="00721932"/>
    <w:rsid w:val="007317A4"/>
    <w:rsid w:val="0074203E"/>
    <w:rsid w:val="00742540"/>
    <w:rsid w:val="00745F5F"/>
    <w:rsid w:val="00751C41"/>
    <w:rsid w:val="007720D0"/>
    <w:rsid w:val="00782806"/>
    <w:rsid w:val="00783C8A"/>
    <w:rsid w:val="007A292B"/>
    <w:rsid w:val="007A36A2"/>
    <w:rsid w:val="007C06DC"/>
    <w:rsid w:val="007C7247"/>
    <w:rsid w:val="007D7DF9"/>
    <w:rsid w:val="007E2D75"/>
    <w:rsid w:val="007E6037"/>
    <w:rsid w:val="007E6816"/>
    <w:rsid w:val="007F64B8"/>
    <w:rsid w:val="007F6ADE"/>
    <w:rsid w:val="00803017"/>
    <w:rsid w:val="0081387B"/>
    <w:rsid w:val="00815311"/>
    <w:rsid w:val="00815646"/>
    <w:rsid w:val="008254C4"/>
    <w:rsid w:val="00837892"/>
    <w:rsid w:val="00841CD8"/>
    <w:rsid w:val="0084467A"/>
    <w:rsid w:val="00857037"/>
    <w:rsid w:val="00857330"/>
    <w:rsid w:val="00867AD0"/>
    <w:rsid w:val="00882965"/>
    <w:rsid w:val="0088568C"/>
    <w:rsid w:val="0089127D"/>
    <w:rsid w:val="008970EF"/>
    <w:rsid w:val="008B126B"/>
    <w:rsid w:val="008C57B8"/>
    <w:rsid w:val="008C62CE"/>
    <w:rsid w:val="008D35AE"/>
    <w:rsid w:val="008D4A2E"/>
    <w:rsid w:val="008D4CD5"/>
    <w:rsid w:val="008E0C68"/>
    <w:rsid w:val="00904797"/>
    <w:rsid w:val="00911E00"/>
    <w:rsid w:val="00922B82"/>
    <w:rsid w:val="00922C0D"/>
    <w:rsid w:val="009232C4"/>
    <w:rsid w:val="009243E2"/>
    <w:rsid w:val="009342B6"/>
    <w:rsid w:val="0094723F"/>
    <w:rsid w:val="009856E7"/>
    <w:rsid w:val="009858EA"/>
    <w:rsid w:val="0099341B"/>
    <w:rsid w:val="009A0164"/>
    <w:rsid w:val="009A75E7"/>
    <w:rsid w:val="009B0E5E"/>
    <w:rsid w:val="009C04E3"/>
    <w:rsid w:val="009C5339"/>
    <w:rsid w:val="009D5BD5"/>
    <w:rsid w:val="009D7773"/>
    <w:rsid w:val="009D7D5B"/>
    <w:rsid w:val="009E010D"/>
    <w:rsid w:val="009E413B"/>
    <w:rsid w:val="00A00E1B"/>
    <w:rsid w:val="00A0361F"/>
    <w:rsid w:val="00A063D6"/>
    <w:rsid w:val="00A07E75"/>
    <w:rsid w:val="00A11E3C"/>
    <w:rsid w:val="00A15C64"/>
    <w:rsid w:val="00A16448"/>
    <w:rsid w:val="00A27C79"/>
    <w:rsid w:val="00A37108"/>
    <w:rsid w:val="00A4184B"/>
    <w:rsid w:val="00A4709D"/>
    <w:rsid w:val="00A66EEB"/>
    <w:rsid w:val="00A674D5"/>
    <w:rsid w:val="00A75696"/>
    <w:rsid w:val="00A7613E"/>
    <w:rsid w:val="00A774F3"/>
    <w:rsid w:val="00A85D9B"/>
    <w:rsid w:val="00A90817"/>
    <w:rsid w:val="00AA61AB"/>
    <w:rsid w:val="00AC4D7D"/>
    <w:rsid w:val="00AC767C"/>
    <w:rsid w:val="00AD3778"/>
    <w:rsid w:val="00AD5A83"/>
    <w:rsid w:val="00AE4123"/>
    <w:rsid w:val="00AE6BF9"/>
    <w:rsid w:val="00AE7433"/>
    <w:rsid w:val="00AF5285"/>
    <w:rsid w:val="00B14402"/>
    <w:rsid w:val="00B15BE8"/>
    <w:rsid w:val="00B23AE5"/>
    <w:rsid w:val="00B25919"/>
    <w:rsid w:val="00B32E48"/>
    <w:rsid w:val="00B4214D"/>
    <w:rsid w:val="00B422A1"/>
    <w:rsid w:val="00BA5B5A"/>
    <w:rsid w:val="00BB0DEA"/>
    <w:rsid w:val="00BB58B0"/>
    <w:rsid w:val="00BE22D3"/>
    <w:rsid w:val="00BE4CA3"/>
    <w:rsid w:val="00BF5886"/>
    <w:rsid w:val="00BF73D8"/>
    <w:rsid w:val="00C00975"/>
    <w:rsid w:val="00C07688"/>
    <w:rsid w:val="00C112CC"/>
    <w:rsid w:val="00C1419F"/>
    <w:rsid w:val="00C174B4"/>
    <w:rsid w:val="00C21944"/>
    <w:rsid w:val="00C5601A"/>
    <w:rsid w:val="00C708ED"/>
    <w:rsid w:val="00C70A83"/>
    <w:rsid w:val="00C876E8"/>
    <w:rsid w:val="00C94AA7"/>
    <w:rsid w:val="00C94F86"/>
    <w:rsid w:val="00CA41CE"/>
    <w:rsid w:val="00CA598F"/>
    <w:rsid w:val="00CA6F0F"/>
    <w:rsid w:val="00CB5CCD"/>
    <w:rsid w:val="00CC33DF"/>
    <w:rsid w:val="00CC4462"/>
    <w:rsid w:val="00CC520A"/>
    <w:rsid w:val="00CC69B0"/>
    <w:rsid w:val="00CD23C8"/>
    <w:rsid w:val="00CE2FEF"/>
    <w:rsid w:val="00CF2925"/>
    <w:rsid w:val="00CF4531"/>
    <w:rsid w:val="00D00F9F"/>
    <w:rsid w:val="00D01BBF"/>
    <w:rsid w:val="00D02D19"/>
    <w:rsid w:val="00D04ABD"/>
    <w:rsid w:val="00D1200A"/>
    <w:rsid w:val="00D12135"/>
    <w:rsid w:val="00D13ABD"/>
    <w:rsid w:val="00D15792"/>
    <w:rsid w:val="00D2437B"/>
    <w:rsid w:val="00D26964"/>
    <w:rsid w:val="00D2730C"/>
    <w:rsid w:val="00D30B6A"/>
    <w:rsid w:val="00D31DEB"/>
    <w:rsid w:val="00D47AF9"/>
    <w:rsid w:val="00D61E64"/>
    <w:rsid w:val="00D625C6"/>
    <w:rsid w:val="00D661FF"/>
    <w:rsid w:val="00D701A9"/>
    <w:rsid w:val="00D909F8"/>
    <w:rsid w:val="00D9238F"/>
    <w:rsid w:val="00DA36A8"/>
    <w:rsid w:val="00DB3F61"/>
    <w:rsid w:val="00DB4645"/>
    <w:rsid w:val="00DB5A5D"/>
    <w:rsid w:val="00DC7010"/>
    <w:rsid w:val="00DD2256"/>
    <w:rsid w:val="00DD3442"/>
    <w:rsid w:val="00DD4D97"/>
    <w:rsid w:val="00DD5206"/>
    <w:rsid w:val="00DD59DA"/>
    <w:rsid w:val="00DF68CD"/>
    <w:rsid w:val="00E10CE6"/>
    <w:rsid w:val="00E15EFC"/>
    <w:rsid w:val="00E60C17"/>
    <w:rsid w:val="00E62A62"/>
    <w:rsid w:val="00E62FDF"/>
    <w:rsid w:val="00E752E2"/>
    <w:rsid w:val="00E765B3"/>
    <w:rsid w:val="00E82890"/>
    <w:rsid w:val="00E902B7"/>
    <w:rsid w:val="00E928E4"/>
    <w:rsid w:val="00EA415E"/>
    <w:rsid w:val="00EA7B08"/>
    <w:rsid w:val="00EC5B30"/>
    <w:rsid w:val="00ED7620"/>
    <w:rsid w:val="00ED7DF9"/>
    <w:rsid w:val="00EF33AF"/>
    <w:rsid w:val="00EF740B"/>
    <w:rsid w:val="00EF79AD"/>
    <w:rsid w:val="00F0764C"/>
    <w:rsid w:val="00F14104"/>
    <w:rsid w:val="00F2151C"/>
    <w:rsid w:val="00F36FD8"/>
    <w:rsid w:val="00F5123A"/>
    <w:rsid w:val="00F51366"/>
    <w:rsid w:val="00F52799"/>
    <w:rsid w:val="00F54BCA"/>
    <w:rsid w:val="00F572B9"/>
    <w:rsid w:val="00F57C55"/>
    <w:rsid w:val="00F62CE2"/>
    <w:rsid w:val="00F71A2D"/>
    <w:rsid w:val="00F72905"/>
    <w:rsid w:val="00F75497"/>
    <w:rsid w:val="00F87EDD"/>
    <w:rsid w:val="00F87FE6"/>
    <w:rsid w:val="00F9008F"/>
    <w:rsid w:val="00F96A77"/>
    <w:rsid w:val="00FA411B"/>
    <w:rsid w:val="00FB1571"/>
    <w:rsid w:val="00FB42DF"/>
    <w:rsid w:val="00FC191E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6ADA-191F-4F42-BD66-BDD843D2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3201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Francisco Fabian Delsalto Burneo</cp:lastModifiedBy>
  <cp:revision>61</cp:revision>
  <cp:lastPrinted>2019-09-26T16:04:00Z</cp:lastPrinted>
  <dcterms:created xsi:type="dcterms:W3CDTF">2019-08-20T14:32:00Z</dcterms:created>
  <dcterms:modified xsi:type="dcterms:W3CDTF">2019-09-26T16:11:00Z</dcterms:modified>
</cp:coreProperties>
</file>