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C13C" w14:textId="77777777" w:rsidR="00C216F2" w:rsidRDefault="00C216F2" w:rsidP="00433E73">
      <w:pPr>
        <w:jc w:val="center"/>
        <w:rPr>
          <w:rFonts w:ascii="Century Gothic" w:hAnsi="Century Gothic"/>
          <w:b/>
          <w:lang w:val="es-MX"/>
        </w:rPr>
      </w:pPr>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946444D" w14:textId="77777777" w:rsidR="003E443D" w:rsidRDefault="003E443D" w:rsidP="002069F6">
      <w:pPr>
        <w:jc w:val="both"/>
        <w:rPr>
          <w:rFonts w:ascii="Century Gothic" w:hAnsi="Century Gothic"/>
          <w:lang w:val="es-MX"/>
        </w:rPr>
      </w:pPr>
    </w:p>
    <w:p w14:paraId="567833F7" w14:textId="619359C8" w:rsidR="003E443D" w:rsidRDefault="003E443D" w:rsidP="003E443D">
      <w:pPr>
        <w:jc w:val="both"/>
        <w:rPr>
          <w:rFonts w:ascii="Century Gothic" w:hAnsi="Century Gothic"/>
          <w:lang w:val="es-MX"/>
        </w:rPr>
      </w:pPr>
      <w:r w:rsidRPr="003E443D">
        <w:rPr>
          <w:rFonts w:ascii="Century Gothic" w:hAnsi="Century Gothic"/>
          <w:lang w:val="es-MX"/>
        </w:rPr>
        <w:t>Las operadoras regularizadas mediante Ordenanza Metropolitana 128 suscribieron sus</w:t>
      </w:r>
      <w:r>
        <w:rPr>
          <w:rFonts w:ascii="Century Gothic" w:hAnsi="Century Gothic"/>
          <w:lang w:val="es-MX"/>
        </w:rPr>
        <w:t xml:space="preserve"> </w:t>
      </w:r>
      <w:r w:rsidRPr="003E443D">
        <w:rPr>
          <w:rFonts w:ascii="Century Gothic" w:hAnsi="Century Gothic"/>
          <w:lang w:val="es-MX"/>
        </w:rPr>
        <w:t>Contratos de Operación el 28 de noviembre de 2018 y el 05 de diciembre de 2018, cuyo</w:t>
      </w:r>
      <w:r>
        <w:rPr>
          <w:rFonts w:ascii="Century Gothic" w:hAnsi="Century Gothic"/>
          <w:lang w:val="es-MX"/>
        </w:rPr>
        <w:t xml:space="preserve"> </w:t>
      </w:r>
      <w:r w:rsidRPr="003E443D">
        <w:rPr>
          <w:rFonts w:ascii="Century Gothic" w:hAnsi="Century Gothic"/>
          <w:lang w:val="es-MX"/>
        </w:rPr>
        <w:t>objeto en la Clausula Cuarta establece lo siguiente: “</w:t>
      </w:r>
      <w:r w:rsidRPr="00A714F8">
        <w:rPr>
          <w:rFonts w:ascii="Century Gothic" w:hAnsi="Century Gothic"/>
          <w:i/>
          <w:iCs/>
          <w:lang w:val="es-MX"/>
        </w:rPr>
        <w:t>En virtud del presente Contrato</w:t>
      </w:r>
      <w:r w:rsidR="00A714F8" w:rsidRPr="00A714F8">
        <w:rPr>
          <w:rFonts w:ascii="Century Gothic" w:hAnsi="Century Gothic"/>
          <w:i/>
          <w:iCs/>
          <w:lang w:val="es-MX"/>
        </w:rPr>
        <w:t>,</w:t>
      </w:r>
      <w:r w:rsidRPr="00A714F8">
        <w:rPr>
          <w:rFonts w:ascii="Century Gothic" w:hAnsi="Century Gothic"/>
          <w:i/>
          <w:iCs/>
          <w:lang w:val="es-MX"/>
        </w:rPr>
        <w:t xml:space="preserve"> </w:t>
      </w:r>
      <w:r w:rsidR="00A714F8" w:rsidRPr="00A714F8">
        <w:rPr>
          <w:rFonts w:ascii="Century Gothic" w:hAnsi="Century Gothic"/>
          <w:i/>
          <w:iCs/>
          <w:lang w:val="es-MX"/>
        </w:rPr>
        <w:t>e</w:t>
      </w:r>
      <w:r w:rsidRPr="00A714F8">
        <w:rPr>
          <w:rFonts w:ascii="Century Gothic" w:hAnsi="Century Gothic"/>
          <w:i/>
          <w:iCs/>
          <w:lang w:val="es-MX"/>
        </w:rPr>
        <w:t>l Municipio</w:t>
      </w:r>
      <w:r w:rsidR="00A714F8" w:rsidRPr="00A714F8">
        <w:rPr>
          <w:rFonts w:ascii="Century Gothic" w:hAnsi="Century Gothic"/>
          <w:i/>
          <w:iCs/>
          <w:lang w:val="es-MX"/>
        </w:rPr>
        <w:t>,</w:t>
      </w:r>
      <w:r w:rsidRPr="00A714F8">
        <w:rPr>
          <w:rFonts w:ascii="Century Gothic" w:hAnsi="Century Gothic"/>
          <w:i/>
          <w:iCs/>
          <w:lang w:val="es-MX"/>
        </w:rPr>
        <w:t xml:space="preserve"> en ejercicio de sus competencias y atribuciones concede a la Operadora la facultad de establecer y prestar el servicio de transporte terrestre público de personas en</w:t>
      </w:r>
      <w:r w:rsidR="00A714F8" w:rsidRPr="00A714F8">
        <w:rPr>
          <w:rFonts w:ascii="Century Gothic" w:hAnsi="Century Gothic"/>
          <w:i/>
          <w:iCs/>
          <w:lang w:val="es-MX"/>
        </w:rPr>
        <w:t xml:space="preserve"> </w:t>
      </w:r>
      <w:r w:rsidRPr="00A714F8">
        <w:rPr>
          <w:rFonts w:ascii="Century Gothic" w:hAnsi="Century Gothic"/>
          <w:i/>
          <w:iCs/>
          <w:lang w:val="es-MX"/>
        </w:rPr>
        <w:t>el ámbito intracantonal</w:t>
      </w:r>
      <w:r w:rsidR="00A714F8" w:rsidRPr="00A714F8">
        <w:rPr>
          <w:rFonts w:ascii="Century Gothic" w:hAnsi="Century Gothic"/>
          <w:i/>
          <w:iCs/>
          <w:lang w:val="es-MX"/>
        </w:rPr>
        <w:t xml:space="preserve">, </w:t>
      </w:r>
      <w:r w:rsidRPr="00A714F8">
        <w:rPr>
          <w:rFonts w:ascii="Century Gothic" w:hAnsi="Century Gothic"/>
          <w:i/>
          <w:iCs/>
          <w:lang w:val="es-MX"/>
        </w:rPr>
        <w:t>en los puntos de origen y destino, y/o con las rutas, frecuencias</w:t>
      </w:r>
      <w:r w:rsidR="00A714F8" w:rsidRPr="00A714F8">
        <w:rPr>
          <w:rFonts w:ascii="Century Gothic" w:hAnsi="Century Gothic"/>
          <w:i/>
          <w:iCs/>
          <w:lang w:val="es-MX"/>
        </w:rPr>
        <w:t xml:space="preserve">, </w:t>
      </w:r>
      <w:r w:rsidRPr="00A714F8">
        <w:rPr>
          <w:rFonts w:ascii="Century Gothic" w:hAnsi="Century Gothic"/>
          <w:i/>
          <w:iCs/>
          <w:lang w:val="es-MX"/>
        </w:rPr>
        <w:t>flota, horario de atención, sistema tarifario y nivel de calidad descritos en el presente</w:t>
      </w:r>
      <w:r w:rsidR="00A714F8" w:rsidRPr="00A714F8">
        <w:rPr>
          <w:rFonts w:ascii="Century Gothic" w:hAnsi="Century Gothic"/>
          <w:i/>
          <w:iCs/>
          <w:lang w:val="es-MX"/>
        </w:rPr>
        <w:t xml:space="preserve"> </w:t>
      </w:r>
      <w:r w:rsidRPr="00A714F8">
        <w:rPr>
          <w:rFonts w:ascii="Century Gothic" w:hAnsi="Century Gothic"/>
          <w:i/>
          <w:iCs/>
          <w:lang w:val="es-MX"/>
        </w:rPr>
        <w:t>contrato, los documentos habilitantes y sus anexos, en los términos y condiciones</w:t>
      </w:r>
      <w:r w:rsidR="00A714F8" w:rsidRPr="00A714F8">
        <w:rPr>
          <w:rFonts w:ascii="Century Gothic" w:hAnsi="Century Gothic"/>
          <w:i/>
          <w:iCs/>
          <w:lang w:val="es-MX"/>
        </w:rPr>
        <w:t xml:space="preserve"> </w:t>
      </w:r>
      <w:r w:rsidRPr="00A714F8">
        <w:rPr>
          <w:rFonts w:ascii="Century Gothic" w:hAnsi="Century Gothic"/>
          <w:i/>
          <w:iCs/>
          <w:lang w:val="es-MX"/>
        </w:rPr>
        <w:t>dispuestas por la Autoridad Metropolitana competente, al amparo de las disposiciones</w:t>
      </w:r>
      <w:r w:rsidR="00A714F8" w:rsidRPr="00A714F8">
        <w:rPr>
          <w:rFonts w:ascii="Century Gothic" w:hAnsi="Century Gothic"/>
          <w:i/>
          <w:iCs/>
          <w:lang w:val="es-MX"/>
        </w:rPr>
        <w:t xml:space="preserve"> </w:t>
      </w:r>
      <w:r w:rsidRPr="00A714F8">
        <w:rPr>
          <w:rFonts w:ascii="Century Gothic" w:hAnsi="Century Gothic"/>
          <w:i/>
          <w:iCs/>
          <w:lang w:val="es-MX"/>
        </w:rPr>
        <w:t>legales aplicables en materia de transporte, en ese sentido, LA SECRETARÍA otorga a la</w:t>
      </w:r>
      <w:r w:rsidR="00A714F8" w:rsidRPr="00A714F8">
        <w:rPr>
          <w:rFonts w:ascii="Century Gothic" w:hAnsi="Century Gothic"/>
          <w:i/>
          <w:iCs/>
          <w:lang w:val="es-MX"/>
        </w:rPr>
        <w:t xml:space="preserve"> </w:t>
      </w:r>
      <w:r w:rsidRPr="00A714F8">
        <w:rPr>
          <w:rFonts w:ascii="Century Gothic" w:hAnsi="Century Gothic"/>
          <w:i/>
          <w:iCs/>
          <w:lang w:val="es-MX"/>
        </w:rPr>
        <w:t>Operadora el presente Título Habilitante para el desarrollo de la actividad materia de</w:t>
      </w:r>
      <w:r w:rsidR="00A714F8" w:rsidRPr="00A714F8">
        <w:rPr>
          <w:rFonts w:ascii="Century Gothic" w:hAnsi="Century Gothic"/>
          <w:i/>
          <w:iCs/>
          <w:lang w:val="es-MX"/>
        </w:rPr>
        <w:t xml:space="preserve"> </w:t>
      </w:r>
      <w:r w:rsidRPr="00A714F8">
        <w:rPr>
          <w:rFonts w:ascii="Century Gothic" w:hAnsi="Century Gothic"/>
          <w:i/>
          <w:iCs/>
          <w:lang w:val="es-MX"/>
        </w:rPr>
        <w:t>este Contrato</w:t>
      </w:r>
      <w:r w:rsidRPr="003E443D">
        <w:rPr>
          <w:rFonts w:ascii="Century Gothic" w:hAnsi="Century Gothic"/>
          <w:lang w:val="es-MX"/>
        </w:rPr>
        <w:t xml:space="preserve"> (…)”.</w:t>
      </w:r>
    </w:p>
    <w:p w14:paraId="6E6DD438" w14:textId="0D5DC676" w:rsidR="007F3E7A" w:rsidRDefault="007F3E7A" w:rsidP="007F3E7A">
      <w:pPr>
        <w:jc w:val="both"/>
        <w:rPr>
          <w:rFonts w:ascii="Century Gothic" w:hAnsi="Century Gothic"/>
          <w:lang w:val="es-MX"/>
        </w:rPr>
      </w:pPr>
      <w:r w:rsidRPr="007F3E7A">
        <w:rPr>
          <w:rFonts w:ascii="Century Gothic" w:hAnsi="Century Gothic"/>
          <w:lang w:val="es-MX"/>
        </w:rPr>
        <w:t>En ese contexto, la ordenanza previamente referida determina que la Secretaría de</w:t>
      </w:r>
      <w:r>
        <w:rPr>
          <w:rFonts w:ascii="Century Gothic" w:hAnsi="Century Gothic"/>
          <w:lang w:val="es-MX"/>
        </w:rPr>
        <w:t xml:space="preserve"> </w:t>
      </w:r>
      <w:r w:rsidRPr="007F3E7A">
        <w:rPr>
          <w:rFonts w:ascii="Century Gothic" w:hAnsi="Century Gothic"/>
          <w:lang w:val="es-MX"/>
        </w:rPr>
        <w:t>Movilidad, como órgano rector en materia de movilidad, será el Órgano competente</w:t>
      </w:r>
      <w:r>
        <w:rPr>
          <w:rFonts w:ascii="Century Gothic" w:hAnsi="Century Gothic"/>
          <w:lang w:val="es-MX"/>
        </w:rPr>
        <w:t xml:space="preserve"> </w:t>
      </w:r>
      <w:r w:rsidRPr="007F3E7A">
        <w:rPr>
          <w:rFonts w:ascii="Century Gothic" w:hAnsi="Century Gothic"/>
          <w:lang w:val="es-MX"/>
        </w:rPr>
        <w:t>para la suscripción o modificación de los contratos de operación y otorgamiento de las</w:t>
      </w:r>
      <w:r>
        <w:rPr>
          <w:rFonts w:ascii="Century Gothic" w:hAnsi="Century Gothic"/>
          <w:lang w:val="es-MX"/>
        </w:rPr>
        <w:t xml:space="preserve"> </w:t>
      </w:r>
      <w:r w:rsidRPr="007F3E7A">
        <w:rPr>
          <w:rFonts w:ascii="Century Gothic" w:hAnsi="Century Gothic"/>
          <w:lang w:val="es-MX"/>
        </w:rPr>
        <w:t>habilitaciones operacionales; determinando el tamaño de la flota requerida para cubrir la</w:t>
      </w:r>
      <w:r>
        <w:rPr>
          <w:rFonts w:ascii="Century Gothic" w:hAnsi="Century Gothic"/>
          <w:lang w:val="es-MX"/>
        </w:rPr>
        <w:t xml:space="preserve"> </w:t>
      </w:r>
      <w:r w:rsidRPr="007F3E7A">
        <w:rPr>
          <w:rFonts w:ascii="Century Gothic" w:hAnsi="Century Gothic"/>
          <w:lang w:val="es-MX"/>
        </w:rPr>
        <w:t>demanda del servicio de transporte público intracantonal y formulando las bases de la</w:t>
      </w:r>
      <w:r>
        <w:rPr>
          <w:rFonts w:ascii="Century Gothic" w:hAnsi="Century Gothic"/>
          <w:lang w:val="es-MX"/>
        </w:rPr>
        <w:t xml:space="preserve"> </w:t>
      </w:r>
      <w:r w:rsidRPr="007F3E7A">
        <w:rPr>
          <w:rFonts w:ascii="Century Gothic" w:hAnsi="Century Gothic"/>
          <w:lang w:val="es-MX"/>
        </w:rPr>
        <w:t>convocatoria al proceso; considerando la línea base existente respecto de las personas</w:t>
      </w:r>
      <w:r>
        <w:rPr>
          <w:rFonts w:ascii="Century Gothic" w:hAnsi="Century Gothic"/>
          <w:lang w:val="es-MX"/>
        </w:rPr>
        <w:t xml:space="preserve"> </w:t>
      </w:r>
      <w:r w:rsidRPr="007F3E7A">
        <w:rPr>
          <w:rFonts w:ascii="Century Gothic" w:hAnsi="Century Gothic"/>
          <w:lang w:val="es-MX"/>
        </w:rPr>
        <w:t xml:space="preserve">que habían venido prestando el servicio de transporte en la modalidad referida. </w:t>
      </w:r>
    </w:p>
    <w:p w14:paraId="61B768ED" w14:textId="5DA95CB2" w:rsidR="001F2C70"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2B53F5C7" w14:textId="1301FF9F" w:rsidR="004B303C" w:rsidRPr="004B303C" w:rsidRDefault="004B303C" w:rsidP="002069F6">
      <w:pPr>
        <w:jc w:val="both"/>
        <w:rPr>
          <w:rFonts w:ascii="Century Gothic" w:hAnsi="Century Gothic"/>
          <w:iCs/>
          <w:lang w:val="es-MX"/>
        </w:rPr>
      </w:pPr>
      <w:r w:rsidRPr="004B303C">
        <w:rPr>
          <w:rFonts w:ascii="Century Gothic" w:hAnsi="Century Gothic"/>
          <w:iCs/>
          <w:lang w:val="es-MX"/>
        </w:rPr>
        <w:t xml:space="preserve">En la Resolución SM 021-2016, se establecieron las rutas y sus recorridos, así como, la cantidad de vehículos necesarios para cubrir las mismas, esto fue 183 unidades, distribuidos de la siguiente manera: 128 en la Avenida Simón Bolívar y 55 en los </w:t>
      </w:r>
      <w:r w:rsidRPr="004B303C">
        <w:rPr>
          <w:rFonts w:ascii="Century Gothic" w:hAnsi="Century Gothic"/>
          <w:iCs/>
          <w:lang w:val="es-MX"/>
        </w:rPr>
        <w:lastRenderedPageBreak/>
        <w:t>sectores internos de Calderón; sin embargo, según consta en los contratos suscritos con las operadoras se otorgaron permisos de operación en recorridos diferentes en cada ruta y con una flota vehicular mayor en la Avenida Simón Bolívar, esto es 140 y una menor en los sectores internos de Calderón de 28 unidades (Anexo 3), obteniendo en el primer caso un incremento de 12 y en el segundo un decremento de 27 unidades, en virtud de lo cual, el Secretario de Movilidad realizó el cierre del proceso de regulación con 168 unidades de transporte para la avenida Simón Bolívar y sectores internos de la parroquia de Calderón, mediante Resolución SM-2019-012 el 25 de marzo de 2019, sin existir un estudio técnico que respalden las modificaciones antes mencionadas.</w:t>
      </w:r>
    </w:p>
    <w:p w14:paraId="66294E93" w14:textId="3534DC46" w:rsidR="007F3E7A" w:rsidRDefault="007F3E7A" w:rsidP="009627FB">
      <w:pPr>
        <w:jc w:val="both"/>
        <w:rPr>
          <w:rFonts w:ascii="Century Gothic" w:hAnsi="Century Gothic"/>
          <w:iCs/>
          <w:lang w:val="es-MX"/>
        </w:rPr>
      </w:pPr>
      <w:r>
        <w:rPr>
          <w:rFonts w:ascii="Century Gothic" w:hAnsi="Century Gothic"/>
          <w:iCs/>
          <w:lang w:val="es-MX"/>
        </w:rPr>
        <w:t xml:space="preserve">El </w:t>
      </w:r>
      <w:r w:rsidRPr="003E443D">
        <w:rPr>
          <w:rFonts w:ascii="Century Gothic" w:hAnsi="Century Gothic"/>
          <w:iCs/>
          <w:lang w:val="es-MX"/>
        </w:rPr>
        <w:t xml:space="preserve">Examen Especial al proceso de regularización, otorgamiento de contratos de operaciones y asignación de rutas del transporte público intracantonal en el corredor avenida Simón Bolívar y sectores internos de la parroquia de Calderón; </w:t>
      </w:r>
      <w:r w:rsidR="009627FB" w:rsidRPr="009627FB">
        <w:rPr>
          <w:rFonts w:ascii="Century Gothic" w:hAnsi="Century Gothic"/>
          <w:iCs/>
          <w:lang w:val="es-MX"/>
        </w:rPr>
        <w:t xml:space="preserve"> desprendi</w:t>
      </w:r>
      <w:r w:rsidR="009627FB">
        <w:rPr>
          <w:rFonts w:ascii="Century Gothic" w:hAnsi="Century Gothic"/>
          <w:iCs/>
          <w:lang w:val="es-MX"/>
        </w:rPr>
        <w:t>ó</w:t>
      </w:r>
      <w:r w:rsidR="009627FB" w:rsidRPr="009627FB">
        <w:rPr>
          <w:rFonts w:ascii="Century Gothic" w:hAnsi="Century Gothic"/>
          <w:iCs/>
          <w:lang w:val="es-MX"/>
        </w:rPr>
        <w:t xml:space="preserve"> varias conclusiones, entre la</w:t>
      </w:r>
      <w:r w:rsidR="009627FB">
        <w:rPr>
          <w:rFonts w:ascii="Century Gothic" w:hAnsi="Century Gothic"/>
          <w:iCs/>
          <w:lang w:val="es-MX"/>
        </w:rPr>
        <w:t xml:space="preserve"> </w:t>
      </w:r>
      <w:r w:rsidR="009627FB" w:rsidRPr="009627FB">
        <w:rPr>
          <w:rFonts w:ascii="Century Gothic" w:hAnsi="Century Gothic"/>
          <w:iCs/>
          <w:lang w:val="es-MX"/>
        </w:rPr>
        <w:t xml:space="preserve">cuales indica en su parte pertinente “(…) </w:t>
      </w:r>
      <w:r w:rsidR="009627FB" w:rsidRPr="009627FB">
        <w:rPr>
          <w:rFonts w:ascii="Century Gothic" w:hAnsi="Century Gothic"/>
          <w:i/>
          <w:lang w:val="es-MX"/>
        </w:rPr>
        <w:t>el Funcionario Directivo 3, Secretario de Movilidad al no supervisar y suscribir los contratos de operaciones y la Resolución de cierre del proceso sin verificar las rutas y flotas establecidas, ocasionó que la Secretaría de Movilidad del MDMQ otorgue permisos de operación, desconociendo la demanda real del servicio, afectando la movilidad en el Distrito Metropolitano de Quito</w:t>
      </w:r>
      <w:r w:rsidR="009627FB" w:rsidRPr="009627FB">
        <w:rPr>
          <w:rFonts w:ascii="Century Gothic" w:hAnsi="Century Gothic"/>
          <w:iCs/>
          <w:lang w:val="es-MX"/>
        </w:rPr>
        <w:t>.”; por lo</w:t>
      </w:r>
      <w:r w:rsidR="009627FB">
        <w:rPr>
          <w:rFonts w:ascii="Century Gothic" w:hAnsi="Century Gothic"/>
          <w:iCs/>
          <w:lang w:val="es-MX"/>
        </w:rPr>
        <w:t xml:space="preserve"> </w:t>
      </w:r>
      <w:r w:rsidR="009627FB" w:rsidRPr="009627FB">
        <w:rPr>
          <w:rFonts w:ascii="Century Gothic" w:hAnsi="Century Gothic"/>
          <w:iCs/>
          <w:lang w:val="es-MX"/>
        </w:rPr>
        <w:t>que se recomendó al Señor Secretario de Movilidad lo siguiente:</w:t>
      </w:r>
      <w:r w:rsidR="009627FB">
        <w:rPr>
          <w:rFonts w:ascii="Century Gothic" w:hAnsi="Century Gothic"/>
          <w:iCs/>
          <w:lang w:val="es-MX"/>
        </w:rPr>
        <w:t xml:space="preserve"> </w:t>
      </w:r>
      <w:r w:rsidR="009627FB" w:rsidRPr="009627FB">
        <w:rPr>
          <w:rFonts w:ascii="Century Gothic" w:hAnsi="Century Gothic"/>
          <w:iCs/>
          <w:lang w:val="es-MX"/>
        </w:rPr>
        <w:t>“</w:t>
      </w:r>
      <w:r w:rsidR="009627FB" w:rsidRPr="009627FB">
        <w:rPr>
          <w:rFonts w:ascii="Century Gothic" w:hAnsi="Century Gothic"/>
          <w:i/>
          <w:lang w:val="es-MX"/>
        </w:rPr>
        <w:t>Dispondrá y controlará al Director Metropolitano de Gestión de la Movilidad y Asesoría Jurídica que previo a la suscripción o modificación de los contratos de operaciones, cuenten con los estudios técnicos actualizados y los contratos estén conforme a los mismos, a fin de que las operadoras brinden un adecuado servicio público de transporte de pasajeros en el Distrito Metropolitano de Quito</w:t>
      </w:r>
      <w:r w:rsidR="009627FB" w:rsidRPr="009627FB">
        <w:rPr>
          <w:rFonts w:ascii="Century Gothic" w:hAnsi="Century Gothic"/>
          <w:iCs/>
          <w:lang w:val="es-MX"/>
        </w:rPr>
        <w:t>”</w:t>
      </w:r>
    </w:p>
    <w:p w14:paraId="54413047" w14:textId="62C6BFA9"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si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deben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2877986F" w14:textId="07B2E513" w:rsidR="003E443D"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el transporte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0CCE5A17" w14:textId="77777777" w:rsidR="004B303C" w:rsidRDefault="004B303C" w:rsidP="004B303C">
      <w:pPr>
        <w:rPr>
          <w:rFonts w:ascii="Century Gothic" w:hAnsi="Century Gothic"/>
          <w:iCs/>
          <w:lang w:val="es-MX"/>
        </w:rPr>
      </w:pPr>
    </w:p>
    <w:p w14:paraId="2D09B545" w14:textId="4EB83B78" w:rsidR="00E45D2D" w:rsidRPr="00126125" w:rsidRDefault="00E45D2D" w:rsidP="004B303C">
      <w:pPr>
        <w:jc w:val="center"/>
        <w:rPr>
          <w:rFonts w:ascii="Century Gothic" w:hAnsi="Century Gothic"/>
          <w:b/>
          <w:lang w:val="es-MX"/>
        </w:rPr>
      </w:pPr>
      <w:r w:rsidRPr="00126125">
        <w:rPr>
          <w:rFonts w:ascii="Century Gothic" w:hAnsi="Century Gothic"/>
          <w:b/>
          <w:lang w:val="es-MX"/>
        </w:rPr>
        <w:lastRenderedPageBreak/>
        <w:t>CONSIDERANDO</w:t>
      </w:r>
    </w:p>
    <w:p w14:paraId="687BF08E" w14:textId="77777777" w:rsidR="00433E73" w:rsidRPr="002756AC" w:rsidRDefault="00433E73" w:rsidP="00E45D2D">
      <w:pPr>
        <w:jc w:val="center"/>
        <w:rPr>
          <w:rFonts w:ascii="Century Gothic" w:hAnsi="Century Gothic"/>
          <w:b/>
          <w:i/>
          <w:lang w:val="es-MX"/>
        </w:rPr>
      </w:pPr>
    </w:p>
    <w:p w14:paraId="12B367E6" w14:textId="6BADDA7A" w:rsidR="004E1742" w:rsidRDefault="004E1742" w:rsidP="003C7E81">
      <w:pPr>
        <w:ind w:left="720" w:hanging="720"/>
        <w:jc w:val="both"/>
        <w:rPr>
          <w:rFonts w:ascii="Century Gothic" w:hAnsi="Century Gothic"/>
          <w:b/>
          <w:iCs/>
          <w:lang w:val="es-MX"/>
        </w:rPr>
      </w:pPr>
      <w:r w:rsidRPr="004E1742">
        <w:rPr>
          <w:rFonts w:ascii="Century Gothic" w:hAnsi="Century Gothic"/>
          <w:b/>
          <w:iCs/>
          <w:lang w:val="es-MX"/>
        </w:rPr>
        <w:t>Que,</w:t>
      </w:r>
      <w:r w:rsidR="00B83221">
        <w:rPr>
          <w:rFonts w:ascii="Century Gothic" w:hAnsi="Century Gothic"/>
          <w:b/>
          <w:iCs/>
          <w:lang w:val="es-MX"/>
        </w:rPr>
        <w:tab/>
      </w:r>
      <w:r w:rsidRPr="004E1742">
        <w:rPr>
          <w:rFonts w:ascii="Century Gothic" w:hAnsi="Century Gothic"/>
          <w:bCs/>
          <w:iCs/>
          <w:lang w:val="es-MX"/>
        </w:rPr>
        <w:t xml:space="preserve">el numeral </w:t>
      </w:r>
      <w:r>
        <w:rPr>
          <w:rFonts w:ascii="Century Gothic" w:hAnsi="Century Gothic"/>
          <w:bCs/>
          <w:iCs/>
          <w:lang w:val="es-MX"/>
        </w:rPr>
        <w:t>3</w:t>
      </w:r>
      <w:r w:rsidRPr="004E1742">
        <w:rPr>
          <w:rFonts w:ascii="Century Gothic" w:hAnsi="Century Gothic"/>
          <w:bCs/>
          <w:iCs/>
          <w:lang w:val="es-MX"/>
        </w:rPr>
        <w:t xml:space="preserve"> del artículo 264 de la Constitución de la República del Ecuador, en adelante “Constitución", establece que es una competencia exclusiva de los gobiernos municipales:</w:t>
      </w:r>
      <w:r>
        <w:rPr>
          <w:rFonts w:ascii="Century Gothic" w:hAnsi="Century Gothic"/>
          <w:bCs/>
          <w:iCs/>
          <w:lang w:val="es-MX"/>
        </w:rPr>
        <w:t xml:space="preserve"> </w:t>
      </w:r>
      <w:r w:rsidRPr="004E1742">
        <w:rPr>
          <w:rFonts w:ascii="Century Gothic" w:hAnsi="Century Gothic"/>
          <w:bCs/>
          <w:i/>
          <w:lang w:val="es-MX"/>
        </w:rPr>
        <w:t>“(…</w:t>
      </w:r>
      <w:r>
        <w:rPr>
          <w:rFonts w:ascii="Century Gothic" w:hAnsi="Century Gothic"/>
          <w:bCs/>
          <w:i/>
          <w:lang w:val="es-MX"/>
        </w:rPr>
        <w:t xml:space="preserve">) </w:t>
      </w:r>
      <w:r w:rsidRPr="004E1742">
        <w:rPr>
          <w:rFonts w:ascii="Century Gothic" w:hAnsi="Century Gothic"/>
          <w:bCs/>
          <w:i/>
          <w:lang w:val="es-MX"/>
        </w:rPr>
        <w:t>3. Planificar, construir y mantener la vialidad urbana.</w:t>
      </w:r>
      <w:r>
        <w:rPr>
          <w:rFonts w:ascii="Century Gothic" w:hAnsi="Century Gothic"/>
          <w:bCs/>
          <w:i/>
          <w:lang w:val="es-MX"/>
        </w:rPr>
        <w:t xml:space="preserve"> (…)”;</w:t>
      </w:r>
    </w:p>
    <w:p w14:paraId="75C86547" w14:textId="282A235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numeral 6 del artículo 264 de la Constitució</w:t>
      </w:r>
      <w:r w:rsidR="004E1742">
        <w:rPr>
          <w:rFonts w:ascii="Century Gothic" w:hAnsi="Century Gothic"/>
          <w:iCs/>
          <w:lang w:val="es-MX"/>
        </w:rPr>
        <w:t>n</w:t>
      </w:r>
      <w:r w:rsidRPr="002756AC">
        <w:rPr>
          <w:rFonts w:ascii="Century Gothic" w:hAnsi="Century Gothic"/>
          <w:iCs/>
          <w:lang w:val="es-MX"/>
        </w:rPr>
        <w:t>,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5F48370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34D8B6D"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394 de la Constitución dispone que</w:t>
      </w:r>
      <w:r w:rsidRPr="002756AC">
        <w:rPr>
          <w:rFonts w:ascii="Century Gothic" w:hAnsi="Century Gothic"/>
          <w:i/>
          <w:lang w:val="es-MX"/>
        </w:rPr>
        <w:t xml:space="preserv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w:t>
      </w:r>
      <w:r w:rsidR="00193052" w:rsidRPr="002756AC">
        <w:rPr>
          <w:rFonts w:ascii="Century Gothic" w:hAnsi="Century Gothic"/>
          <w:i/>
          <w:lang w:val="es-MX"/>
        </w:rPr>
        <w:t>las actividades aeroportuarias”.</w:t>
      </w:r>
    </w:p>
    <w:p w14:paraId="458CE055" w14:textId="22E68EBA" w:rsidR="00433E73"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7AF7BFEC" w14:textId="05369764" w:rsidR="00B83221" w:rsidRDefault="00B83221" w:rsidP="003C7E81">
      <w:pPr>
        <w:ind w:left="720" w:hanging="720"/>
        <w:jc w:val="both"/>
        <w:rPr>
          <w:rFonts w:ascii="Century Gothic" w:hAnsi="Century Gothic"/>
          <w:i/>
          <w:lang w:val="es-MX"/>
        </w:rPr>
      </w:pPr>
      <w:r>
        <w:rPr>
          <w:rFonts w:ascii="Century Gothic" w:hAnsi="Century Gothic"/>
          <w:b/>
          <w:bCs/>
          <w:iCs/>
          <w:lang w:val="es-MX"/>
        </w:rPr>
        <w:t>Que,</w:t>
      </w:r>
      <w:r>
        <w:rPr>
          <w:rFonts w:ascii="Century Gothic" w:hAnsi="Century Gothic"/>
          <w:b/>
          <w:bCs/>
          <w:iCs/>
          <w:lang w:val="es-MX"/>
        </w:rPr>
        <w:tab/>
      </w:r>
      <w:r w:rsidRPr="00B83221">
        <w:rPr>
          <w:rFonts w:ascii="Century Gothic" w:hAnsi="Century Gothic"/>
          <w:iCs/>
          <w:lang w:val="es-MX"/>
        </w:rPr>
        <w:t xml:space="preserve">el </w:t>
      </w:r>
      <w:r>
        <w:rPr>
          <w:rFonts w:ascii="Century Gothic" w:hAnsi="Century Gothic"/>
          <w:iCs/>
          <w:lang w:val="es-MX"/>
        </w:rPr>
        <w:t xml:space="preserve">literal f) del </w:t>
      </w:r>
      <w:r w:rsidRPr="00B83221">
        <w:rPr>
          <w:rFonts w:ascii="Century Gothic" w:hAnsi="Century Gothic"/>
          <w:iCs/>
          <w:lang w:val="es-MX"/>
        </w:rPr>
        <w:t xml:space="preserve">artículo </w:t>
      </w:r>
      <w:r>
        <w:rPr>
          <w:rFonts w:ascii="Century Gothic" w:hAnsi="Century Gothic"/>
          <w:iCs/>
          <w:lang w:val="es-MX"/>
        </w:rPr>
        <w:t>54</w:t>
      </w:r>
      <w:r w:rsidRPr="00B83221">
        <w:rPr>
          <w:rFonts w:ascii="Century Gothic" w:hAnsi="Century Gothic"/>
          <w:iCs/>
          <w:lang w:val="es-MX"/>
        </w:rPr>
        <w:t xml:space="preserve"> del</w:t>
      </w:r>
      <w:r>
        <w:rPr>
          <w:rFonts w:ascii="Century Gothic" w:hAnsi="Century Gothic"/>
          <w:iCs/>
          <w:lang w:val="es-MX"/>
        </w:rPr>
        <w:t xml:space="preserve"> COOTAD dispone: </w:t>
      </w:r>
      <w:r w:rsidRPr="00B83221">
        <w:rPr>
          <w:rFonts w:ascii="Century Gothic" w:hAnsi="Century Gothic"/>
          <w:i/>
          <w:lang w:val="es-MX"/>
        </w:rPr>
        <w:t>“(…)</w:t>
      </w:r>
      <w:r w:rsidRPr="00B83221">
        <w:rPr>
          <w:rFonts w:ascii="Century Gothic" w:hAnsi="Century Gothic"/>
          <w:b/>
          <w:bCs/>
          <w:iCs/>
          <w:lang w:val="es-MX"/>
        </w:rPr>
        <w:t xml:space="preserve"> </w:t>
      </w:r>
      <w:r w:rsidRPr="00B83221">
        <w:rPr>
          <w:rFonts w:ascii="Century Gothic" w:hAnsi="Century Gothic"/>
          <w:i/>
          <w:lang w:val="es-MX"/>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Pr>
          <w:rFonts w:ascii="Century Gothic" w:hAnsi="Century Gothic"/>
          <w:i/>
          <w:lang w:val="es-MX"/>
        </w:rPr>
        <w:t xml:space="preserve"> </w:t>
      </w:r>
      <w:r w:rsidRPr="00B83221">
        <w:rPr>
          <w:rFonts w:ascii="Century Gothic" w:hAnsi="Century Gothic"/>
          <w:i/>
          <w:lang w:val="es-MX"/>
        </w:rPr>
        <w:t>(…)”;</w:t>
      </w:r>
    </w:p>
    <w:p w14:paraId="4F221AB9" w14:textId="672BD0A2" w:rsidR="00B83221" w:rsidRPr="00B83221" w:rsidRDefault="00B83221" w:rsidP="003C7E81">
      <w:pPr>
        <w:ind w:left="720" w:hanging="720"/>
        <w:jc w:val="both"/>
        <w:rPr>
          <w:rFonts w:ascii="Century Gothic" w:hAnsi="Century Gothic"/>
          <w:iCs/>
          <w:lang w:val="es-MX"/>
        </w:rPr>
      </w:pPr>
      <w:r w:rsidRPr="00B83221">
        <w:rPr>
          <w:rFonts w:ascii="Century Gothic" w:hAnsi="Century Gothic"/>
          <w:b/>
          <w:bCs/>
          <w:iCs/>
          <w:lang w:val="es-MX"/>
        </w:rPr>
        <w:t>Que,</w:t>
      </w:r>
      <w:r w:rsidRPr="00B83221">
        <w:rPr>
          <w:rFonts w:ascii="Century Gothic" w:hAnsi="Century Gothic"/>
          <w:iCs/>
          <w:lang w:val="es-MX"/>
        </w:rPr>
        <w:tab/>
        <w:t xml:space="preserve">el literal f) del artículo </w:t>
      </w:r>
      <w:r>
        <w:rPr>
          <w:rFonts w:ascii="Century Gothic" w:hAnsi="Century Gothic"/>
          <w:iCs/>
          <w:lang w:val="es-MX"/>
        </w:rPr>
        <w:t>55</w:t>
      </w:r>
      <w:r w:rsidRPr="00B83221">
        <w:rPr>
          <w:rFonts w:ascii="Century Gothic" w:hAnsi="Century Gothic"/>
          <w:iCs/>
          <w:lang w:val="es-MX"/>
        </w:rPr>
        <w:t xml:space="preserve"> del COOTAD dispone: </w:t>
      </w:r>
      <w:r w:rsidRPr="00B83221">
        <w:rPr>
          <w:rFonts w:ascii="Century Gothic" w:hAnsi="Century Gothic"/>
          <w:i/>
          <w:lang w:val="es-MX"/>
        </w:rPr>
        <w:t>“(…) f) Planificar, regular y controlar el tránsito y el transporte terrestre dentro de su circunscripción cantonal 7</w:t>
      </w:r>
      <w:r>
        <w:rPr>
          <w:rFonts w:ascii="Century Gothic" w:hAnsi="Century Gothic"/>
          <w:i/>
          <w:lang w:val="es-MX"/>
        </w:rPr>
        <w:t xml:space="preserve"> </w:t>
      </w:r>
      <w:r w:rsidRPr="00B83221">
        <w:rPr>
          <w:rFonts w:ascii="Century Gothic" w:hAnsi="Century Gothic"/>
          <w:i/>
          <w:lang w:val="es-MX"/>
        </w:rPr>
        <w:t>(…)”</w:t>
      </w:r>
      <w:r w:rsidRPr="00B83221">
        <w:rPr>
          <w:rFonts w:ascii="Century Gothic" w:hAnsi="Century Gothic"/>
          <w:iCs/>
          <w:lang w:val="es-MX"/>
        </w:rPr>
        <w:t>;</w:t>
      </w:r>
    </w:p>
    <w:p w14:paraId="4886FE5C" w14:textId="2081736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00B83221">
        <w:rPr>
          <w:rFonts w:ascii="Century Gothic" w:hAnsi="Century Gothic"/>
          <w:iCs/>
          <w:lang w:val="es-MX"/>
        </w:rPr>
        <w:tab/>
      </w:r>
      <w:r w:rsidRPr="002756AC">
        <w:rPr>
          <w:rFonts w:ascii="Century Gothic" w:hAnsi="Century Gothic"/>
          <w:iCs/>
          <w:lang w:val="es-MX"/>
        </w:rPr>
        <w:t xml:space="preserve">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3C05076E" w:rsidR="00433E73"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 xml:space="preserve">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27FAD0B1" w14:textId="00D00501" w:rsidR="00D04437" w:rsidRPr="00D04437" w:rsidRDefault="00D04437" w:rsidP="00D04437">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D04437">
        <w:rPr>
          <w:rFonts w:ascii="Century Gothic" w:hAnsi="Century Gothic"/>
          <w:bCs/>
          <w:iCs/>
          <w:lang w:val="es-MX"/>
        </w:rPr>
        <w:t>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3AE0726D" w14:textId="777C24C6"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 de la Ley Orgánica de Transporte Terrestre, Tránsito y Seguridad Vial, en adelante "LOTTTSV", determina que</w:t>
      </w:r>
      <w:r w:rsidRPr="002756AC">
        <w:rPr>
          <w:rFonts w:ascii="Century Gothic" w:hAnsi="Century Gothic"/>
          <w:i/>
          <w:lang w:val="es-MX"/>
        </w:rPr>
        <w:t xml:space="preserve">: "El Estado garantizara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w:t>
      </w:r>
      <w:r w:rsidR="002C5169" w:rsidRPr="002756AC">
        <w:rPr>
          <w:rFonts w:ascii="Century Gothic" w:hAnsi="Century Gothic"/>
          <w:i/>
          <w:lang w:val="es-MX"/>
        </w:rPr>
        <w:t xml:space="preserve">an a aplicar. (...) Los </w:t>
      </w:r>
      <w:r w:rsidR="002C5169" w:rsidRPr="002756AC">
        <w:rPr>
          <w:rFonts w:ascii="Century Gothic" w:hAnsi="Century Gothic"/>
          <w:i/>
          <w:lang w:val="es-MX"/>
        </w:rPr>
        <w:lastRenderedPageBreak/>
        <w:t>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p>
    <w:p w14:paraId="7D11A0D5"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560611C8"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otorgaran</w:t>
      </w:r>
      <w:r w:rsidRPr="002756AC">
        <w:rPr>
          <w:rFonts w:ascii="Century Gothic" w:hAnsi="Century Gothic"/>
          <w:i/>
          <w:lang w:val="es-MX"/>
        </w:rPr>
        <w:t xml:space="preserve"> a tus 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252D518B"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publico de persona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primer inciso del artículo 76 de la LOTTTSV, concordante con el artículo 66 del Reglamento General a la Ley Orgánica de Transporte Terrestre, Transito Seguridad Vial, en adelante "RGLOTTTSV", prescribe que</w:t>
      </w:r>
      <w:r w:rsidRPr="002756AC">
        <w:rPr>
          <w:rFonts w:ascii="Century Gothic" w:hAnsi="Century Gothic"/>
          <w:i/>
          <w:lang w:val="es-MX"/>
        </w:rPr>
        <w:t>: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 (...)”;</w:t>
      </w:r>
    </w:p>
    <w:p w14:paraId="16EFB84A" w14:textId="24E3C98B" w:rsidR="00C86D5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78 de la LOTTTSV señala que</w:t>
      </w:r>
      <w:r w:rsidRPr="002756AC">
        <w:rPr>
          <w:rFonts w:ascii="Century Gothic" w:hAnsi="Century Gothic"/>
          <w:i/>
          <w:lang w:val="es-MX"/>
        </w:rPr>
        <w:t xml:space="preserve">: "Toda operadora de transporte terrestre que estuviese autorizada para la prestación del servicio, deberá hacerlo única y exclusivamente en las clases de automotores que el Reglamento determine, dependiendo de su clase y tipo"; </w:t>
      </w:r>
    </w:p>
    <w:p w14:paraId="51B7900B" w14:textId="0FC3976D" w:rsidR="009B4786" w:rsidRPr="009B4786" w:rsidRDefault="009B4786" w:rsidP="003C7E81">
      <w:pPr>
        <w:ind w:left="720" w:hanging="720"/>
        <w:jc w:val="both"/>
        <w:rPr>
          <w:rFonts w:ascii="Century Gothic" w:hAnsi="Century Gothic"/>
          <w:bCs/>
          <w:i/>
          <w:lang w:val="es-MX"/>
        </w:rPr>
      </w:pPr>
      <w:r>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 xml:space="preserve">el </w:t>
      </w:r>
      <w:r>
        <w:rPr>
          <w:rFonts w:ascii="Century Gothic" w:hAnsi="Century Gothic"/>
          <w:bCs/>
          <w:iCs/>
          <w:lang w:val="es-MX"/>
        </w:rPr>
        <w:t>artículo 73 del RGLOTTTSV dispone: “</w:t>
      </w:r>
      <w:r w:rsidRPr="009B4786">
        <w:rPr>
          <w:rFonts w:ascii="Century Gothic" w:hAnsi="Century Gothic"/>
          <w:bCs/>
          <w:i/>
          <w:lang w:val="es-MX"/>
        </w:rPr>
        <w:t>La presentación de la solicitud para la obtención del título habilitante para la prestación del servicio de transporte terrestre público y comercial en las zonas solicitadas, estará condicionada al estudio de la necesidad de servicio, que lo realizarán la ANT, las Unidades Administrativas Regionales o Provinciales, o los GADs que hayan asumido las competencias, según corresponda</w:t>
      </w:r>
      <w:r>
        <w:rPr>
          <w:rFonts w:ascii="Century Gothic" w:hAnsi="Century Gothic"/>
          <w:bCs/>
          <w:iCs/>
          <w:lang w:val="es-MX"/>
        </w:rPr>
        <w:t>”</w:t>
      </w:r>
      <w:r w:rsidRPr="009B4786">
        <w:rPr>
          <w:rFonts w:ascii="Century Gothic" w:hAnsi="Century Gothic"/>
          <w:bCs/>
          <w:iCs/>
          <w:lang w:val="es-MX"/>
        </w:rPr>
        <w:t>.</w:t>
      </w:r>
    </w:p>
    <w:p w14:paraId="057DA177" w14:textId="69A9F4FD"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6193CD2F" w:rsidR="00C86D5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7E337596" w14:textId="01352108" w:rsidR="002A22AD" w:rsidRPr="002A22AD" w:rsidRDefault="002A22AD" w:rsidP="002A22AD">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2756AC">
        <w:rPr>
          <w:rFonts w:ascii="Century Gothic" w:hAnsi="Century Gothic"/>
          <w:iCs/>
          <w:lang w:val="es-MX"/>
        </w:rPr>
        <w:t xml:space="preserve">el numeral </w:t>
      </w:r>
      <w:r>
        <w:rPr>
          <w:rFonts w:ascii="Century Gothic" w:hAnsi="Century Gothic"/>
          <w:iCs/>
          <w:lang w:val="es-MX"/>
        </w:rPr>
        <w:t>2 y 3</w:t>
      </w:r>
      <w:r w:rsidRPr="002756AC">
        <w:rPr>
          <w:rFonts w:ascii="Century Gothic" w:hAnsi="Century Gothic"/>
          <w:iCs/>
          <w:lang w:val="es-MX"/>
        </w:rPr>
        <w:t xml:space="preserve"> del artículo </w:t>
      </w:r>
      <w:r>
        <w:rPr>
          <w:rFonts w:ascii="Century Gothic" w:hAnsi="Century Gothic"/>
          <w:iCs/>
          <w:lang w:val="es-MX"/>
        </w:rPr>
        <w:t>2576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Pr>
          <w:rFonts w:ascii="Century Gothic" w:hAnsi="Century Gothic"/>
          <w:i/>
          <w:lang w:val="es-MX"/>
        </w:rPr>
        <w:t xml:space="preserve">“(…) </w:t>
      </w:r>
      <w:r w:rsidRPr="002A22AD">
        <w:rPr>
          <w:rFonts w:ascii="Century Gothic" w:hAnsi="Century Gothic"/>
          <w:bCs/>
          <w:i/>
          <w:lang w:val="es-MX"/>
        </w:rPr>
        <w:t xml:space="preserve">2.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w:t>
      </w:r>
      <w:r w:rsidRPr="002A22AD">
        <w:rPr>
          <w:rFonts w:ascii="Century Gothic" w:hAnsi="Century Gothic"/>
          <w:bCs/>
          <w:i/>
          <w:lang w:val="es-MX"/>
        </w:rPr>
        <w:lastRenderedPageBreak/>
        <w:t>Transporte Público de Pasajeros, de conformidad con el orgánico-funcional del Distrito Metropolitano de Quito (el “Administrador o Administradora del Sistema”).</w:t>
      </w:r>
      <w:r>
        <w:rPr>
          <w:rFonts w:ascii="Century Gothic" w:hAnsi="Century Gothic"/>
          <w:b/>
          <w:iCs/>
          <w:lang w:val="es-MX"/>
        </w:rPr>
        <w:t xml:space="preserve">; </w:t>
      </w:r>
      <w:r w:rsidRPr="002A22AD">
        <w:rPr>
          <w:rFonts w:ascii="Century Gothic" w:hAnsi="Century Gothic"/>
          <w:bCs/>
          <w:i/>
          <w:lang w:val="es-MX"/>
        </w:rPr>
        <w:t>3. La expedición o suscripción de los títulos habilitantes para la prestación del servicio de transporte público de pasajeros, y su registro, es competencia del Administrador o Administradora del Sistema.</w:t>
      </w:r>
      <w:r>
        <w:rPr>
          <w:rFonts w:ascii="Century Gothic" w:hAnsi="Century Gothic"/>
          <w:bCs/>
          <w:i/>
          <w:lang w:val="es-MX"/>
        </w:rPr>
        <w:t>(…)”;</w:t>
      </w:r>
    </w:p>
    <w:p w14:paraId="722EC760" w14:textId="2CDD7DE0"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BC5710">
        <w:rPr>
          <w:rFonts w:ascii="Century Gothic" w:hAnsi="Century Gothic"/>
          <w:iCs/>
          <w:lang w:val="es-MX"/>
        </w:rPr>
        <w:tab/>
      </w:r>
      <w:r w:rsidRPr="002756AC">
        <w:rPr>
          <w:rFonts w:ascii="Century Gothic" w:hAnsi="Century Gothic"/>
          <w:iCs/>
          <w:lang w:val="es-MX"/>
        </w:rPr>
        <w:t xml:space="preserve">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w:t>
      </w:r>
      <w:r w:rsidR="002A22AD">
        <w:rPr>
          <w:rFonts w:ascii="Century Gothic" w:hAnsi="Century Gothic"/>
          <w:iCs/>
          <w:lang w:val="es-MX"/>
        </w:rPr>
        <w:t>86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759622E0" w14:textId="77777777" w:rsidR="009B4786" w:rsidRPr="009B4786" w:rsidRDefault="009B4786" w:rsidP="009B4786">
      <w:pPr>
        <w:ind w:left="720" w:hanging="720"/>
        <w:jc w:val="both"/>
        <w:rPr>
          <w:rFonts w:ascii="Century Gothic" w:hAnsi="Century Gothic"/>
          <w:bCs/>
          <w:iCs/>
          <w:lang w:val="es-MX"/>
        </w:rPr>
      </w:pPr>
      <w:r w:rsidRPr="009B4786">
        <w:rPr>
          <w:rFonts w:ascii="Century Gothic" w:hAnsi="Century Gothic"/>
          <w:b/>
          <w:iCs/>
          <w:lang w:val="es-MX"/>
        </w:rPr>
        <w:t>Que,</w:t>
      </w:r>
      <w:r w:rsidRPr="009B4786">
        <w:rPr>
          <w:rFonts w:ascii="Century Gothic" w:hAnsi="Century Gothic"/>
          <w:b/>
          <w:iCs/>
          <w:lang w:val="es-MX"/>
        </w:rPr>
        <w:tab/>
      </w:r>
      <w:r w:rsidRPr="009B4786">
        <w:rPr>
          <w:rFonts w:ascii="Century Gothic" w:hAnsi="Century Gothic"/>
          <w:bCs/>
          <w:iCs/>
          <w:lang w:val="es-MX"/>
        </w:rPr>
        <w:t>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395B84CD" w14:textId="001541A1" w:rsidR="009B4786" w:rsidRDefault="009B4786" w:rsidP="009B4786">
      <w:pPr>
        <w:ind w:left="720" w:hanging="720"/>
        <w:jc w:val="both"/>
        <w:rPr>
          <w:rFonts w:ascii="Century Gothic" w:hAnsi="Century Gothic"/>
          <w:b/>
          <w:iCs/>
          <w:lang w:val="es-MX"/>
        </w:rPr>
      </w:pPr>
      <w:r w:rsidRPr="009B4786">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la Disposición General Décima Primera de la Ordenanza Metropolitana No. 247, dispone: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Alcalde del DMQ, quien dispondrá a la EMSAT realizar el estudio técnico, y los resultados del mismo serán presentados para su aprobación al Concejo Metropolitano de Quito";</w:t>
      </w:r>
    </w:p>
    <w:p w14:paraId="07A3B14E" w14:textId="7FCEBDFD"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7777777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w:t>
      </w:r>
      <w:r w:rsidRPr="002756AC">
        <w:rPr>
          <w:rFonts w:ascii="Century Gothic" w:hAnsi="Century Gothic"/>
          <w:i/>
          <w:lang w:val="es-MX"/>
        </w:rPr>
        <w:lastRenderedPageBreak/>
        <w:t xml:space="preserve">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01169700"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xml:space="preserve">: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w:t>
      </w:r>
      <w:r w:rsidRPr="002756AC">
        <w:rPr>
          <w:rFonts w:ascii="Century Gothic" w:hAnsi="Century Gothic"/>
          <w:i/>
          <w:lang w:val="es-MX"/>
        </w:rPr>
        <w:lastRenderedPageBreak/>
        <w:t>efectúe la convocatoria tendrá un plazo de 180 días para la culminación del proceso de regularización";</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77777777"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xml:space="preserve">. Para el efecto, la Dirección Metropolitana de Gestión de la Movilidad de esta Secretaría, al 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w:t>
      </w:r>
      <w:r w:rsidR="001F2C70" w:rsidRPr="002756AC">
        <w:rPr>
          <w:rFonts w:ascii="Century Gothic" w:hAnsi="Century Gothic"/>
          <w:i/>
          <w:lang w:val="es-MX"/>
        </w:rPr>
        <w:t>sería lados</w:t>
      </w:r>
      <w:r w:rsidRPr="002756AC">
        <w:rPr>
          <w:rFonts w:ascii="Century Gothic" w:hAnsi="Century Gothic"/>
          <w:i/>
          <w:lang w:val="es-MX"/>
        </w:rPr>
        <w:t>.";</w:t>
      </w:r>
    </w:p>
    <w:p w14:paraId="5DD3B7B9" w14:textId="48BDE171" w:rsidR="00D440F7" w:rsidRPr="006129E5" w:rsidRDefault="002C5169" w:rsidP="006129E5">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mediante ordenanza metropolitana 017-2020, de 01 de diciembre de 2020, el Concejo Metropolitano de Quito, resolvió expedir la ordenanza que </w:t>
      </w:r>
      <w:r w:rsidRPr="00714397">
        <w:rPr>
          <w:rFonts w:ascii="Century Gothic" w:hAnsi="Century Gothic"/>
          <w:iCs/>
          <w:lang w:val="es-MX"/>
        </w:rPr>
        <w:t xml:space="preserve">establece la integración de los subsistemas de sistema metropolitano de transporte público de pasajeros, misma que contempla la integración operacional, de interconexión de los diferentes subsistemas de transporte público. </w:t>
      </w:r>
    </w:p>
    <w:p w14:paraId="7C2AE9AC" w14:textId="6A26A253"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00AF1FDB">
        <w:rPr>
          <w:rFonts w:ascii="Century Gothic" w:hAnsi="Century Gothic"/>
          <w:iCs/>
          <w:lang w:val="es-MX"/>
        </w:rPr>
        <w:tab/>
      </w:r>
      <w:r w:rsidRPr="00714397">
        <w:rPr>
          <w:rFonts w:ascii="Century Gothic" w:hAnsi="Century Gothic"/>
          <w:iCs/>
          <w:lang w:val="es-MX"/>
        </w:rPr>
        <w:t>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43E42AA" w14:textId="77777777" w:rsidR="00AD4401" w:rsidRDefault="00AD4401" w:rsidP="001F2C70">
      <w:pPr>
        <w:jc w:val="center"/>
        <w:rPr>
          <w:rFonts w:ascii="Century Gothic" w:hAnsi="Century Gothic"/>
          <w:b/>
          <w:iCs/>
          <w:lang w:val="es-MX"/>
        </w:rPr>
      </w:pPr>
    </w:p>
    <w:p w14:paraId="39DBCD57" w14:textId="258D2E84"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5F7CB518" w14:textId="7A7003F3" w:rsidR="00AD4401" w:rsidRPr="00AD4401" w:rsidRDefault="00631B99" w:rsidP="00631B99">
      <w:pPr>
        <w:jc w:val="both"/>
        <w:rPr>
          <w:rFonts w:ascii="Century Gothic" w:hAnsi="Century Gothic"/>
          <w:lang w:val="es-MX"/>
        </w:rPr>
      </w:pPr>
      <w:r w:rsidRPr="00631B99">
        <w:rPr>
          <w:rFonts w:ascii="Century Gothic" w:hAnsi="Century Gothic"/>
          <w:b/>
          <w:bCs/>
          <w:lang w:val="es-MX"/>
        </w:rPr>
        <w:t xml:space="preserve">Artículo único.- </w:t>
      </w:r>
      <w:r w:rsidR="00AD4401" w:rsidRPr="00AD4401">
        <w:rPr>
          <w:rFonts w:ascii="Century Gothic" w:hAnsi="Century Gothic"/>
          <w:lang w:val="es-MX"/>
        </w:rPr>
        <w:t xml:space="preserve">Sustituir el </w:t>
      </w:r>
      <w:r w:rsidR="00F0753C">
        <w:rPr>
          <w:rFonts w:ascii="Century Gothic" w:hAnsi="Century Gothic"/>
          <w:lang w:val="es-MX"/>
        </w:rPr>
        <w:t>A</w:t>
      </w:r>
      <w:r w:rsidR="00AD4401" w:rsidRPr="00AD4401">
        <w:rPr>
          <w:rFonts w:ascii="Century Gothic" w:hAnsi="Century Gothic"/>
          <w:lang w:val="es-MX"/>
        </w:rPr>
        <w:t xml:space="preserve">rt. 1 </w:t>
      </w:r>
      <w:r w:rsidR="003B6ED5">
        <w:rPr>
          <w:rFonts w:ascii="Century Gothic" w:hAnsi="Century Gothic"/>
          <w:lang w:val="es-MX"/>
        </w:rPr>
        <w:t xml:space="preserve">de la Ordenanza 006-2019 </w:t>
      </w:r>
      <w:r w:rsidR="00B4044A">
        <w:rPr>
          <w:rFonts w:ascii="Century Gothic" w:hAnsi="Century Gothic"/>
          <w:lang w:val="es-MX"/>
        </w:rPr>
        <w:t>por el</w:t>
      </w:r>
      <w:r w:rsidR="00AD4401" w:rsidRPr="00AD4401">
        <w:rPr>
          <w:rFonts w:ascii="Century Gothic" w:hAnsi="Century Gothic"/>
          <w:lang w:val="es-MX"/>
        </w:rPr>
        <w:t xml:space="preserve"> siguiente:</w:t>
      </w:r>
    </w:p>
    <w:p w14:paraId="47BE769F" w14:textId="28F841AF" w:rsidR="00631B99" w:rsidRPr="00F0753C" w:rsidRDefault="00F0753C" w:rsidP="00631B99">
      <w:pPr>
        <w:jc w:val="both"/>
        <w:rPr>
          <w:rFonts w:ascii="Century Gothic" w:hAnsi="Century Gothic"/>
          <w:bCs/>
          <w:lang w:val="es-MX"/>
        </w:rPr>
      </w:pPr>
      <w:r>
        <w:rPr>
          <w:rFonts w:ascii="Century Gothic" w:hAnsi="Century Gothic"/>
          <w:bCs/>
          <w:lang w:val="es-MX"/>
        </w:rPr>
        <w:t xml:space="preserve">Disponer a </w:t>
      </w:r>
      <w:r w:rsidR="00AD4401">
        <w:rPr>
          <w:rFonts w:ascii="Century Gothic" w:hAnsi="Century Gothic"/>
          <w:bCs/>
          <w:lang w:val="es-MX"/>
        </w:rPr>
        <w:t>L</w:t>
      </w:r>
      <w:r w:rsidR="00631B99" w:rsidRPr="00631B99">
        <w:rPr>
          <w:rFonts w:ascii="Century Gothic" w:hAnsi="Century Gothic"/>
          <w:bCs/>
          <w:lang w:val="es-MX"/>
        </w:rPr>
        <w:t>a Secretaría de Movilidad</w:t>
      </w:r>
      <w:r>
        <w:rPr>
          <w:rFonts w:ascii="Century Gothic" w:hAnsi="Century Gothic"/>
          <w:bCs/>
          <w:lang w:val="es-MX"/>
        </w:rPr>
        <w:t>,</w:t>
      </w:r>
      <w:r w:rsidR="00631B99" w:rsidRPr="00631B99">
        <w:rPr>
          <w:rFonts w:ascii="Century Gothic" w:hAnsi="Century Gothic"/>
          <w:bCs/>
          <w:lang w:val="es-MX"/>
        </w:rPr>
        <w:t xml:space="preserve"> en el ámbito de sus competencias,</w:t>
      </w:r>
      <w:r>
        <w:rPr>
          <w:rFonts w:ascii="Century Gothic" w:hAnsi="Century Gothic"/>
          <w:bCs/>
          <w:lang w:val="es-MX"/>
        </w:rPr>
        <w:t xml:space="preserve"> </w:t>
      </w:r>
      <w:r w:rsidR="00631B99" w:rsidRPr="00631B99">
        <w:rPr>
          <w:rFonts w:ascii="Century Gothic" w:hAnsi="Century Gothic"/>
          <w:bCs/>
          <w:lang w:val="es-MX"/>
        </w:rPr>
        <w:t>realizar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w:t>
      </w:r>
      <w:r>
        <w:rPr>
          <w:rFonts w:ascii="Century Gothic" w:hAnsi="Century Gothic"/>
          <w:bCs/>
          <w:lang w:val="es-MX"/>
        </w:rPr>
        <w:t xml:space="preserve"> para lo cual deberá</w:t>
      </w:r>
      <w:r w:rsidR="003B6ED5">
        <w:rPr>
          <w:rFonts w:ascii="Century Gothic" w:hAnsi="Century Gothic"/>
          <w:bCs/>
          <w:lang w:val="es-MX"/>
        </w:rPr>
        <w:t>,</w:t>
      </w:r>
      <w:r>
        <w:rPr>
          <w:rFonts w:ascii="Century Gothic" w:hAnsi="Century Gothic"/>
          <w:bCs/>
          <w:lang w:val="es-MX"/>
        </w:rPr>
        <w:t xml:space="preserve"> </w:t>
      </w:r>
      <w:r w:rsidR="00B4044A">
        <w:rPr>
          <w:rFonts w:ascii="Century Gothic" w:hAnsi="Century Gothic"/>
          <w:bCs/>
          <w:lang w:val="es-MX"/>
        </w:rPr>
        <w:t>en el término de 60</w:t>
      </w:r>
      <w:r w:rsidR="003B6ED5">
        <w:rPr>
          <w:rFonts w:ascii="Century Gothic" w:hAnsi="Century Gothic"/>
          <w:bCs/>
          <w:lang w:val="es-MX"/>
        </w:rPr>
        <w:t xml:space="preserve"> días contados a partir de la sanción de la presente reforma, </w:t>
      </w:r>
      <w:r w:rsidR="00631B99" w:rsidRPr="00631B99">
        <w:rPr>
          <w:rFonts w:ascii="Century Gothic" w:hAnsi="Century Gothic"/>
          <w:bCs/>
          <w:lang w:val="es-MX"/>
        </w:rPr>
        <w:t>emitir los informes referentes a:</w:t>
      </w:r>
    </w:p>
    <w:p w14:paraId="70D996C3" w14:textId="509671C5" w:rsidR="00631B99" w:rsidRPr="00631B99" w:rsidRDefault="00F0753C" w:rsidP="00631B99">
      <w:pPr>
        <w:jc w:val="both"/>
        <w:rPr>
          <w:rFonts w:ascii="Century Gothic" w:hAnsi="Century Gothic"/>
          <w:bCs/>
          <w:lang w:val="es-EC"/>
        </w:rPr>
      </w:pPr>
      <w:r>
        <w:rPr>
          <w:rFonts w:ascii="Century Gothic" w:hAnsi="Century Gothic"/>
          <w:bCs/>
          <w:lang w:val="es-EC"/>
        </w:rPr>
        <w:t>a</w:t>
      </w:r>
      <w:r w:rsidR="00631B99" w:rsidRPr="00631B99">
        <w:rPr>
          <w:rFonts w:ascii="Century Gothic" w:hAnsi="Century Gothic"/>
          <w:bCs/>
          <w:lang w:val="es-EC"/>
        </w:rPr>
        <w:t>.</w:t>
      </w:r>
      <w:r>
        <w:rPr>
          <w:rFonts w:ascii="Century Gothic" w:hAnsi="Century Gothic"/>
          <w:bCs/>
          <w:lang w:val="es-EC"/>
        </w:rPr>
        <w:t xml:space="preserve"> </w:t>
      </w:r>
      <w:r w:rsidR="00631B99" w:rsidRPr="00631B99">
        <w:rPr>
          <w:rFonts w:ascii="Century Gothic" w:hAnsi="Century Gothic"/>
          <w:bCs/>
          <w:lang w:val="es-EC"/>
        </w:rPr>
        <w:t>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6DB2FA95" w:rsidR="00631B99" w:rsidRPr="00631B99" w:rsidRDefault="00F0753C" w:rsidP="00631B99">
      <w:pPr>
        <w:jc w:val="both"/>
        <w:rPr>
          <w:rFonts w:ascii="Century Gothic" w:hAnsi="Century Gothic"/>
          <w:bCs/>
          <w:lang w:val="es-EC"/>
        </w:rPr>
      </w:pPr>
      <w:r>
        <w:rPr>
          <w:rFonts w:ascii="Century Gothic" w:hAnsi="Century Gothic"/>
          <w:bCs/>
          <w:lang w:val="es-EC"/>
        </w:rPr>
        <w:t>b</w:t>
      </w:r>
      <w:r w:rsidR="00631B99" w:rsidRPr="00631B99">
        <w:rPr>
          <w:rFonts w:ascii="Century Gothic" w:hAnsi="Century Gothic"/>
          <w:bCs/>
          <w:lang w:val="es-EC"/>
        </w:rPr>
        <w:t>.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2B1B4B05" w:rsidR="00631B99" w:rsidRPr="00631B99" w:rsidRDefault="00631B99" w:rsidP="00631B99">
      <w:pPr>
        <w:jc w:val="both"/>
        <w:rPr>
          <w:rFonts w:ascii="Century Gothic" w:hAnsi="Century Gothic"/>
          <w:bCs/>
          <w:lang w:val="es-EC"/>
        </w:rPr>
      </w:pPr>
      <w:r w:rsidRPr="00631B99">
        <w:rPr>
          <w:rFonts w:ascii="Century Gothic" w:hAnsi="Century Gothic"/>
          <w:bCs/>
          <w:lang w:val="es-MX"/>
        </w:rPr>
        <w:t>Las comp</w:t>
      </w:r>
      <w:r w:rsidR="00B4044A">
        <w:rPr>
          <w:rFonts w:ascii="Century Gothic" w:hAnsi="Century Gothic"/>
          <w:bCs/>
          <w:lang w:val="es-MX"/>
        </w:rPr>
        <w:t>añías inmersas en este proceso que</w:t>
      </w:r>
      <w:r w:rsidRPr="00631B99">
        <w:rPr>
          <w:rFonts w:ascii="Century Gothic" w:hAnsi="Century Gothic"/>
          <w:bCs/>
          <w:lang w:val="es-MX"/>
        </w:rPr>
        <w:t xml:space="preserve"> han obtenido o modificado su permiso de operación, deberán en el término de sesenta días proceder a la modificación de su paquete accionario, en el que únicamente deberán constar las personas cuyas unidades se haya podido verificar su existencia física, de tal forma que formarán parte de la persona jurídica, únicamente las personas que presenten el servicio de transporte público cuyas unidades serán verificadas su existencia física y hayan cumplido el proceso determinado en la Ordenanza 0128-2016. </w:t>
      </w:r>
    </w:p>
    <w:p w14:paraId="661E07C6" w14:textId="152DB5B7" w:rsidR="00B4044A" w:rsidRDefault="00B4044A" w:rsidP="00631B99">
      <w:pPr>
        <w:jc w:val="both"/>
        <w:rPr>
          <w:rFonts w:ascii="Century Gothic" w:hAnsi="Century Gothic"/>
          <w:bCs/>
          <w:lang w:val="es-MX"/>
        </w:rPr>
      </w:pPr>
      <w:r>
        <w:rPr>
          <w:rFonts w:ascii="Century Gothic" w:hAnsi="Century Gothic"/>
          <w:bCs/>
          <w:lang w:val="es-MX"/>
        </w:rPr>
        <w:t xml:space="preserve">En el caso de que las unidades verificadas cumplan con la temporalidad de la Ordenanza 0128 – 2016, se concederá un plazo de 360 días, para el cambio de unidad, esto siempre y cuando se haya comprobado fehacientemente la existencia de la </w:t>
      </w:r>
      <w:bookmarkStart w:id="0" w:name="_GoBack"/>
      <w:bookmarkEnd w:id="0"/>
      <w:r>
        <w:rPr>
          <w:rFonts w:ascii="Century Gothic" w:hAnsi="Century Gothic"/>
          <w:bCs/>
          <w:lang w:val="es-MX"/>
        </w:rPr>
        <w:t>unidad objeto del cambio y que ésta haya estado prestando el servicio de transporte público.</w:t>
      </w:r>
    </w:p>
    <w:p w14:paraId="3CC48BD7" w14:textId="5119CEC4" w:rsidR="00631B99" w:rsidRPr="00631B99" w:rsidRDefault="00631B99" w:rsidP="00631B99">
      <w:pPr>
        <w:jc w:val="both"/>
        <w:rPr>
          <w:rFonts w:ascii="Century Gothic" w:hAnsi="Century Gothic"/>
          <w:bCs/>
          <w:lang w:val="es-MX"/>
        </w:rPr>
      </w:pPr>
      <w:r w:rsidRPr="00631B99">
        <w:rPr>
          <w:rFonts w:ascii="Century Gothic" w:hAnsi="Century Gothic"/>
          <w:bCs/>
          <w:lang w:val="es-MX"/>
        </w:rPr>
        <w:lastRenderedPageBreak/>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5B77E90C" w14:textId="3B7F1BEA"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General</w:t>
      </w:r>
      <w:r>
        <w:rPr>
          <w:rFonts w:ascii="Century Gothic" w:hAnsi="Century Gothic"/>
          <w:b/>
          <w:bCs/>
          <w:lang w:val="es-MX"/>
        </w:rPr>
        <w:t xml:space="preserve"> Primera</w:t>
      </w:r>
      <w:r w:rsidRPr="00631B99">
        <w:rPr>
          <w:rFonts w:ascii="Century Gothic" w:hAnsi="Century Gothic"/>
          <w:b/>
          <w:bCs/>
          <w:lang w:val="es-MX"/>
        </w:rPr>
        <w:t xml:space="preserve">.- </w:t>
      </w:r>
      <w:r w:rsidRPr="00631B99">
        <w:rPr>
          <w:rFonts w:ascii="Century Gothic" w:hAnsi="Century Gothic"/>
          <w:bCs/>
          <w:lang w:val="es-MX"/>
        </w:rPr>
        <w:t>La Dirección Metropolitana de Gestión de la Movilidad de la Secretaria de Movilidad, para la revisión física de todas unidades detalladas en los Contratos de Operación suscritos por la Secretaria de Movilidad en noviembre y diciembre de 2018; Para lo cual, deberá observar y realizar dicha constatación física, en el lugar donde se encontrara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1C5709DC" w:rsidR="00631B99" w:rsidRPr="00631B99" w:rsidRDefault="00631B99" w:rsidP="00631B99">
      <w:pPr>
        <w:jc w:val="both"/>
        <w:rPr>
          <w:rFonts w:ascii="Century Gothic" w:hAnsi="Century Gothic"/>
          <w:lang w:val="es-EC"/>
        </w:rPr>
      </w:pPr>
      <w:r w:rsidRPr="00631B99">
        <w:rPr>
          <w:rFonts w:ascii="Century Gothic" w:hAnsi="Century Gothic"/>
          <w:b/>
          <w:bCs/>
          <w:lang w:val="es-MX"/>
        </w:rPr>
        <w:t>Disposición General</w:t>
      </w:r>
      <w:r>
        <w:rPr>
          <w:rFonts w:ascii="Century Gothic" w:hAnsi="Century Gothic"/>
          <w:b/>
          <w:bCs/>
          <w:lang w:val="es-MX"/>
        </w:rPr>
        <w:t xml:space="preserve"> 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Presente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42F35B24" w14:textId="29FD5C98"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Disposiciones Transitoria Primera</w:t>
      </w:r>
      <w:r w:rsidRPr="00631B99">
        <w:rPr>
          <w:rFonts w:ascii="Century Gothic" w:hAnsi="Century Gothic"/>
          <w:b/>
          <w:lang w:val="es-MX"/>
        </w:rPr>
        <w:t xml:space="preserve">.- </w:t>
      </w:r>
      <w:r w:rsidRPr="00631B99">
        <w:rPr>
          <w:rFonts w:ascii="Century Gothic" w:hAnsi="Century Gothic"/>
          <w:bCs/>
          <w:lang w:val="es-MX"/>
        </w:rPr>
        <w:t xml:space="preserve">La Secretaria de Movilidad en conjunto con la Agencia Metropolitana de Tránsito, coordinaran, facilitaran y notificarán a las operadoras de transporte público producto de la Ordenanza 128-2016, con el cronograma correspondiente para que las unidades físicamente existentes y que se habilitaren operacionalmente, conforme el proceso de la presente ordenanza, realicen la Revisión técnica Vehicular y Matriculación, dentro del término de </w:t>
      </w:r>
      <w:r w:rsidR="00F0753C">
        <w:rPr>
          <w:rFonts w:ascii="Century Gothic" w:hAnsi="Century Gothic"/>
          <w:bCs/>
          <w:lang w:val="es-MX"/>
        </w:rPr>
        <w:t>60</w:t>
      </w:r>
      <w:r w:rsidRPr="00631B99">
        <w:rPr>
          <w:rFonts w:ascii="Century Gothic" w:hAnsi="Century Gothic"/>
          <w:bCs/>
          <w:lang w:val="es-MX"/>
        </w:rPr>
        <w:t xml:space="preserve"> días contados a partir de la culminación de los plazos dispuestos en los artículos señalados anteriormente.</w:t>
      </w:r>
    </w:p>
    <w:p w14:paraId="0CFC5E8E"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tal virtud y mientras los términos y plazos establecidos en la presente ordenanza no culminen y se proceda a su cierre definitivo, la Secretaria de Movilidad y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18A04A3B"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Transitoria Segunda.-</w:t>
      </w:r>
      <w:r w:rsidRPr="00631B99">
        <w:rPr>
          <w:rFonts w:ascii="Century Gothic" w:hAnsi="Century Gothic"/>
          <w:b/>
          <w:lang w:val="es-MX"/>
        </w:rPr>
        <w:t xml:space="preserve"> </w:t>
      </w:r>
      <w:r w:rsidRPr="00631B99">
        <w:rPr>
          <w:rFonts w:ascii="Century Gothic" w:hAnsi="Century Gothic"/>
          <w:bCs/>
          <w:lang w:val="es-MX"/>
        </w:rPr>
        <w:t xml:space="preserve">La Secretaria de Movilidad y la Agencia Metropolitana de Tránsito a partir de la sanción de la presente ordenanza, realizará el control de las unidades pertenecientes a los procesos paralelos a la Ordenanza Metropolitana 0128, y denominados como Planes Piloto 1, Piloto 2, Evaluación de </w:t>
      </w:r>
      <w:r w:rsidRPr="00631B99">
        <w:rPr>
          <w:rFonts w:ascii="Century Gothic" w:hAnsi="Century Gothic"/>
          <w:bCs/>
          <w:lang w:val="es-MX"/>
        </w:rPr>
        <w:lastRenderedPageBreak/>
        <w:t>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02A1F213" w:rsidR="00631B99" w:rsidRPr="00631B99" w:rsidRDefault="00631B99" w:rsidP="00631B99">
      <w:pPr>
        <w:jc w:val="both"/>
        <w:rPr>
          <w:rFonts w:ascii="Century Gothic" w:hAnsi="Century Gothic"/>
          <w:bCs/>
          <w:lang w:val="es-EC"/>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AA26" w14:textId="77777777" w:rsidR="002E6132" w:rsidRDefault="002E6132" w:rsidP="00193052">
      <w:pPr>
        <w:spacing w:after="0" w:line="240" w:lineRule="auto"/>
      </w:pPr>
      <w:r>
        <w:separator/>
      </w:r>
    </w:p>
  </w:endnote>
  <w:endnote w:type="continuationSeparator" w:id="0">
    <w:p w14:paraId="3330BB64" w14:textId="77777777" w:rsidR="002E6132" w:rsidRDefault="002E6132"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9D10" w14:textId="77777777" w:rsidR="002E6132" w:rsidRDefault="002E6132" w:rsidP="00193052">
      <w:pPr>
        <w:spacing w:after="0" w:line="240" w:lineRule="auto"/>
      </w:pPr>
      <w:r>
        <w:separator/>
      </w:r>
    </w:p>
  </w:footnote>
  <w:footnote w:type="continuationSeparator" w:id="0">
    <w:p w14:paraId="6CED4AD4" w14:textId="77777777" w:rsidR="002E6132" w:rsidRDefault="002E6132"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046B3D"/>
    <w:rsid w:val="000B25BE"/>
    <w:rsid w:val="00126125"/>
    <w:rsid w:val="001445FC"/>
    <w:rsid w:val="00193052"/>
    <w:rsid w:val="001D076A"/>
    <w:rsid w:val="001D4CAB"/>
    <w:rsid w:val="001F2C70"/>
    <w:rsid w:val="002069F6"/>
    <w:rsid w:val="00207767"/>
    <w:rsid w:val="002429D9"/>
    <w:rsid w:val="00275525"/>
    <w:rsid w:val="002756AC"/>
    <w:rsid w:val="002A22AD"/>
    <w:rsid w:val="002C5169"/>
    <w:rsid w:val="002E6132"/>
    <w:rsid w:val="00310FE9"/>
    <w:rsid w:val="003731DF"/>
    <w:rsid w:val="00386AF4"/>
    <w:rsid w:val="003A1AE5"/>
    <w:rsid w:val="003B6ED5"/>
    <w:rsid w:val="003C7E81"/>
    <w:rsid w:val="003D7027"/>
    <w:rsid w:val="003E443D"/>
    <w:rsid w:val="00404597"/>
    <w:rsid w:val="0043162F"/>
    <w:rsid w:val="00433E73"/>
    <w:rsid w:val="00477AA1"/>
    <w:rsid w:val="004B303C"/>
    <w:rsid w:val="004E1742"/>
    <w:rsid w:val="00504395"/>
    <w:rsid w:val="0051523E"/>
    <w:rsid w:val="0052419F"/>
    <w:rsid w:val="00580704"/>
    <w:rsid w:val="005F68F3"/>
    <w:rsid w:val="00602B1D"/>
    <w:rsid w:val="006129E5"/>
    <w:rsid w:val="00631B99"/>
    <w:rsid w:val="006345E4"/>
    <w:rsid w:val="00665A0E"/>
    <w:rsid w:val="006B0ADA"/>
    <w:rsid w:val="006D7E42"/>
    <w:rsid w:val="006E04E6"/>
    <w:rsid w:val="0070723A"/>
    <w:rsid w:val="00714397"/>
    <w:rsid w:val="00755F8E"/>
    <w:rsid w:val="0079622D"/>
    <w:rsid w:val="007D682C"/>
    <w:rsid w:val="007F3E7A"/>
    <w:rsid w:val="00801BED"/>
    <w:rsid w:val="00865375"/>
    <w:rsid w:val="00892078"/>
    <w:rsid w:val="008A0759"/>
    <w:rsid w:val="008A54F9"/>
    <w:rsid w:val="008E7A16"/>
    <w:rsid w:val="00911C7F"/>
    <w:rsid w:val="00927AF6"/>
    <w:rsid w:val="009627FB"/>
    <w:rsid w:val="009B4786"/>
    <w:rsid w:val="009D09B4"/>
    <w:rsid w:val="009D3FD1"/>
    <w:rsid w:val="00A616CF"/>
    <w:rsid w:val="00A714F8"/>
    <w:rsid w:val="00AB3BD1"/>
    <w:rsid w:val="00AD4401"/>
    <w:rsid w:val="00AF1FDB"/>
    <w:rsid w:val="00AF543C"/>
    <w:rsid w:val="00B21A79"/>
    <w:rsid w:val="00B4044A"/>
    <w:rsid w:val="00B741A7"/>
    <w:rsid w:val="00B83221"/>
    <w:rsid w:val="00BB7A8E"/>
    <w:rsid w:val="00BC5710"/>
    <w:rsid w:val="00BE369D"/>
    <w:rsid w:val="00C216F2"/>
    <w:rsid w:val="00C427DC"/>
    <w:rsid w:val="00C86D5C"/>
    <w:rsid w:val="00C91DC5"/>
    <w:rsid w:val="00D04437"/>
    <w:rsid w:val="00D04D9F"/>
    <w:rsid w:val="00D440F7"/>
    <w:rsid w:val="00DD280B"/>
    <w:rsid w:val="00DE5D77"/>
    <w:rsid w:val="00E30611"/>
    <w:rsid w:val="00E45D2D"/>
    <w:rsid w:val="00E46DE3"/>
    <w:rsid w:val="00E5730B"/>
    <w:rsid w:val="00E83169"/>
    <w:rsid w:val="00E86505"/>
    <w:rsid w:val="00F0753C"/>
    <w:rsid w:val="00F36F84"/>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12</Pages>
  <Words>4921</Words>
  <Characters>27068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John Javier Naranjo Quishpe</cp:lastModifiedBy>
  <cp:revision>8</cp:revision>
  <cp:lastPrinted>2022-06-07T17:01:00Z</cp:lastPrinted>
  <dcterms:created xsi:type="dcterms:W3CDTF">2022-09-20T14:43:00Z</dcterms:created>
  <dcterms:modified xsi:type="dcterms:W3CDTF">2022-09-23T20:22:00Z</dcterms:modified>
</cp:coreProperties>
</file>