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C13C" w14:textId="77777777" w:rsidR="00C216F2" w:rsidRDefault="00C216F2" w:rsidP="00433E73">
      <w:pPr>
        <w:jc w:val="center"/>
        <w:rPr>
          <w:rFonts w:ascii="Century Gothic" w:hAnsi="Century Gothic"/>
          <w:b/>
          <w:lang w:val="es-MX"/>
        </w:rPr>
      </w:pPr>
      <w:bookmarkStart w:id="0" w:name="_GoBack"/>
      <w:bookmarkEnd w:id="0"/>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1B768ED" w14:textId="14E02412" w:rsidR="001F2C70" w:rsidRPr="002756AC"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54413047" w14:textId="62C6BFA9"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si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deben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63E5E803" w14:textId="6F9FAC3A" w:rsidR="0043162F"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el transporte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4A46F043" w14:textId="77777777" w:rsidR="00714397" w:rsidRDefault="00714397" w:rsidP="002069F6">
      <w:pPr>
        <w:jc w:val="both"/>
        <w:rPr>
          <w:rFonts w:ascii="Century Gothic" w:hAnsi="Century Gothic"/>
          <w:iCs/>
          <w:lang w:val="es-MX"/>
        </w:rPr>
      </w:pPr>
    </w:p>
    <w:p w14:paraId="1E7C1B99" w14:textId="77777777" w:rsidR="00714397" w:rsidRDefault="00714397" w:rsidP="002069F6">
      <w:pPr>
        <w:jc w:val="both"/>
        <w:rPr>
          <w:rFonts w:ascii="Century Gothic" w:hAnsi="Century Gothic"/>
          <w:iCs/>
          <w:lang w:val="es-MX"/>
        </w:rPr>
      </w:pPr>
    </w:p>
    <w:p w14:paraId="1A3B8D95" w14:textId="77777777" w:rsidR="00714397" w:rsidRDefault="00714397" w:rsidP="002069F6">
      <w:pPr>
        <w:jc w:val="both"/>
        <w:rPr>
          <w:rFonts w:ascii="Century Gothic" w:hAnsi="Century Gothic"/>
          <w:iCs/>
          <w:lang w:val="es-MX"/>
        </w:rPr>
      </w:pPr>
    </w:p>
    <w:p w14:paraId="6ECA9492" w14:textId="77777777" w:rsidR="00714397" w:rsidRDefault="00714397" w:rsidP="002069F6">
      <w:pPr>
        <w:jc w:val="both"/>
        <w:rPr>
          <w:rFonts w:ascii="Century Gothic" w:hAnsi="Century Gothic"/>
          <w:iCs/>
          <w:lang w:val="es-MX"/>
        </w:rPr>
      </w:pPr>
    </w:p>
    <w:p w14:paraId="6CB293DB" w14:textId="77777777" w:rsidR="00714397" w:rsidRDefault="00714397" w:rsidP="002069F6">
      <w:pPr>
        <w:jc w:val="both"/>
        <w:rPr>
          <w:rFonts w:ascii="Century Gothic" w:hAnsi="Century Gothic"/>
          <w:iCs/>
          <w:lang w:val="es-MX"/>
        </w:rPr>
      </w:pPr>
    </w:p>
    <w:p w14:paraId="19DF2B47" w14:textId="77777777" w:rsidR="00714397" w:rsidRDefault="00714397" w:rsidP="002069F6">
      <w:pPr>
        <w:jc w:val="both"/>
        <w:rPr>
          <w:rFonts w:ascii="Century Gothic" w:hAnsi="Century Gothic"/>
          <w:iCs/>
          <w:lang w:val="es-MX"/>
        </w:rPr>
      </w:pPr>
    </w:p>
    <w:p w14:paraId="79B34E2A" w14:textId="77777777" w:rsidR="00714397" w:rsidRPr="002756AC" w:rsidRDefault="00714397" w:rsidP="002069F6">
      <w:pPr>
        <w:jc w:val="both"/>
        <w:rPr>
          <w:rFonts w:ascii="Century Gothic" w:hAnsi="Century Gothic"/>
          <w:iCs/>
          <w:lang w:val="es-MX"/>
        </w:rPr>
      </w:pPr>
    </w:p>
    <w:p w14:paraId="06029B3A" w14:textId="77777777" w:rsidR="00892078" w:rsidRPr="002756AC" w:rsidRDefault="00892078" w:rsidP="002069F6">
      <w:pPr>
        <w:jc w:val="both"/>
        <w:rPr>
          <w:rFonts w:ascii="Century Gothic" w:hAnsi="Century Gothic"/>
          <w:i/>
          <w:lang w:val="es-MX"/>
        </w:rPr>
      </w:pPr>
    </w:p>
    <w:p w14:paraId="2D09B545" w14:textId="77777777" w:rsidR="00E45D2D" w:rsidRPr="00126125" w:rsidRDefault="00E45D2D" w:rsidP="00E45D2D">
      <w:pPr>
        <w:jc w:val="center"/>
        <w:rPr>
          <w:rFonts w:ascii="Century Gothic" w:hAnsi="Century Gothic"/>
          <w:b/>
          <w:lang w:val="es-MX"/>
        </w:rPr>
      </w:pPr>
      <w:r w:rsidRPr="00126125">
        <w:rPr>
          <w:rFonts w:ascii="Century Gothic" w:hAnsi="Century Gothic"/>
          <w:b/>
          <w:lang w:val="es-MX"/>
        </w:rPr>
        <w:t>CONSIDERANDO</w:t>
      </w:r>
    </w:p>
    <w:p w14:paraId="687BF08E" w14:textId="77777777" w:rsidR="00433E73" w:rsidRPr="002756AC" w:rsidRDefault="00433E73" w:rsidP="00E45D2D">
      <w:pPr>
        <w:jc w:val="center"/>
        <w:rPr>
          <w:rFonts w:ascii="Century Gothic" w:hAnsi="Century Gothic"/>
          <w:b/>
          <w:i/>
          <w:lang w:val="es-MX"/>
        </w:rPr>
      </w:pPr>
    </w:p>
    <w:p w14:paraId="75C86547"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6 del artículo 264 de la Constitución de la Repú</w:t>
      </w:r>
      <w:r w:rsidR="002C5169" w:rsidRPr="002756AC">
        <w:rPr>
          <w:rFonts w:ascii="Century Gothic" w:hAnsi="Century Gothic"/>
          <w:iCs/>
          <w:lang w:val="es-MX"/>
        </w:rPr>
        <w:t>blica del Ecuador, en adelante “</w:t>
      </w:r>
      <w:r w:rsidRPr="002756AC">
        <w:rPr>
          <w:rFonts w:ascii="Century Gothic" w:hAnsi="Century Gothic"/>
          <w:iCs/>
          <w:lang w:val="es-MX"/>
        </w:rPr>
        <w:t>Constitución",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7949A26"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394 de la Constitución dispone que</w:t>
      </w:r>
      <w:r w:rsidRPr="002756AC">
        <w:rPr>
          <w:rFonts w:ascii="Century Gothic" w:hAnsi="Century Gothic"/>
          <w:i/>
          <w:lang w:val="es-MX"/>
        </w:rPr>
        <w:t xml:space="preserve">: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regulara el transporte terrestre, aéreo y acuático y </w:t>
      </w:r>
      <w:r w:rsidR="00193052" w:rsidRPr="002756AC">
        <w:rPr>
          <w:rFonts w:ascii="Century Gothic" w:hAnsi="Century Gothic"/>
          <w:i/>
          <w:lang w:val="es-MX"/>
        </w:rPr>
        <w:t>las actividades aeroportuarias”.</w:t>
      </w:r>
    </w:p>
    <w:p w14:paraId="458CE055"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4886FE5C"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Iiteral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 xml:space="preserve"> 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04004F1C" w:rsidR="00433E73" w:rsidRPr="002756AC"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433E73" w:rsidRPr="002756AC">
        <w:rPr>
          <w:rFonts w:ascii="Century Gothic" w:hAnsi="Century Gothic"/>
          <w:iCs/>
          <w:lang w:val="es-MX"/>
        </w:rPr>
        <w:t>literal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7B9FC1F3"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xml:space="preserve"> el numeral 2 del artículo 2 de la Ley Orgánica de Régimen para el Distrito Metropolitano de Quito establece que el Municipio del Distrito Metropolitano de Quito cumplirá las siguientes finalidades</w:t>
      </w:r>
      <w:r w:rsidRPr="002756AC">
        <w:rPr>
          <w:rFonts w:ascii="Century Gothic" w:hAnsi="Century Gothic"/>
          <w:i/>
          <w:lang w:val="es-MX"/>
        </w:rPr>
        <w:t>: "(...) 2) Planificará, regulará y coordinan: todo lo relacionado con el transporte público y privado dentro de su jurisdicción, para lo cual expedirá, con competencia exclusiva, las normas que sean necesarias. ( ...</w:t>
      </w:r>
      <w:r w:rsidR="002C5169" w:rsidRPr="002756AC">
        <w:rPr>
          <w:rFonts w:ascii="Century Gothic" w:hAnsi="Century Gothic"/>
          <w:i/>
          <w:lang w:val="es-MX"/>
        </w:rPr>
        <w:t>)”</w:t>
      </w:r>
      <w:r w:rsidRPr="002756AC">
        <w:rPr>
          <w:rFonts w:ascii="Century Gothic" w:hAnsi="Century Gothic"/>
          <w:i/>
          <w:lang w:val="es-MX"/>
        </w:rPr>
        <w:t xml:space="preserve">; </w:t>
      </w:r>
    </w:p>
    <w:p w14:paraId="3AE0726D"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 de la Ley Orgánica de Transporte Terrestre, Tránsito y Seguridad Vial, en adelante "LOTTTSV", determina que</w:t>
      </w:r>
      <w:r w:rsidRPr="002756AC">
        <w:rPr>
          <w:rFonts w:ascii="Century Gothic" w:hAnsi="Century Gothic"/>
          <w:i/>
          <w:lang w:val="es-MX"/>
        </w:rPr>
        <w:t xml:space="preserve">: "El Estado garantizara que la prestación del servicio de transporte público se ajuste a los principios de seguridad, eficiencia, responsabilidad, universalidad, accesibilidad, continuidad y calidad, con tarifas socialmente justas"; </w:t>
      </w:r>
    </w:p>
    <w:p w14:paraId="4F928FD8"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w:t>
      </w:r>
      <w:r w:rsidR="002C5169" w:rsidRPr="002756AC">
        <w:rPr>
          <w:rFonts w:ascii="Century Gothic" w:hAnsi="Century Gothic"/>
          <w:i/>
          <w:lang w:val="es-MX"/>
        </w:rPr>
        <w:t>an a aplicar. (...) 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p>
    <w:p w14:paraId="7D11A0D5"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los literales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w:t>
      </w:r>
      <w:r w:rsidRPr="002756AC">
        <w:rPr>
          <w:rFonts w:ascii="Century Gothic" w:hAnsi="Century Gothic"/>
          <w:i/>
          <w:lang w:val="es-MX"/>
        </w:rPr>
        <w:lastRenderedPageBreak/>
        <w:t xml:space="preserve">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7777777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560611C8"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autorizaciones, los cuales se </w:t>
      </w:r>
      <w:r w:rsidR="00C86D5C" w:rsidRPr="002756AC">
        <w:rPr>
          <w:rFonts w:ascii="Century Gothic" w:hAnsi="Century Gothic"/>
          <w:i/>
          <w:lang w:val="es-MX"/>
        </w:rPr>
        <w:t>otorgaran</w:t>
      </w:r>
      <w:r w:rsidRPr="002756AC">
        <w:rPr>
          <w:rFonts w:ascii="Century Gothic" w:hAnsi="Century Gothic"/>
          <w:i/>
          <w:lang w:val="es-MX"/>
        </w:rPr>
        <w:t xml:space="preserve"> a tus 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252D518B"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literal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publico de persona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primer inciso del artículo 76 de la LOTTTSV, concordante con el artículo 66 del Reglamento General a la Ley Orgánica de Transporte Terrestre, Transito Seguridad Vial, en adelante "RGLOTTTSV", prescribe que</w:t>
      </w:r>
      <w:r w:rsidRPr="002756AC">
        <w:rPr>
          <w:rFonts w:ascii="Century Gothic" w:hAnsi="Century Gothic"/>
          <w:i/>
          <w:lang w:val="es-MX"/>
        </w:rPr>
        <w:t xml:space="preserve">: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w:t>
      </w:r>
      <w:r w:rsidRPr="002756AC">
        <w:rPr>
          <w:rFonts w:ascii="Century Gothic" w:hAnsi="Century Gothic"/>
          <w:i/>
          <w:lang w:val="es-MX"/>
        </w:rPr>
        <w:lastRenderedPageBreak/>
        <w:t>rutas, frecuencias y vías públicas. El contrato de operación de servicio del transporte público se sujetará al procedimiento especial establecido en el Reglamento. (...)”;</w:t>
      </w:r>
    </w:p>
    <w:p w14:paraId="16EFB84A"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78 de la LOTTTSV señala que</w:t>
      </w:r>
      <w:r w:rsidRPr="002756AC">
        <w:rPr>
          <w:rFonts w:ascii="Century Gothic" w:hAnsi="Century Gothic"/>
          <w:i/>
          <w:lang w:val="es-MX"/>
        </w:rPr>
        <w:t xml:space="preserve">: "Toda operadora de transporte terrestre que estuviese autorizada para la prestación del servicio, deberá hacerlo única y exclusivamente en las clases de automotores que el Reglamento determine, dependiendo de su clase y tipo"; </w:t>
      </w:r>
    </w:p>
    <w:p w14:paraId="057DA177"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29ADFC6C" w14:textId="77777777" w:rsidR="00C86D5C" w:rsidRPr="002756AC" w:rsidRDefault="00C86D5C"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12B984F8" w14:textId="16B3C473"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Décima Primera de la Ordenanza Metropolitana No. 247,</w:t>
      </w:r>
      <w:r w:rsidR="001D076A" w:rsidRPr="002756AC">
        <w:rPr>
          <w:rFonts w:ascii="Century Gothic" w:hAnsi="Century Gothic"/>
          <w:iCs/>
          <w:lang w:val="es-MX"/>
        </w:rPr>
        <w:t xml:space="preserve"> </w:t>
      </w:r>
      <w:r w:rsidRPr="002756AC">
        <w:rPr>
          <w:rFonts w:ascii="Century Gothic" w:hAnsi="Century Gothic"/>
          <w:iCs/>
          <w:lang w:val="es-MX"/>
        </w:rPr>
        <w:t>dispone</w:t>
      </w:r>
      <w:r w:rsidRPr="002756AC">
        <w:rPr>
          <w:rFonts w:ascii="Century Gothic" w:hAnsi="Century Gothic"/>
          <w:i/>
          <w:lang w:val="es-MX"/>
        </w:rPr>
        <w:t>: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w:t>
      </w:r>
      <w:r w:rsidR="003D7027" w:rsidRPr="002756AC">
        <w:rPr>
          <w:rFonts w:ascii="Century Gothic" w:hAnsi="Century Gothic"/>
          <w:i/>
          <w:lang w:val="es-MX"/>
        </w:rPr>
        <w:t xml:space="preserve">e </w:t>
      </w:r>
      <w:r w:rsidRPr="002756AC">
        <w:rPr>
          <w:rFonts w:ascii="Century Gothic" w:hAnsi="Century Gothic"/>
          <w:i/>
          <w:lang w:val="es-MX"/>
        </w:rPr>
        <w:t xml:space="preserve">transporte público terrestre, en cualquier modalidad que pretendan operar dentro de la zona urbana del Distrito Metropolitano de Quito. En caso de inminente </w:t>
      </w:r>
      <w:r w:rsidR="003D7027" w:rsidRPr="002756AC">
        <w:rPr>
          <w:rFonts w:ascii="Century Gothic" w:hAnsi="Century Gothic"/>
          <w:i/>
          <w:lang w:val="es-MX"/>
        </w:rPr>
        <w:t>necesidad será el Alcalde del DMQ, quien dispondrá a la EMSAT realizar el estudio técnico, y los resultados del mismo serán presentados para su aprobación al Concejo Metropolitano de Quito";</w:t>
      </w:r>
    </w:p>
    <w:p w14:paraId="722EC760" w14:textId="5881F70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2547</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07A3B14E" w14:textId="02BC231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77777777"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01169700"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en los numerales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w:t>
      </w:r>
      <w:r w:rsidRPr="002756AC">
        <w:rPr>
          <w:rFonts w:ascii="Century Gothic" w:hAnsi="Century Gothic"/>
          <w:i/>
          <w:lang w:val="es-MX"/>
        </w:rPr>
        <w:lastRenderedPageBreak/>
        <w:t xml:space="preserve">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77777777"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Disposición Transitoria Primera de la Ordenanza Metropolitana No. 0128, establece</w:t>
      </w:r>
      <w:r w:rsidRPr="002756AC">
        <w:rPr>
          <w:rFonts w:ascii="Century Gothic" w:hAnsi="Century Gothic"/>
          <w:i/>
          <w:lang w:val="es-MX"/>
        </w:rPr>
        <w:t>: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7F8BA7B1" w14:textId="64303BFD" w:rsidR="00714397" w:rsidRDefault="00714397" w:rsidP="00714397">
      <w:pPr>
        <w:ind w:left="720" w:hanging="720"/>
        <w:jc w:val="both"/>
        <w:rPr>
          <w:rFonts w:ascii="Century Gothic" w:eastAsia="Arial Unicode MS" w:hAnsi="Century Gothic" w:cs="Arial Unicode MS"/>
          <w:lang w:val="es-MX" w:eastAsia="x-none"/>
        </w:rPr>
      </w:pPr>
      <w:r>
        <w:rPr>
          <w:rFonts w:ascii="Century Gothic" w:hAnsi="Century Gothic"/>
          <w:b/>
          <w:iCs/>
          <w:lang w:val="es-MX"/>
        </w:rPr>
        <w:t>Que,</w:t>
      </w:r>
      <w:r w:rsidR="00FB6FAA" w:rsidRPr="00FB6FAA">
        <w:rPr>
          <w:rFonts w:ascii="Century Gothic" w:eastAsia="Arial Unicode MS" w:hAnsi="Century Gothic" w:cs="Arial Unicode MS"/>
          <w:lang w:val="es-MX" w:eastAsia="x-none"/>
        </w:rPr>
        <w:t xml:space="preserve"> de conformidad a lo dispuesto en el Código Municipal sancionado en la </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MX" w:eastAsia="x-none"/>
        </w:rPr>
        <w:t xml:space="preserve">Ordenanza Municipal No. 1, Registro Oficial Edición Especial 902 de 07 de mayo de 2019, </w:t>
      </w:r>
      <w:r w:rsidR="006345E4">
        <w:rPr>
          <w:rFonts w:ascii="Century Gothic" w:eastAsia="Arial Unicode MS" w:hAnsi="Century Gothic" w:cs="Arial Unicode MS"/>
          <w:lang w:val="es-MX" w:eastAsia="x-none"/>
        </w:rPr>
        <w:t>dispone</w:t>
      </w:r>
      <w:r w:rsidR="00FB6FAA" w:rsidRPr="00FB6FAA">
        <w:rPr>
          <w:rFonts w:ascii="Century Gothic" w:eastAsia="Arial Unicode MS" w:hAnsi="Century Gothic" w:cs="Arial Unicode MS"/>
          <w:lang w:val="es-MX" w:eastAsia="x-none"/>
        </w:rPr>
        <w:t xml:space="preserve"> en la parte denominada ANEXO DEROGATORIAS , ANEXO - ORDENANZAS DEROGADAS: </w:t>
      </w:r>
      <w:r w:rsidR="00FB6FAA" w:rsidRPr="00FB6FAA">
        <w:rPr>
          <w:rFonts w:ascii="Century Gothic" w:eastAsia="Arial Unicode MS" w:hAnsi="Century Gothic" w:cs="Arial Unicode MS"/>
          <w:i/>
          <w:lang w:val="es-MX" w:eastAsia="x-none"/>
        </w:rPr>
        <w:t>“Conforme la disposición derogatoria, se exceptúan de la misma, aquellas disposiciones contenidos en los cuerpos normativos aquí descritos, que son de carácter transitorio y no han sido cumplidas  aún por la Administración Municipal</w:t>
      </w:r>
      <w:r w:rsidR="00FB6FAA" w:rsidRPr="00FB6FAA">
        <w:rPr>
          <w:rFonts w:ascii="Century Gothic" w:eastAsia="Arial Unicode MS" w:hAnsi="Century Gothic" w:cs="Arial Unicode MS"/>
          <w:lang w:val="es-MX" w:eastAsia="x-none"/>
        </w:rPr>
        <w:t>”</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77777777"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xml:space="preserve">. Para el efecto, la Dirección Metropolitana de Gestión de la Movilidad de esta Secretaría, al </w:t>
      </w:r>
      <w:r w:rsidRPr="002756AC">
        <w:rPr>
          <w:rFonts w:ascii="Century Gothic" w:hAnsi="Century Gothic"/>
          <w:i/>
          <w:lang w:val="es-MX"/>
        </w:rPr>
        <w:lastRenderedPageBreak/>
        <w:t xml:space="preserve">tenor de las condiciones dispuestas en la Ordenanza Metropolitana No. 128 citada, notificará a los involucrados a través del portal web de la Secretaría de Movilidad, con el contenido de las Bases del Proceso que se agrega a la presente Resolución como paute integrante de la misma (Anexo 1), quienes se sujetarán a los plazos, condiciones y requisitos allí </w:t>
      </w:r>
      <w:r w:rsidR="001F2C70" w:rsidRPr="002756AC">
        <w:rPr>
          <w:rFonts w:ascii="Century Gothic" w:hAnsi="Century Gothic"/>
          <w:i/>
          <w:lang w:val="es-MX"/>
        </w:rPr>
        <w:t>sería lados</w:t>
      </w:r>
      <w:r w:rsidRPr="002756AC">
        <w:rPr>
          <w:rFonts w:ascii="Century Gothic" w:hAnsi="Century Gothic"/>
          <w:i/>
          <w:lang w:val="es-MX"/>
        </w:rPr>
        <w:t>.";</w:t>
      </w:r>
    </w:p>
    <w:p w14:paraId="502D7D40" w14:textId="77777777" w:rsidR="002C5169" w:rsidRPr="00714397" w:rsidRDefault="002C5169"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mediante ordenanza metropolitana 017-2020, de 01 de diciembre de 2020, el Concejo Metropolitano de Quito, resolvió expedir la ordenanza que </w:t>
      </w:r>
      <w:r w:rsidRPr="00714397">
        <w:rPr>
          <w:rFonts w:ascii="Century Gothic" w:hAnsi="Century Gothic"/>
          <w:iCs/>
          <w:lang w:val="es-MX"/>
        </w:rPr>
        <w:t xml:space="preserve">establece la integración de los subsistemas de sistema metropolitano de transporte público de pasajeros, misma que contempla la integración operacional, de interconexión de los diferentes subsistemas de transporte público. </w:t>
      </w:r>
    </w:p>
    <w:p w14:paraId="7C2AE9AC" w14:textId="77777777"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Pr="00714397">
        <w:rPr>
          <w:rFonts w:ascii="Century Gothic" w:hAnsi="Century Gothic"/>
          <w:iCs/>
          <w:lang w:val="es-MX"/>
        </w:rPr>
        <w:t xml:space="preserve"> 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06CDB01F" w:rsidR="009D3FD1" w:rsidRPr="00714397" w:rsidRDefault="001F2C70" w:rsidP="003C7E81">
      <w:pPr>
        <w:jc w:val="both"/>
        <w:rPr>
          <w:b/>
          <w:iCs/>
          <w:lang w:val="es-MX"/>
        </w:rPr>
      </w:pPr>
      <w:r w:rsidRPr="00714397">
        <w:rPr>
          <w:rFonts w:ascii="Century Gothic" w:hAnsi="Century Gothic"/>
          <w:iCs/>
          <w:lang w:val="es-MX"/>
        </w:rPr>
        <w:t>En ejercicio de las atribuciones que le confiere los artículos 87, literal a)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9DBCD57" w14:textId="77777777"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47BE769F"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 xml:space="preserve">Artículo único.- </w:t>
      </w:r>
      <w:r w:rsidRPr="00631B99">
        <w:rPr>
          <w:rFonts w:ascii="Century Gothic" w:hAnsi="Century Gothic"/>
          <w:bCs/>
          <w:lang w:val="es-MX"/>
        </w:rPr>
        <w:t>Por cuanto la Secretaría de Movilidad en el ámbito de sus competencias, no dio cumplimiento en el tiempo establecido en la Ordenanza 006-2019, para realizar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  y siendo necesario finalizar dicho proceso, se dispone a la Secretaría de Movilidad  emitir los informes referentes a:</w:t>
      </w:r>
    </w:p>
    <w:p w14:paraId="70D996C3"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EC"/>
        </w:rPr>
        <w:t>2.Evaluación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EC"/>
        </w:rPr>
        <w:t>3.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lastRenderedPageBreak/>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 xml:space="preserve">Las compañías inmersas en este proceso y han obtenido o modificado su permiso de operación, deberán en el término de sesenta días proceder a la modificación de su paquete accionario, en el que únicamente deberán constar las personas cuyas unidades se haya podido verificar su existencia física, de tal forma que formarán parte de la persona jurídica, únicamente las personas que presenten el servicio de transporte público cuyas unidades serán verificadas su existencia física y hayan cumplido el proceso determinado en la Ordenanza 0128-2016. </w:t>
      </w:r>
    </w:p>
    <w:p w14:paraId="3CC48BD7" w14:textId="4600A187" w:rsidR="00631B99" w:rsidRPr="00631B99" w:rsidRDefault="00631B99" w:rsidP="00631B99">
      <w:pPr>
        <w:jc w:val="both"/>
        <w:rPr>
          <w:rFonts w:ascii="Century Gothic" w:hAnsi="Century Gothic"/>
          <w:bCs/>
          <w:lang w:val="es-MX"/>
        </w:rPr>
      </w:pPr>
      <w:r w:rsidRPr="00631B99">
        <w:rPr>
          <w:rFonts w:ascii="Century Gothic" w:hAnsi="Century Gothic"/>
          <w:bCs/>
          <w:lang w:val="es-MX"/>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5B77E90C" w14:textId="3B7F1BEA"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General</w:t>
      </w:r>
      <w:r>
        <w:rPr>
          <w:rFonts w:ascii="Century Gothic" w:hAnsi="Century Gothic"/>
          <w:b/>
          <w:bCs/>
          <w:lang w:val="es-MX"/>
        </w:rPr>
        <w:t xml:space="preserve"> Primera</w:t>
      </w:r>
      <w:r w:rsidRPr="00631B99">
        <w:rPr>
          <w:rFonts w:ascii="Century Gothic" w:hAnsi="Century Gothic"/>
          <w:b/>
          <w:bCs/>
          <w:lang w:val="es-MX"/>
        </w:rPr>
        <w:t xml:space="preserve">.- </w:t>
      </w:r>
      <w:r w:rsidRPr="00631B99">
        <w:rPr>
          <w:rFonts w:ascii="Century Gothic" w:hAnsi="Century Gothic"/>
          <w:bCs/>
          <w:lang w:val="es-MX"/>
        </w:rPr>
        <w:t>La Dirección Metropolitana de Gestión de la Movilidad de la Secretaria de Movilidad, para la revisión física de todas unidades detalladas en los Contratos de Operación suscritos por la Secretaria de Movilidad en noviembre y diciembre de 2018; Para lo cual, deberá observar y realizar dicha constatación física, en el lugar donde se encontrara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1A8BF25F" w14:textId="1C5709DC" w:rsidR="00631B99" w:rsidRPr="00631B99" w:rsidRDefault="00631B99" w:rsidP="00631B99">
      <w:pPr>
        <w:jc w:val="both"/>
        <w:rPr>
          <w:rFonts w:ascii="Century Gothic" w:hAnsi="Century Gothic"/>
          <w:lang w:val="es-EC"/>
        </w:rPr>
      </w:pPr>
      <w:r w:rsidRPr="00631B99">
        <w:rPr>
          <w:rFonts w:ascii="Century Gothic" w:hAnsi="Century Gothic"/>
          <w:b/>
          <w:bCs/>
          <w:lang w:val="es-MX"/>
        </w:rPr>
        <w:t>Disposición General</w:t>
      </w:r>
      <w:r>
        <w:rPr>
          <w:rFonts w:ascii="Century Gothic" w:hAnsi="Century Gothic"/>
          <w:b/>
          <w:bCs/>
          <w:lang w:val="es-MX"/>
        </w:rPr>
        <w:t xml:space="preserve"> Segunda</w:t>
      </w:r>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Presente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42F35B24" w14:textId="4199574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Disposiciones Transitoria Primera</w:t>
      </w:r>
      <w:r w:rsidRPr="00631B99">
        <w:rPr>
          <w:rFonts w:ascii="Century Gothic" w:hAnsi="Century Gothic"/>
          <w:b/>
          <w:lang w:val="es-MX"/>
        </w:rPr>
        <w:t xml:space="preserve">.- </w:t>
      </w:r>
      <w:r w:rsidRPr="00631B99">
        <w:rPr>
          <w:rFonts w:ascii="Century Gothic" w:hAnsi="Century Gothic"/>
          <w:bCs/>
          <w:lang w:val="es-MX"/>
        </w:rPr>
        <w:t xml:space="preserve">La Secretaria de Movilidad en conjunto con la Agencia Metropolitana de Tránsito, coordinaran, facilitaran y notificarán a las operadoras de transporte público producto de la Ordenanza 128-2016, con el cronograma correspondiente para que las unidades físicamente existentes y que se habilitaren operacionalmente, conforme el proceso de la presente ordenanza, </w:t>
      </w:r>
      <w:r w:rsidRPr="00631B99">
        <w:rPr>
          <w:rFonts w:ascii="Century Gothic" w:hAnsi="Century Gothic"/>
          <w:bCs/>
          <w:lang w:val="es-MX"/>
        </w:rPr>
        <w:lastRenderedPageBreak/>
        <w:t>realicen la Revisión técnica Vehicular y Matriculación , dentro del término de 30 días contados a partir de la culminación de los plazos dispuestos en los artículos señalados anteriormente.</w:t>
      </w:r>
    </w:p>
    <w:p w14:paraId="0CFC5E8E"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tal virtud y mientras los términos y plazos establecidos en la presente ordenanza no culminen y se proceda a su cierre definitivo, la Secretaria de Movilidad y la 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128-2016.</w:t>
      </w:r>
    </w:p>
    <w:p w14:paraId="18A04A3B"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Transitoria Segunda.-</w:t>
      </w:r>
      <w:r w:rsidRPr="00631B99">
        <w:rPr>
          <w:rFonts w:ascii="Century Gothic" w:hAnsi="Century Gothic"/>
          <w:b/>
          <w:lang w:val="es-MX"/>
        </w:rPr>
        <w:t xml:space="preserve"> </w:t>
      </w:r>
      <w:r w:rsidRPr="00631B99">
        <w:rPr>
          <w:rFonts w:ascii="Century Gothic" w:hAnsi="Century Gothic"/>
          <w:bCs/>
          <w:lang w:val="es-MX"/>
        </w:rPr>
        <w:t>La Secretaria de Movilidad y la Agencia Metropolitana de Tránsito a partir de la sanción de la presente ordenanza, realizará el control de las unidades pertenecientes a los procesos paralelos a la Ordenanza Metropolitana 0128,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02A1F213" w:rsidR="00631B99" w:rsidRPr="00631B99" w:rsidRDefault="00631B99" w:rsidP="00631B99">
      <w:pPr>
        <w:jc w:val="both"/>
        <w:rPr>
          <w:rFonts w:ascii="Century Gothic" w:hAnsi="Century Gothic"/>
          <w:bCs/>
          <w:lang w:val="es-EC"/>
        </w:rPr>
      </w:pPr>
      <w:r w:rsidRPr="00631B99">
        <w:rPr>
          <w:rFonts w:ascii="Century Gothic" w:hAnsi="Century Gothic"/>
          <w:bCs/>
          <w:lang w:val="es-MX"/>
        </w:rPr>
        <w:t>Hasta que se consolide e implemente el Plan de Reestructuración de Rutas,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p>
    <w:p w14:paraId="151241B1" w14:textId="39C9C40A" w:rsidR="008A54F9" w:rsidRPr="00714397" w:rsidRDefault="00892078" w:rsidP="00892078">
      <w:pPr>
        <w:jc w:val="both"/>
        <w:rPr>
          <w:rFonts w:ascii="Century Gothic" w:hAnsi="Century Gothic"/>
          <w:lang w:val="es-MX"/>
        </w:rPr>
      </w:pPr>
      <w:r w:rsidRPr="00714397">
        <w:rPr>
          <w:rFonts w:ascii="Century Gothic" w:hAnsi="Century Gothic"/>
          <w:b/>
          <w:lang w:val="es-MX"/>
        </w:rPr>
        <w:t>Disposición Final. -</w:t>
      </w:r>
      <w:r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714397" w:rsidRDefault="001D4CAB" w:rsidP="00892078">
      <w:pPr>
        <w:jc w:val="both"/>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714397">
        <w:rPr>
          <w:rFonts w:ascii="Century Gothic" w:hAnsi="Century Gothic"/>
          <w:b/>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045A" w14:textId="77777777" w:rsidR="00CE1A2C" w:rsidRDefault="00CE1A2C" w:rsidP="00193052">
      <w:pPr>
        <w:spacing w:after="0" w:line="240" w:lineRule="auto"/>
      </w:pPr>
      <w:r>
        <w:separator/>
      </w:r>
    </w:p>
  </w:endnote>
  <w:endnote w:type="continuationSeparator" w:id="0">
    <w:p w14:paraId="007E01E9" w14:textId="77777777" w:rsidR="00CE1A2C" w:rsidRDefault="00CE1A2C"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7A37" w14:textId="77777777" w:rsidR="00CE1A2C" w:rsidRDefault="00CE1A2C" w:rsidP="00193052">
      <w:pPr>
        <w:spacing w:after="0" w:line="240" w:lineRule="auto"/>
      </w:pPr>
      <w:r>
        <w:separator/>
      </w:r>
    </w:p>
  </w:footnote>
  <w:footnote w:type="continuationSeparator" w:id="0">
    <w:p w14:paraId="352568B3" w14:textId="77777777" w:rsidR="00CE1A2C" w:rsidRDefault="00CE1A2C"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10A35"/>
    <w:rsid w:val="00046B3D"/>
    <w:rsid w:val="000B25BE"/>
    <w:rsid w:val="00126125"/>
    <w:rsid w:val="001445FC"/>
    <w:rsid w:val="00193052"/>
    <w:rsid w:val="001D076A"/>
    <w:rsid w:val="001D4CAB"/>
    <w:rsid w:val="001F2C70"/>
    <w:rsid w:val="002069F6"/>
    <w:rsid w:val="00207767"/>
    <w:rsid w:val="002429D9"/>
    <w:rsid w:val="002756AC"/>
    <w:rsid w:val="002C5169"/>
    <w:rsid w:val="00310FE9"/>
    <w:rsid w:val="003731DF"/>
    <w:rsid w:val="00386AF4"/>
    <w:rsid w:val="003A1AE5"/>
    <w:rsid w:val="003C7E81"/>
    <w:rsid w:val="003D7027"/>
    <w:rsid w:val="00404597"/>
    <w:rsid w:val="0043162F"/>
    <w:rsid w:val="00433E73"/>
    <w:rsid w:val="00477AA1"/>
    <w:rsid w:val="0051523E"/>
    <w:rsid w:val="0052419F"/>
    <w:rsid w:val="00542A25"/>
    <w:rsid w:val="00580704"/>
    <w:rsid w:val="005F68F3"/>
    <w:rsid w:val="00602B1D"/>
    <w:rsid w:val="00631B99"/>
    <w:rsid w:val="006345E4"/>
    <w:rsid w:val="00665A0E"/>
    <w:rsid w:val="006B0ADA"/>
    <w:rsid w:val="006D7E42"/>
    <w:rsid w:val="006E04E6"/>
    <w:rsid w:val="0070723A"/>
    <w:rsid w:val="00714397"/>
    <w:rsid w:val="00755F8E"/>
    <w:rsid w:val="0079622D"/>
    <w:rsid w:val="007D682C"/>
    <w:rsid w:val="00801BED"/>
    <w:rsid w:val="00865375"/>
    <w:rsid w:val="00892078"/>
    <w:rsid w:val="008A0759"/>
    <w:rsid w:val="008A54F9"/>
    <w:rsid w:val="008E7A16"/>
    <w:rsid w:val="00927AF6"/>
    <w:rsid w:val="009D09B4"/>
    <w:rsid w:val="009D3FD1"/>
    <w:rsid w:val="00A616CF"/>
    <w:rsid w:val="00AB3BD1"/>
    <w:rsid w:val="00B741A7"/>
    <w:rsid w:val="00BB7A8E"/>
    <w:rsid w:val="00BE369D"/>
    <w:rsid w:val="00C216F2"/>
    <w:rsid w:val="00C427DC"/>
    <w:rsid w:val="00C86D5C"/>
    <w:rsid w:val="00C91DC5"/>
    <w:rsid w:val="00CE1A2C"/>
    <w:rsid w:val="00D04D9F"/>
    <w:rsid w:val="00DD280B"/>
    <w:rsid w:val="00DE0A90"/>
    <w:rsid w:val="00DE5D77"/>
    <w:rsid w:val="00E30611"/>
    <w:rsid w:val="00E45D2D"/>
    <w:rsid w:val="00E46DE3"/>
    <w:rsid w:val="00E5730B"/>
    <w:rsid w:val="00E83169"/>
    <w:rsid w:val="00E86505"/>
    <w:rsid w:val="00F36F84"/>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22399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Cristina Veronica Perez Coronel</cp:lastModifiedBy>
  <cp:revision>2</cp:revision>
  <cp:lastPrinted>2022-06-07T17:01:00Z</cp:lastPrinted>
  <dcterms:created xsi:type="dcterms:W3CDTF">2022-07-25T15:00:00Z</dcterms:created>
  <dcterms:modified xsi:type="dcterms:W3CDTF">2022-07-25T15:00:00Z</dcterms:modified>
</cp:coreProperties>
</file>