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entury Gothic" w:hAnsi="Century Gothic"/>
          <w:b/>
          <w:sz w:val="24"/>
          <w:szCs w:val="24"/>
          <w:lang w:val="es-MX"/>
        </w:rPr>
      </w:pPr>
      <w:bookmarkStart w:id="0" w:name="_GoBack"/>
      <w:bookmarkEnd w:id="0"/>
      <w:r>
        <w:rPr>
          <w:rFonts w:ascii="Century Gothic" w:hAnsi="Century Gothic"/>
          <w:b/>
          <w:sz w:val="24"/>
          <w:szCs w:val="24"/>
          <w:lang w:val="es-MX"/>
        </w:rPr>
        <w:t>PROYECTO DE ORDENANZA MODIFICATORIA A LA ORDENANZA 006-2019</w:t>
      </w:r>
    </w:p>
    <w:p>
      <w:pPr>
        <w:jc w:val="center"/>
        <w:rPr>
          <w:rFonts w:ascii="Century Gothic" w:hAnsi="Century Gothic"/>
          <w:b/>
          <w:sz w:val="24"/>
          <w:szCs w:val="24"/>
          <w:lang w:val="es-MX"/>
        </w:rPr>
      </w:pPr>
      <w:r>
        <w:rPr>
          <w:rFonts w:ascii="Century Gothic" w:hAnsi="Century Gothic"/>
          <w:b/>
          <w:sz w:val="24"/>
          <w:szCs w:val="24"/>
          <w:lang w:val="es-MX"/>
        </w:rPr>
        <w:t>EXPOSICION DE MOTIVOS</w:t>
      </w:r>
    </w:p>
    <w:p>
      <w:pPr>
        <w:jc w:val="both"/>
        <w:rPr>
          <w:rFonts w:ascii="Century Gothic" w:hAnsi="Century Gothic"/>
          <w:i/>
          <w:sz w:val="24"/>
          <w:szCs w:val="24"/>
          <w:lang w:val="es-MX"/>
        </w:rPr>
      </w:pPr>
      <w:r>
        <w:rPr>
          <w:rFonts w:ascii="Century Gothic" w:hAnsi="Century Gothic"/>
          <w:sz w:val="24"/>
          <w:szCs w:val="24"/>
          <w:lang w:val="es-MX"/>
        </w:rPr>
        <w:t xml:space="preserve">La Comisión de Movilidad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Pr>
          <w:rFonts w:ascii="Century Gothic" w:hAnsi="Century Gothic"/>
          <w:i/>
          <w:sz w:val="24"/>
          <w:szCs w:val="24"/>
          <w:lang w:val="es-MX"/>
        </w:rPr>
        <w:t xml:space="preserve">“Solicitar a la secretaria de Movilidad que, en el término de ocho días (8), remita un informe pormenorizado y actualizado con corte a la presente fecha, en el que se identifique con absoluta claridad a los participantes del proceso de regularización habilitada mediante la ordenanza Metropolitana No. 128, que cumplieron los requisitos, quienes hoy aquellos que se encuentran en proceso de impugnación; y además se establezcan cuáles son los problemas que existen en torno a este proceso, con el propósito de evaluar mecanismos de solución conforme el régimen jurídico aplicable”. </w:t>
      </w:r>
    </w:p>
    <w:p>
      <w:pPr>
        <w:jc w:val="both"/>
        <w:rPr>
          <w:rFonts w:ascii="Century Gothic" w:hAnsi="Century Gothic"/>
          <w:iCs/>
          <w:sz w:val="24"/>
          <w:szCs w:val="24"/>
          <w:lang w:val="es-MX"/>
        </w:rPr>
      </w:pPr>
      <w:r>
        <w:rPr>
          <w:rFonts w:ascii="Century Gothic" w:hAnsi="Century Gothic"/>
          <w:iCs/>
          <w:sz w:val="24"/>
          <w:szCs w:val="24"/>
          <w:lang w:val="es-MX"/>
        </w:rPr>
        <w:t>En virtud de que existe una problemática en torno a la regularización de las unidades de transporte público que si han cumplido las etapas del proceso y han presentado los requisitos establecidos en las ordenanzas que lo regulan, a las cuales deben otorgarse soluciones legales que permitan su regularización, sin que ello signifique la creación de nuevas operadoras o el incremento de unidades, o la apertura de un nuevo proceso, sino la finalización del proceso que se encuentra inconcluso por situaciones ajenas a la voluntad de la administración.</w:t>
      </w:r>
    </w:p>
    <w:p>
      <w:pPr>
        <w:jc w:val="both"/>
        <w:rPr>
          <w:rFonts w:ascii="Century Gothic" w:hAnsi="Century Gothic"/>
          <w:iCs/>
          <w:sz w:val="24"/>
          <w:szCs w:val="24"/>
          <w:lang w:val="es-MX"/>
        </w:rPr>
      </w:pPr>
      <w:r>
        <w:rPr>
          <w:rFonts w:ascii="Century Gothic" w:hAnsi="Century Gothic"/>
          <w:iCs/>
          <w:sz w:val="24"/>
          <w:szCs w:val="24"/>
          <w:lang w:val="es-MX"/>
        </w:rPr>
        <w:t xml:space="preserve">El Municipio del Distrito Metropolitano de Quito, está implementando la integración de los subsistemas de transporte, con la finalidad de mejorar el transporte de pasajeros en el ámbito intracantonal, por lo que es necesario regularizar todos los sistemas.  </w:t>
      </w:r>
    </w:p>
    <w:p>
      <w:pPr>
        <w:jc w:val="both"/>
        <w:rPr>
          <w:rFonts w:ascii="Century Gothic" w:hAnsi="Century Gothic"/>
          <w:i/>
          <w:sz w:val="24"/>
          <w:szCs w:val="24"/>
          <w:lang w:val="es-MX"/>
        </w:rPr>
      </w:pPr>
    </w:p>
    <w:p>
      <w:pPr>
        <w:jc w:val="center"/>
        <w:rPr>
          <w:rFonts w:ascii="Century Gothic" w:hAnsi="Century Gothic"/>
          <w:b/>
          <w:i/>
          <w:sz w:val="24"/>
          <w:szCs w:val="24"/>
          <w:lang w:val="es-MX"/>
        </w:rPr>
      </w:pPr>
      <w:r>
        <w:rPr>
          <w:rFonts w:ascii="Century Gothic" w:hAnsi="Century Gothic"/>
          <w:b/>
          <w:i/>
          <w:sz w:val="24"/>
          <w:szCs w:val="24"/>
          <w:lang w:val="es-MX"/>
        </w:rPr>
        <w:t>CONSIDERANDO</w:t>
      </w:r>
    </w:p>
    <w:p>
      <w:pPr>
        <w:jc w:val="center"/>
        <w:rPr>
          <w:rFonts w:ascii="Century Gothic" w:hAnsi="Century Gothic"/>
          <w:b/>
          <w:i/>
          <w:sz w:val="24"/>
          <w:szCs w:val="24"/>
          <w:lang w:val="es-MX"/>
        </w:rPr>
      </w:pP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numeral 6 del artículo 264 de la Constitución de la República del Ecuador, en adelante “Constitución", establece que es una competencia exclusiva de los gobiernos municipales</w:t>
      </w:r>
      <w:r>
        <w:rPr>
          <w:rFonts w:ascii="Century Gothic" w:hAnsi="Century Gothic"/>
          <w:i/>
          <w:sz w:val="24"/>
          <w:szCs w:val="24"/>
          <w:lang w:val="es-MX"/>
        </w:rPr>
        <w:t xml:space="preserve">: "(...) 6. Planificar, regular y controlar el tránsito y el transporte terrestre dentro de su territorio cantonal (...)";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artículo 266 de la Constitución, dispone que</w:t>
      </w:r>
      <w:r>
        <w:rPr>
          <w:rFonts w:ascii="Century Gothic" w:hAnsi="Century Gothic"/>
          <w:i/>
          <w:sz w:val="24"/>
          <w:szCs w:val="24"/>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artículo 394 de la Constitución dispone que</w:t>
      </w:r>
      <w:r>
        <w:rPr>
          <w:rFonts w:ascii="Century Gothic" w:hAnsi="Century Gothic"/>
          <w:i/>
          <w:sz w:val="24"/>
          <w:szCs w:val="24"/>
          <w:lang w:val="es-MX"/>
        </w:rPr>
        <w:t>: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regulara el transporte terrestre, aéreo y acuático y las actividades aeroportuarias”.</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artículo 7 del Código Orgánico de Organización Territorial, Autonomía v Descentralización, en adelante "COOTAD",</w:t>
      </w:r>
      <w:r>
        <w:rPr>
          <w:rFonts w:ascii="Century Gothic" w:hAnsi="Century Gothic"/>
          <w:i/>
          <w:sz w:val="24"/>
          <w:szCs w:val="24"/>
          <w:lang w:val="es-MX"/>
        </w:rPr>
        <w:t xml:space="preserve"> "(...) reconoce a los concejos metropolitanos y municipales, la capacidad para dictar normas de carácter general a través de ordenanzas, acuerdos y resoluciones, aplicables dentro de su circunscripción territorial";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Iiteral q) del artículo 84 del COOTAD manda que: "Son funciones del gobierno del distrito autónomo metropolitano: </w:t>
      </w:r>
      <w:r>
        <w:rPr>
          <w:rFonts w:ascii="Century Gothic" w:hAnsi="Century Gothic"/>
          <w:i/>
          <w:sz w:val="24"/>
          <w:szCs w:val="24"/>
          <w:lang w:val="es-MX"/>
        </w:rPr>
        <w:t xml:space="preserve">"(...) q) Planificar, regular y  controlar el tránsito y el transporte  terrestre dentro de territorio. (...)";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literal a) del artículo 87 del COOTAD, señala que al Concejo Metropolitano le corresponde:</w:t>
      </w:r>
      <w:r>
        <w:rPr>
          <w:rFonts w:ascii="Century Gothic" w:hAnsi="Century Gothic"/>
          <w:i/>
          <w:sz w:val="24"/>
          <w:szCs w:val="24"/>
          <w:lang w:val="es-MX"/>
        </w:rPr>
        <w:t xml:space="preserve"> "(...) a) Ejercer la facultad normativa en las materias de competencia del gobierno autónomo descentralizado metropolitano, mediante la expedición de ordenanzas metropolitanas, acuerdos y resoluciones;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artículo 275 del COOTAD, dispone que</w:t>
      </w:r>
      <w:r>
        <w:rPr>
          <w:rFonts w:ascii="Century Gothic" w:hAnsi="Century Gothic"/>
          <w:i/>
          <w:sz w:val="24"/>
          <w:szCs w:val="24"/>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numeral 2 del artículo 2 de la Ley Orgánica de Régimen para el Distrito Metropolitano de Quito establece que el Municipio del Distrito Metropolitano de Quito cumplirá las siguientes finalidades</w:t>
      </w:r>
      <w:r>
        <w:rPr>
          <w:rFonts w:ascii="Century Gothic" w:hAnsi="Century Gothic"/>
          <w:i/>
          <w:sz w:val="24"/>
          <w:szCs w:val="24"/>
          <w:lang w:val="es-MX"/>
        </w:rPr>
        <w:t xml:space="preserve">: "(...) 2) Planificará, regulará y coordinan: todo lo relacionado con el transporte público y privado dentro de su jurisdicción, para lo cual expedirá, con competencia exclusiva, las normas que sean necesarias. ( ...)”;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artículo 3 de la Ley Orgánica de Transporte Terrestre, Tránsito y Seguridad Vial, en adelante "LOTTTSV", determina que</w:t>
      </w:r>
      <w:r>
        <w:rPr>
          <w:rFonts w:ascii="Century Gothic" w:hAnsi="Century Gothic"/>
          <w:i/>
          <w:sz w:val="24"/>
          <w:szCs w:val="24"/>
          <w:lang w:val="es-MX"/>
        </w:rPr>
        <w:t xml:space="preserve">: "El Estado garantizara que la prestación del servicio de transporte público se ajuste a los principios de seguridad, eficiencia, responsabilidad, universalidad, accesibilidad, continuidad y calidad, con tarifas socialmente justas";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xml:space="preserve"> el artículo 7 de la LOTTTSV, define que:</w:t>
      </w:r>
      <w:r>
        <w:rPr>
          <w:rFonts w:ascii="Century Gothic" w:hAnsi="Century Gothic"/>
          <w:i/>
          <w:sz w:val="24"/>
          <w:szCs w:val="24"/>
          <w:lang w:val="es-MX"/>
        </w:rPr>
        <w:t xml:space="preserve"> "Las vías de circulación terrestre del país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circulación vial"; </w:t>
      </w:r>
    </w:p>
    <w:p>
      <w:pPr>
        <w:ind w:left="720" w:hanging="720"/>
        <w:jc w:val="both"/>
        <w:rPr>
          <w:rFonts w:ascii="Century Gothic" w:hAnsi="Century Gothic"/>
          <w:i/>
          <w:sz w:val="24"/>
          <w:szCs w:val="24"/>
          <w:lang w:val="es-MX"/>
        </w:rPr>
      </w:pPr>
      <w:r>
        <w:rPr>
          <w:rFonts w:ascii="Century Gothic" w:hAnsi="Century Gothic"/>
          <w:b/>
          <w:iCs/>
          <w:sz w:val="24"/>
          <w:szCs w:val="24"/>
          <w:lang w:val="es-MX"/>
        </w:rPr>
        <w:t>Que</w:t>
      </w:r>
      <w:r>
        <w:rPr>
          <w:rFonts w:ascii="Century Gothic" w:hAnsi="Century Gothic"/>
          <w:iCs/>
          <w:sz w:val="24"/>
          <w:szCs w:val="24"/>
          <w:lang w:val="es-MX"/>
        </w:rPr>
        <w:t>, el artículo 30.4 de la LOTTTSV, manda que</w:t>
      </w:r>
      <w:r>
        <w:rPr>
          <w:rFonts w:ascii="Century Gothic" w:hAnsi="Century Gothic"/>
          <w:i/>
          <w:sz w:val="24"/>
          <w:szCs w:val="24"/>
          <w:lang w:val="es-MX"/>
        </w:rPr>
        <w:t>: "Los Gobiernos Autónomos Descentralizados Regionales, Metropolitanos y Municipales, en el ámbito de sus competencias en materia de transporte terrestre, tránsito y seguridad vial, en sus respectivas circunscripciones territoriales, tendrán las atribuciones de conformidad 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une en materia de control del tránsito y la seguridad vial se Vayan a aplicar. (...) Los Gobiernos Autónomos Descentralizados Metropolitanos y Municipales en el ámbito de sus; competencias, tienen la responsabilidad de planificar, regular y controlar las redes urbanas y rurales de tránsito y transporte dentro de su jurisdicción.</w:t>
      </w:r>
    </w:p>
    <w:p>
      <w:pPr>
        <w:ind w:left="720" w:hanging="720"/>
        <w:jc w:val="both"/>
        <w:rPr>
          <w:rFonts w:ascii="Century Gothic" w:hAnsi="Century Gothic"/>
          <w:i/>
          <w:sz w:val="24"/>
          <w:szCs w:val="24"/>
          <w:lang w:val="es-MX"/>
        </w:rPr>
      </w:pPr>
      <w:r>
        <w:rPr>
          <w:rFonts w:ascii="Century Gothic" w:hAnsi="Century Gothic"/>
          <w:iCs/>
          <w:sz w:val="24"/>
          <w:szCs w:val="24"/>
          <w:lang w:val="es-MX"/>
        </w:rPr>
        <w:t>Que, los literales c), d), m), y, p) del artículo 30.5 de la LOTTTSV, prescriben que los gobiernos Autónomos Descentralizados Metropolitanos y Municipales tendrán como competencias, entre otras, las de</w:t>
      </w:r>
      <w:r>
        <w:rPr>
          <w:rFonts w:ascii="Century Gothic" w:hAnsi="Century Gothic"/>
          <w:i/>
          <w:sz w:val="24"/>
          <w:szCs w:val="24"/>
          <w:lang w:val="es-MX"/>
        </w:rPr>
        <w:t xml:space="preserve">: " c) Planificar, regular y controlar las actividades y 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 d) Planificar, regular y controlar el uso de la vía pública y  de los corredores viales en áreas urbanas del cantón, y en las parroquias rurales del cantón; (...) m) Regular y suscribir los contratos de operación de servicios de transporte terrestre, que operen dentro de sus circunscripciones territoriales; (...) p) Emitir titulas habilitantes para la operación de servicios de transporte terrestre a las operadoras de transporte debidamente constituidas a nivel Intracantonal; (...)";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55 de la LOTTTSV, establece que</w:t>
      </w:r>
      <w:r>
        <w:rPr>
          <w:rFonts w:ascii="Century Gothic" w:hAnsi="Century Gothic"/>
          <w:i/>
          <w:sz w:val="24"/>
          <w:szCs w:val="24"/>
          <w:lang w:val="es-MX"/>
        </w:rPr>
        <w:t xml:space="preserve">: "El transporte público se considera un servicio estratégico, así como la infraestructura y equipamiento auxiliar que se utilizan en la prestación del servicio. Las rutas y frecuencias a nivel nacional son de propiedad exclusiva del Estado, las cuales podrán ser comercialmente explotados mediante contratos de operación";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56 de la LOTTTSV determina que:</w:t>
      </w:r>
      <w:r>
        <w:rPr>
          <w:rFonts w:ascii="Century Gothic" w:hAnsi="Century Gothic"/>
          <w:i/>
          <w:sz w:val="24"/>
          <w:szCs w:val="24"/>
          <w:lang w:val="es-MX"/>
        </w:rPr>
        <w:t xml:space="preserve"> "El servicio de transporte público podrá ser prestado por el Estado u otorgado mediante contrato de operación a operadoras legalmente constituidas. Para operar un servicio público de transporte deberá cumplir con los términos establecidos en la presente Ley y su Reglamento. (...)";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66 de la LOTTTSV señala que</w:t>
      </w:r>
      <w:r>
        <w:rPr>
          <w:rFonts w:ascii="Century Gothic" w:hAnsi="Century Gothic"/>
          <w:i/>
          <w:sz w:val="24"/>
          <w:szCs w:val="24"/>
          <w:lang w:val="es-MX"/>
        </w:rPr>
        <w:t xml:space="preserve">: "El servicio de transporte público intracantonal, es aquel que opera dentro de los límites cantonales. La celebración de los contratos y/o permisos de operación de estos servicios será atribución de los Gobiernos Autónomos Descentralizados Municipales o Metropolitanos (...), con sujeción a las políticas y resoluciones de la Agencia Nacional de Regulación y Control del Transporte Terrestre, 'Tránsito y Seguridad Vial y de conformidad con lo establecido en la presente Ley y su Reglamento"; </w:t>
      </w:r>
    </w:p>
    <w:p>
      <w:pPr>
        <w:ind w:left="720" w:hanging="720"/>
        <w:jc w:val="both"/>
        <w:rPr>
          <w:rFonts w:ascii="Century Gothic" w:hAnsi="Century Gothic"/>
          <w:i/>
          <w:sz w:val="24"/>
          <w:szCs w:val="24"/>
          <w:lang w:val="es-MX"/>
        </w:rPr>
      </w:pPr>
      <w:r>
        <w:rPr>
          <w:rFonts w:ascii="Century Gothic" w:hAnsi="Century Gothic"/>
          <w:iCs/>
          <w:sz w:val="24"/>
          <w:szCs w:val="24"/>
          <w:lang w:val="es-MX"/>
        </w:rPr>
        <w:t>Que, 4.1 artículo 72 de la LOTTTSV determina que</w:t>
      </w:r>
      <w:r>
        <w:rPr>
          <w:rFonts w:ascii="Century Gothic" w:hAnsi="Century Gothic"/>
          <w:i/>
          <w:sz w:val="24"/>
          <w:szCs w:val="24"/>
          <w:lang w:val="es-MX"/>
        </w:rPr>
        <w:t xml:space="preserve">: "Son títulos habilitantes de transporte terrestre los contratos de operación, permisos de operación y autorizaciones, los cuales se otorgaran a tus personas jurídicas domiciliadas en el Ecuador que tengan capacidad técnica y financiera y que cumplan con los requisitos exigidos en la Ley y los reglamentos”;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literal a) del artículo 75 de la LOTTTSV dispone</w:t>
      </w:r>
      <w:r>
        <w:rPr>
          <w:rFonts w:ascii="Century Gothic" w:hAnsi="Century Gothic"/>
          <w:i/>
          <w:sz w:val="24"/>
          <w:szCs w:val="24"/>
          <w:lang w:val="es-MX"/>
        </w:rPr>
        <w:t>: "(...) a los Gobiernos Autónomas Descentralizados Regionales, Metropolitanos y Municipales, en el ejercicio de sus respectivas competencias, en el ámbito de su jurisdicción, otorgar los siguientes títulos habilitantes según corresponda: a) Contratos de Operación para la prestación de servicio de transporte publico de persona o bienes para el ámbito el ámbito intracantonal.”;</w:t>
      </w:r>
    </w:p>
    <w:p>
      <w:pPr>
        <w:ind w:left="720" w:hanging="720"/>
        <w:jc w:val="both"/>
        <w:rPr>
          <w:rFonts w:ascii="Century Gothic" w:hAnsi="Century Gothic"/>
          <w:i/>
          <w:sz w:val="24"/>
          <w:szCs w:val="24"/>
          <w:lang w:val="es-MX"/>
        </w:rPr>
      </w:pPr>
      <w:r>
        <w:rPr>
          <w:rFonts w:ascii="Century Gothic" w:hAnsi="Century Gothic"/>
          <w:iCs/>
          <w:sz w:val="24"/>
          <w:szCs w:val="24"/>
          <w:lang w:val="es-MX"/>
        </w:rPr>
        <w:t>Que, el primer inciso del artículo 76 de la LOTTTSV, concordante con el artículo 66 del Reglamento General a la Ley Orgánica de Transporte Terrestre, Transito Seguridad Vial, en adelante "RGLOTTTSV", prescribe que</w:t>
      </w:r>
      <w:r>
        <w:rPr>
          <w:rFonts w:ascii="Century Gothic" w:hAnsi="Century Gothic"/>
          <w:i/>
          <w:sz w:val="24"/>
          <w:szCs w:val="24"/>
          <w:lang w:val="es-MX"/>
        </w:rPr>
        <w:t>: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transporte público se sujetará al procedimiento especial establecido en el Reglamento.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78 de la LOTTTSV señala que</w:t>
      </w:r>
      <w:r>
        <w:rPr>
          <w:rFonts w:ascii="Century Gothic" w:hAnsi="Century Gothic"/>
          <w:i/>
          <w:sz w:val="24"/>
          <w:szCs w:val="24"/>
          <w:lang w:val="es-MX"/>
        </w:rPr>
        <w:t xml:space="preserve">: "Toda operadora de transporte terrestre que estuviese autorizada para la prestación del servicio, deberá hacerlo única y exclusivamente en las clases de automotores que el Reglamento determine, dependiendo de su clase y tipo";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75 del RGLOTTTSV establece</w:t>
      </w:r>
      <w:r>
        <w:rPr>
          <w:rFonts w:ascii="Century Gothic" w:hAnsi="Century Gothic"/>
          <w:i/>
          <w:sz w:val="24"/>
          <w:szCs w:val="24"/>
          <w:lang w:val="es-MX"/>
        </w:rPr>
        <w:t xml:space="preserve">: "La vigencia de los títulos habilitantes transporte terrestre será de diez (10) años renovables de acuerdo con el procedimiento establecido por la Agencia Nacional de Tránsito por los GADs, según corresponda, (…)"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82 del RGLOTTTSV prescribe que</w:t>
      </w:r>
      <w:r>
        <w:rPr>
          <w:rFonts w:ascii="Century Gothic" w:hAnsi="Century Gothic"/>
          <w:i/>
          <w:sz w:val="24"/>
          <w:szCs w:val="24"/>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pPr>
        <w:ind w:left="720" w:hanging="720"/>
        <w:jc w:val="both"/>
        <w:rPr>
          <w:rFonts w:ascii="Century Gothic" w:hAnsi="Century Gothic"/>
          <w:iCs/>
          <w:sz w:val="24"/>
          <w:szCs w:val="24"/>
          <w:lang w:val="es-MX"/>
        </w:rPr>
      </w:pPr>
      <w:r>
        <w:rPr>
          <w:rFonts w:ascii="Century Gothic" w:hAnsi="Century Gothic"/>
          <w:iCs/>
          <w:sz w:val="24"/>
          <w:szCs w:val="24"/>
          <w:lang w:val="es-MX"/>
        </w:rPr>
        <w:t>Que, 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pPr>
        <w:ind w:left="720" w:hanging="720"/>
        <w:jc w:val="both"/>
        <w:rPr>
          <w:rFonts w:ascii="Century Gothic" w:hAnsi="Century Gothic"/>
          <w:i/>
          <w:sz w:val="24"/>
          <w:szCs w:val="24"/>
          <w:lang w:val="es-MX"/>
        </w:rPr>
      </w:pPr>
      <w:r>
        <w:rPr>
          <w:rFonts w:ascii="Century Gothic" w:hAnsi="Century Gothic"/>
          <w:iCs/>
          <w:sz w:val="24"/>
          <w:szCs w:val="24"/>
          <w:lang w:val="es-MX"/>
        </w:rPr>
        <w:t>Que, la Disposición General Décima Primera de la Ordenanza Metropolitana No. 247, dispone</w:t>
      </w:r>
      <w:r>
        <w:rPr>
          <w:rFonts w:ascii="Century Gothic" w:hAnsi="Century Gothic"/>
          <w:i/>
          <w:sz w:val="24"/>
          <w:szCs w:val="24"/>
          <w:lang w:val="es-MX"/>
        </w:rPr>
        <w:t>: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de transporte público terrestre, en cualquier modalidad que pretendan operar dentro de la zona urbana del Distrito Metropolitano de Quito. En caso de inminente necesidad será el Alcalde del DMQ, quien dispondrá a la EMSAT realizar el estudio técnico, y los resultados del mismo serán presentados para su aprobación al Concejo Metropolitano de Quito";</w:t>
      </w:r>
    </w:p>
    <w:p>
      <w:pPr>
        <w:ind w:left="720" w:hanging="720"/>
        <w:jc w:val="both"/>
        <w:rPr>
          <w:rFonts w:ascii="Century Gothic" w:hAnsi="Century Gothic"/>
          <w:i/>
          <w:sz w:val="24"/>
          <w:szCs w:val="24"/>
          <w:lang w:val="es-MX"/>
        </w:rPr>
      </w:pPr>
      <w:r>
        <w:rPr>
          <w:rFonts w:ascii="Century Gothic" w:hAnsi="Century Gothic"/>
          <w:iCs/>
          <w:sz w:val="24"/>
          <w:szCs w:val="24"/>
          <w:lang w:val="es-MX"/>
        </w:rPr>
        <w:t>Que, el numeral 1 del artículo IV.2.22 del Código Municipal, establece que</w:t>
      </w:r>
      <w:r>
        <w:rPr>
          <w:rFonts w:ascii="Century Gothic" w:hAnsi="Century Gothic"/>
          <w:i/>
          <w:sz w:val="24"/>
          <w:szCs w:val="24"/>
          <w:lang w:val="es-MX"/>
        </w:rPr>
        <w:t xml:space="preserve">: “1. Para la prestación misma del servicio de transporte público de pasajeros, el Administrador o Administradora del Sistema podrá emplear la modalidad de gestión delegada a través de los contratos de operación regulados en la ley que regula el transporte terrestre y sus normas derivadas.”; </w:t>
      </w:r>
    </w:p>
    <w:p>
      <w:pPr>
        <w:ind w:left="720" w:hanging="720"/>
        <w:jc w:val="both"/>
        <w:rPr>
          <w:rFonts w:ascii="Century Gothic" w:hAnsi="Century Gothic"/>
          <w:i/>
          <w:sz w:val="24"/>
          <w:szCs w:val="24"/>
          <w:lang w:val="es-MX"/>
        </w:rPr>
      </w:pPr>
      <w:r>
        <w:rPr>
          <w:rFonts w:ascii="Century Gothic" w:hAnsi="Century Gothic"/>
          <w:iCs/>
          <w:sz w:val="24"/>
          <w:szCs w:val="24"/>
          <w:lang w:val="es-MX"/>
        </w:rPr>
        <w:t>Que, mediante Ordenanza Metropolitana No. 0128, sancionada el 25 de julio de 2016, se expidió la Ordenanza Metropolitana modificatoria a la Ordenanza Metropolitana No. 247 sancionada el 11 de enero de 2008, para el “</w:t>
      </w:r>
      <w:r>
        <w:rPr>
          <w:rFonts w:ascii="Century Gothic" w:hAnsi="Century Gothic"/>
          <w:i/>
          <w:sz w:val="24"/>
          <w:szCs w:val="24"/>
          <w:lang w:val="es-MX"/>
        </w:rPr>
        <w:t xml:space="preserve">Proceso de Regularización del Servicio de Transporte Público Intracantonal, en el Corredor Avenida Simón Bolívar y en los sectores Internos de la Parroquia de Calderón del Distrito Metropolitano de Quito";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I de la Ordenanza Metropolitana No. 128, dispone: "Al final de la Disposición General Décima Primera de la Ordenanza Metropolitana No. 247, sancionada el 11 de enero de 2008 y publicada en el Registro Oficial No. 295 de 14 de marzo del mismo año, agréguese el siguiente inciso</w:t>
      </w:r>
      <w:r>
        <w:rPr>
          <w:rFonts w:ascii="Century Gothic" w:hAnsi="Century Gothic"/>
          <w:i/>
          <w:sz w:val="24"/>
          <w:szCs w:val="24"/>
          <w:lang w:val="es-MX"/>
        </w:rPr>
        <w:t xml:space="preserve">: "Se exceptúa además de esta disposición el servicio de transporte público Intracantonal, mientras se desarrolle y concluya el Proceso de Regularización del Servicio de Transporte Público Intracantonal, en el corredor avenida Simón Bolívar y en los sectores internos de la parroquia de Calderón"; </w:t>
      </w:r>
    </w:p>
    <w:p>
      <w:pPr>
        <w:ind w:left="720" w:hanging="720"/>
        <w:jc w:val="both"/>
        <w:rPr>
          <w:rFonts w:ascii="Century Gothic" w:hAnsi="Century Gothic"/>
          <w:i/>
          <w:sz w:val="24"/>
          <w:szCs w:val="24"/>
          <w:lang w:val="es-MX"/>
        </w:rPr>
      </w:pPr>
      <w:r>
        <w:rPr>
          <w:rFonts w:ascii="Century Gothic" w:hAnsi="Century Gothic"/>
          <w:iCs/>
          <w:sz w:val="24"/>
          <w:szCs w:val="24"/>
          <w:lang w:val="es-MX"/>
        </w:rPr>
        <w:t>Que, el artículo 2 de la Ordenanza Metropolitana No. 0128, dispone</w:t>
      </w:r>
      <w:r>
        <w:rPr>
          <w:rFonts w:ascii="Century Gothic" w:hAnsi="Century Gothic"/>
          <w:i/>
          <w:sz w:val="24"/>
          <w:szCs w:val="24"/>
          <w:lang w:val="es-MX"/>
        </w:rPr>
        <w:t xml:space="preserve">: "A continuación de la Disposición Transitoria Novena de la Ordenanza Metropolitana No. 0247, sancionada el 11 de enero de 2008, agréguese la siguiente: Décima. - De la Regularización del Servicio de Transporte Público Intracantonal en el corredor avenida Simón Bolívar y en  sectores 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estudio técnico que forma parte integrante de la presente Ordenanza, en el plazo y condiciones establecidas en los siguientes artículos y en las normas técnicas que el administrador del Sistema Metropolitano de Transporte Público de Pasajeros determine para el efecto”; </w:t>
      </w:r>
    </w:p>
    <w:p>
      <w:pPr>
        <w:ind w:left="720" w:hanging="720"/>
        <w:jc w:val="both"/>
        <w:rPr>
          <w:rFonts w:ascii="Century Gothic" w:hAnsi="Century Gothic"/>
          <w:iCs/>
          <w:sz w:val="24"/>
          <w:szCs w:val="24"/>
          <w:lang w:val="es-MX"/>
        </w:rPr>
      </w:pPr>
      <w:r>
        <w:rPr>
          <w:rFonts w:ascii="Century Gothic" w:hAnsi="Century Gothic"/>
          <w:iCs/>
          <w:sz w:val="24"/>
          <w:szCs w:val="24"/>
          <w:lang w:val="es-MX"/>
        </w:rPr>
        <w:t xml:space="preserve">Que, en los numerales 6.1, 6.2, y 6.3 del artículo...(6) de la Disposición Transitoria Decima referida en el considerando anterior, manda a que la Secretaría de Movilidad sea quien suscriba o modifique los Contratos de Operación correspondientes y el otorgamiento de las Habilitaciones Operacionales previstas 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pPr>
        <w:ind w:left="720" w:hanging="720"/>
        <w:jc w:val="both"/>
        <w:rPr>
          <w:rFonts w:ascii="Century Gothic" w:hAnsi="Century Gothic"/>
          <w:i/>
          <w:sz w:val="24"/>
          <w:szCs w:val="24"/>
          <w:lang w:val="es-MX"/>
        </w:rPr>
      </w:pPr>
      <w:r>
        <w:rPr>
          <w:rFonts w:ascii="Century Gothic" w:hAnsi="Century Gothic"/>
          <w:iCs/>
          <w:sz w:val="24"/>
          <w:szCs w:val="24"/>
          <w:lang w:val="es-MX"/>
        </w:rPr>
        <w:t>Que, la Disposición General Cuarta de la Ordenanza Metropolitana No. 0128, señala:</w:t>
      </w:r>
      <w:r>
        <w:rPr>
          <w:rFonts w:ascii="Century Gothic" w:hAnsi="Century Gothic"/>
          <w:i/>
          <w:sz w:val="24"/>
          <w:szCs w:val="24"/>
          <w:lang w:val="es-MX"/>
        </w:rPr>
        <w:t xml:space="preserve"> "Para el proceso de regularización objeto de la presente ordenanza, la Secretaria de Movilidad deberá considerar la línea base existente 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pPr>
        <w:ind w:left="720" w:hanging="720"/>
        <w:jc w:val="both"/>
        <w:rPr>
          <w:rFonts w:ascii="Century Gothic" w:hAnsi="Century Gothic"/>
          <w:i/>
          <w:sz w:val="24"/>
          <w:szCs w:val="24"/>
          <w:lang w:val="es-MX"/>
        </w:rPr>
      </w:pPr>
      <w:r>
        <w:rPr>
          <w:rFonts w:ascii="Century Gothic" w:hAnsi="Century Gothic"/>
          <w:iCs/>
          <w:sz w:val="24"/>
          <w:szCs w:val="24"/>
          <w:lang w:val="es-MX"/>
        </w:rPr>
        <w:t>Que, la Disposición Transitoria Primera de la Ordenanza Metropolitana No. 0128, establece</w:t>
      </w:r>
      <w:r>
        <w:rPr>
          <w:rFonts w:ascii="Century Gothic" w:hAnsi="Century Gothic"/>
          <w:i/>
          <w:sz w:val="24"/>
          <w:szCs w:val="24"/>
          <w:lang w:val="es-MX"/>
        </w:rPr>
        <w:t>: "La Secretaría de Movilidad será la responsable de la ejecución del Proceso de regularización para la prestación del Servicio de Transporte 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efectúe la convocatoria tendrá un plazo de 180 días para la culminación del proceso de regularización";</w:t>
      </w:r>
    </w:p>
    <w:p>
      <w:pPr>
        <w:ind w:left="720" w:hanging="720"/>
        <w:jc w:val="both"/>
        <w:rPr>
          <w:rFonts w:ascii="Century Gothic" w:hAnsi="Century Gothic"/>
          <w:i/>
          <w:sz w:val="24"/>
          <w:szCs w:val="24"/>
          <w:lang w:val="es-MX"/>
        </w:rPr>
      </w:pPr>
      <w:r>
        <w:rPr>
          <w:rFonts w:ascii="Century Gothic" w:hAnsi="Century Gothic"/>
          <w:iCs/>
          <w:sz w:val="24"/>
          <w:szCs w:val="24"/>
          <w:lang w:val="es-MX"/>
        </w:rPr>
        <w:t>Que, la Secretaría de Movilidad expidió la Resolución No. SM-021-2016, de 26 de septiembre de 2016, en cuyo artículo 1 resolvió</w:t>
      </w:r>
      <w:r>
        <w:rPr>
          <w:rFonts w:ascii="Century Gothic" w:hAnsi="Century Gothic"/>
          <w:i/>
          <w:sz w:val="24"/>
          <w:szCs w:val="24"/>
          <w:lang w:val="es-MX"/>
        </w:rPr>
        <w:t>: "CONVOCAR al Proceso de Regularización del Servicio de Transporte Público Intracantonal, en el corredor avenida Simón Bolívar y en los sectores internos de la parroquia de Calderón del Distrito Metropolitano de Quito, a las personas, naturales y jurídicas, determinadas en el artículo (2) de la Disposición Transitoria Décima agregada a la Ordenanza Metropolitana No. 247, mediante Ordenanza Metropolitana No. 128, sancionada el 25 de julio de 2016. Para el efecto, la Dirección Metropolitana de Gestión de la Movilidad de esta Secretaría, al tenor de las condiciones dispuestas en la Ordenanza Metropolitana No. 128 citada, notificará a los involucrados a través del portal web de la Secretaría de Movilidad, con el contenido de las Bases del Proceso que se agrega a la presente Resolución como paute integrante de la misma (Anexo 1), quienes se sujetarán a los plazos, condiciones y requisitos allí sería lados.";</w:t>
      </w:r>
    </w:p>
    <w:p>
      <w:pPr>
        <w:ind w:left="720" w:hanging="720"/>
        <w:jc w:val="both"/>
        <w:rPr>
          <w:rFonts w:ascii="Century Gothic" w:hAnsi="Century Gothic"/>
          <w:iCs/>
          <w:sz w:val="24"/>
          <w:szCs w:val="24"/>
          <w:lang w:val="es-MX"/>
        </w:rPr>
      </w:pPr>
      <w:r>
        <w:rPr>
          <w:rFonts w:ascii="Century Gothic" w:hAnsi="Century Gothic"/>
          <w:iCs/>
          <w:sz w:val="24"/>
          <w:szCs w:val="24"/>
          <w:lang w:val="es-MX"/>
        </w:rPr>
        <w:t xml:space="preserve">Que, mediante ordenanza metropolitana 017-2020, de 01 de diciembre de 2020, el Concejo Metropolitano de Quito, resolvió expedir la ordenanza que establece la integración de los subsistemas de sistema metropolitano de transporte público de pasajeros, misma que contempla la integración operacional, de interconexión de los diferentes subsistemas de transporte público. </w:t>
      </w:r>
    </w:p>
    <w:p>
      <w:pPr>
        <w:ind w:left="720" w:hanging="720"/>
        <w:jc w:val="both"/>
        <w:rPr>
          <w:rFonts w:ascii="Century Gothic" w:hAnsi="Century Gothic"/>
          <w:iCs/>
          <w:sz w:val="24"/>
          <w:szCs w:val="24"/>
          <w:lang w:val="es-MX"/>
        </w:rPr>
      </w:pPr>
      <w:r>
        <w:rPr>
          <w:rFonts w:ascii="Century Gothic" w:hAnsi="Century Gothic"/>
          <w:iCs/>
          <w:sz w:val="24"/>
          <w:szCs w:val="24"/>
          <w:lang w:val="es-MX"/>
        </w:rPr>
        <w:t xml:space="preserve">Que, mediante informe de fecha 28 de diciembre de 2020, la Secretaría de Movilidad, remite el informe actualizado de operadoras que circulan en la Av. Simón Bolívar y sectores internos de la parroquia Calderón, suscrito por el Director Metropolitano de Gestión de la Movilidad, en el cual recomienda reformar la Ordenanza Metropolitana 006-20019, sancionada el 03 de octubre de 2019.  </w:t>
      </w:r>
    </w:p>
    <w:p>
      <w:pPr>
        <w:jc w:val="both"/>
        <w:rPr>
          <w:b/>
          <w:iCs/>
          <w:sz w:val="24"/>
          <w:szCs w:val="24"/>
          <w:lang w:val="es-MX"/>
        </w:rPr>
      </w:pPr>
      <w:r>
        <w:rPr>
          <w:rFonts w:ascii="Century Gothic" w:hAnsi="Century Gothic"/>
          <w:iCs/>
          <w:sz w:val="24"/>
          <w:szCs w:val="24"/>
          <w:lang w:val="es-MX"/>
        </w:rPr>
        <w:t>En ejercicio de las atribuciones que le confiere los artículos 87, literal a) del Código Orgánico de Organización Territorial, Autonomía y Descentralización; y, 8 de la Ley de Orgánica de Régimen para el Distrito Metropolitano de Quito.</w:t>
      </w:r>
      <w:r>
        <w:rPr>
          <w:iCs/>
          <w:sz w:val="24"/>
          <w:szCs w:val="24"/>
          <w:lang w:val="es-MX"/>
        </w:rPr>
        <w:t xml:space="preserve"> </w:t>
      </w:r>
    </w:p>
    <w:p>
      <w:pPr>
        <w:jc w:val="center"/>
        <w:rPr>
          <w:rFonts w:ascii="Century Gothic" w:hAnsi="Century Gothic"/>
          <w:b/>
          <w:iCs/>
          <w:sz w:val="24"/>
          <w:szCs w:val="24"/>
          <w:lang w:val="es-MX"/>
        </w:rPr>
      </w:pPr>
      <w:r>
        <w:rPr>
          <w:rFonts w:ascii="Century Gothic" w:hAnsi="Century Gothic"/>
          <w:b/>
          <w:iCs/>
          <w:sz w:val="24"/>
          <w:szCs w:val="24"/>
          <w:lang w:val="es-MX"/>
        </w:rPr>
        <w:t>EXPIDE LA SIGUIENTE:</w:t>
      </w:r>
    </w:p>
    <w:p>
      <w:pPr>
        <w:jc w:val="center"/>
        <w:rPr>
          <w:rFonts w:ascii="Century Gothic" w:hAnsi="Century Gothic"/>
          <w:b/>
          <w:iCs/>
          <w:sz w:val="24"/>
          <w:szCs w:val="24"/>
          <w:lang w:val="es-MX"/>
        </w:rPr>
      </w:pPr>
      <w:r>
        <w:rPr>
          <w:rFonts w:ascii="Century Gothic" w:hAnsi="Century Gothic"/>
          <w:b/>
          <w:iCs/>
          <w:sz w:val="24"/>
          <w:szCs w:val="24"/>
          <w:lang w:val="es-MX"/>
        </w:rPr>
        <w:t>ORDENANZA METROPOLITANA REFORMATORIA A LA ORDENANZA 006-2019, SANCIONADA EL 03 DE OCTUBRE E 2019</w:t>
      </w:r>
    </w:p>
    <w:p>
      <w:pPr>
        <w:jc w:val="both"/>
        <w:rPr>
          <w:rFonts w:ascii="Century Gothic" w:hAnsi="Century Gothic"/>
          <w:i/>
          <w:sz w:val="24"/>
          <w:szCs w:val="24"/>
          <w:lang w:val="es-MX"/>
        </w:rPr>
      </w:pPr>
    </w:p>
    <w:p>
      <w:pPr>
        <w:jc w:val="both"/>
        <w:rPr>
          <w:rFonts w:ascii="Century Gothic" w:hAnsi="Century Gothic"/>
          <w:sz w:val="24"/>
          <w:szCs w:val="24"/>
          <w:lang w:val="es-MX"/>
        </w:rPr>
      </w:pPr>
      <w:r>
        <w:rPr>
          <w:rFonts w:ascii="Century Gothic" w:hAnsi="Century Gothic"/>
          <w:b/>
          <w:sz w:val="24"/>
          <w:szCs w:val="24"/>
          <w:lang w:val="es-MX"/>
        </w:rPr>
        <w:t>Artículo 1. –</w:t>
      </w:r>
      <w:r>
        <w:rPr>
          <w:rFonts w:ascii="Century Gothic" w:hAnsi="Century Gothic"/>
          <w:sz w:val="24"/>
          <w:szCs w:val="24"/>
          <w:lang w:val="es-MX"/>
        </w:rPr>
        <w:t xml:space="preserve"> Sustitúyase el primer inciso del Artículo 3, por el siguiente: </w:t>
      </w:r>
    </w:p>
    <w:p>
      <w:pPr>
        <w:ind w:left="720"/>
        <w:jc w:val="both"/>
        <w:rPr>
          <w:rFonts w:ascii="Century Gothic" w:hAnsi="Century Gothic"/>
          <w:i/>
          <w:sz w:val="24"/>
          <w:szCs w:val="24"/>
          <w:lang w:val="es-MX"/>
        </w:rPr>
      </w:pPr>
      <w:r>
        <w:rPr>
          <w:rFonts w:ascii="Century Gothic" w:hAnsi="Century Gothic"/>
          <w:i/>
          <w:sz w:val="24"/>
          <w:szCs w:val="24"/>
          <w:lang w:val="es-MX"/>
        </w:rPr>
        <w:t>“</w:t>
      </w:r>
      <w:r>
        <w:rPr>
          <w:rFonts w:ascii="Century Gothic" w:hAnsi="Century Gothic"/>
          <w:b/>
          <w:i/>
          <w:sz w:val="24"/>
          <w:szCs w:val="24"/>
          <w:lang w:val="es-MX"/>
        </w:rPr>
        <w:t>Artículo 3.-</w:t>
      </w:r>
      <w:r>
        <w:rPr>
          <w:rFonts w:ascii="Century Gothic" w:hAnsi="Century Gothic"/>
          <w:i/>
          <w:sz w:val="24"/>
          <w:szCs w:val="24"/>
          <w:lang w:val="es-MX"/>
        </w:rPr>
        <w:t xml:space="preserve"> Por cuanto en la regularización y cierre definitivo del proceso de regularización del servicio de transporte público intracantonal en el corredor Av. Simón Bolívar y en los sectores internos de la parroquia Calderón, establecido en las Ordenanzas Metropolitanas 247-2008, 128-2016 y  006-2019,  no han sido habilitadas unidades que cumplieron con los requisitos determinados por la administración, se concede el término de 60 días, contado a partir de la sanción de la presente ordenanza para que la Secretaria de Movilidad realice la evaluación y revisión física de las unidades que cumplieron con las etapas del proceso de regularización, contenidos en la Ordenanza Metropolitana 0128-2016 sancionada el 25 de julio de 2016, las mismas que serán determinadas mediante verificación de física de las unidades, acción que estará a cargo de la Dirección Metropolitana de Gestión de la Movilidad, de la Secretaría de Movilidad. En este proceso de ninguna manera se aceptará la presentación de recibos, facturas, notas de venta o compromiso de compra de vehículos, chasis o carrocería.</w:t>
      </w:r>
    </w:p>
    <w:p>
      <w:pPr>
        <w:ind w:left="720"/>
        <w:jc w:val="both"/>
        <w:rPr>
          <w:rFonts w:ascii="Century Gothic" w:hAnsi="Century Gothic"/>
          <w:i/>
          <w:sz w:val="24"/>
          <w:szCs w:val="24"/>
          <w:lang w:val="es-MX"/>
        </w:rPr>
      </w:pPr>
      <w:r>
        <w:rPr>
          <w:rFonts w:ascii="Century Gothic" w:hAnsi="Century Gothic"/>
          <w:i/>
          <w:sz w:val="24"/>
          <w:szCs w:val="24"/>
          <w:lang w:val="es-MX"/>
        </w:rPr>
        <w:t>Bajo ninguna circunstancia este proceso, significará la emisión de nuevos informes para la constitución de compañías o cooperativas, incremento de cupos, ni la autorización de compra de nuevas unidades, cambio socio y/o unidad.”</w:t>
      </w:r>
    </w:p>
    <w:p>
      <w:pPr>
        <w:ind w:left="720"/>
        <w:jc w:val="both"/>
        <w:rPr>
          <w:rFonts w:ascii="Century Gothic" w:hAnsi="Century Gothic"/>
          <w:i/>
          <w:sz w:val="24"/>
          <w:szCs w:val="24"/>
          <w:lang w:val="es-MX"/>
        </w:rPr>
      </w:pPr>
      <w:r>
        <w:rPr>
          <w:rFonts w:ascii="Century Gothic" w:hAnsi="Century Gothic"/>
          <w:i/>
          <w:sz w:val="24"/>
          <w:szCs w:val="24"/>
          <w:lang w:val="es-MX"/>
        </w:rPr>
        <w:t xml:space="preserve">Las compañías inmersas en este proceso y han obtenido o modificado su permiso de operación, deberán en el plazo de sesenta días proceder a la modificación de su paquete accionario, en el que únicamente deberán constar las personas cuyas unidades se haya podido verificar su existencia física, de tal forma que formarán parte de la persona jurídica, únicamente las personas que presenten el servicio de transporte público cuyas unidades serán verificadas su existencia física y hayan cumplido el proceso determinado en la Ordenanza 0128-2016. </w:t>
      </w:r>
    </w:p>
    <w:p>
      <w:pPr>
        <w:jc w:val="both"/>
        <w:rPr>
          <w:rFonts w:ascii="Century Gothic" w:hAnsi="Century Gothic"/>
          <w:sz w:val="24"/>
          <w:szCs w:val="24"/>
          <w:lang w:val="es-MX"/>
        </w:rPr>
      </w:pPr>
      <w:r>
        <w:rPr>
          <w:rFonts w:ascii="Century Gothic" w:hAnsi="Century Gothic"/>
          <w:b/>
          <w:sz w:val="24"/>
          <w:szCs w:val="24"/>
          <w:lang w:val="es-MX"/>
        </w:rPr>
        <w:t>Artículo 2. –</w:t>
      </w:r>
      <w:r>
        <w:rPr>
          <w:rFonts w:ascii="Century Gothic" w:hAnsi="Century Gothic"/>
          <w:sz w:val="24"/>
          <w:szCs w:val="24"/>
          <w:lang w:val="es-MX"/>
        </w:rPr>
        <w:t xml:space="preserve"> Sustitúyase el Artículo 6, por el siguiente: </w:t>
      </w:r>
    </w:p>
    <w:p>
      <w:pPr>
        <w:ind w:left="720"/>
        <w:jc w:val="both"/>
        <w:rPr>
          <w:rFonts w:ascii="Century Gothic" w:hAnsi="Century Gothic"/>
          <w:i/>
          <w:sz w:val="24"/>
          <w:szCs w:val="24"/>
          <w:lang w:val="es-MX"/>
        </w:rPr>
      </w:pPr>
      <w:r>
        <w:rPr>
          <w:rFonts w:ascii="Century Gothic" w:hAnsi="Century Gothic"/>
          <w:b/>
          <w:i/>
          <w:sz w:val="24"/>
          <w:szCs w:val="24"/>
          <w:lang w:val="es-MX"/>
        </w:rPr>
        <w:t>“Artículo 6.-</w:t>
      </w:r>
      <w:r>
        <w:rPr>
          <w:rFonts w:ascii="Century Gothic" w:hAnsi="Century Gothic"/>
          <w:i/>
          <w:sz w:val="24"/>
          <w:szCs w:val="24"/>
          <w:lang w:val="es-MX"/>
        </w:rPr>
        <w:t xml:space="preserve"> Fenecido el término de 60 días, contado a partir de la sanción de la presente ordenanza se cerrará definitivamente el proceso de regularización del servicio de transporte público intracantonal en el corredor Av. Simón Bolívar y en los sectores internos de la parroquia Calderón y dentro de ese término se podrán emitir los títulos habilitantes a las operadoras del servicio de transporte público de pasajeros cuyas unidades hayan sido verificadas físicamente según el informe emitido por la Dirección Metropolitana de Gestión de la Movilidad, de la Secretaría de Movilidad.”</w:t>
      </w:r>
    </w:p>
    <w:p>
      <w:pPr>
        <w:jc w:val="both"/>
        <w:rPr>
          <w:rFonts w:ascii="Century Gothic" w:hAnsi="Century Gothic"/>
          <w:sz w:val="24"/>
          <w:szCs w:val="24"/>
          <w:lang w:val="es-MX"/>
        </w:rPr>
      </w:pPr>
      <w:r>
        <w:rPr>
          <w:rFonts w:ascii="Century Gothic" w:hAnsi="Century Gothic"/>
          <w:b/>
          <w:sz w:val="24"/>
          <w:szCs w:val="24"/>
          <w:lang w:val="es-MX"/>
        </w:rPr>
        <w:t>Artículo 3. -</w:t>
      </w:r>
      <w:r>
        <w:rPr>
          <w:rFonts w:ascii="Century Gothic" w:hAnsi="Century Gothic"/>
          <w:sz w:val="24"/>
          <w:szCs w:val="24"/>
          <w:lang w:val="es-MX"/>
        </w:rPr>
        <w:t xml:space="preserve"> Agréguese un Artículo 7, con el siguiente texto: </w:t>
      </w:r>
    </w:p>
    <w:p>
      <w:pPr>
        <w:ind w:left="720"/>
        <w:jc w:val="both"/>
        <w:rPr>
          <w:rFonts w:ascii="Century Gothic" w:hAnsi="Century Gothic"/>
          <w:sz w:val="24"/>
          <w:szCs w:val="24"/>
          <w:lang w:val="es-MX"/>
        </w:rPr>
      </w:pPr>
      <w:r>
        <w:rPr>
          <w:rFonts w:ascii="Century Gothic" w:hAnsi="Century Gothic"/>
          <w:b/>
          <w:i/>
          <w:sz w:val="24"/>
          <w:szCs w:val="24"/>
          <w:lang w:val="es-MX"/>
        </w:rPr>
        <w:t>“Artículo 7. –</w:t>
      </w:r>
      <w:r>
        <w:rPr>
          <w:rFonts w:ascii="Century Gothic" w:hAnsi="Century Gothic"/>
          <w:i/>
          <w:sz w:val="24"/>
          <w:szCs w:val="24"/>
          <w:lang w:val="es-MX"/>
        </w:rPr>
        <w:t xml:space="preserve"> En virtud de que los vehículos habilitados por el proceso de regularización determinado en la Ordenanza 0128-2016, estableció la asignación de rutas y frecuencias dentro del corredor Simón Bolívar y </w:t>
      </w:r>
      <w:r>
        <w:rPr>
          <w:rFonts w:ascii="Century Gothic" w:hAnsi="Century Gothic"/>
          <w:sz w:val="24"/>
          <w:szCs w:val="24"/>
          <w:lang w:val="es-MX"/>
        </w:rPr>
        <w:t>Avenida Simón Bolívar y en los sectores internos de Calderón, normas que no han sido derogadas, dichas rutas y frecuencias no ingresarán dentro del proceso de Concurso de Rutas y Frecuencias.”</w:t>
      </w:r>
    </w:p>
    <w:p>
      <w:pPr>
        <w:jc w:val="both"/>
        <w:rPr>
          <w:rFonts w:ascii="Century Gothic" w:hAnsi="Century Gothic"/>
          <w:sz w:val="24"/>
          <w:szCs w:val="24"/>
          <w:lang w:val="es-MX"/>
        </w:rPr>
      </w:pPr>
      <w:r>
        <w:rPr>
          <w:rFonts w:ascii="Century Gothic" w:hAnsi="Century Gothic"/>
          <w:b/>
          <w:sz w:val="24"/>
          <w:szCs w:val="24"/>
          <w:lang w:val="es-MX"/>
        </w:rPr>
        <w:t>Disposición Final. -</w:t>
      </w:r>
      <w:r>
        <w:rPr>
          <w:rFonts w:ascii="Century Gothic" w:hAnsi="Century Gothic"/>
          <w:sz w:val="24"/>
          <w:szCs w:val="24"/>
          <w:lang w:val="es-MX"/>
        </w:rPr>
        <w:t xml:space="preserve"> Esta Ordenanza Metropolitana entrará en vigencia a partir de su sanción, sin perjuicio de su publicación en la Gaceta Oficial y en la página web institucional. </w:t>
      </w:r>
    </w:p>
    <w:p>
      <w:pPr>
        <w:jc w:val="both"/>
        <w:rPr>
          <w:rFonts w:ascii="Century Gothic" w:hAnsi="Century Gothic"/>
          <w:sz w:val="24"/>
          <w:szCs w:val="24"/>
          <w:lang w:val="es-MX"/>
        </w:rPr>
      </w:pPr>
      <w:r>
        <w:rPr>
          <w:rFonts w:ascii="Century Gothic" w:hAnsi="Century Gothic"/>
          <w:sz w:val="24"/>
          <w:szCs w:val="24"/>
          <w:lang w:val="es-MX"/>
        </w:rPr>
        <w:t>Dada, en el Distrito Metropolitano de Quito, a los 02 días del mes de febrero de 2021.</w:t>
      </w:r>
    </w:p>
    <w:p>
      <w:pPr>
        <w:jc w:val="center"/>
        <w:rPr>
          <w:rFonts w:ascii="Century Gothic" w:hAnsi="Century Gothic"/>
          <w:i/>
          <w:sz w:val="24"/>
          <w:szCs w:val="24"/>
          <w:lang w:val="es-MX"/>
        </w:rPr>
      </w:pPr>
    </w:p>
    <w:p>
      <w:pPr>
        <w:jc w:val="center"/>
        <w:rPr>
          <w:rFonts w:ascii="Century Gothic" w:hAnsi="Century Gothic"/>
          <w:b/>
          <w:sz w:val="24"/>
          <w:szCs w:val="24"/>
          <w:lang w:val="es-MX"/>
        </w:rPr>
      </w:pPr>
    </w:p>
    <w:p>
      <w:pPr>
        <w:spacing w:after="0" w:line="240" w:lineRule="auto"/>
        <w:jc w:val="center"/>
        <w:rPr>
          <w:rFonts w:ascii="Century Gothic" w:hAnsi="Century Gothic"/>
          <w:b/>
          <w:sz w:val="24"/>
          <w:szCs w:val="24"/>
          <w:lang w:val="es-MX"/>
        </w:rPr>
      </w:pPr>
      <w:r>
        <w:rPr>
          <w:rFonts w:ascii="Century Gothic" w:hAnsi="Century Gothic"/>
          <w:b/>
          <w:sz w:val="24"/>
          <w:szCs w:val="24"/>
          <w:lang w:val="es-MX"/>
        </w:rPr>
        <w:t>DR. JORGE YUNDA MACHADO</w:t>
      </w:r>
    </w:p>
    <w:p>
      <w:pPr>
        <w:spacing w:after="0" w:line="240" w:lineRule="auto"/>
        <w:jc w:val="center"/>
        <w:rPr>
          <w:rFonts w:ascii="Century Gothic" w:hAnsi="Century Gothic"/>
          <w:b/>
          <w:sz w:val="24"/>
          <w:szCs w:val="24"/>
          <w:lang w:val="es-MX"/>
        </w:rPr>
      </w:pPr>
      <w:r>
        <w:rPr>
          <w:rFonts w:ascii="Century Gothic" w:hAnsi="Century Gothic"/>
          <w:b/>
          <w:sz w:val="24"/>
          <w:szCs w:val="24"/>
          <w:lang w:val="es-MX"/>
        </w:rPr>
        <w:t>ALCALDE DEL DISTRITO METROPOLITANO DE QUITO</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F6"/>
    <w:rsid w:val="001445FC"/>
    <w:rsid w:val="00193052"/>
    <w:rsid w:val="001D076A"/>
    <w:rsid w:val="001F2C70"/>
    <w:rsid w:val="002069F6"/>
    <w:rsid w:val="00207767"/>
    <w:rsid w:val="00252B09"/>
    <w:rsid w:val="002C5169"/>
    <w:rsid w:val="00310FE9"/>
    <w:rsid w:val="00386AF4"/>
    <w:rsid w:val="003C7E81"/>
    <w:rsid w:val="003D7027"/>
    <w:rsid w:val="003F71D8"/>
    <w:rsid w:val="0043162F"/>
    <w:rsid w:val="00433E73"/>
    <w:rsid w:val="0052419F"/>
    <w:rsid w:val="00665A0E"/>
    <w:rsid w:val="006D7E42"/>
    <w:rsid w:val="006E04E6"/>
    <w:rsid w:val="00755F8E"/>
    <w:rsid w:val="0079622D"/>
    <w:rsid w:val="007D682C"/>
    <w:rsid w:val="00801BED"/>
    <w:rsid w:val="00802E3B"/>
    <w:rsid w:val="00892078"/>
    <w:rsid w:val="008A0759"/>
    <w:rsid w:val="008A54F9"/>
    <w:rsid w:val="009D09B4"/>
    <w:rsid w:val="009D3FD1"/>
    <w:rsid w:val="00A616CF"/>
    <w:rsid w:val="00AB3BD1"/>
    <w:rsid w:val="00BB7A8E"/>
    <w:rsid w:val="00BE369D"/>
    <w:rsid w:val="00C427DC"/>
    <w:rsid w:val="00C86D5C"/>
    <w:rsid w:val="00C91DC5"/>
    <w:rsid w:val="00D04D9F"/>
    <w:rsid w:val="00DD280B"/>
    <w:rsid w:val="00E30611"/>
    <w:rsid w:val="00E45D2D"/>
    <w:rsid w:val="00E46DE3"/>
    <w:rsid w:val="00E83169"/>
    <w:rsid w:val="00F17DA5"/>
    <w:rsid w:val="4A96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252"/>
        <w:tab w:val="right" w:pos="8504"/>
      </w:tabs>
      <w:spacing w:after="0" w:line="240" w:lineRule="auto"/>
    </w:pPr>
  </w:style>
  <w:style w:type="paragraph" w:styleId="5">
    <w:name w:val="footer"/>
    <w:basedOn w:val="1"/>
    <w:link w:val="7"/>
    <w:unhideWhenUsed/>
    <w:qFormat/>
    <w:uiPriority w:val="99"/>
    <w:pPr>
      <w:tabs>
        <w:tab w:val="center" w:pos="4252"/>
        <w:tab w:val="right" w:pos="8504"/>
      </w:tabs>
      <w:spacing w:after="0" w:line="240" w:lineRule="auto"/>
    </w:pPr>
  </w:style>
  <w:style w:type="character" w:customStyle="1" w:styleId="6">
    <w:name w:val="Encabezado Car"/>
    <w:basedOn w:val="2"/>
    <w:link w:val="4"/>
    <w:uiPriority w:val="99"/>
  </w:style>
  <w:style w:type="character" w:customStyle="1" w:styleId="7">
    <w:name w:val="Pie de página Car"/>
    <w:basedOn w:val="2"/>
    <w:link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3460</Words>
  <Characters>19121</Characters>
  <Lines>159</Lines>
  <Paragraphs>45</Paragraphs>
  <TotalTime>2</TotalTime>
  <ScaleCrop>false</ScaleCrop>
  <LinksUpToDate>false</LinksUpToDate>
  <CharactersWithSpaces>22538</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2021-05-20T19:42:00Z</dcterms:created>
  <dc:creator>Angel Sampedro</dc:creator>
  <cp:lastModifiedBy>gabriela mendieta</cp:lastModifiedBy>
  <cp:lastPrinted>2021-02-02T22:25:00Z</cp:lastPrinted>
  <dcterms:modified xsi:type="dcterms:W3CDTF">2021-06-07T03:06:42Z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3082-11.2.0.10152</vt:lpwstr>
  </property>
</Properties>
</file>