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b/>
          <w:color w:val="000000" w:themeColor="text1"/>
          <w:lang w:val="es-EC"/>
        </w:rPr>
      </w:pPr>
      <w:r w:rsidRPr="00236C12">
        <w:rPr>
          <w:rFonts w:ascii="Century Gothic" w:hAnsi="Century Gothic"/>
          <w:b/>
          <w:color w:val="000000" w:themeColor="text1"/>
          <w:lang w:val="es-EC"/>
        </w:rPr>
        <w:t>PROYECTO DE ORDENANZA</w:t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color w:val="000000" w:themeColor="text1"/>
          <w:lang w:val="es-EC" w:eastAsia="es-ES_tradnl"/>
        </w:rPr>
      </w:pPr>
      <w:r w:rsidRPr="00236C12">
        <w:rPr>
          <w:rFonts w:ascii="Century Gothic" w:hAnsi="Century Gothic"/>
          <w:b/>
          <w:color w:val="000000" w:themeColor="text1"/>
          <w:lang w:val="es-EC" w:eastAsia="es-ES"/>
        </w:rPr>
        <w:t>ORDENANZA METROPOLITANA QUE CREA EL SISTEMA INTEGRADO DE TRANSPORTE (SITP-DMQ) DEL DISTRITO METROPOLITANO DE QUITO</w:t>
      </w: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736DB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ANEXO </w:t>
      </w:r>
      <w:r w:rsidR="003C7159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1</w:t>
      </w:r>
    </w:p>
    <w:p w:rsidR="00E54E38" w:rsidRDefault="00E028A3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Cronograma de Hitos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de las 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Fases de 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i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mplementación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del SITP-DMQ</w:t>
      </w:r>
    </w:p>
    <w:p w:rsidR="00E54E38" w:rsidRDefault="00E54E38">
      <w:pPr>
        <w:spacing w:after="0" w:line="240" w:lineRule="auto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br w:type="page"/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b/>
          <w:color w:val="000000" w:themeColor="text1"/>
          <w:lang w:val="es-EC"/>
        </w:rPr>
      </w:pPr>
      <w:r w:rsidRPr="00236C12">
        <w:rPr>
          <w:rFonts w:ascii="Century Gothic" w:hAnsi="Century Gothic"/>
          <w:b/>
          <w:color w:val="000000" w:themeColor="text1"/>
          <w:lang w:val="es-EC"/>
        </w:rPr>
        <w:lastRenderedPageBreak/>
        <w:t>PROYECTO DE ORDENANZA</w:t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color w:val="000000" w:themeColor="text1"/>
          <w:lang w:val="es-EC" w:eastAsia="es-ES_tradnl"/>
        </w:rPr>
      </w:pPr>
      <w:r w:rsidRPr="00236C12">
        <w:rPr>
          <w:rFonts w:ascii="Century Gothic" w:hAnsi="Century Gothic"/>
          <w:b/>
          <w:color w:val="000000" w:themeColor="text1"/>
          <w:lang w:val="es-EC" w:eastAsia="es-ES"/>
        </w:rPr>
        <w:t>ORDENANZA METROPOLITANA QUE CREA EL SISTEMA INTEGRADO DE TRANSPORTE (SITP-DMQ) DEL DISTRITO METROPOLITANO DE QUITO</w:t>
      </w: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736DB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ANEXO </w:t>
      </w:r>
      <w:r w:rsidR="003C7159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2</w:t>
      </w:r>
    </w:p>
    <w:p w:rsidR="00E028A3" w:rsidRDefault="00E028A3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Componentes 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de los c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osto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s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de 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o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peración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para el cálculo de tarifas de transporte público en el DMQ</w:t>
      </w:r>
    </w:p>
    <w:p w:rsidR="00E54E38" w:rsidRDefault="00E54E38">
      <w:pPr>
        <w:spacing w:after="0" w:line="240" w:lineRule="auto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br w:type="page"/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b/>
          <w:color w:val="000000" w:themeColor="text1"/>
          <w:lang w:val="es-EC"/>
        </w:rPr>
      </w:pPr>
      <w:r w:rsidRPr="00236C12">
        <w:rPr>
          <w:rFonts w:ascii="Century Gothic" w:hAnsi="Century Gothic"/>
          <w:b/>
          <w:color w:val="000000" w:themeColor="text1"/>
          <w:lang w:val="es-EC"/>
        </w:rPr>
        <w:lastRenderedPageBreak/>
        <w:t>PROYECTO DE ORDENANZA</w:t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color w:val="000000" w:themeColor="text1"/>
          <w:lang w:val="es-EC" w:eastAsia="es-ES_tradnl"/>
        </w:rPr>
      </w:pPr>
      <w:r w:rsidRPr="00236C12">
        <w:rPr>
          <w:rFonts w:ascii="Century Gothic" w:hAnsi="Century Gothic"/>
          <w:b/>
          <w:color w:val="000000" w:themeColor="text1"/>
          <w:lang w:val="es-EC" w:eastAsia="es-ES"/>
        </w:rPr>
        <w:t>ORDENANZA METROPOLITANA QUE CREA EL SISTEMA INTEGRADO DE TRANSPORTE (SITP-DMQ) DEL DISTRITO METROPOLITANO DE QUITO</w:t>
      </w: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736DB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ANEXO </w:t>
      </w:r>
      <w:r w:rsidR="003C7159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3</w:t>
      </w:r>
    </w:p>
    <w:p w:rsidR="00E028A3" w:rsidRDefault="00E028A3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Tarifas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para el 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Subsistema Convencional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- 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Fase Previa 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 la 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Integración</w:t>
      </w:r>
    </w:p>
    <w:p w:rsidR="00E54E38" w:rsidRDefault="00E54E38">
      <w:pPr>
        <w:spacing w:after="0" w:line="240" w:lineRule="auto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br w:type="page"/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b/>
          <w:color w:val="000000" w:themeColor="text1"/>
          <w:lang w:val="es-EC"/>
        </w:rPr>
      </w:pPr>
      <w:r w:rsidRPr="00236C12">
        <w:rPr>
          <w:rFonts w:ascii="Century Gothic" w:hAnsi="Century Gothic"/>
          <w:b/>
          <w:color w:val="000000" w:themeColor="text1"/>
          <w:lang w:val="es-EC"/>
        </w:rPr>
        <w:lastRenderedPageBreak/>
        <w:t>PROYECTO DE ORDENANZA</w:t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color w:val="000000" w:themeColor="text1"/>
          <w:lang w:val="es-EC" w:eastAsia="es-ES_tradnl"/>
        </w:rPr>
      </w:pPr>
      <w:r w:rsidRPr="00236C12">
        <w:rPr>
          <w:rFonts w:ascii="Century Gothic" w:hAnsi="Century Gothic"/>
          <w:b/>
          <w:color w:val="000000" w:themeColor="text1"/>
          <w:lang w:val="es-EC" w:eastAsia="es-ES"/>
        </w:rPr>
        <w:t>ORDENANZA METROPOLITANA QUE CREA EL SISTEMA INTEGRADO DE TRANSPORTE (SITP-DMQ) DEL DISTRITO METROPOLITANO DE QUITO</w:t>
      </w: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736DB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ANEXO </w:t>
      </w:r>
      <w:r w:rsidR="003C7159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4</w:t>
      </w:r>
    </w:p>
    <w:p w:rsidR="00E028A3" w:rsidRDefault="00E028A3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Tarifas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i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ntegradas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para el </w:t>
      </w:r>
      <w:r w:rsidRPr="00E028A3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SITP-DMQ</w:t>
      </w:r>
    </w:p>
    <w:p w:rsidR="00E54E38" w:rsidRDefault="00E54E38">
      <w:pPr>
        <w:spacing w:after="0" w:line="240" w:lineRule="auto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br w:type="page"/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b/>
          <w:color w:val="000000" w:themeColor="text1"/>
          <w:lang w:val="es-EC"/>
        </w:rPr>
      </w:pPr>
      <w:r w:rsidRPr="00236C12">
        <w:rPr>
          <w:rFonts w:ascii="Century Gothic" w:hAnsi="Century Gothic"/>
          <w:b/>
          <w:color w:val="000000" w:themeColor="text1"/>
          <w:lang w:val="es-EC"/>
        </w:rPr>
        <w:lastRenderedPageBreak/>
        <w:t>PROYECTO DE ORDENANZA</w:t>
      </w:r>
    </w:p>
    <w:p w:rsidR="00E54E38" w:rsidRPr="00236C12" w:rsidRDefault="00E54E38" w:rsidP="00E54E38">
      <w:pPr>
        <w:spacing w:line="240" w:lineRule="auto"/>
        <w:jc w:val="center"/>
        <w:rPr>
          <w:rFonts w:ascii="Century Gothic" w:hAnsi="Century Gothic"/>
          <w:color w:val="000000" w:themeColor="text1"/>
          <w:lang w:val="es-EC" w:eastAsia="es-ES_tradnl"/>
        </w:rPr>
      </w:pPr>
      <w:r w:rsidRPr="00236C12">
        <w:rPr>
          <w:rFonts w:ascii="Century Gothic" w:hAnsi="Century Gothic"/>
          <w:b/>
          <w:color w:val="000000" w:themeColor="text1"/>
          <w:lang w:val="es-EC" w:eastAsia="es-ES"/>
        </w:rPr>
        <w:t>ORDENANZA METROPOLITANA QUE CREA EL SISTEMA INTEGRADO DE TRANSPORTE (SITP-DMQ) DEL DISTRITO METROPOLITANO DE QUITO</w:t>
      </w: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Pr="00736DB4" w:rsidRDefault="00E54E38" w:rsidP="00E54E38">
      <w:pPr>
        <w:jc w:val="center"/>
        <w:rPr>
          <w:lang w:val="es-EC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p w:rsidR="00E54E38" w:rsidRDefault="00E54E38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736DB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ANEXO </w:t>
      </w:r>
      <w:r w:rsidR="003C7159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5</w:t>
      </w:r>
    </w:p>
    <w:p w:rsidR="005A31D4" w:rsidRDefault="005A31D4" w:rsidP="00E54E38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  <w:r w:rsidRPr="005A31D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Tarifa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</w:t>
      </w:r>
      <w:r w:rsidRPr="005A31D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Socialmente</w:t>
      </w:r>
      <w:r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 xml:space="preserve"> </w:t>
      </w:r>
      <w:r w:rsidRPr="005A31D4"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  <w:t>Justa</w:t>
      </w:r>
    </w:p>
    <w:p w:rsidR="00E54E38" w:rsidRPr="00736DB4" w:rsidRDefault="00E54E38" w:rsidP="00736DB4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val="es-EC" w:eastAsia="es-ES"/>
        </w:rPr>
      </w:pPr>
    </w:p>
    <w:sectPr w:rsidR="00E54E38" w:rsidRPr="00736DB4" w:rsidSect="000B3A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B4"/>
    <w:rsid w:val="000B3A43"/>
    <w:rsid w:val="00160A51"/>
    <w:rsid w:val="00215684"/>
    <w:rsid w:val="003C7159"/>
    <w:rsid w:val="005A31D4"/>
    <w:rsid w:val="00736DB4"/>
    <w:rsid w:val="008270E8"/>
    <w:rsid w:val="00A511FC"/>
    <w:rsid w:val="00E028A3"/>
    <w:rsid w:val="00E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684F2"/>
  <w15:chartTrackingRefBased/>
  <w15:docId w15:val="{DBB7646F-4626-F641-A048-F4BF0D7D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B4"/>
    <w:pPr>
      <w:spacing w:after="160" w:line="259" w:lineRule="auto"/>
    </w:pPr>
    <w:rPr>
      <w:rFonts w:eastAsiaTheme="minorEastAsia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Narváez Padilla</dc:creator>
  <cp:keywords/>
  <dc:description/>
  <cp:lastModifiedBy>Marcelo Narváez Padilla</cp:lastModifiedBy>
  <cp:revision>5</cp:revision>
  <dcterms:created xsi:type="dcterms:W3CDTF">2020-09-17T14:10:00Z</dcterms:created>
  <dcterms:modified xsi:type="dcterms:W3CDTF">2020-09-21T22:34:00Z</dcterms:modified>
</cp:coreProperties>
</file>