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3B" w:rsidRPr="0046143B" w:rsidRDefault="0046143B" w:rsidP="0046143B">
      <w:pPr>
        <w:pStyle w:val="Sinespaciado"/>
        <w:ind w:left="708" w:hanging="708"/>
        <w:jc w:val="center"/>
        <w:rPr>
          <w:rFonts w:ascii="Palatino Linotype" w:hAnsi="Palatino Linotype"/>
          <w:b/>
          <w:sz w:val="32"/>
          <w:szCs w:val="20"/>
        </w:rPr>
      </w:pPr>
    </w:p>
    <w:p w:rsidR="0046143B" w:rsidRPr="00220676" w:rsidRDefault="0046143B" w:rsidP="0046143B">
      <w:pPr>
        <w:pStyle w:val="Sinespaciado"/>
        <w:ind w:left="708" w:hanging="708"/>
        <w:jc w:val="center"/>
        <w:rPr>
          <w:rFonts w:ascii="Palatino Linotype" w:hAnsi="Palatino Linotype"/>
          <w:b/>
          <w:sz w:val="20"/>
          <w:szCs w:val="20"/>
        </w:rPr>
      </w:pPr>
      <w:r w:rsidRPr="00220676">
        <w:rPr>
          <w:rFonts w:ascii="Palatino Linotype" w:hAnsi="Palatino Linotype"/>
          <w:b/>
          <w:sz w:val="20"/>
          <w:szCs w:val="20"/>
        </w:rPr>
        <w:t xml:space="preserve">ACTA RESOLUTIVA DE LA SESIÓN </w:t>
      </w:r>
      <w:r>
        <w:rPr>
          <w:rFonts w:ascii="Palatino Linotype" w:hAnsi="Palatino Linotype"/>
          <w:b/>
          <w:sz w:val="20"/>
          <w:szCs w:val="20"/>
        </w:rPr>
        <w:t>NO. 006 ORDINARIA</w:t>
      </w:r>
      <w:r w:rsidRPr="00220676">
        <w:rPr>
          <w:rFonts w:ascii="Palatino Linotype" w:hAnsi="Palatino Linotype"/>
          <w:b/>
          <w:sz w:val="20"/>
          <w:szCs w:val="20"/>
        </w:rPr>
        <w:t xml:space="preserve"> DE LA </w:t>
      </w:r>
    </w:p>
    <w:p w:rsidR="0046143B" w:rsidRPr="00220676" w:rsidRDefault="0046143B" w:rsidP="0046143B">
      <w:pPr>
        <w:pStyle w:val="Sinespaciado"/>
        <w:jc w:val="center"/>
        <w:rPr>
          <w:rFonts w:ascii="Palatino Linotype" w:hAnsi="Palatino Linotype"/>
          <w:b/>
          <w:sz w:val="20"/>
          <w:szCs w:val="20"/>
        </w:rPr>
      </w:pPr>
      <w:r w:rsidRPr="00220676">
        <w:rPr>
          <w:rFonts w:ascii="Palatino Linotype" w:hAnsi="Palatino Linotype"/>
          <w:b/>
          <w:sz w:val="20"/>
          <w:szCs w:val="20"/>
        </w:rPr>
        <w:t>COMISIÓN DE MOVILIDAD</w:t>
      </w:r>
    </w:p>
    <w:p w:rsidR="0046143B" w:rsidRPr="00B855D6" w:rsidRDefault="0046143B" w:rsidP="0046143B">
      <w:pPr>
        <w:pStyle w:val="Sinespaciado"/>
        <w:jc w:val="center"/>
        <w:rPr>
          <w:rFonts w:ascii="Palatino Linotype" w:hAnsi="Palatino Linotype"/>
          <w:b/>
          <w:szCs w:val="20"/>
        </w:rPr>
      </w:pPr>
    </w:p>
    <w:p w:rsidR="0046143B" w:rsidRPr="00220676" w:rsidRDefault="0046143B" w:rsidP="0046143B">
      <w:pPr>
        <w:pStyle w:val="Sinespaciad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MIÉRCOLES 24 DE JULIO </w:t>
      </w:r>
      <w:r w:rsidRPr="00220676">
        <w:rPr>
          <w:rFonts w:ascii="Palatino Linotype" w:hAnsi="Palatino Linotype"/>
          <w:b/>
          <w:sz w:val="20"/>
          <w:szCs w:val="20"/>
        </w:rPr>
        <w:t>DE 2019</w:t>
      </w:r>
    </w:p>
    <w:p w:rsidR="0046143B" w:rsidRPr="00B855D6" w:rsidRDefault="0046143B" w:rsidP="0046143B">
      <w:pPr>
        <w:pStyle w:val="Textoindependiente"/>
        <w:jc w:val="both"/>
        <w:rPr>
          <w:rFonts w:ascii="Palatino Linotype" w:hAnsi="Palatino Linotype"/>
          <w:szCs w:val="20"/>
        </w:rPr>
      </w:pPr>
    </w:p>
    <w:p w:rsidR="0046143B" w:rsidRDefault="0046143B" w:rsidP="0046143B">
      <w:pPr>
        <w:pStyle w:val="Textoindependiente"/>
        <w:jc w:val="both"/>
        <w:rPr>
          <w:rFonts w:ascii="Palatino Linotype" w:hAnsi="Palatino Linotype"/>
          <w:sz w:val="20"/>
          <w:szCs w:val="20"/>
        </w:rPr>
      </w:pPr>
      <w:r w:rsidRPr="00220676">
        <w:rPr>
          <w:rFonts w:ascii="Palatino Linotype" w:hAnsi="Palatino Linotype"/>
          <w:sz w:val="20"/>
          <w:szCs w:val="20"/>
        </w:rPr>
        <w:t>En el Distrito Metropoli</w:t>
      </w:r>
      <w:r>
        <w:rPr>
          <w:rFonts w:ascii="Palatino Linotype" w:hAnsi="Palatino Linotype"/>
          <w:sz w:val="20"/>
          <w:szCs w:val="20"/>
        </w:rPr>
        <w:t xml:space="preserve">tano de Quito, siendo las 09h03 </w:t>
      </w:r>
      <w:r w:rsidRPr="00220676">
        <w:rPr>
          <w:rFonts w:ascii="Palatino Linotype" w:hAnsi="Palatino Linotype"/>
          <w:sz w:val="20"/>
          <w:szCs w:val="20"/>
        </w:rPr>
        <w:t xml:space="preserve">del </w:t>
      </w:r>
      <w:r>
        <w:rPr>
          <w:rFonts w:ascii="Palatino Linotype" w:hAnsi="Palatino Linotype"/>
          <w:sz w:val="20"/>
          <w:szCs w:val="20"/>
        </w:rPr>
        <w:t>veinte y cuatro de julio de dos mil diecinueve, en la S</w:t>
      </w:r>
      <w:r w:rsidRPr="00220676">
        <w:rPr>
          <w:rFonts w:ascii="Palatino Linotype" w:hAnsi="Palatino Linotype"/>
          <w:sz w:val="20"/>
          <w:szCs w:val="20"/>
        </w:rPr>
        <w:t xml:space="preserve">ala </w:t>
      </w:r>
      <w:r>
        <w:rPr>
          <w:rFonts w:ascii="Palatino Linotype" w:hAnsi="Palatino Linotype"/>
          <w:sz w:val="20"/>
          <w:szCs w:val="20"/>
        </w:rPr>
        <w:t xml:space="preserve">de sesiones </w:t>
      </w:r>
      <w:r w:rsidRPr="00220676">
        <w:rPr>
          <w:rFonts w:ascii="Palatino Linotype" w:hAnsi="Palatino Linotype"/>
          <w:sz w:val="20"/>
          <w:szCs w:val="20"/>
        </w:rPr>
        <w:t xml:space="preserve">del Concejo Metropolitano, se instala la sesión </w:t>
      </w:r>
      <w:r>
        <w:rPr>
          <w:rFonts w:ascii="Palatino Linotype" w:hAnsi="Palatino Linotype"/>
          <w:sz w:val="20"/>
          <w:szCs w:val="20"/>
        </w:rPr>
        <w:t xml:space="preserve">ordinaria </w:t>
      </w:r>
      <w:r w:rsidRPr="00220676">
        <w:rPr>
          <w:rFonts w:ascii="Palatino Linotype" w:hAnsi="Palatino Linotype"/>
          <w:sz w:val="20"/>
          <w:szCs w:val="20"/>
        </w:rPr>
        <w:t xml:space="preserve">de la Comisión de Movilidad, con la presencia de los siguientes concejales: </w:t>
      </w:r>
      <w:r w:rsidRPr="00220676">
        <w:rPr>
          <w:rFonts w:ascii="Palatino Linotype" w:hAnsi="Palatino Linotype"/>
          <w:color w:val="000000"/>
          <w:sz w:val="20"/>
          <w:szCs w:val="20"/>
          <w:lang w:val="es-ES"/>
        </w:rPr>
        <w:t>Sr. Omar Cevallos Patiño</w:t>
      </w:r>
      <w:r>
        <w:rPr>
          <w:rFonts w:ascii="Palatino Linotype" w:hAnsi="Palatino Linotype"/>
          <w:color w:val="000000"/>
          <w:sz w:val="20"/>
          <w:szCs w:val="20"/>
          <w:lang w:val="es-ES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0"/>
          <w:szCs w:val="20"/>
          <w:lang w:val="es-ES"/>
        </w:rPr>
        <w:t>M</w:t>
      </w:r>
      <w:r w:rsidRPr="00100320">
        <w:rPr>
          <w:rFonts w:ascii="Palatino Linotype" w:hAnsi="Palatino Linotype"/>
          <w:color w:val="000000"/>
          <w:sz w:val="20"/>
          <w:szCs w:val="20"/>
          <w:lang w:val="es-ES"/>
        </w:rPr>
        <w:t>g</w:t>
      </w:r>
      <w:r>
        <w:rPr>
          <w:rFonts w:ascii="Palatino Linotype" w:hAnsi="Palatino Linotype"/>
          <w:color w:val="000000"/>
          <w:sz w:val="20"/>
          <w:szCs w:val="20"/>
          <w:lang w:val="es-ES"/>
        </w:rPr>
        <w:t>s</w:t>
      </w:r>
      <w:proofErr w:type="spellEnd"/>
      <w:r w:rsidRPr="00100320">
        <w:rPr>
          <w:rFonts w:ascii="Palatino Linotype" w:hAnsi="Palatino Linotype"/>
          <w:color w:val="000000"/>
          <w:sz w:val="20"/>
          <w:szCs w:val="20"/>
          <w:lang w:val="es-ES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  <w:lang w:val="es-ES"/>
        </w:rPr>
        <w:t>Analía</w:t>
      </w:r>
      <w:proofErr w:type="spellEnd"/>
      <w:r>
        <w:rPr>
          <w:rFonts w:ascii="Palatino Linotype" w:hAnsi="Palatino Linotype"/>
          <w:color w:val="000000"/>
          <w:sz w:val="20"/>
          <w:szCs w:val="20"/>
          <w:lang w:val="es-ES"/>
        </w:rPr>
        <w:t xml:space="preserve"> Ledesma, Abg. Eduardo del Pozo, Abg. Mónica Sandoval</w:t>
      </w:r>
      <w:r w:rsidRPr="00220676">
        <w:rPr>
          <w:rFonts w:ascii="Palatino Linotype" w:hAnsi="Palatino Linotype"/>
          <w:color w:val="000000"/>
          <w:sz w:val="20"/>
          <w:szCs w:val="20"/>
          <w:lang w:val="es-ES"/>
        </w:rPr>
        <w:t xml:space="preserve"> y </w:t>
      </w:r>
      <w:r w:rsidRPr="00220676">
        <w:rPr>
          <w:rFonts w:ascii="Palatino Linotype" w:hAnsi="Palatino Linotype"/>
          <w:sz w:val="20"/>
          <w:szCs w:val="20"/>
        </w:rPr>
        <w:t xml:space="preserve">Dr. Santiago </w:t>
      </w:r>
      <w:proofErr w:type="spellStart"/>
      <w:r w:rsidRPr="00220676">
        <w:rPr>
          <w:rFonts w:ascii="Palatino Linotype" w:hAnsi="Palatino Linotype"/>
          <w:sz w:val="20"/>
          <w:szCs w:val="20"/>
        </w:rPr>
        <w:t>Guarderas</w:t>
      </w:r>
      <w:proofErr w:type="spellEnd"/>
      <w:r w:rsidRPr="00220676">
        <w:rPr>
          <w:rFonts w:ascii="Palatino Linotype" w:hAnsi="Palatino Linotype"/>
          <w:sz w:val="20"/>
          <w:szCs w:val="20"/>
        </w:rPr>
        <w:t xml:space="preserve"> Izquierdo, quien la preside.</w:t>
      </w:r>
    </w:p>
    <w:p w:rsidR="0046143B" w:rsidRPr="00B855D6" w:rsidRDefault="0046143B" w:rsidP="0046143B">
      <w:pPr>
        <w:pStyle w:val="Textoindependiente"/>
        <w:jc w:val="both"/>
        <w:rPr>
          <w:rFonts w:ascii="Palatino Linotype" w:hAnsi="Palatino Linotype"/>
          <w:color w:val="000000"/>
          <w:sz w:val="2"/>
          <w:szCs w:val="20"/>
          <w:lang w:val="es-ES"/>
        </w:rPr>
      </w:pPr>
    </w:p>
    <w:tbl>
      <w:tblPr>
        <w:tblpPr w:leftFromText="141" w:rightFromText="141" w:vertAnchor="text" w:tblpX="108" w:tblpY="2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1904"/>
        <w:gridCol w:w="1789"/>
      </w:tblGrid>
      <w:tr w:rsidR="0046143B" w:rsidRPr="00220676" w:rsidTr="007B5433">
        <w:trPr>
          <w:trHeight w:val="260"/>
        </w:trPr>
        <w:tc>
          <w:tcPr>
            <w:tcW w:w="8472" w:type="dxa"/>
            <w:gridSpan w:val="3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REGISTRO ASISTENCIA – INICIO SESIÓN</w:t>
            </w:r>
          </w:p>
        </w:tc>
      </w:tr>
      <w:tr w:rsidR="0046143B" w:rsidRPr="00220676" w:rsidTr="007B5433">
        <w:trPr>
          <w:trHeight w:val="260"/>
        </w:trPr>
        <w:tc>
          <w:tcPr>
            <w:tcW w:w="4779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1789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 xml:space="preserve">AUSENTE </w:t>
            </w:r>
          </w:p>
        </w:tc>
      </w:tr>
      <w:tr w:rsidR="0046143B" w:rsidRPr="00220676" w:rsidTr="007B5433">
        <w:trPr>
          <w:trHeight w:val="246"/>
        </w:trPr>
        <w:tc>
          <w:tcPr>
            <w:tcW w:w="477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Dr. Santiago </w:t>
            </w:r>
            <w:proofErr w:type="spellStart"/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Guarderas</w:t>
            </w:r>
            <w:proofErr w:type="spellEnd"/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Izquierdo</w:t>
            </w:r>
          </w:p>
        </w:tc>
        <w:tc>
          <w:tcPr>
            <w:tcW w:w="1904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60"/>
        </w:trPr>
        <w:tc>
          <w:tcPr>
            <w:tcW w:w="477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Sr. Omar Cevallos Patiño</w:t>
            </w:r>
          </w:p>
        </w:tc>
        <w:tc>
          <w:tcPr>
            <w:tcW w:w="1904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60"/>
        </w:trPr>
        <w:tc>
          <w:tcPr>
            <w:tcW w:w="477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Abg. Mónica Sandoval </w:t>
            </w: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Campoverde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8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46143B" w:rsidRPr="00220676" w:rsidTr="007B5433">
        <w:trPr>
          <w:trHeight w:val="246"/>
        </w:trPr>
        <w:tc>
          <w:tcPr>
            <w:tcW w:w="477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Mgs</w:t>
            </w:r>
            <w:proofErr w:type="spellEnd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Analía</w:t>
            </w:r>
            <w:proofErr w:type="spellEnd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Ledesma </w:t>
            </w:r>
            <w:r w:rsidR="006A0838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García</w:t>
            </w:r>
          </w:p>
        </w:tc>
        <w:tc>
          <w:tcPr>
            <w:tcW w:w="1904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60"/>
        </w:trPr>
        <w:tc>
          <w:tcPr>
            <w:tcW w:w="477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  <w:r w:rsidR="006A0838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Fierro</w:t>
            </w:r>
          </w:p>
        </w:tc>
        <w:tc>
          <w:tcPr>
            <w:tcW w:w="1904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60"/>
        </w:trPr>
        <w:tc>
          <w:tcPr>
            <w:tcW w:w="4779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789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46143B" w:rsidRPr="00B855D6" w:rsidRDefault="0046143B" w:rsidP="0046143B">
      <w:pPr>
        <w:pStyle w:val="Textoindependiente"/>
        <w:jc w:val="both"/>
        <w:rPr>
          <w:rFonts w:ascii="Palatino Linotype" w:hAnsi="Palatino Linotype"/>
          <w:sz w:val="16"/>
          <w:szCs w:val="20"/>
        </w:rPr>
      </w:pPr>
    </w:p>
    <w:p w:rsidR="0046143B" w:rsidRPr="005C46D8" w:rsidRDefault="0046143B" w:rsidP="0046143B">
      <w:pPr>
        <w:pStyle w:val="Textoindependiente"/>
        <w:jc w:val="both"/>
        <w:rPr>
          <w:rFonts w:ascii="Palatino Linotype" w:hAnsi="Palatino Linotype"/>
          <w:sz w:val="20"/>
          <w:szCs w:val="20"/>
        </w:rPr>
      </w:pPr>
      <w:r w:rsidRPr="005C46D8">
        <w:rPr>
          <w:rFonts w:ascii="Palatino Linotype" w:hAnsi="Palatino Linotype"/>
          <w:sz w:val="20"/>
          <w:szCs w:val="20"/>
        </w:rPr>
        <w:t xml:space="preserve">Además, se registra la presencia de los siguientes funcionarios: </w:t>
      </w:r>
      <w:r>
        <w:rPr>
          <w:rFonts w:ascii="Palatino Linotype" w:hAnsi="Palatino Linotype"/>
          <w:sz w:val="20"/>
          <w:szCs w:val="20"/>
        </w:rPr>
        <w:t xml:space="preserve">Abg. Fernando Morales, concejal metropolitano; Juan Manuel Carrión, concejal metropolitano, </w:t>
      </w:r>
      <w:r w:rsidRPr="005C46D8">
        <w:rPr>
          <w:rFonts w:ascii="Palatino Linotype" w:hAnsi="Palatino Linotype"/>
          <w:sz w:val="20"/>
          <w:szCs w:val="20"/>
        </w:rPr>
        <w:t xml:space="preserve">Abg. </w:t>
      </w:r>
      <w:r>
        <w:rPr>
          <w:rFonts w:ascii="Palatino Linotype" w:hAnsi="Palatino Linotype"/>
          <w:sz w:val="20"/>
          <w:szCs w:val="20"/>
        </w:rPr>
        <w:t xml:space="preserve">Freddy </w:t>
      </w:r>
      <w:proofErr w:type="spellStart"/>
      <w:r>
        <w:rPr>
          <w:rFonts w:ascii="Palatino Linotype" w:hAnsi="Palatino Linotype"/>
          <w:sz w:val="20"/>
          <w:szCs w:val="20"/>
        </w:rPr>
        <w:t>Balseca</w:t>
      </w:r>
      <w:proofErr w:type="spellEnd"/>
      <w:r w:rsidRPr="005C46D8">
        <w:rPr>
          <w:rFonts w:ascii="Palatino Linotype" w:hAnsi="Palatino Linotype"/>
          <w:sz w:val="20"/>
          <w:szCs w:val="20"/>
        </w:rPr>
        <w:t>, delegado d</w:t>
      </w:r>
      <w:r>
        <w:rPr>
          <w:rFonts w:ascii="Palatino Linotype" w:hAnsi="Palatino Linotype"/>
          <w:sz w:val="20"/>
          <w:szCs w:val="20"/>
        </w:rPr>
        <w:t>e la Procuraduría Metropolitana;</w:t>
      </w:r>
      <w:r w:rsidRPr="005C46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C46D8">
        <w:rPr>
          <w:rFonts w:ascii="Palatino Linotype" w:hAnsi="Palatino Linotype"/>
          <w:sz w:val="20"/>
          <w:szCs w:val="20"/>
        </w:rPr>
        <w:t>Bersabeth</w:t>
      </w:r>
      <w:proofErr w:type="spellEnd"/>
      <w:r w:rsidRPr="005C46D8">
        <w:rPr>
          <w:rFonts w:ascii="Palatino Linotype" w:hAnsi="Palatino Linotype"/>
          <w:sz w:val="20"/>
          <w:szCs w:val="20"/>
        </w:rPr>
        <w:t xml:space="preserve"> Vega, asesora </w:t>
      </w:r>
      <w:r>
        <w:rPr>
          <w:rFonts w:ascii="Palatino Linotype" w:hAnsi="Palatino Linotype"/>
          <w:sz w:val="20"/>
          <w:szCs w:val="20"/>
        </w:rPr>
        <w:t>de la concejala Mónica Sandoval</w:t>
      </w:r>
      <w:r w:rsidRPr="005C46D8">
        <w:rPr>
          <w:rFonts w:ascii="Palatino Linotype" w:hAnsi="Palatino Linotype"/>
          <w:sz w:val="20"/>
          <w:szCs w:val="20"/>
        </w:rPr>
        <w:t xml:space="preserve">; Giancarlo </w:t>
      </w:r>
      <w:proofErr w:type="spellStart"/>
      <w:r w:rsidRPr="005C46D8">
        <w:rPr>
          <w:rFonts w:ascii="Palatino Linotype" w:hAnsi="Palatino Linotype"/>
          <w:sz w:val="20"/>
          <w:szCs w:val="20"/>
        </w:rPr>
        <w:t>D’Aniello</w:t>
      </w:r>
      <w:proofErr w:type="spellEnd"/>
      <w:r w:rsidRPr="005C46D8">
        <w:rPr>
          <w:rFonts w:ascii="Palatino Linotype" w:hAnsi="Palatino Linotype"/>
          <w:sz w:val="20"/>
          <w:szCs w:val="20"/>
        </w:rPr>
        <w:t xml:space="preserve"> y Pablo Jaramillo, asesores del concejal Omar Cevallos; Patricia A</w:t>
      </w:r>
      <w:r>
        <w:rPr>
          <w:rFonts w:ascii="Palatino Linotype" w:hAnsi="Palatino Linotype"/>
          <w:sz w:val="20"/>
          <w:szCs w:val="20"/>
        </w:rPr>
        <w:t xml:space="preserve">ndrade Baroja, </w:t>
      </w:r>
      <w:r w:rsidRPr="005C46D8">
        <w:rPr>
          <w:rFonts w:ascii="Palatino Linotype" w:hAnsi="Palatino Linotype"/>
          <w:sz w:val="20"/>
          <w:szCs w:val="20"/>
        </w:rPr>
        <w:t>Gabriela Mendieta</w:t>
      </w:r>
      <w:r>
        <w:rPr>
          <w:rFonts w:ascii="Palatino Linotype" w:hAnsi="Palatino Linotype"/>
          <w:sz w:val="20"/>
          <w:szCs w:val="20"/>
        </w:rPr>
        <w:t xml:space="preserve"> y Johana Vélez</w:t>
      </w:r>
      <w:r w:rsidRPr="005C46D8">
        <w:rPr>
          <w:rFonts w:ascii="Palatino Linotype" w:hAnsi="Palatino Linotype"/>
          <w:sz w:val="20"/>
          <w:szCs w:val="20"/>
        </w:rPr>
        <w:t xml:space="preserve">, asesoras </w:t>
      </w:r>
      <w:r>
        <w:rPr>
          <w:rFonts w:ascii="Palatino Linotype" w:hAnsi="Palatino Linotype"/>
          <w:sz w:val="20"/>
          <w:szCs w:val="20"/>
        </w:rPr>
        <w:t xml:space="preserve">del concejal Santiago </w:t>
      </w:r>
      <w:proofErr w:type="spellStart"/>
      <w:r>
        <w:rPr>
          <w:rFonts w:ascii="Palatino Linotype" w:hAnsi="Palatino Linotype"/>
          <w:sz w:val="20"/>
          <w:szCs w:val="20"/>
        </w:rPr>
        <w:t>Guarderas</w:t>
      </w:r>
      <w:proofErr w:type="spellEnd"/>
      <w:r>
        <w:rPr>
          <w:rFonts w:ascii="Palatino Linotype" w:hAnsi="Palatino Linotype"/>
          <w:sz w:val="20"/>
          <w:szCs w:val="20"/>
        </w:rPr>
        <w:t xml:space="preserve">; Eugenio </w:t>
      </w:r>
      <w:proofErr w:type="spellStart"/>
      <w:r>
        <w:rPr>
          <w:rFonts w:ascii="Palatino Linotype" w:hAnsi="Palatino Linotype"/>
          <w:sz w:val="20"/>
          <w:szCs w:val="20"/>
        </w:rPr>
        <w:t>Campoverde</w:t>
      </w:r>
      <w:proofErr w:type="spellEnd"/>
      <w:r>
        <w:rPr>
          <w:rFonts w:ascii="Palatino Linotype" w:hAnsi="Palatino Linotype"/>
          <w:sz w:val="20"/>
          <w:szCs w:val="20"/>
        </w:rPr>
        <w:t xml:space="preserve">, asesor del concejal Juan Manuel Carrión; Michel </w:t>
      </w:r>
      <w:proofErr w:type="spellStart"/>
      <w:r>
        <w:rPr>
          <w:rFonts w:ascii="Palatino Linotype" w:hAnsi="Palatino Linotype"/>
          <w:sz w:val="20"/>
          <w:szCs w:val="20"/>
        </w:rPr>
        <w:t>Rowland</w:t>
      </w:r>
      <w:proofErr w:type="spellEnd"/>
      <w:r>
        <w:rPr>
          <w:rFonts w:ascii="Palatino Linotype" w:hAnsi="Palatino Linotype"/>
          <w:sz w:val="20"/>
          <w:szCs w:val="20"/>
        </w:rPr>
        <w:t xml:space="preserve">, Presidente Quito Honesto.  </w:t>
      </w:r>
    </w:p>
    <w:p w:rsidR="0046143B" w:rsidRDefault="0046143B" w:rsidP="0046143B">
      <w:pPr>
        <w:pStyle w:val="Textoindependiente"/>
        <w:jc w:val="both"/>
        <w:rPr>
          <w:rFonts w:ascii="Palatino Linotype" w:hAnsi="Palatino Linotype"/>
          <w:sz w:val="20"/>
          <w:szCs w:val="20"/>
        </w:rPr>
      </w:pPr>
      <w:r w:rsidRPr="005C46D8">
        <w:rPr>
          <w:rFonts w:ascii="Palatino Linotype" w:hAnsi="Palatino Linotype"/>
          <w:sz w:val="20"/>
          <w:szCs w:val="20"/>
        </w:rPr>
        <w:t>Se registra también la presencia de los siguientes invitados: Señor</w:t>
      </w:r>
      <w:r>
        <w:rPr>
          <w:rFonts w:ascii="Palatino Linotype" w:hAnsi="Palatino Linotype"/>
          <w:sz w:val="20"/>
          <w:szCs w:val="20"/>
        </w:rPr>
        <w:t xml:space="preserve"> Fernando Villavicencio, Portal La Fuente</w:t>
      </w:r>
      <w:r w:rsidRPr="005C46D8">
        <w:rPr>
          <w:rFonts w:ascii="Palatino Linotype" w:hAnsi="Palatino Linotype"/>
          <w:sz w:val="20"/>
          <w:szCs w:val="20"/>
        </w:rPr>
        <w:t>;</w:t>
      </w:r>
      <w:r>
        <w:rPr>
          <w:rFonts w:ascii="Palatino Linotype" w:hAnsi="Palatino Linotype"/>
          <w:sz w:val="20"/>
          <w:szCs w:val="20"/>
        </w:rPr>
        <w:t xml:space="preserve"> Cesar Montufar, investigador.</w:t>
      </w:r>
    </w:p>
    <w:p w:rsidR="0046143B" w:rsidRDefault="0046143B" w:rsidP="0046143B">
      <w:pPr>
        <w:pStyle w:val="Textoindependiente"/>
        <w:jc w:val="both"/>
        <w:rPr>
          <w:rFonts w:ascii="Palatino Linotype" w:hAnsi="Palatino Linotype"/>
          <w:sz w:val="20"/>
          <w:szCs w:val="20"/>
        </w:rPr>
      </w:pPr>
      <w:r w:rsidRPr="00220676">
        <w:rPr>
          <w:rFonts w:ascii="Palatino Linotype" w:hAnsi="Palatino Linotype"/>
          <w:sz w:val="20"/>
          <w:szCs w:val="20"/>
        </w:rPr>
        <w:t>La Abg.</w:t>
      </w:r>
      <w:r>
        <w:rPr>
          <w:rFonts w:ascii="Palatino Linotype" w:hAnsi="Palatino Linotype"/>
          <w:sz w:val="20"/>
          <w:szCs w:val="20"/>
        </w:rPr>
        <w:t xml:space="preserve"> Lorena Mendoza</w:t>
      </w:r>
      <w:r w:rsidRPr="00220676">
        <w:rPr>
          <w:rFonts w:ascii="Palatino Linotype" w:hAnsi="Palatino Linotype"/>
          <w:sz w:val="20"/>
          <w:szCs w:val="20"/>
        </w:rPr>
        <w:t>, delegada de la Secretaría General del Concejo Metropolitano de Quito, actúa como Secretaria de la Comisión, quien por disposición del señor Presidente constata el quórum legal y reglamentario y procede a dar lectura del orden del día.</w:t>
      </w:r>
    </w:p>
    <w:p w:rsidR="0046143B" w:rsidRPr="00B855D6" w:rsidRDefault="0046143B" w:rsidP="0046143B">
      <w:pPr>
        <w:pStyle w:val="Textoindependiente"/>
        <w:jc w:val="both"/>
        <w:rPr>
          <w:rFonts w:ascii="Palatino Linotype" w:hAnsi="Palatino Linotype"/>
          <w:sz w:val="6"/>
          <w:szCs w:val="20"/>
        </w:rPr>
      </w:pPr>
    </w:p>
    <w:p w:rsidR="0046143B" w:rsidRDefault="0046143B" w:rsidP="0046143B">
      <w:pPr>
        <w:pStyle w:val="Prrafodelista"/>
        <w:numPr>
          <w:ilvl w:val="0"/>
          <w:numId w:val="1"/>
        </w:numPr>
        <w:spacing w:line="276" w:lineRule="auto"/>
        <w:rPr>
          <w:rFonts w:ascii="Palatino Linotype" w:eastAsia="MS Mincho" w:hAnsi="Palatino Linotype"/>
          <w:sz w:val="20"/>
          <w:szCs w:val="20"/>
        </w:rPr>
      </w:pPr>
      <w:r>
        <w:rPr>
          <w:rFonts w:ascii="Palatino Linotype" w:eastAsia="MS Mincho" w:hAnsi="Palatino Linotype"/>
          <w:sz w:val="20"/>
          <w:szCs w:val="20"/>
        </w:rPr>
        <w:t xml:space="preserve">Comisión General para recibir a los señores Fernando Villavicencio y César Montufar, quienes expondrán el objeto de su denuncia ante la Fiscalía General del Estado, en contra de ex autoridades y ex funcionarios municipales, en torno a la construcción de la Primera Línea del Metro y la Ruta Viva. </w:t>
      </w:r>
    </w:p>
    <w:p w:rsidR="0046143B" w:rsidRDefault="0046143B" w:rsidP="0046143B">
      <w:pPr>
        <w:pStyle w:val="Prrafodelista"/>
        <w:spacing w:line="276" w:lineRule="auto"/>
        <w:rPr>
          <w:rFonts w:ascii="Palatino Linotype" w:eastAsia="MS Mincho" w:hAnsi="Palatino Linotype"/>
          <w:sz w:val="20"/>
          <w:szCs w:val="20"/>
        </w:rPr>
      </w:pPr>
    </w:p>
    <w:p w:rsidR="0046143B" w:rsidRPr="00B855D6" w:rsidRDefault="0046143B" w:rsidP="0046143B">
      <w:pPr>
        <w:pStyle w:val="Prrafodelista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2773BC">
        <w:rPr>
          <w:rFonts w:ascii="Palatino Linotype" w:eastAsia="MS Mincho" w:hAnsi="Palatino Linotype"/>
          <w:sz w:val="20"/>
          <w:szCs w:val="20"/>
        </w:rPr>
        <w:t xml:space="preserve">Informe del Abg. Dany </w:t>
      </w:r>
      <w:proofErr w:type="spellStart"/>
      <w:r w:rsidRPr="002773BC">
        <w:rPr>
          <w:rFonts w:ascii="Palatino Linotype" w:eastAsia="MS Mincho" w:hAnsi="Palatino Linotype"/>
          <w:sz w:val="20"/>
          <w:szCs w:val="20"/>
        </w:rPr>
        <w:t>Gaibor</w:t>
      </w:r>
      <w:proofErr w:type="spellEnd"/>
      <w:r w:rsidRPr="002773BC">
        <w:rPr>
          <w:rFonts w:ascii="Palatino Linotype" w:eastAsia="MS Mincho" w:hAnsi="Palatino Linotype"/>
          <w:sz w:val="20"/>
          <w:szCs w:val="20"/>
        </w:rPr>
        <w:t>, Director</w:t>
      </w:r>
      <w:r>
        <w:rPr>
          <w:rFonts w:ascii="Palatino Linotype" w:eastAsia="MS Mincho" w:hAnsi="Palatino Linotype"/>
          <w:sz w:val="20"/>
          <w:szCs w:val="20"/>
        </w:rPr>
        <w:t xml:space="preserve"> General</w:t>
      </w:r>
      <w:r w:rsidRPr="002773BC">
        <w:rPr>
          <w:rFonts w:ascii="Palatino Linotype" w:eastAsia="MS Mincho" w:hAnsi="Palatino Linotype"/>
          <w:sz w:val="20"/>
          <w:szCs w:val="20"/>
        </w:rPr>
        <w:t xml:space="preserve"> de la Agencia Metropolitana de Control de Transporte Terrestre, Tráns</w:t>
      </w:r>
      <w:r>
        <w:rPr>
          <w:rFonts w:ascii="Palatino Linotype" w:eastAsia="MS Mincho" w:hAnsi="Palatino Linotype"/>
          <w:sz w:val="20"/>
          <w:szCs w:val="20"/>
        </w:rPr>
        <w:t xml:space="preserve">ito y Seguridad Vial, sobre la prestación del servicio público de revisión técnica vehicular en el Distrito Metropolitano de Quito; y, resolución al respecto. </w:t>
      </w:r>
    </w:p>
    <w:p w:rsidR="0046143B" w:rsidRDefault="0046143B" w:rsidP="0046143B">
      <w:pPr>
        <w:spacing w:line="240" w:lineRule="auto"/>
        <w:rPr>
          <w:rFonts w:ascii="Palatino Linotype" w:hAnsi="Palatino Linotype"/>
          <w:sz w:val="20"/>
          <w:szCs w:val="20"/>
        </w:rPr>
      </w:pPr>
    </w:p>
    <w:p w:rsidR="0046143B" w:rsidRPr="00B855D6" w:rsidRDefault="0046143B" w:rsidP="0046143B">
      <w:pPr>
        <w:pStyle w:val="Prrafodelista"/>
        <w:spacing w:line="276" w:lineRule="auto"/>
        <w:ind w:left="360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B855D6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DESARROLLO DE LA SESIÓN</w:t>
      </w:r>
    </w:p>
    <w:p w:rsidR="0046143B" w:rsidRPr="0046143B" w:rsidRDefault="0046143B" w:rsidP="0046143B">
      <w:pPr>
        <w:pStyle w:val="Prrafodelista"/>
        <w:spacing w:line="276" w:lineRule="auto"/>
        <w:ind w:left="360"/>
        <w:jc w:val="center"/>
        <w:rPr>
          <w:rFonts w:ascii="Palatino Linotype" w:hAnsi="Palatino Linotype"/>
          <w:b/>
          <w:color w:val="000000" w:themeColor="text1"/>
          <w:sz w:val="16"/>
          <w:szCs w:val="20"/>
        </w:rPr>
      </w:pPr>
    </w:p>
    <w:p w:rsidR="0046143B" w:rsidRDefault="0046143B" w:rsidP="0046143B">
      <w:pPr>
        <w:pStyle w:val="Prrafodelista"/>
        <w:numPr>
          <w:ilvl w:val="0"/>
          <w:numId w:val="2"/>
        </w:numPr>
        <w:spacing w:line="276" w:lineRule="auto"/>
        <w:rPr>
          <w:rFonts w:ascii="Palatino Linotype" w:hAnsi="Palatino Linotype"/>
          <w:b/>
          <w:sz w:val="20"/>
          <w:szCs w:val="20"/>
        </w:rPr>
      </w:pPr>
      <w:r w:rsidRPr="00B855D6">
        <w:rPr>
          <w:rFonts w:ascii="Palatino Linotype" w:hAnsi="Palatino Linotype"/>
          <w:b/>
          <w:sz w:val="20"/>
          <w:szCs w:val="20"/>
        </w:rPr>
        <w:t xml:space="preserve">COMISIÓN GENERAL PARA RECIBIR A LOS SEÑORES FERNANDO VILLAVICENCIO Y CÉSAR MONTUFAR, QUIENES EXPONDRÁN EL OBJETO DE SU DENUNCIA ANTE LA FISCALÍA GENERAL DEL ESTADO, EN CONTRA DE EX AUTORIDADES Y EX FUNCIONARIOS MUNICIPALES, EN TORNO A LA CONSTRUCCIÓN DE LA PRIMERA LÍNEA DEL METRO Y LA RUTA VIVA. </w:t>
      </w:r>
    </w:p>
    <w:p w:rsidR="006A0838" w:rsidRPr="006A0838" w:rsidRDefault="006A0838" w:rsidP="006A0838">
      <w:pPr>
        <w:pStyle w:val="Prrafodelista"/>
        <w:spacing w:line="276" w:lineRule="auto"/>
        <w:rPr>
          <w:rFonts w:ascii="Palatino Linotype" w:hAnsi="Palatino Linotype"/>
          <w:b/>
          <w:sz w:val="2"/>
          <w:szCs w:val="2"/>
        </w:rPr>
      </w:pPr>
    </w:p>
    <w:p w:rsidR="0046143B" w:rsidRPr="00B855D6" w:rsidRDefault="0046143B" w:rsidP="0046143B">
      <w:pPr>
        <w:pStyle w:val="Prrafodelista"/>
        <w:spacing w:line="276" w:lineRule="auto"/>
        <w:rPr>
          <w:rFonts w:ascii="Palatino Linotype" w:hAnsi="Palatino Linotype"/>
          <w:b/>
          <w:sz w:val="6"/>
          <w:szCs w:val="20"/>
        </w:rPr>
      </w:pPr>
    </w:p>
    <w:p w:rsidR="0046143B" w:rsidRDefault="0046143B" w:rsidP="0046143B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Se escucha la intervención de los señores </w:t>
      </w:r>
      <w:r>
        <w:rPr>
          <w:rFonts w:ascii="Palatino Linotype" w:hAnsi="Palatino Linotype"/>
          <w:sz w:val="20"/>
          <w:szCs w:val="20"/>
        </w:rPr>
        <w:t xml:space="preserve">Fernando Villavicencio y César Montufar en la cual presentan evidencias de las irregularidades en la construcción del </w:t>
      </w:r>
      <w:r w:rsidRPr="001E4CBA">
        <w:rPr>
          <w:rFonts w:ascii="Palatino Linotype" w:hAnsi="Palatino Linotype"/>
          <w:sz w:val="20"/>
          <w:szCs w:val="20"/>
        </w:rPr>
        <w:t xml:space="preserve">de la Primera Línea del Metro </w:t>
      </w:r>
      <w:r>
        <w:rPr>
          <w:rFonts w:ascii="Palatino Linotype" w:hAnsi="Palatino Linotype"/>
          <w:sz w:val="20"/>
          <w:szCs w:val="20"/>
        </w:rPr>
        <w:t xml:space="preserve">y solicita al Alcalde presente una denuncia en representación de la ciudad a fin de que se pueda solicitar la reparación integral por los daños causados. </w:t>
      </w:r>
    </w:p>
    <w:p w:rsidR="0046143B" w:rsidRDefault="0046143B" w:rsidP="0046143B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Concejal </w:t>
      </w:r>
      <w:r w:rsidRPr="001E4CBA">
        <w:rPr>
          <w:rFonts w:ascii="Palatino Linotype" w:hAnsi="Palatino Linotype"/>
          <w:b/>
          <w:sz w:val="20"/>
          <w:szCs w:val="20"/>
        </w:rPr>
        <w:t xml:space="preserve">Fernando Morales: </w:t>
      </w:r>
      <w:r>
        <w:rPr>
          <w:rFonts w:ascii="Palatino Linotype" w:hAnsi="Palatino Linotype"/>
          <w:sz w:val="20"/>
          <w:szCs w:val="20"/>
        </w:rPr>
        <w:t xml:space="preserve">Ratificó su pedido de que los señores Fernando Villavicencio, César Montufar, </w:t>
      </w:r>
      <w:proofErr w:type="spellStart"/>
      <w:r>
        <w:rPr>
          <w:rFonts w:ascii="Palatino Linotype" w:hAnsi="Palatino Linotype"/>
          <w:sz w:val="20"/>
          <w:szCs w:val="20"/>
        </w:rPr>
        <w:t>Andersson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Boscán</w:t>
      </w:r>
      <w:proofErr w:type="spellEnd"/>
      <w:r>
        <w:rPr>
          <w:rFonts w:ascii="Palatino Linotype" w:hAnsi="Palatino Linotype"/>
          <w:sz w:val="20"/>
          <w:szCs w:val="20"/>
        </w:rPr>
        <w:t xml:space="preserve"> y Luis Eduardo Vivanco, comparezcan ante el Concejo General Metropolitano en Comisión General para dar a conocer el objeto de su denuncia ante la Fiscalía General del Estado, en contra de ex autoridades y ex funcionarios municipales, en torno a la construcción de la Primera Línea del Metro.</w:t>
      </w:r>
    </w:p>
    <w:p w:rsidR="0046143B" w:rsidRPr="00A16BD4" w:rsidRDefault="0046143B" w:rsidP="0046143B">
      <w:pPr>
        <w:jc w:val="both"/>
        <w:rPr>
          <w:rFonts w:ascii="Palatino Linotype" w:hAnsi="Palatino Linotype"/>
          <w:sz w:val="20"/>
          <w:szCs w:val="20"/>
        </w:rPr>
      </w:pPr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Concejal Santiago </w:t>
      </w:r>
      <w:proofErr w:type="spellStart"/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>Guarderas</w:t>
      </w:r>
      <w:proofErr w:type="spellEnd"/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 Izquierdo:</w:t>
      </w:r>
      <w:r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 </w:t>
      </w:r>
      <w:r w:rsidRPr="00A16BD4">
        <w:rPr>
          <w:rFonts w:ascii="Palatino Linotype" w:hAnsi="Palatino Linotype"/>
          <w:color w:val="000000"/>
          <w:sz w:val="20"/>
          <w:szCs w:val="20"/>
          <w:lang w:val="es-ES"/>
        </w:rPr>
        <w:t>Presentó como moción</w:t>
      </w:r>
      <w:r>
        <w:rPr>
          <w:rFonts w:ascii="Palatino Linotype" w:hAnsi="Palatino Linotype"/>
          <w:color w:val="000000"/>
          <w:sz w:val="20"/>
          <w:szCs w:val="20"/>
          <w:lang w:val="es-ES"/>
        </w:rPr>
        <w:t xml:space="preserve"> que los señores </w:t>
      </w:r>
      <w:r>
        <w:rPr>
          <w:rFonts w:ascii="Palatino Linotype" w:hAnsi="Palatino Linotype"/>
          <w:sz w:val="20"/>
          <w:szCs w:val="20"/>
        </w:rPr>
        <w:t xml:space="preserve">Fernando Villavicencio, César Montufar, </w:t>
      </w:r>
      <w:proofErr w:type="spellStart"/>
      <w:r>
        <w:rPr>
          <w:rFonts w:ascii="Palatino Linotype" w:hAnsi="Palatino Linotype"/>
          <w:sz w:val="20"/>
          <w:szCs w:val="20"/>
        </w:rPr>
        <w:t>Andersson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Boscán</w:t>
      </w:r>
      <w:proofErr w:type="spellEnd"/>
      <w:r>
        <w:rPr>
          <w:rFonts w:ascii="Palatino Linotype" w:hAnsi="Palatino Linotype"/>
          <w:sz w:val="20"/>
          <w:szCs w:val="20"/>
        </w:rPr>
        <w:t xml:space="preserve"> y Luis Eduardo Vivanco, comparezcan ante el Concejo General Metropolitano en Comisión General para dar a conocer el objeto de su denuncia ante la Fiscalía General del Estado, en contra de ex autoridades y ex funcionarios municipales, en torno a la construcción de la Primera Línea del Metro.</w:t>
      </w:r>
    </w:p>
    <w:p w:rsidR="0046143B" w:rsidRDefault="0046143B" w:rsidP="0046143B">
      <w:pPr>
        <w:jc w:val="both"/>
        <w:rPr>
          <w:rFonts w:ascii="Palatino Linotype" w:hAnsi="Palatino Linotype"/>
          <w:color w:val="000000"/>
          <w:sz w:val="20"/>
          <w:szCs w:val="20"/>
        </w:rPr>
      </w:pPr>
      <w:r w:rsidRPr="00043C4A">
        <w:rPr>
          <w:rFonts w:ascii="Palatino Linotype" w:hAnsi="Palatino Linotype"/>
          <w:color w:val="000000"/>
          <w:sz w:val="20"/>
          <w:szCs w:val="20"/>
        </w:rPr>
        <w:t>Se aprueba</w:t>
      </w:r>
      <w:r>
        <w:rPr>
          <w:rFonts w:ascii="Palatino Linotype" w:hAnsi="Palatino Linotype"/>
          <w:color w:val="000000"/>
          <w:sz w:val="20"/>
          <w:szCs w:val="20"/>
        </w:rPr>
        <w:t>n</w:t>
      </w:r>
      <w:r w:rsidRPr="00043C4A">
        <w:rPr>
          <w:rFonts w:ascii="Palatino Linotype" w:hAnsi="Palatino Linotype"/>
          <w:color w:val="000000"/>
          <w:sz w:val="20"/>
          <w:szCs w:val="20"/>
        </w:rPr>
        <w:t xml:space="preserve"> sin observaciones </w:t>
      </w:r>
      <w:r>
        <w:rPr>
          <w:rFonts w:ascii="Palatino Linotype" w:hAnsi="Palatino Linotype"/>
          <w:color w:val="000000"/>
          <w:sz w:val="20"/>
          <w:szCs w:val="20"/>
          <w:lang w:val="es-ES"/>
        </w:rPr>
        <w:t>la moción</w:t>
      </w:r>
      <w:r w:rsidRPr="00043C4A">
        <w:rPr>
          <w:rFonts w:ascii="Palatino Linotype" w:hAnsi="Palatino Linotype"/>
          <w:color w:val="000000"/>
          <w:sz w:val="20"/>
          <w:szCs w:val="20"/>
        </w:rPr>
        <w:t>, conforme</w:t>
      </w:r>
      <w:r>
        <w:rPr>
          <w:rFonts w:ascii="Palatino Linotype" w:hAnsi="Palatino Linotype"/>
          <w:color w:val="000000"/>
          <w:sz w:val="20"/>
          <w:szCs w:val="20"/>
        </w:rPr>
        <w:t xml:space="preserve"> a</w:t>
      </w:r>
      <w:r w:rsidRPr="00043C4A">
        <w:rPr>
          <w:rFonts w:ascii="Palatino Linotype" w:hAnsi="Palatino Linotype"/>
          <w:color w:val="000000"/>
          <w:sz w:val="20"/>
          <w:szCs w:val="20"/>
        </w:rPr>
        <w:t xml:space="preserve"> la siguiente votación: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1276"/>
        <w:gridCol w:w="1276"/>
        <w:gridCol w:w="1659"/>
      </w:tblGrid>
      <w:tr w:rsidR="0046143B" w:rsidRPr="009D19F6" w:rsidTr="007B5433">
        <w:trPr>
          <w:trHeight w:val="188"/>
          <w:jc w:val="center"/>
        </w:trPr>
        <w:tc>
          <w:tcPr>
            <w:tcW w:w="8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lang w:val="es-ES"/>
              </w:rPr>
              <w:t>REGISTRO DE VOTACIÓN</w:t>
            </w:r>
          </w:p>
        </w:tc>
      </w:tr>
      <w:tr w:rsidR="0046143B" w:rsidRPr="009D19F6" w:rsidTr="007B5433">
        <w:trPr>
          <w:trHeight w:val="3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lang w:val="es-ES"/>
              </w:rPr>
              <w:t>INTEGRANTES  COMISIÓN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sz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lang w:val="es-ES"/>
              </w:rPr>
            </w:pPr>
            <w:r w:rsidRPr="00B855D6">
              <w:rPr>
                <w:rFonts w:ascii="Palatino Linotype" w:hAnsi="Palatino Linotype"/>
                <w:b/>
                <w:color w:val="FFFFFF" w:themeColor="background1"/>
                <w:sz w:val="20"/>
                <w:lang w:val="es-ES"/>
              </w:rPr>
              <w:t>EN CONTRA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color w:val="FFFFFF" w:themeColor="background1"/>
                <w:sz w:val="12"/>
                <w:lang w:val="es-ES"/>
              </w:rPr>
            </w:pPr>
          </w:p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sz w:val="20"/>
                <w:lang w:val="es-ES"/>
              </w:rPr>
              <w:t>AUSENTE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color w:val="FFFFFF" w:themeColor="background1"/>
                <w:sz w:val="12"/>
                <w:lang w:val="es-ES"/>
              </w:rPr>
            </w:pPr>
          </w:p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sz w:val="20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sz w:val="20"/>
                <w:lang w:val="es-ES"/>
              </w:rPr>
              <w:t>BLANCO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6143B" w:rsidRPr="00B855D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color w:val="FFFFFF" w:themeColor="background1"/>
                <w:sz w:val="12"/>
                <w:lang w:val="es-ES"/>
              </w:rPr>
            </w:pPr>
          </w:p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b/>
                <w:i/>
                <w:color w:val="FFFFFF" w:themeColor="background1"/>
                <w:sz w:val="20"/>
                <w:lang w:val="es-ES"/>
              </w:rPr>
            </w:pPr>
            <w:r w:rsidRPr="009D19F6">
              <w:rPr>
                <w:rFonts w:ascii="Palatino Linotype" w:hAnsi="Palatino Linotype"/>
                <w:b/>
                <w:color w:val="FFFFFF" w:themeColor="background1"/>
                <w:sz w:val="20"/>
                <w:lang w:val="es-ES"/>
              </w:rPr>
              <w:t>ABSTENCIÓN</w:t>
            </w:r>
          </w:p>
        </w:tc>
      </w:tr>
      <w:tr w:rsidR="0046143B" w:rsidRPr="009D19F6" w:rsidTr="007B5433">
        <w:trPr>
          <w:trHeight w:val="1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46143B" w:rsidRDefault="0046143B" w:rsidP="007B5433">
            <w:pPr>
              <w:pStyle w:val="Subttulo"/>
              <w:jc w:val="left"/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</w:pPr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Dr. Santiago </w:t>
            </w:r>
            <w:proofErr w:type="spellStart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>Guarderas</w:t>
            </w:r>
            <w:proofErr w:type="spellEnd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000000"/>
                <w:lang w:val="es-ES"/>
              </w:rPr>
            </w:pPr>
            <w:r w:rsidRPr="009D19F6">
              <w:rPr>
                <w:rFonts w:ascii="Palatino Linotype" w:hAnsi="Palatino Linotype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</w:tr>
      <w:tr w:rsidR="0046143B" w:rsidRPr="009D19F6" w:rsidTr="007B5433">
        <w:trPr>
          <w:trHeight w:val="2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46143B" w:rsidRDefault="0046143B" w:rsidP="007B5433">
            <w:pPr>
              <w:pStyle w:val="Subttulo"/>
              <w:jc w:val="left"/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</w:pPr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Sr. Omar Cevallos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000000"/>
                <w:lang w:val="es-ES"/>
              </w:rPr>
            </w:pPr>
            <w:r w:rsidRPr="009D19F6">
              <w:rPr>
                <w:rFonts w:ascii="Palatino Linotype" w:hAnsi="Palatino Linotype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</w:tr>
      <w:tr w:rsidR="0046143B" w:rsidRPr="009D19F6" w:rsidTr="007B5433">
        <w:trPr>
          <w:trHeight w:val="1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46143B" w:rsidRDefault="0046143B" w:rsidP="007B5433">
            <w:pPr>
              <w:pStyle w:val="Subttulo"/>
              <w:jc w:val="left"/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</w:pPr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Abg. Mónica Sandoval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000000"/>
                <w:lang w:val="es-ES"/>
              </w:rPr>
            </w:pPr>
            <w:r w:rsidRPr="009D19F6">
              <w:rPr>
                <w:rFonts w:ascii="Palatino Linotype" w:hAnsi="Palatino Linotype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</w:tr>
      <w:tr w:rsidR="0046143B" w:rsidRPr="009D19F6" w:rsidTr="007B5433">
        <w:trPr>
          <w:trHeight w:val="20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46143B" w:rsidRDefault="0046143B" w:rsidP="007B5433">
            <w:pPr>
              <w:pStyle w:val="Subttulo"/>
              <w:jc w:val="left"/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</w:pPr>
            <w:proofErr w:type="spellStart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>Mgs</w:t>
            </w:r>
            <w:proofErr w:type="spellEnd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. </w:t>
            </w:r>
            <w:proofErr w:type="spellStart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>Analía</w:t>
            </w:r>
            <w:proofErr w:type="spellEnd"/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 xml:space="preserve"> Ledesma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color w:val="000000"/>
                <w:lang w:val="es-ES"/>
              </w:rPr>
            </w:pPr>
            <w:r>
              <w:rPr>
                <w:rFonts w:ascii="Palatino Linotype" w:hAnsi="Palatino Linotype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color w:val="000000"/>
                <w:lang w:val="es-ES"/>
              </w:rPr>
            </w:pPr>
          </w:p>
        </w:tc>
      </w:tr>
      <w:tr w:rsidR="0046143B" w:rsidRPr="009D19F6" w:rsidTr="007B5433">
        <w:trPr>
          <w:trHeight w:val="27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46143B" w:rsidRDefault="0046143B" w:rsidP="007B5433">
            <w:pPr>
              <w:pStyle w:val="Subttulo"/>
              <w:jc w:val="left"/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</w:pPr>
            <w:r w:rsidRPr="0046143B">
              <w:rPr>
                <w:rFonts w:ascii="Palatino Linotype" w:hAnsi="Palatino Linotype"/>
                <w:i w:val="0"/>
                <w:color w:val="000000"/>
                <w:sz w:val="22"/>
                <w:szCs w:val="20"/>
                <w:lang w:val="es-ES"/>
              </w:rPr>
              <w:t>Abg. Eduardo Del Pozo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2245A1" w:rsidRDefault="002245A1" w:rsidP="007B5433">
            <w:pPr>
              <w:pStyle w:val="Sinespaciado"/>
              <w:jc w:val="center"/>
              <w:rPr>
                <w:rFonts w:ascii="Palatino Linotype" w:hAnsi="Palatino Linotype"/>
                <w:color w:val="000000"/>
                <w:lang w:val="es-ES"/>
              </w:rPr>
            </w:pPr>
            <w:r>
              <w:rPr>
                <w:rFonts w:ascii="Palatino Linotype" w:hAnsi="Palatino Linotype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3B" w:rsidRPr="009D19F6" w:rsidRDefault="0046143B" w:rsidP="007B5433">
            <w:pPr>
              <w:pStyle w:val="Sinespaciado"/>
              <w:rPr>
                <w:rFonts w:ascii="Palatino Linotype" w:hAnsi="Palatino Linotype"/>
                <w:i/>
                <w:color w:val="000000"/>
                <w:lang w:val="es-ES"/>
              </w:rPr>
            </w:pPr>
          </w:p>
        </w:tc>
      </w:tr>
      <w:tr w:rsidR="0046143B" w:rsidRPr="009D19F6" w:rsidTr="007B5433">
        <w:trPr>
          <w:trHeight w:val="1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 w:cs="Tahoma"/>
                <w:color w:val="FFFFFF" w:themeColor="background1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>
              <w:rPr>
                <w:rFonts w:ascii="Palatino Linotype" w:hAnsi="Palatino Linotype"/>
                <w:color w:val="FFFFFF" w:themeColor="background1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color w:val="FFFFFF" w:themeColor="background1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>
              <w:rPr>
                <w:rFonts w:ascii="Palatino Linotype" w:hAnsi="Palatino Linotype"/>
                <w:color w:val="FFFFFF" w:themeColor="background1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 w:rsidRPr="009D19F6">
              <w:rPr>
                <w:rFonts w:ascii="Palatino Linotype" w:hAnsi="Palatino Linotype"/>
                <w:color w:val="FFFFFF" w:themeColor="background1"/>
                <w:lang w:val="es-ES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6143B" w:rsidRPr="009D19F6" w:rsidRDefault="0046143B" w:rsidP="007B5433">
            <w:pPr>
              <w:pStyle w:val="Sinespaciado"/>
              <w:jc w:val="center"/>
              <w:rPr>
                <w:rFonts w:ascii="Palatino Linotype" w:hAnsi="Palatino Linotype"/>
                <w:i/>
                <w:color w:val="FFFFFF" w:themeColor="background1"/>
                <w:lang w:val="es-ES"/>
              </w:rPr>
            </w:pPr>
            <w:r>
              <w:rPr>
                <w:rFonts w:ascii="Palatino Linotype" w:hAnsi="Palatino Linotype"/>
                <w:color w:val="FFFFFF" w:themeColor="background1"/>
                <w:lang w:val="es-ES"/>
              </w:rPr>
              <w:t>0</w:t>
            </w:r>
          </w:p>
        </w:tc>
      </w:tr>
    </w:tbl>
    <w:p w:rsidR="0046143B" w:rsidRDefault="0046143B" w:rsidP="0046143B">
      <w:pPr>
        <w:pStyle w:val="Prrafodelista"/>
        <w:spacing w:line="240" w:lineRule="auto"/>
        <w:ind w:left="360"/>
        <w:rPr>
          <w:rFonts w:ascii="Palatino Linotype" w:hAnsi="Palatino Linotype"/>
          <w:b/>
          <w:sz w:val="20"/>
          <w:szCs w:val="20"/>
        </w:rPr>
      </w:pPr>
    </w:p>
    <w:p w:rsidR="0046143B" w:rsidRDefault="0046143B" w:rsidP="0046143B">
      <w:pPr>
        <w:pStyle w:val="Prrafodelista"/>
        <w:numPr>
          <w:ilvl w:val="0"/>
          <w:numId w:val="2"/>
        </w:numPr>
        <w:spacing w:line="276" w:lineRule="auto"/>
        <w:rPr>
          <w:rFonts w:ascii="Palatino Linotype" w:hAnsi="Palatino Linotype"/>
          <w:b/>
          <w:sz w:val="20"/>
          <w:szCs w:val="20"/>
        </w:rPr>
      </w:pPr>
      <w:r w:rsidRPr="00416F1D">
        <w:rPr>
          <w:rFonts w:ascii="Palatino Linotype" w:hAnsi="Palatino Linotype"/>
          <w:b/>
          <w:sz w:val="20"/>
          <w:szCs w:val="20"/>
        </w:rPr>
        <w:t xml:space="preserve">INFORME DEL ABG. DANY GAIBOR, DIRECTOR </w:t>
      </w:r>
      <w:r>
        <w:rPr>
          <w:rFonts w:ascii="Palatino Linotype" w:hAnsi="Palatino Linotype"/>
          <w:b/>
          <w:sz w:val="20"/>
          <w:szCs w:val="20"/>
        </w:rPr>
        <w:t xml:space="preserve">GENERAL </w:t>
      </w:r>
      <w:r w:rsidRPr="00416F1D">
        <w:rPr>
          <w:rFonts w:ascii="Palatino Linotype" w:hAnsi="Palatino Linotype"/>
          <w:b/>
          <w:sz w:val="20"/>
          <w:szCs w:val="20"/>
        </w:rPr>
        <w:t xml:space="preserve">DE LA AGENCIA METROPOLITANA DE CONTROL DE TRANSPORTE TERRESTRE, TRÁNSITO Y SEGURIDAD VIAL, SOBRE LA PRESTACIÓN DEL SERVICIO PÚBLICO DE </w:t>
      </w:r>
      <w:bookmarkStart w:id="0" w:name="_GoBack"/>
      <w:bookmarkEnd w:id="0"/>
      <w:r w:rsidRPr="00416F1D">
        <w:rPr>
          <w:rFonts w:ascii="Palatino Linotype" w:hAnsi="Palatino Linotype"/>
          <w:b/>
          <w:sz w:val="20"/>
          <w:szCs w:val="20"/>
        </w:rPr>
        <w:t>REVISIÓN TÉCNICA VEHICULAR EN EL DISTRITO METROPOLITANO DE QUITO; Y, RESOLUCIÓN AL RESPECTO.</w:t>
      </w:r>
    </w:p>
    <w:p w:rsidR="0046143B" w:rsidRPr="00B855D6" w:rsidRDefault="0046143B" w:rsidP="0046143B">
      <w:pPr>
        <w:pStyle w:val="Prrafodelista"/>
        <w:spacing w:line="240" w:lineRule="auto"/>
        <w:rPr>
          <w:rFonts w:ascii="Palatino Linotype" w:hAnsi="Palatino Linotype"/>
          <w:b/>
          <w:sz w:val="12"/>
          <w:szCs w:val="20"/>
        </w:rPr>
      </w:pPr>
    </w:p>
    <w:p w:rsidR="0046143B" w:rsidRPr="00416F1D" w:rsidRDefault="0046143B" w:rsidP="0046143B">
      <w:pPr>
        <w:pStyle w:val="Prrafodelista"/>
        <w:spacing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(Se adjunta presentación como anexo 1.)</w:t>
      </w:r>
    </w:p>
    <w:p w:rsidR="0046143B" w:rsidRPr="00B855D6" w:rsidRDefault="0046143B" w:rsidP="0046143B">
      <w:pPr>
        <w:pStyle w:val="Prrafodelista"/>
        <w:spacing w:line="240" w:lineRule="auto"/>
        <w:rPr>
          <w:rFonts w:ascii="Palatino Linotype" w:hAnsi="Palatino Linotype"/>
          <w:b/>
          <w:color w:val="000000"/>
          <w:sz w:val="14"/>
          <w:szCs w:val="20"/>
          <w:shd w:val="clear" w:color="auto" w:fill="FFFFFF"/>
        </w:rPr>
      </w:pPr>
    </w:p>
    <w:p w:rsidR="0046143B" w:rsidRPr="00416F1D" w:rsidRDefault="0046143B" w:rsidP="0046143B">
      <w:pPr>
        <w:pStyle w:val="Prrafodelista"/>
        <w:spacing w:line="240" w:lineRule="auto"/>
        <w:ind w:left="0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416F1D">
        <w:rPr>
          <w:rFonts w:ascii="Palatino Linotype" w:eastAsia="MS Mincho" w:hAnsi="Palatino Linotype"/>
          <w:b/>
          <w:sz w:val="20"/>
          <w:szCs w:val="20"/>
        </w:rPr>
        <w:t xml:space="preserve">Abg. Dany </w:t>
      </w:r>
      <w:proofErr w:type="spellStart"/>
      <w:r w:rsidRPr="00416F1D">
        <w:rPr>
          <w:rFonts w:ascii="Palatino Linotype" w:eastAsia="MS Mincho" w:hAnsi="Palatino Linotype"/>
          <w:b/>
          <w:sz w:val="20"/>
          <w:szCs w:val="20"/>
        </w:rPr>
        <w:t>Gaibor</w:t>
      </w:r>
      <w:proofErr w:type="spellEnd"/>
      <w:r w:rsidRPr="00416F1D">
        <w:rPr>
          <w:rFonts w:ascii="Palatino Linotype" w:eastAsia="MS Mincho" w:hAnsi="Palatino Linotype"/>
          <w:b/>
          <w:sz w:val="20"/>
          <w:szCs w:val="20"/>
        </w:rPr>
        <w:t>, Director</w:t>
      </w:r>
      <w:r>
        <w:rPr>
          <w:rFonts w:ascii="Palatino Linotype" w:eastAsia="MS Mincho" w:hAnsi="Palatino Linotype"/>
          <w:b/>
          <w:sz w:val="20"/>
          <w:szCs w:val="20"/>
        </w:rPr>
        <w:t xml:space="preserve"> General</w:t>
      </w:r>
      <w:r w:rsidRPr="00416F1D">
        <w:rPr>
          <w:rFonts w:ascii="Palatino Linotype" w:eastAsia="MS Mincho" w:hAnsi="Palatino Linotype"/>
          <w:b/>
          <w:sz w:val="20"/>
          <w:szCs w:val="20"/>
        </w:rPr>
        <w:t xml:space="preserve"> de la Agencia Metropolitana de Control de Transporte Terrestre, Tránsito y Seguridad Vial</w:t>
      </w:r>
      <w:r>
        <w:rPr>
          <w:rFonts w:ascii="Palatino Linotype" w:eastAsia="MS Mincho" w:hAnsi="Palatino Linotype"/>
          <w:b/>
          <w:sz w:val="20"/>
          <w:szCs w:val="20"/>
        </w:rPr>
        <w:t xml:space="preserve">: </w:t>
      </w:r>
      <w:r>
        <w:rPr>
          <w:rFonts w:ascii="Palatino Linotype" w:eastAsia="MS Mincho" w:hAnsi="Palatino Linotype"/>
          <w:sz w:val="20"/>
          <w:szCs w:val="20"/>
        </w:rPr>
        <w:t xml:space="preserve">Expuso la problemática al respecto en cuanto a la falta de normativa para la regulación de la Revisión Técnica Vehicular, especialmente en referencia a la competencia para el respectivo proceso. </w:t>
      </w:r>
    </w:p>
    <w:p w:rsidR="0046143B" w:rsidRPr="00416F1D" w:rsidRDefault="0046143B" w:rsidP="0046143B">
      <w:p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lastRenderedPageBreak/>
        <w:t xml:space="preserve">Abg. Mónica Sandoval, concejal: </w:t>
      </w:r>
      <w:r>
        <w:rPr>
          <w:rFonts w:ascii="Palatino Linotype" w:hAnsi="Palatino Linotype"/>
          <w:color w:val="000000"/>
          <w:sz w:val="20"/>
          <w:szCs w:val="20"/>
        </w:rPr>
        <w:t>Explicó que la potestad de remitir la competencia radica en la Secretaría de Movilidad, en virtud de que la Agencia Metropolitana de Tránsito es una en entidad adscrita a la misma.</w:t>
      </w:r>
    </w:p>
    <w:p w:rsidR="0046143B" w:rsidRPr="00674884" w:rsidRDefault="0046143B" w:rsidP="0046143B">
      <w:pPr>
        <w:jc w:val="both"/>
        <w:rPr>
          <w:rFonts w:ascii="Palatino Linotype" w:hAnsi="Palatino Linotype"/>
          <w:sz w:val="20"/>
          <w:szCs w:val="20"/>
        </w:rPr>
      </w:pPr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Concejal Santiago </w:t>
      </w:r>
      <w:proofErr w:type="spellStart"/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>Guarderas</w:t>
      </w:r>
      <w:proofErr w:type="spellEnd"/>
      <w:r w:rsidRPr="00220676"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 Izquierdo</w:t>
      </w:r>
      <w:r>
        <w:rPr>
          <w:rFonts w:ascii="Palatino Linotype" w:hAnsi="Palatino Linotype"/>
          <w:b/>
          <w:color w:val="000000"/>
          <w:sz w:val="20"/>
          <w:szCs w:val="20"/>
          <w:lang w:val="es-ES"/>
        </w:rPr>
        <w:t xml:space="preserve">: </w:t>
      </w:r>
      <w:r>
        <w:rPr>
          <w:rFonts w:ascii="Palatino Linotype" w:hAnsi="Palatino Linotype"/>
          <w:color w:val="000000"/>
          <w:sz w:val="20"/>
          <w:szCs w:val="20"/>
          <w:lang w:val="es-ES"/>
        </w:rPr>
        <w:t xml:space="preserve">Da por conocido el tema y se da por terminada la sesión. </w:t>
      </w: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pStyle w:val="Sinespaciado"/>
        <w:jc w:val="both"/>
        <w:rPr>
          <w:rFonts w:ascii="Palatino Linotype" w:hAnsi="Palatino Linotype" w:cs="Tahoma"/>
          <w:sz w:val="20"/>
          <w:szCs w:val="20"/>
        </w:rPr>
      </w:pPr>
      <w:r w:rsidRPr="00220676">
        <w:rPr>
          <w:rFonts w:ascii="Palatino Linotype" w:hAnsi="Palatino Linotype" w:cs="Tahoma"/>
          <w:sz w:val="20"/>
          <w:szCs w:val="20"/>
        </w:rPr>
        <w:t xml:space="preserve">Dr. Santiago </w:t>
      </w:r>
      <w:proofErr w:type="spellStart"/>
      <w:r w:rsidRPr="00220676">
        <w:rPr>
          <w:rFonts w:ascii="Palatino Linotype" w:hAnsi="Palatino Linotype" w:cs="Tahoma"/>
          <w:sz w:val="20"/>
          <w:szCs w:val="20"/>
        </w:rPr>
        <w:t>Guarderas</w:t>
      </w:r>
      <w:proofErr w:type="spellEnd"/>
      <w:r w:rsidRPr="00220676"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>Izquierdo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 xml:space="preserve">  </w:t>
      </w:r>
      <w:r w:rsidRPr="00220676">
        <w:rPr>
          <w:rFonts w:ascii="Palatino Linotype" w:hAnsi="Palatino Linotype" w:cs="Tahoma"/>
          <w:sz w:val="20"/>
          <w:szCs w:val="20"/>
        </w:rPr>
        <w:t>Ab</w:t>
      </w:r>
      <w:r>
        <w:rPr>
          <w:rFonts w:ascii="Palatino Linotype" w:hAnsi="Palatino Linotype" w:cs="Tahoma"/>
          <w:sz w:val="20"/>
          <w:szCs w:val="20"/>
        </w:rPr>
        <w:t>g</w:t>
      </w:r>
      <w:r w:rsidRPr="00220676">
        <w:rPr>
          <w:rFonts w:ascii="Palatino Linotype" w:hAnsi="Palatino Linotype" w:cs="Tahoma"/>
          <w:sz w:val="20"/>
          <w:szCs w:val="20"/>
        </w:rPr>
        <w:t xml:space="preserve">. Carlos </w:t>
      </w:r>
      <w:proofErr w:type="spellStart"/>
      <w:r w:rsidRPr="00220676">
        <w:rPr>
          <w:rFonts w:ascii="Palatino Linotype" w:hAnsi="Palatino Linotype" w:cs="Tahoma"/>
          <w:sz w:val="20"/>
          <w:szCs w:val="20"/>
        </w:rPr>
        <w:t>Alomoto</w:t>
      </w:r>
      <w:proofErr w:type="spellEnd"/>
      <w:r w:rsidRPr="00220676">
        <w:rPr>
          <w:rFonts w:ascii="Palatino Linotype" w:hAnsi="Palatino Linotype" w:cs="Tahoma"/>
          <w:sz w:val="20"/>
          <w:szCs w:val="20"/>
        </w:rPr>
        <w:t xml:space="preserve"> Rosales</w:t>
      </w:r>
    </w:p>
    <w:p w:rsidR="0046143B" w:rsidRPr="00220676" w:rsidRDefault="0046143B" w:rsidP="0046143B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 w:rsidRPr="00220676">
        <w:rPr>
          <w:rFonts w:ascii="Palatino Linotype" w:hAnsi="Palatino Linotype" w:cs="Tahoma"/>
          <w:b/>
          <w:sz w:val="20"/>
          <w:szCs w:val="20"/>
        </w:rPr>
        <w:t xml:space="preserve">PRESIDENTE DE LA COMISIÓN </w:t>
      </w:r>
      <w:r w:rsidRPr="00220676">
        <w:rPr>
          <w:rFonts w:ascii="Palatino Linotype" w:hAnsi="Palatino Linotype" w:cs="Tahoma"/>
          <w:b/>
          <w:sz w:val="20"/>
          <w:szCs w:val="20"/>
        </w:rPr>
        <w:tab/>
      </w:r>
      <w:r w:rsidRPr="00220676">
        <w:rPr>
          <w:rFonts w:ascii="Palatino Linotype" w:hAnsi="Palatino Linotype" w:cs="Tahoma"/>
          <w:b/>
          <w:sz w:val="20"/>
          <w:szCs w:val="20"/>
        </w:rPr>
        <w:tab/>
      </w:r>
      <w:r w:rsidRPr="00220676">
        <w:rPr>
          <w:rFonts w:ascii="Palatino Linotype" w:hAnsi="Palatino Linotype" w:cs="Tahoma"/>
          <w:b/>
          <w:sz w:val="20"/>
          <w:szCs w:val="20"/>
        </w:rPr>
        <w:tab/>
        <w:t>SECRETARIO GENERAL DEL</w:t>
      </w:r>
    </w:p>
    <w:p w:rsidR="0046143B" w:rsidRPr="00220676" w:rsidRDefault="0046143B" w:rsidP="0046143B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            </w:t>
      </w:r>
      <w:r w:rsidRPr="00220676">
        <w:rPr>
          <w:rFonts w:ascii="Palatino Linotype" w:hAnsi="Palatino Linotype" w:cs="Tahoma"/>
          <w:b/>
          <w:sz w:val="20"/>
          <w:szCs w:val="20"/>
        </w:rPr>
        <w:t xml:space="preserve">DE MOVILIDAD                                       </w:t>
      </w:r>
      <w:r w:rsidRPr="00220676">
        <w:rPr>
          <w:rFonts w:ascii="Palatino Linotype" w:hAnsi="Palatino Linotype" w:cs="Tahoma"/>
          <w:b/>
          <w:sz w:val="20"/>
          <w:szCs w:val="20"/>
        </w:rPr>
        <w:tab/>
      </w:r>
      <w:r w:rsidRPr="00220676">
        <w:rPr>
          <w:rFonts w:ascii="Palatino Linotype" w:hAnsi="Palatino Linotype" w:cs="Tahoma"/>
          <w:b/>
          <w:sz w:val="20"/>
          <w:szCs w:val="20"/>
        </w:rPr>
        <w:tab/>
        <w:t>CONCEJO METROPOLITANO</w:t>
      </w: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tbl>
      <w:tblPr>
        <w:tblpPr w:leftFromText="141" w:rightFromText="141" w:vertAnchor="text" w:horzAnchor="margin" w:tblpY="239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1967"/>
        <w:gridCol w:w="1957"/>
      </w:tblGrid>
      <w:tr w:rsidR="0046143B" w:rsidRPr="00220676" w:rsidTr="007B5433">
        <w:trPr>
          <w:trHeight w:val="257"/>
        </w:trPr>
        <w:tc>
          <w:tcPr>
            <w:tcW w:w="8557" w:type="dxa"/>
            <w:gridSpan w:val="3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REGISTRO DE ASISTENCIA - RESUMEN DE  SESIÓN</w:t>
            </w:r>
          </w:p>
        </w:tc>
      </w:tr>
      <w:tr w:rsidR="0046143B" w:rsidRPr="00220676" w:rsidTr="007B5433">
        <w:trPr>
          <w:trHeight w:val="257"/>
        </w:trPr>
        <w:tc>
          <w:tcPr>
            <w:tcW w:w="4633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967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1957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 xml:space="preserve">AUSENTE </w:t>
            </w:r>
          </w:p>
        </w:tc>
      </w:tr>
      <w:tr w:rsidR="0046143B" w:rsidRPr="00220676" w:rsidTr="007B5433">
        <w:trPr>
          <w:trHeight w:val="244"/>
        </w:trPr>
        <w:tc>
          <w:tcPr>
            <w:tcW w:w="4633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Dr. Santiago </w:t>
            </w:r>
            <w:proofErr w:type="spellStart"/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Guarderas</w:t>
            </w:r>
            <w:proofErr w:type="spellEnd"/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Izquierdo. </w:t>
            </w:r>
          </w:p>
        </w:tc>
        <w:tc>
          <w:tcPr>
            <w:tcW w:w="196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57"/>
        </w:trPr>
        <w:tc>
          <w:tcPr>
            <w:tcW w:w="4633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Sr. Omar Cevallos Patiño</w:t>
            </w:r>
          </w:p>
        </w:tc>
        <w:tc>
          <w:tcPr>
            <w:tcW w:w="196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57"/>
        </w:trPr>
        <w:tc>
          <w:tcPr>
            <w:tcW w:w="4633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Abg. Mónica Sandoval </w:t>
            </w: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Campoverde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44"/>
        </w:trPr>
        <w:tc>
          <w:tcPr>
            <w:tcW w:w="4633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Mgs</w:t>
            </w:r>
            <w:proofErr w:type="spellEnd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Analía</w:t>
            </w:r>
            <w:proofErr w:type="spellEnd"/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Ledesma</w:t>
            </w:r>
            <w:r w:rsidR="006A0838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García</w:t>
            </w:r>
          </w:p>
        </w:tc>
        <w:tc>
          <w:tcPr>
            <w:tcW w:w="196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57"/>
        </w:trPr>
        <w:tc>
          <w:tcPr>
            <w:tcW w:w="4633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  <w:r w:rsidR="006A0838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 xml:space="preserve"> Fierro</w:t>
            </w:r>
          </w:p>
        </w:tc>
        <w:tc>
          <w:tcPr>
            <w:tcW w:w="196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6143B" w:rsidRPr="00220676" w:rsidTr="007B5433">
        <w:trPr>
          <w:trHeight w:val="257"/>
        </w:trPr>
        <w:tc>
          <w:tcPr>
            <w:tcW w:w="4633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220676">
              <w:rPr>
                <w:rFonts w:ascii="Palatino Linotype" w:hAnsi="Palatino Linotype" w:cs="Tahoma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967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957" w:type="dxa"/>
            <w:shd w:val="clear" w:color="auto" w:fill="0070C0"/>
          </w:tcPr>
          <w:p w:rsidR="0046143B" w:rsidRPr="00220676" w:rsidRDefault="0046143B" w:rsidP="007B543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46143B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1442"/>
        <w:gridCol w:w="1032"/>
        <w:gridCol w:w="1247"/>
        <w:gridCol w:w="850"/>
      </w:tblGrid>
      <w:tr w:rsidR="0046143B" w:rsidRPr="00225133" w:rsidTr="0046143B">
        <w:trPr>
          <w:trHeight w:val="26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Unidad: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Sumilla:</w:t>
            </w:r>
          </w:p>
        </w:tc>
      </w:tr>
      <w:tr w:rsidR="0046143B" w:rsidRPr="00225133" w:rsidTr="0046143B">
        <w:trPr>
          <w:trHeight w:val="18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Elaborado: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6A0838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Nelson Calderón</w:t>
            </w:r>
            <w:r w:rsidR="0046143B" w:rsidRPr="00E16E7A">
              <w:rPr>
                <w:rFonts w:ascii="Palatino Linotype" w:hAnsi="Palatino Linotype" w:cs="Tahoma"/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sz w:val="16"/>
                <w:szCs w:val="16"/>
              </w:rPr>
              <w:t>SC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2019-08-01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  <w:tr w:rsidR="0046143B" w:rsidRPr="00225133" w:rsidTr="0046143B">
        <w:trPr>
          <w:trHeight w:val="9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Revisado: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Adrián</w:t>
            </w:r>
            <w:r w:rsidRPr="00E16E7A">
              <w:rPr>
                <w:rFonts w:ascii="Palatino Linotype" w:hAnsi="Palatino Linotype" w:cs="Tahoma"/>
                <w:sz w:val="16"/>
                <w:szCs w:val="16"/>
              </w:rPr>
              <w:t xml:space="preserve"> </w:t>
            </w:r>
            <w:proofErr w:type="spellStart"/>
            <w:r w:rsidRPr="00E16E7A">
              <w:rPr>
                <w:rFonts w:ascii="Palatino Linotype" w:hAnsi="Palatino Linotype" w:cs="Tahoma"/>
                <w:sz w:val="16"/>
                <w:szCs w:val="16"/>
              </w:rPr>
              <w:t>Racines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sz w:val="16"/>
                <w:szCs w:val="16"/>
              </w:rPr>
              <w:t>CGC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2019-08-01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  <w:tr w:rsidR="0046143B" w:rsidRPr="00225133" w:rsidTr="0046143B">
        <w:trPr>
          <w:trHeight w:val="7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b/>
                <w:sz w:val="16"/>
                <w:szCs w:val="16"/>
              </w:rPr>
              <w:t>Revisado::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6A0838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Damaris Ortiz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6A0838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E16E7A">
              <w:rPr>
                <w:rFonts w:ascii="Palatino Linotype" w:hAnsi="Palatino Linotype" w:cs="Tahoma"/>
                <w:sz w:val="16"/>
                <w:szCs w:val="16"/>
              </w:rPr>
              <w:t>P</w:t>
            </w:r>
            <w:r>
              <w:rPr>
                <w:rFonts w:ascii="Palatino Linotype" w:hAnsi="Palatino Linotype" w:cs="Tahoma"/>
                <w:sz w:val="16"/>
                <w:szCs w:val="16"/>
              </w:rPr>
              <w:t>S</w:t>
            </w:r>
            <w:r w:rsidRPr="00E16E7A">
              <w:rPr>
                <w:rFonts w:ascii="Palatino Linotype" w:hAnsi="Palatino Linotype" w:cs="Tahoma"/>
                <w:sz w:val="16"/>
                <w:szCs w:val="16"/>
              </w:rPr>
              <w:t xml:space="preserve">GC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2019-08-01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3B" w:rsidRPr="00E16E7A" w:rsidRDefault="0046143B" w:rsidP="007B5433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</w:tbl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5133" w:rsidRDefault="0046143B" w:rsidP="0046143B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225133">
        <w:rPr>
          <w:rFonts w:ascii="Palatino Linotype" w:hAnsi="Palatino Linotype"/>
          <w:sz w:val="16"/>
          <w:szCs w:val="16"/>
        </w:rPr>
        <w:t>Ejemplar 1: Archivo de Secretaría de Concejo</w:t>
      </w:r>
    </w:p>
    <w:p w:rsidR="0046143B" w:rsidRDefault="0046143B" w:rsidP="0046143B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Ejemplar 2</w:t>
      </w:r>
      <w:r w:rsidRPr="00225133">
        <w:rPr>
          <w:rFonts w:ascii="Palatino Linotype" w:hAnsi="Palatino Linotype"/>
          <w:sz w:val="16"/>
          <w:szCs w:val="16"/>
        </w:rPr>
        <w:t xml:space="preserve">: </w:t>
      </w:r>
      <w:r>
        <w:rPr>
          <w:rFonts w:ascii="Palatino Linotype" w:hAnsi="Palatino Linotype"/>
          <w:sz w:val="16"/>
          <w:szCs w:val="16"/>
        </w:rPr>
        <w:t>Secretaria Comisión de Movilidad</w:t>
      </w: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Pr="00220676" w:rsidRDefault="0046143B" w:rsidP="0046143B">
      <w:pPr>
        <w:spacing w:after="0"/>
        <w:jc w:val="both"/>
        <w:rPr>
          <w:rFonts w:ascii="Palatino Linotype" w:hAnsi="Palatino Linotype" w:cs="Tahoma"/>
          <w:sz w:val="20"/>
          <w:szCs w:val="20"/>
        </w:rPr>
      </w:pPr>
    </w:p>
    <w:p w:rsidR="0046143B" w:rsidRDefault="0046143B" w:rsidP="0046143B"/>
    <w:p w:rsidR="00083B28" w:rsidRDefault="002245A1"/>
    <w:sectPr w:rsidR="00083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0DCA"/>
    <w:multiLevelType w:val="hybridMultilevel"/>
    <w:tmpl w:val="402C58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17E5"/>
    <w:multiLevelType w:val="hybridMultilevel"/>
    <w:tmpl w:val="C7DCBE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3B"/>
    <w:rsid w:val="000B1D02"/>
    <w:rsid w:val="002245A1"/>
    <w:rsid w:val="0046143B"/>
    <w:rsid w:val="006A0838"/>
    <w:rsid w:val="00B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EDFD-7FAA-4AD0-B31F-45029CE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3B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143B"/>
    <w:pPr>
      <w:spacing w:after="0" w:line="240" w:lineRule="auto"/>
    </w:pPr>
    <w:rPr>
      <w:rFonts w:ascii="Calibri" w:eastAsia="MS Mincho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4614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143B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46143B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46143B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46143B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614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14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143B"/>
    <w:rPr>
      <w:rFonts w:ascii="Calibri" w:eastAsia="MS Mincho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43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Secretaria de Concejo</cp:lastModifiedBy>
  <cp:revision>4</cp:revision>
  <cp:lastPrinted>2019-08-06T18:04:00Z</cp:lastPrinted>
  <dcterms:created xsi:type="dcterms:W3CDTF">2019-08-06T17:58:00Z</dcterms:created>
  <dcterms:modified xsi:type="dcterms:W3CDTF">2019-08-16T17:13:00Z</dcterms:modified>
</cp:coreProperties>
</file>