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11" w:rsidRPr="00063E62" w:rsidRDefault="00411211" w:rsidP="004929F3">
      <w:pPr>
        <w:jc w:val="center"/>
        <w:rPr>
          <w:rFonts w:ascii="Bookman Old Style" w:hAnsi="Bookman Old Style"/>
          <w:b/>
          <w:sz w:val="24"/>
          <w:szCs w:val="24"/>
        </w:rPr>
      </w:pPr>
      <w:r w:rsidRPr="00063E62">
        <w:rPr>
          <w:rFonts w:ascii="Bookman Old Style" w:hAnsi="Bookman Old Style"/>
          <w:b/>
          <w:sz w:val="24"/>
          <w:szCs w:val="24"/>
        </w:rPr>
        <w:t>EL CONCEJO METROPOLITANO DE QUITO</w:t>
      </w:r>
    </w:p>
    <w:p w:rsidR="00411211" w:rsidRPr="00C36BB3" w:rsidRDefault="00411211" w:rsidP="004929F3">
      <w:pPr>
        <w:jc w:val="center"/>
        <w:rPr>
          <w:rFonts w:ascii="Bookman Old Style" w:hAnsi="Bookman Old Style"/>
          <w:sz w:val="24"/>
          <w:szCs w:val="24"/>
        </w:rPr>
      </w:pPr>
    </w:p>
    <w:p w:rsidR="00411211" w:rsidRPr="00063E62" w:rsidRDefault="00411211" w:rsidP="004929F3">
      <w:pPr>
        <w:jc w:val="center"/>
        <w:rPr>
          <w:rFonts w:ascii="Bookman Old Style" w:hAnsi="Bookman Old Style"/>
          <w:b/>
          <w:sz w:val="24"/>
          <w:szCs w:val="24"/>
        </w:rPr>
      </w:pPr>
      <w:r w:rsidRPr="00063E62">
        <w:rPr>
          <w:rFonts w:ascii="Bookman Old Style" w:hAnsi="Bookman Old Style"/>
          <w:b/>
          <w:sz w:val="24"/>
          <w:szCs w:val="24"/>
        </w:rPr>
        <w:t>EXPOSICIÓN DE MOTIVOS</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“Las personas lesbianas, gais, bisexuales, </w:t>
      </w:r>
      <w:proofErr w:type="spellStart"/>
      <w:r w:rsidRPr="0007467D">
        <w:rPr>
          <w:rFonts w:ascii="Bookman Old Style" w:hAnsi="Bookman Old Style"/>
          <w:sz w:val="24"/>
          <w:szCs w:val="24"/>
        </w:rPr>
        <w:t>transgénero</w:t>
      </w:r>
      <w:proofErr w:type="spellEnd"/>
      <w:r w:rsidRPr="0007467D">
        <w:rPr>
          <w:rFonts w:ascii="Bookman Old Style" w:hAnsi="Bookman Old Style"/>
          <w:sz w:val="24"/>
          <w:szCs w:val="24"/>
        </w:rPr>
        <w:t>, intersexuales y con orientación sexual, identidad y expresión de género y características sexuales diversas (LGBTIQ+) pueden sufrir discriminación, persecución</w:t>
      </w:r>
      <w:r>
        <w:rPr>
          <w:rFonts w:ascii="Bookman Old Style" w:hAnsi="Bookman Old Style"/>
          <w:sz w:val="24"/>
          <w:szCs w:val="24"/>
        </w:rPr>
        <w:t xml:space="preserve"> y violencia en todas sus actividades cotidianas.</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Varios son los países en que las relaciones entre personas del mismo sexo están criminalizadas, incluso castigadas con la muerte. Muchas personas LGBTIQ+ no tienen más remedio que buscar protección en otro lugar. Pero incluso en los países de asilo pueden enfrentar el estigma y el abuso.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En Ecuador, una de las principales fechas para el movimiento LGBTIQ+ es el 28 de junio de 1969, en la cual se reafirma el sentimiento de orgullo sobre las identidades y orientaciones sexuales y de género tradicionalmente marginadas y reprimidas, y para visibilizar su presencia en la sociedad.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En la Constitución de 1998, artículo 23, numeral 3, se logró definir que “todas las personas serán consideradas iguales y gozarán de los mismos derechos, libertades y oportunidades, sin discriminación en razón de nacimiento, edad, sexo, etnia, color, origen social, idioma, religión, filiación política, posición económica, orientación sexual”. Para el año 2008, la Constitución de la República del Ecuador plasmó en el artículo 11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Por otro lado, el artículo 66 “reconoce y garantiza a las personas el derecho a la inviolabilidad de la vida, no habrá pena de muerte. El derecho a la integridad personal que incluye integridad física, psíquica, moral y sexual”. Y el artículo 67 reconoce la familia en sus diversos tipos.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Para el movimiento LGBTIQ+ es esencial haber conseguido en el año 2014 en el Código Orgánico Integral Penal (COIP) la tipificación de la discriminación como delito y que los actos de odio (artículo 177) puedan tener una sanción “con pena privativa de libertad de uno a tres años” (COIP 2014): “Artículo 176. Discriminación. La persona que salvo los casos previstos como políticas de acción afirmativa propague practique o incite a toda distinción, restricción, exclusión o preferencia en razón de nacionalidad, etnia, lugar de nacimiento, edad, sexo, identidad de género u </w:t>
      </w:r>
      <w:r w:rsidRPr="0007467D">
        <w:rPr>
          <w:rFonts w:ascii="Bookman Old Style" w:hAnsi="Bookman Old Style"/>
          <w:sz w:val="24"/>
          <w:szCs w:val="24"/>
        </w:rPr>
        <w:lastRenderedPageBreak/>
        <w:t xml:space="preserve">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 (Código Orgánico Integral Penal – COIP, 2014).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Otro elemento central para la población </w:t>
      </w:r>
      <w:proofErr w:type="spellStart"/>
      <w:r w:rsidRPr="0007467D">
        <w:rPr>
          <w:rFonts w:ascii="Bookman Old Style" w:hAnsi="Bookman Old Style"/>
          <w:sz w:val="24"/>
          <w:szCs w:val="24"/>
        </w:rPr>
        <w:t>transgénero</w:t>
      </w:r>
      <w:proofErr w:type="spellEnd"/>
      <w:r w:rsidRPr="0007467D">
        <w:rPr>
          <w:rFonts w:ascii="Bookman Old Style" w:hAnsi="Bookman Old Style"/>
          <w:sz w:val="24"/>
          <w:szCs w:val="24"/>
        </w:rPr>
        <w:t xml:space="preserve"> e intersexual es que en el año 2016 se aprobó la “Ley Orgánica de Gestión de la Identidad y Datos Civiles” que a través del artículo 78 posibilita el cambio de nombres y del artículo 94 “voluntariamente al cumplir la mayoría de edad y por una sola vez, la persona por autodeterminación podrá sustituir el campo sexo por el de género que puede ser masculino o femenino” (2016).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Recientemente, mediante sentencia Nro. 11-18-CN/19 del 12 de junio de 2019, la Corte Constitucional dio paso al matrimonio entre personas del mismo sexo.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El título VIII del Código Municipal instaura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w:t>
      </w:r>
      <w:proofErr w:type="spellStart"/>
      <w:r w:rsidRPr="0007467D">
        <w:rPr>
          <w:rFonts w:ascii="Bookman Old Style" w:hAnsi="Bookman Old Style"/>
          <w:sz w:val="24"/>
          <w:szCs w:val="24"/>
        </w:rPr>
        <w:t>gays</w:t>
      </w:r>
      <w:proofErr w:type="spellEnd"/>
      <w:r w:rsidRPr="0007467D">
        <w:rPr>
          <w:rFonts w:ascii="Bookman Old Style" w:hAnsi="Bookman Old Style"/>
          <w:sz w:val="24"/>
          <w:szCs w:val="24"/>
        </w:rPr>
        <w:t xml:space="preserve">, bisexuales, </w:t>
      </w:r>
      <w:proofErr w:type="spellStart"/>
      <w:r w:rsidRPr="0007467D">
        <w:rPr>
          <w:rFonts w:ascii="Bookman Old Style" w:hAnsi="Bookman Old Style"/>
          <w:sz w:val="24"/>
          <w:szCs w:val="24"/>
        </w:rPr>
        <w:t>transgéneros</w:t>
      </w:r>
      <w:proofErr w:type="spellEnd"/>
      <w:r w:rsidRPr="0007467D">
        <w:rPr>
          <w:rFonts w:ascii="Bookman Old Style" w:hAnsi="Bookman Old Style"/>
          <w:sz w:val="24"/>
          <w:szCs w:val="24"/>
        </w:rPr>
        <w:t xml:space="preserve"> e </w:t>
      </w:r>
      <w:proofErr w:type="spellStart"/>
      <w:r w:rsidRPr="0007467D">
        <w:rPr>
          <w:rFonts w:ascii="Bookman Old Style" w:hAnsi="Bookman Old Style"/>
          <w:sz w:val="24"/>
          <w:szCs w:val="24"/>
        </w:rPr>
        <w:t>intersexo</w:t>
      </w:r>
      <w:proofErr w:type="spellEnd"/>
      <w:r w:rsidRPr="0007467D">
        <w:rPr>
          <w:rFonts w:ascii="Bookman Old Style" w:hAnsi="Bookman Old Style"/>
          <w:sz w:val="24"/>
          <w:szCs w:val="24"/>
        </w:rPr>
        <w:t xml:space="preserve"> (en adelante "LGBTIQ+"); y, eliminar la discriminación en función de la diversidad sexo-genérica, fortaleciendo el reconocimiento y la construcción de la identidad de género y orientación sexual desde temprana edad.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A pesar de todos los logros y que el 27 de noviembre de 2022 se cumplen 25 años de la despenalización de la homosexualidad, es posible encontrar todavía problemáticas serias en el país como la existencia de clínicas de des - </w:t>
      </w:r>
      <w:proofErr w:type="spellStart"/>
      <w:r w:rsidRPr="0007467D">
        <w:rPr>
          <w:rFonts w:ascii="Bookman Old Style" w:hAnsi="Bookman Old Style"/>
          <w:sz w:val="24"/>
          <w:szCs w:val="24"/>
        </w:rPr>
        <w:t>homosexualización</w:t>
      </w:r>
      <w:proofErr w:type="spellEnd"/>
      <w:r w:rsidRPr="0007467D">
        <w:rPr>
          <w:rFonts w:ascii="Bookman Old Style" w:hAnsi="Bookman Old Style"/>
          <w:sz w:val="24"/>
          <w:szCs w:val="24"/>
        </w:rPr>
        <w:t xml:space="preserve">.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Por otro lado, la primera investigación sobre condiciones de vida e inclusión social de población LGBTIQ+ realizada en el año 2013 por el Instituto Nacional de Estadísticas y Censos de Ecuador (INEC) indica que el 70,9 % de las personas LGBTIQ+ han sido discriminadas, rechazadas y han vivido violencia por parte de sus familias, el 58 % de las personas LGBTIQ+ no tiene acceso a seguridad social. El 27.8 % gana 292 dólares (USD) o menos por mes. El 45.6 % tiene un ingreso entre USD $293 y USD $584 dólares mensuales. Un 5,9 % obtiene USD $1.168 dólares o más por mes (2013).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lastRenderedPageBreak/>
        <w:t xml:space="preserve">En el mismo estudio se menciona que el porcentaje de personas LGBTIQ+ que ha sufrido violencia en espacios públicos es del 52,1%, exclusión 71,4% y discriminación el 50,5%. Asimismo, el 27,3% indicó haber sufrido actos de violencia, de los cuales el 91,4% fue insultos, amenazas, gritos y burlas. </w:t>
      </w:r>
    </w:p>
    <w:p w:rsid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Con estos antecedentes y en miras de una ciudad inclusiva y libre de discriminación según lo estipulado en la Ordenanza Municipal N° 001, Código Municipal, Libro II, del Eje Social, Libro II, 3 De la Cultura, articulo II.3.77, establece que: “El Concejo Metropolitano de Quito, otorgará cada año el premio "Para la Comunidad LGBTIQ+" al miembro de la misma, que haya cumplido una labor destacada en la defensa de los derechos de su comunidad. Este premio será tramitado por la Comisión competente en materia de igualdad, género e inclusión social y se entregará en un acto especial, con ocasión del día internacional del orgullo LGBTIQ+.” </w:t>
      </w:r>
    </w:p>
    <w:p w:rsidR="006C13FC" w:rsidRPr="0007467D" w:rsidRDefault="0007467D" w:rsidP="00C36BB3">
      <w:pPr>
        <w:jc w:val="both"/>
        <w:rPr>
          <w:rFonts w:ascii="Bookman Old Style" w:hAnsi="Bookman Old Style"/>
          <w:sz w:val="24"/>
          <w:szCs w:val="24"/>
        </w:rPr>
      </w:pPr>
      <w:r w:rsidRPr="0007467D">
        <w:rPr>
          <w:rFonts w:ascii="Bookman Old Style" w:hAnsi="Bookman Old Style"/>
          <w:sz w:val="24"/>
          <w:szCs w:val="24"/>
        </w:rPr>
        <w:t xml:space="preserve">Mediante Resolución del Concejo Metropolitano de Quito No 123 de fecha 26 de febrero del 2013, en su artículo único se decide: “Designar con el nombre de “Patricio </w:t>
      </w:r>
      <w:proofErr w:type="spellStart"/>
      <w:r w:rsidRPr="0007467D">
        <w:rPr>
          <w:rFonts w:ascii="Bookman Old Style" w:hAnsi="Bookman Old Style"/>
          <w:sz w:val="24"/>
          <w:szCs w:val="24"/>
        </w:rPr>
        <w:t>Brabomalo</w:t>
      </w:r>
      <w:proofErr w:type="spellEnd"/>
      <w:r w:rsidRPr="0007467D">
        <w:rPr>
          <w:rFonts w:ascii="Bookman Old Style" w:hAnsi="Bookman Old Style"/>
          <w:sz w:val="24"/>
          <w:szCs w:val="24"/>
        </w:rPr>
        <w:t>” al premio “Para la Comunidad LGBTIQ+” (…).</w:t>
      </w:r>
    </w:p>
    <w:p w:rsidR="00411211" w:rsidRPr="00C36BB3" w:rsidRDefault="00411211" w:rsidP="00C36BB3">
      <w:pPr>
        <w:jc w:val="both"/>
        <w:rPr>
          <w:rFonts w:ascii="Bookman Old Style" w:hAnsi="Bookman Old Style"/>
        </w:rPr>
      </w:pPr>
    </w:p>
    <w:p w:rsidR="00411211" w:rsidRPr="00063E62" w:rsidRDefault="00411211" w:rsidP="004929F3">
      <w:pPr>
        <w:jc w:val="center"/>
        <w:rPr>
          <w:rFonts w:ascii="Bookman Old Style" w:hAnsi="Bookman Old Style"/>
          <w:b/>
          <w:sz w:val="24"/>
          <w:szCs w:val="24"/>
        </w:rPr>
      </w:pPr>
      <w:r w:rsidRPr="00063E62">
        <w:rPr>
          <w:rFonts w:ascii="Bookman Old Style" w:hAnsi="Bookman Old Style"/>
          <w:b/>
          <w:sz w:val="24"/>
          <w:szCs w:val="24"/>
        </w:rPr>
        <w:t>EL CONCEJO METROPOLITANO DE QUITO</w:t>
      </w:r>
    </w:p>
    <w:p w:rsidR="00411211" w:rsidRPr="00C36BB3" w:rsidRDefault="00411211" w:rsidP="00C36BB3">
      <w:pPr>
        <w:jc w:val="both"/>
        <w:rPr>
          <w:rFonts w:ascii="Bookman Old Style" w:hAnsi="Bookman Old Style"/>
          <w:sz w:val="24"/>
          <w:szCs w:val="24"/>
        </w:rPr>
      </w:pPr>
      <w:r w:rsidRPr="00C36BB3">
        <w:rPr>
          <w:rFonts w:ascii="Bookman Old Style" w:hAnsi="Bookman Old Style"/>
          <w:sz w:val="24"/>
          <w:szCs w:val="24"/>
        </w:rPr>
        <w:t xml:space="preserve">Visto los Informes XXX de XXXX IC-O-CUS-XXX-0XXX de XX de X de 2022, expedidos por la Comisión de Igualdad, Género e Inclusión Social </w:t>
      </w:r>
    </w:p>
    <w:p w:rsidR="00411211" w:rsidRPr="00063E62" w:rsidRDefault="00411211" w:rsidP="004929F3">
      <w:pPr>
        <w:jc w:val="center"/>
        <w:rPr>
          <w:rFonts w:ascii="Bookman Old Style" w:hAnsi="Bookman Old Style"/>
          <w:b/>
          <w:sz w:val="24"/>
          <w:szCs w:val="24"/>
        </w:rPr>
      </w:pPr>
      <w:r w:rsidRPr="00063E62">
        <w:rPr>
          <w:rFonts w:ascii="Bookman Old Style" w:hAnsi="Bookman Old Style"/>
          <w:b/>
          <w:sz w:val="24"/>
          <w:szCs w:val="24"/>
        </w:rPr>
        <w:t>CONSIDERANDO:</w:t>
      </w:r>
    </w:p>
    <w:p w:rsidR="00D162C1" w:rsidRDefault="007B282C" w:rsidP="00C36BB3">
      <w:pPr>
        <w:jc w:val="both"/>
        <w:rPr>
          <w:rFonts w:ascii="Bookman Old Style" w:hAnsi="Bookman Old Style"/>
          <w:sz w:val="24"/>
          <w:szCs w:val="24"/>
        </w:rPr>
      </w:pPr>
      <w:r>
        <w:rPr>
          <w:rFonts w:ascii="Bookman Old Style" w:hAnsi="Bookman Old Style"/>
          <w:sz w:val="24"/>
          <w:szCs w:val="24"/>
        </w:rPr>
        <w:t>Que, el numeral 2 del artículo 11 de la Constitución de la República del Ecuador (en adelante Constitución) determina que: “…Todas las personas son iguales y gozarán de los mismos derechos, deberes y oportunidades. Nadie podrá ser discriminado por razones de etnia, lugar de nacimiento, edad, sexo, identidad de género, identidad cultural, estado civil, idioma, religión, ideología, filiación política</w:t>
      </w:r>
      <w:r w:rsidR="00D162C1">
        <w:rPr>
          <w:rFonts w:ascii="Bookman Old Style" w:hAnsi="Bookman Old Style"/>
          <w:sz w:val="24"/>
          <w:szCs w:val="24"/>
        </w:rPr>
        <w:t>,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w:t>
      </w:r>
    </w:p>
    <w:p w:rsidR="00411211" w:rsidRDefault="00D162C1" w:rsidP="00C36BB3">
      <w:pPr>
        <w:jc w:val="both"/>
        <w:rPr>
          <w:rFonts w:ascii="Bookman Old Style" w:hAnsi="Bookman Old Style"/>
          <w:sz w:val="24"/>
          <w:szCs w:val="24"/>
        </w:rPr>
      </w:pPr>
      <w:r>
        <w:rPr>
          <w:rFonts w:ascii="Bookman Old Style" w:hAnsi="Bookman Old Style"/>
          <w:sz w:val="24"/>
          <w:szCs w:val="24"/>
        </w:rPr>
        <w:t>Que, el numeral 14 dela artículo 83 de la Constitución establece que es deber y responsabilidad de las y los ecuatorianos: “… 14. Respetar y reconocer las diferencias étnicas, nacionales, sociales, generacionales, de género y la orientación e identidad sexual (…);</w:t>
      </w:r>
    </w:p>
    <w:p w:rsidR="00D162C1" w:rsidRDefault="00D162C1" w:rsidP="00C36BB3">
      <w:pPr>
        <w:jc w:val="both"/>
        <w:rPr>
          <w:rFonts w:ascii="Bookman Old Style" w:hAnsi="Bookman Old Style"/>
          <w:sz w:val="24"/>
          <w:szCs w:val="24"/>
        </w:rPr>
      </w:pPr>
      <w:r>
        <w:rPr>
          <w:rFonts w:ascii="Bookman Old Style" w:hAnsi="Bookman Old Style"/>
          <w:sz w:val="24"/>
          <w:szCs w:val="24"/>
        </w:rPr>
        <w:lastRenderedPageBreak/>
        <w:t>Que, el Concejo Metropolitano, mediante Ordenanza Metropolitana No. 224 sancio</w:t>
      </w:r>
      <w:r w:rsidR="00F4595C">
        <w:rPr>
          <w:rFonts w:ascii="Bookman Old Style" w:hAnsi="Bookman Old Style"/>
          <w:sz w:val="24"/>
          <w:szCs w:val="24"/>
        </w:rPr>
        <w:t>nada el 11 de abril de 2012, reguló la entrega del premio “Para la Comunidad GLBTI”</w:t>
      </w:r>
    </w:p>
    <w:p w:rsidR="00D162C1" w:rsidRPr="00C36BB3" w:rsidRDefault="00D162C1" w:rsidP="00C36BB3">
      <w:pPr>
        <w:jc w:val="both"/>
        <w:rPr>
          <w:rFonts w:ascii="Bookman Old Style" w:hAnsi="Bookman Old Style"/>
          <w:sz w:val="24"/>
          <w:szCs w:val="24"/>
        </w:rPr>
      </w:pPr>
      <w:r>
        <w:rPr>
          <w:rFonts w:ascii="Bookman Old Style" w:hAnsi="Bookman Old Style"/>
          <w:sz w:val="24"/>
          <w:szCs w:val="24"/>
        </w:rPr>
        <w:t xml:space="preserve">Que, la Resolución del Concejo Metropolitano No. C123 sancionada el 26 de febrero de 2022, designó con el nombre de “Patricio </w:t>
      </w:r>
      <w:proofErr w:type="spellStart"/>
      <w:r>
        <w:rPr>
          <w:rFonts w:ascii="Bookman Old Style" w:hAnsi="Bookman Old Style"/>
          <w:sz w:val="24"/>
          <w:szCs w:val="24"/>
        </w:rPr>
        <w:t>Brabomalo</w:t>
      </w:r>
      <w:proofErr w:type="spellEnd"/>
      <w:r>
        <w:rPr>
          <w:rFonts w:ascii="Bookman Old Style" w:hAnsi="Bookman Old Style"/>
          <w:sz w:val="24"/>
          <w:szCs w:val="24"/>
        </w:rPr>
        <w:t>” al premio “Para la Comunidad GLBTI” contemplado en la normativa metropolitana.</w:t>
      </w:r>
    </w:p>
    <w:p w:rsidR="00411211" w:rsidRPr="00C36BB3" w:rsidRDefault="00411211" w:rsidP="00C36BB3">
      <w:pPr>
        <w:jc w:val="both"/>
        <w:rPr>
          <w:rFonts w:ascii="Bookman Old Style" w:hAnsi="Bookman Old Style"/>
          <w:sz w:val="24"/>
          <w:szCs w:val="24"/>
        </w:rPr>
      </w:pPr>
      <w:r w:rsidRPr="00C36BB3">
        <w:rPr>
          <w:rFonts w:ascii="Bookman Old Style" w:hAnsi="Bookman Old Style"/>
          <w:sz w:val="24"/>
          <w:szCs w:val="24"/>
        </w:rPr>
        <w:t xml:space="preserve">En ejercicio de sus atribuciones legales constantes en los artículos 240 y 264 numeral 1 y 2 de la Constitución de la República del Ecuador; arts. 87 literales a) y v), y 322 del Código Orgánico de Organización Territorial, Autonomía y Descentralización; art. 2, numeral 1, art. 8 numeral 1 de la Ley Orgánica de Régimen para el Distrito Metropolitano de Quito; y artículos III.6.119 del Código Municipal para el Distrito Metropolitano de Quito. </w:t>
      </w:r>
    </w:p>
    <w:p w:rsidR="00411211" w:rsidRPr="00063E62" w:rsidRDefault="00411211" w:rsidP="00063E62">
      <w:pPr>
        <w:jc w:val="center"/>
        <w:rPr>
          <w:rFonts w:ascii="Bookman Old Style" w:hAnsi="Bookman Old Style"/>
          <w:b/>
          <w:sz w:val="24"/>
          <w:szCs w:val="24"/>
        </w:rPr>
      </w:pPr>
      <w:r w:rsidRPr="00063E62">
        <w:rPr>
          <w:rFonts w:ascii="Bookman Old Style" w:hAnsi="Bookman Old Style"/>
          <w:b/>
          <w:sz w:val="24"/>
          <w:szCs w:val="24"/>
        </w:rPr>
        <w:t>EXPIDE LA SIGUIENTE:</w:t>
      </w:r>
    </w:p>
    <w:p w:rsidR="00411211" w:rsidRPr="00063E62" w:rsidRDefault="00411211" w:rsidP="00063E62">
      <w:pPr>
        <w:jc w:val="center"/>
        <w:rPr>
          <w:rFonts w:ascii="Bookman Old Style" w:hAnsi="Bookman Old Style"/>
          <w:b/>
          <w:sz w:val="24"/>
          <w:szCs w:val="24"/>
        </w:rPr>
      </w:pPr>
      <w:r w:rsidRPr="00063E62">
        <w:rPr>
          <w:rFonts w:ascii="Bookman Old Style" w:hAnsi="Bookman Old Style"/>
          <w:b/>
          <w:sz w:val="24"/>
          <w:szCs w:val="24"/>
        </w:rPr>
        <w:t>ORDENANZA REFORMATORIA AL LIBRO II.3 DE LA CULTURA, TÍTULO VII DE LAS CONDECORACIONES, PREMIOS Y RECONOCIMIENTOS, CAPÍTULO III, SECCIÓN IV DE LOS PREMIOS EN TEMAS DE GÉNERO Y JUVENTUD, Del premio para la comunidad GLBTI.</w:t>
      </w:r>
    </w:p>
    <w:p w:rsidR="00411211" w:rsidRPr="00C36BB3" w:rsidRDefault="00411211" w:rsidP="00C36BB3">
      <w:pPr>
        <w:jc w:val="both"/>
        <w:rPr>
          <w:rFonts w:ascii="Bookman Old Style" w:hAnsi="Bookman Old Style"/>
          <w:sz w:val="24"/>
          <w:szCs w:val="24"/>
        </w:rPr>
      </w:pPr>
    </w:p>
    <w:p w:rsidR="00411211" w:rsidRPr="00C36BB3" w:rsidRDefault="00411211" w:rsidP="00C36BB3">
      <w:pPr>
        <w:jc w:val="both"/>
        <w:rPr>
          <w:rFonts w:ascii="Bookman Old Style" w:hAnsi="Bookman Old Style"/>
          <w:sz w:val="24"/>
          <w:szCs w:val="24"/>
        </w:rPr>
      </w:pPr>
      <w:r w:rsidRPr="00C36BB3">
        <w:rPr>
          <w:rFonts w:ascii="Bookman Old Style" w:hAnsi="Bookman Old Style"/>
          <w:sz w:val="24"/>
          <w:szCs w:val="24"/>
        </w:rPr>
        <w:t>Artículo 1.- Sustitúyase el artículo 717 del Código Municipal por el siguiente:</w:t>
      </w:r>
    </w:p>
    <w:p w:rsidR="00411211" w:rsidRPr="00C36BB3" w:rsidRDefault="00411211" w:rsidP="00C36BB3">
      <w:pPr>
        <w:autoSpaceDE w:val="0"/>
        <w:autoSpaceDN w:val="0"/>
        <w:adjustRightInd w:val="0"/>
        <w:spacing w:after="0" w:line="240" w:lineRule="auto"/>
        <w:jc w:val="both"/>
        <w:rPr>
          <w:rFonts w:ascii="Bookman Old Style" w:hAnsi="Bookman Old Style" w:cs="CourierNewNormal"/>
          <w:sz w:val="24"/>
          <w:szCs w:val="24"/>
        </w:rPr>
      </w:pPr>
      <w:r w:rsidRPr="00C36BB3">
        <w:rPr>
          <w:rFonts w:ascii="Bookman Old Style" w:hAnsi="Bookman Old Style"/>
          <w:sz w:val="24"/>
          <w:szCs w:val="24"/>
        </w:rPr>
        <w:t xml:space="preserve">Art. 717. – Premio “Patricio </w:t>
      </w:r>
      <w:proofErr w:type="spellStart"/>
      <w:r w:rsidRPr="00C36BB3">
        <w:rPr>
          <w:rFonts w:ascii="Bookman Old Style" w:hAnsi="Bookman Old Style"/>
          <w:sz w:val="24"/>
          <w:szCs w:val="24"/>
        </w:rPr>
        <w:t>Brabomalo</w:t>
      </w:r>
      <w:proofErr w:type="spellEnd"/>
      <w:r w:rsidRPr="00C36BB3">
        <w:rPr>
          <w:rFonts w:ascii="Bookman Old Style" w:hAnsi="Bookman Old Style"/>
          <w:sz w:val="24"/>
          <w:szCs w:val="24"/>
        </w:rPr>
        <w:t xml:space="preserve"> para la Comunidad GLBTIQ+. – El Concejo Metropolitano de Quito, otorgará cada año el premio “Patric</w:t>
      </w:r>
      <w:r w:rsidR="007B282C">
        <w:rPr>
          <w:rFonts w:ascii="Bookman Old Style" w:hAnsi="Bookman Old Style"/>
          <w:sz w:val="24"/>
          <w:szCs w:val="24"/>
        </w:rPr>
        <w:t xml:space="preserve">io </w:t>
      </w:r>
      <w:proofErr w:type="spellStart"/>
      <w:r w:rsidR="007B282C">
        <w:rPr>
          <w:rFonts w:ascii="Bookman Old Style" w:hAnsi="Bookman Old Style"/>
          <w:sz w:val="24"/>
          <w:szCs w:val="24"/>
        </w:rPr>
        <w:t>Brabomalo</w:t>
      </w:r>
      <w:proofErr w:type="spellEnd"/>
      <w:r w:rsidR="007B282C">
        <w:rPr>
          <w:rFonts w:ascii="Bookman Old Style" w:hAnsi="Bookman Old Style"/>
          <w:sz w:val="24"/>
          <w:szCs w:val="24"/>
        </w:rPr>
        <w:t xml:space="preserve"> para la comunidad </w:t>
      </w:r>
      <w:r w:rsidRPr="00C36BB3">
        <w:rPr>
          <w:rFonts w:ascii="Bookman Old Style" w:hAnsi="Bookman Old Style"/>
          <w:sz w:val="24"/>
          <w:szCs w:val="24"/>
        </w:rPr>
        <w:t>L</w:t>
      </w:r>
      <w:r w:rsidR="007B282C">
        <w:rPr>
          <w:rFonts w:ascii="Bookman Old Style" w:hAnsi="Bookman Old Style"/>
          <w:sz w:val="24"/>
          <w:szCs w:val="24"/>
        </w:rPr>
        <w:t>G</w:t>
      </w:r>
      <w:r w:rsidRPr="00C36BB3">
        <w:rPr>
          <w:rFonts w:ascii="Bookman Old Style" w:hAnsi="Bookman Old Style"/>
          <w:sz w:val="24"/>
          <w:szCs w:val="24"/>
        </w:rPr>
        <w:t>BTIQ+” al miembro de la misma, que haya cumplido una labor destacada en la defensa de los derechos de su comunidad</w:t>
      </w:r>
      <w:r w:rsidR="00C36BB3" w:rsidRPr="00C36BB3">
        <w:rPr>
          <w:rFonts w:ascii="Bookman Old Style" w:hAnsi="Bookman Old Style"/>
          <w:sz w:val="24"/>
          <w:szCs w:val="24"/>
        </w:rPr>
        <w:t xml:space="preserve">. </w:t>
      </w:r>
      <w:r w:rsidR="00C36BB3" w:rsidRPr="00C36BB3">
        <w:rPr>
          <w:rFonts w:ascii="Bookman Old Style" w:hAnsi="Bookman Old Style" w:cs="CourierNewNormal"/>
          <w:sz w:val="24"/>
          <w:szCs w:val="24"/>
        </w:rPr>
        <w:t xml:space="preserve">La persona ganadora recibirá, conforme el ordenamiento jurídico nacional y metropolitano, un estímulo </w:t>
      </w:r>
      <w:r w:rsidR="00C36BB3">
        <w:rPr>
          <w:rFonts w:ascii="Bookman Old Style" w:hAnsi="Bookman Old Style" w:cs="CourierNewNormal"/>
          <w:sz w:val="24"/>
          <w:szCs w:val="24"/>
        </w:rPr>
        <w:t>económico.</w:t>
      </w:r>
    </w:p>
    <w:p w:rsidR="00C36BB3" w:rsidRPr="00C36BB3" w:rsidRDefault="00C36BB3" w:rsidP="00C36BB3">
      <w:pPr>
        <w:autoSpaceDE w:val="0"/>
        <w:autoSpaceDN w:val="0"/>
        <w:adjustRightInd w:val="0"/>
        <w:spacing w:after="0" w:line="240" w:lineRule="auto"/>
        <w:jc w:val="both"/>
        <w:rPr>
          <w:rFonts w:ascii="Bookman Old Style" w:hAnsi="Bookman Old Style"/>
          <w:sz w:val="24"/>
          <w:szCs w:val="24"/>
        </w:rPr>
      </w:pPr>
    </w:p>
    <w:p w:rsidR="00C36BB3" w:rsidRPr="00C36BB3" w:rsidRDefault="00C36BB3" w:rsidP="00C36BB3">
      <w:pPr>
        <w:jc w:val="both"/>
        <w:rPr>
          <w:rFonts w:ascii="Bookman Old Style" w:hAnsi="Bookman Old Style"/>
          <w:sz w:val="24"/>
          <w:szCs w:val="24"/>
        </w:rPr>
      </w:pPr>
      <w:r w:rsidRPr="00C36BB3">
        <w:rPr>
          <w:rFonts w:ascii="Bookman Old Style" w:hAnsi="Bookman Old Style"/>
          <w:sz w:val="24"/>
          <w:szCs w:val="24"/>
        </w:rPr>
        <w:t>Este premio será tramitado por la Comisión competente en materia de Igualdad, Género e Inclusión Social y se entregará en un acto especial</w:t>
      </w:r>
      <w:r w:rsidR="00063E62">
        <w:rPr>
          <w:rFonts w:ascii="Bookman Old Style" w:hAnsi="Bookman Old Style"/>
          <w:sz w:val="24"/>
          <w:szCs w:val="24"/>
        </w:rPr>
        <w:t xml:space="preserve"> organizado por la Secretaría encargada de la Inclusión Social</w:t>
      </w:r>
      <w:r w:rsidRPr="00C36BB3">
        <w:rPr>
          <w:rFonts w:ascii="Bookman Old Style" w:hAnsi="Bookman Old Style"/>
          <w:sz w:val="24"/>
          <w:szCs w:val="24"/>
        </w:rPr>
        <w:t>, con ocasión del</w:t>
      </w:r>
      <w:r w:rsidR="007B282C">
        <w:rPr>
          <w:rFonts w:ascii="Bookman Old Style" w:hAnsi="Bookman Old Style"/>
          <w:sz w:val="24"/>
          <w:szCs w:val="24"/>
        </w:rPr>
        <w:t xml:space="preserve"> día internacional del orgullo </w:t>
      </w:r>
      <w:r w:rsidRPr="00C36BB3">
        <w:rPr>
          <w:rFonts w:ascii="Bookman Old Style" w:hAnsi="Bookman Old Style"/>
          <w:sz w:val="24"/>
          <w:szCs w:val="24"/>
        </w:rPr>
        <w:t>L</w:t>
      </w:r>
      <w:r w:rsidR="007B282C">
        <w:rPr>
          <w:rFonts w:ascii="Bookman Old Style" w:hAnsi="Bookman Old Style"/>
          <w:sz w:val="24"/>
          <w:szCs w:val="24"/>
        </w:rPr>
        <w:t>G</w:t>
      </w:r>
      <w:r w:rsidRPr="00C36BB3">
        <w:rPr>
          <w:rFonts w:ascii="Bookman Old Style" w:hAnsi="Bookman Old Style"/>
          <w:sz w:val="24"/>
          <w:szCs w:val="24"/>
        </w:rPr>
        <w:t>BTIQ+.</w:t>
      </w:r>
    </w:p>
    <w:p w:rsidR="00C36BB3" w:rsidRPr="00C36BB3" w:rsidRDefault="00C36BB3" w:rsidP="00C36BB3">
      <w:pPr>
        <w:jc w:val="both"/>
        <w:rPr>
          <w:rFonts w:ascii="Bookman Old Style" w:hAnsi="Bookman Old Style"/>
          <w:sz w:val="24"/>
          <w:szCs w:val="24"/>
        </w:rPr>
      </w:pPr>
    </w:p>
    <w:p w:rsidR="00D16BEF" w:rsidRPr="00063E62" w:rsidRDefault="00D16BEF" w:rsidP="00C36BB3">
      <w:pPr>
        <w:jc w:val="both"/>
        <w:rPr>
          <w:rFonts w:ascii="Bookman Old Style" w:hAnsi="Bookman Old Style"/>
          <w:b/>
          <w:sz w:val="24"/>
          <w:szCs w:val="24"/>
        </w:rPr>
      </w:pPr>
      <w:r w:rsidRPr="00063E62">
        <w:rPr>
          <w:rFonts w:ascii="Bookman Old Style" w:hAnsi="Bookman Old Style"/>
          <w:b/>
          <w:sz w:val="24"/>
          <w:szCs w:val="24"/>
        </w:rPr>
        <w:t>Disposiciones</w:t>
      </w:r>
      <w:r w:rsidR="00C36BB3" w:rsidRPr="00063E62">
        <w:rPr>
          <w:rFonts w:ascii="Bookman Old Style" w:hAnsi="Bookman Old Style"/>
          <w:b/>
          <w:sz w:val="24"/>
          <w:szCs w:val="24"/>
        </w:rPr>
        <w:t xml:space="preserve"> General</w:t>
      </w:r>
      <w:r w:rsidRPr="00063E62">
        <w:rPr>
          <w:rFonts w:ascii="Bookman Old Style" w:hAnsi="Bookman Old Style"/>
          <w:b/>
          <w:sz w:val="24"/>
          <w:szCs w:val="24"/>
        </w:rPr>
        <w:t>es:</w:t>
      </w:r>
    </w:p>
    <w:p w:rsidR="00411211" w:rsidRDefault="00D16BEF" w:rsidP="00C36BB3">
      <w:pPr>
        <w:jc w:val="both"/>
        <w:rPr>
          <w:rFonts w:ascii="Bookman Old Style" w:hAnsi="Bookman Old Style"/>
          <w:sz w:val="24"/>
          <w:szCs w:val="24"/>
        </w:rPr>
      </w:pPr>
      <w:r w:rsidRPr="00063E62">
        <w:rPr>
          <w:rFonts w:ascii="Bookman Old Style" w:hAnsi="Bookman Old Style"/>
          <w:b/>
          <w:sz w:val="24"/>
          <w:szCs w:val="24"/>
        </w:rPr>
        <w:t>Primera</w:t>
      </w:r>
      <w:r w:rsidR="00C36BB3" w:rsidRPr="00063E62">
        <w:rPr>
          <w:rFonts w:ascii="Bookman Old Style" w:hAnsi="Bookman Old Style"/>
          <w:sz w:val="24"/>
          <w:szCs w:val="24"/>
        </w:rPr>
        <w:t xml:space="preserve">. – </w:t>
      </w:r>
      <w:r w:rsidR="00463F5E" w:rsidRPr="00063E62">
        <w:rPr>
          <w:rFonts w:ascii="Bookman Old Style" w:hAnsi="Bookman Old Style"/>
          <w:sz w:val="24"/>
          <w:szCs w:val="24"/>
        </w:rPr>
        <w:t>El Alcalde</w:t>
      </w:r>
      <w:r w:rsidR="00063E62" w:rsidRPr="00063E62">
        <w:rPr>
          <w:rFonts w:ascii="Bookman Old Style" w:hAnsi="Bookman Old Style"/>
          <w:sz w:val="24"/>
          <w:szCs w:val="24"/>
        </w:rPr>
        <w:t xml:space="preserve"> o Alcaldesa</w:t>
      </w:r>
      <w:r w:rsidR="00463F5E" w:rsidRPr="00063E62">
        <w:rPr>
          <w:rFonts w:ascii="Bookman Old Style" w:hAnsi="Bookman Old Style"/>
          <w:sz w:val="24"/>
          <w:szCs w:val="24"/>
        </w:rPr>
        <w:t xml:space="preserve"> M</w:t>
      </w:r>
      <w:r w:rsidR="00063E62" w:rsidRPr="00063E62">
        <w:rPr>
          <w:rFonts w:ascii="Bookman Old Style" w:hAnsi="Bookman Old Style"/>
          <w:sz w:val="24"/>
          <w:szCs w:val="24"/>
        </w:rPr>
        <w:t>etropolitana, mediante r</w:t>
      </w:r>
      <w:r w:rsidR="00463F5E" w:rsidRPr="00063E62">
        <w:rPr>
          <w:rFonts w:ascii="Bookman Old Style" w:hAnsi="Bookman Old Style"/>
          <w:sz w:val="24"/>
          <w:szCs w:val="24"/>
        </w:rPr>
        <w:t xml:space="preserve">esolución </w:t>
      </w:r>
      <w:r w:rsidR="00175D22" w:rsidRPr="00063E62">
        <w:rPr>
          <w:rFonts w:ascii="Bookman Old Style" w:hAnsi="Bookman Old Style"/>
          <w:sz w:val="24"/>
          <w:szCs w:val="24"/>
        </w:rPr>
        <w:t xml:space="preserve">administrativa </w:t>
      </w:r>
      <w:r w:rsidR="00063E62" w:rsidRPr="00063E62">
        <w:rPr>
          <w:rFonts w:ascii="Bookman Old Style" w:hAnsi="Bookman Old Style"/>
          <w:sz w:val="24"/>
          <w:szCs w:val="24"/>
        </w:rPr>
        <w:t>de a</w:t>
      </w:r>
      <w:r w:rsidR="00463F5E" w:rsidRPr="00063E62">
        <w:rPr>
          <w:rFonts w:ascii="Bookman Old Style" w:hAnsi="Bookman Old Style"/>
          <w:sz w:val="24"/>
          <w:szCs w:val="24"/>
        </w:rPr>
        <w:t>lcaldía, previo informe de l</w:t>
      </w:r>
      <w:r w:rsidR="00C36BB3" w:rsidRPr="00063E62">
        <w:rPr>
          <w:rFonts w:ascii="Bookman Old Style" w:hAnsi="Bookman Old Style"/>
          <w:sz w:val="24"/>
          <w:szCs w:val="24"/>
        </w:rPr>
        <w:t xml:space="preserve">a Secretaría </w:t>
      </w:r>
      <w:r w:rsidR="00063E62" w:rsidRPr="00063E62">
        <w:rPr>
          <w:rFonts w:ascii="Bookman Old Style" w:hAnsi="Bookman Old Style"/>
          <w:sz w:val="24"/>
          <w:szCs w:val="24"/>
        </w:rPr>
        <w:t>encargada de la</w:t>
      </w:r>
      <w:r w:rsidR="00C36BB3" w:rsidRPr="00063E62">
        <w:rPr>
          <w:rFonts w:ascii="Bookman Old Style" w:hAnsi="Bookman Old Style"/>
          <w:sz w:val="24"/>
          <w:szCs w:val="24"/>
        </w:rPr>
        <w:t xml:space="preserve"> Inclusión Social </w:t>
      </w:r>
      <w:r w:rsidRPr="00063E62">
        <w:rPr>
          <w:rFonts w:ascii="Bookman Old Style" w:hAnsi="Bookman Old Style"/>
          <w:sz w:val="24"/>
          <w:szCs w:val="24"/>
        </w:rPr>
        <w:t>en coordinació</w:t>
      </w:r>
      <w:r w:rsidR="00463F5E" w:rsidRPr="00063E62">
        <w:rPr>
          <w:rFonts w:ascii="Bookman Old Style" w:hAnsi="Bookman Old Style"/>
          <w:sz w:val="24"/>
          <w:szCs w:val="24"/>
        </w:rPr>
        <w:t xml:space="preserve">n con la Administración General, </w:t>
      </w:r>
      <w:r w:rsidRPr="00063E62">
        <w:rPr>
          <w:rFonts w:ascii="Bookman Old Style" w:hAnsi="Bookman Old Style"/>
          <w:sz w:val="24"/>
          <w:szCs w:val="24"/>
        </w:rPr>
        <w:t>establecerá anualmente el monto del estímulo económico</w:t>
      </w:r>
      <w:r w:rsidR="00063E62" w:rsidRPr="00063E62">
        <w:rPr>
          <w:rFonts w:ascii="Bookman Old Style" w:hAnsi="Bookman Old Style"/>
          <w:sz w:val="24"/>
          <w:szCs w:val="24"/>
        </w:rPr>
        <w:t xml:space="preserve"> para los premios que así lo </w:t>
      </w:r>
      <w:r w:rsidR="00063E62" w:rsidRPr="00063E62">
        <w:rPr>
          <w:rFonts w:ascii="Bookman Old Style" w:hAnsi="Bookman Old Style"/>
          <w:sz w:val="24"/>
          <w:szCs w:val="24"/>
        </w:rPr>
        <w:lastRenderedPageBreak/>
        <w:t>determinare la normativa metropolitana</w:t>
      </w:r>
      <w:r w:rsidRPr="00063E62">
        <w:rPr>
          <w:rFonts w:ascii="Bookman Old Style" w:hAnsi="Bookman Old Style"/>
          <w:sz w:val="24"/>
          <w:szCs w:val="24"/>
        </w:rPr>
        <w:t>, en arreglo a las normas presupuestarias y en concordancia con la remuneración básica unificada del trabajador en general. Para efectos de este premio el estímulo</w:t>
      </w:r>
      <w:r w:rsidR="0093318D" w:rsidRPr="00063E62">
        <w:rPr>
          <w:rFonts w:ascii="Bookman Old Style" w:hAnsi="Bookman Old Style"/>
          <w:sz w:val="24"/>
          <w:szCs w:val="24"/>
        </w:rPr>
        <w:t xml:space="preserve"> económico</w:t>
      </w:r>
      <w:r w:rsidRPr="00063E62">
        <w:rPr>
          <w:rFonts w:ascii="Bookman Old Style" w:hAnsi="Bookman Old Style"/>
          <w:sz w:val="24"/>
          <w:szCs w:val="24"/>
        </w:rPr>
        <w:t xml:space="preserve"> no podrá ser inferior a cuatro remuneraciones básicas unificadas.</w:t>
      </w:r>
    </w:p>
    <w:p w:rsidR="00D16BEF" w:rsidRDefault="00D16BEF" w:rsidP="00C36BB3">
      <w:pPr>
        <w:jc w:val="both"/>
        <w:rPr>
          <w:rFonts w:ascii="Bookman Old Style" w:hAnsi="Bookman Old Style"/>
          <w:sz w:val="24"/>
          <w:szCs w:val="24"/>
        </w:rPr>
      </w:pPr>
      <w:r w:rsidRPr="00063E62">
        <w:rPr>
          <w:rFonts w:ascii="Bookman Old Style" w:hAnsi="Bookman Old Style"/>
          <w:b/>
          <w:sz w:val="24"/>
          <w:szCs w:val="24"/>
        </w:rPr>
        <w:t>Segunda</w:t>
      </w:r>
      <w:r>
        <w:rPr>
          <w:rFonts w:ascii="Bookman Old Style" w:hAnsi="Bookman Old Style"/>
          <w:sz w:val="24"/>
          <w:szCs w:val="24"/>
        </w:rPr>
        <w:t xml:space="preserve">. – La Secretaría de Inclusión Social presentará hasta el día 31 de enero de cada año, el instructivo y bases para la designación del Premio Patricio </w:t>
      </w:r>
      <w:proofErr w:type="spellStart"/>
      <w:r>
        <w:rPr>
          <w:rFonts w:ascii="Bookman Old Style" w:hAnsi="Bookman Old Style"/>
          <w:sz w:val="24"/>
          <w:szCs w:val="24"/>
        </w:rPr>
        <w:t>Brabomalo</w:t>
      </w:r>
      <w:proofErr w:type="spellEnd"/>
      <w:r>
        <w:rPr>
          <w:rFonts w:ascii="Bookman Old Style" w:hAnsi="Bookman Old Style"/>
          <w:sz w:val="24"/>
          <w:szCs w:val="24"/>
        </w:rPr>
        <w:t>, cronograma y demás documentación administrativa necesaria, así como la certificación de disponibilidad presupuestaria relacionada con el estímulo económico.</w:t>
      </w:r>
    </w:p>
    <w:p w:rsidR="00D16BEF" w:rsidRDefault="00D16BEF" w:rsidP="00C36BB3">
      <w:pPr>
        <w:jc w:val="both"/>
        <w:rPr>
          <w:rFonts w:ascii="Bookman Old Style" w:hAnsi="Bookman Old Style"/>
          <w:sz w:val="24"/>
          <w:szCs w:val="24"/>
        </w:rPr>
      </w:pPr>
      <w:r w:rsidRPr="00063E62">
        <w:rPr>
          <w:rFonts w:ascii="Bookman Old Style" w:hAnsi="Bookman Old Style"/>
          <w:b/>
          <w:sz w:val="24"/>
          <w:szCs w:val="24"/>
        </w:rPr>
        <w:t>Tercera.</w:t>
      </w:r>
      <w:r>
        <w:rPr>
          <w:rFonts w:ascii="Bookman Old Style" w:hAnsi="Bookman Old Style"/>
          <w:sz w:val="24"/>
          <w:szCs w:val="24"/>
        </w:rPr>
        <w:t xml:space="preserve"> – El informe presentado por la Secretaría </w:t>
      </w:r>
      <w:r w:rsidR="00063E62">
        <w:rPr>
          <w:rFonts w:ascii="Bookman Old Style" w:hAnsi="Bookman Old Style"/>
          <w:sz w:val="24"/>
          <w:szCs w:val="24"/>
        </w:rPr>
        <w:t xml:space="preserve">encargada </w:t>
      </w:r>
      <w:r>
        <w:rPr>
          <w:rFonts w:ascii="Bookman Old Style" w:hAnsi="Bookman Old Style"/>
          <w:sz w:val="24"/>
          <w:szCs w:val="24"/>
        </w:rPr>
        <w:t>de</w:t>
      </w:r>
      <w:r w:rsidR="00063E62">
        <w:rPr>
          <w:rFonts w:ascii="Bookman Old Style" w:hAnsi="Bookman Old Style"/>
          <w:sz w:val="24"/>
          <w:szCs w:val="24"/>
        </w:rPr>
        <w:t xml:space="preserve"> la</w:t>
      </w:r>
      <w:r>
        <w:rPr>
          <w:rFonts w:ascii="Bookman Old Style" w:hAnsi="Bookman Old Style"/>
          <w:sz w:val="24"/>
          <w:szCs w:val="24"/>
        </w:rPr>
        <w:t xml:space="preserve"> Inclusión Social sobre los postulantes al premio Patricio </w:t>
      </w:r>
      <w:proofErr w:type="spellStart"/>
      <w:r>
        <w:rPr>
          <w:rFonts w:ascii="Bookman Old Style" w:hAnsi="Bookman Old Style"/>
          <w:sz w:val="24"/>
          <w:szCs w:val="24"/>
        </w:rPr>
        <w:t>Brabomalo</w:t>
      </w:r>
      <w:proofErr w:type="spellEnd"/>
      <w:r>
        <w:rPr>
          <w:rFonts w:ascii="Bookman Old Style" w:hAnsi="Bookman Old Style"/>
          <w:sz w:val="24"/>
          <w:szCs w:val="24"/>
        </w:rPr>
        <w:t xml:space="preserve">, </w:t>
      </w:r>
      <w:r w:rsidR="00BC38B3">
        <w:rPr>
          <w:rFonts w:ascii="Bookman Old Style" w:hAnsi="Bookman Old Style"/>
          <w:sz w:val="24"/>
          <w:szCs w:val="24"/>
        </w:rPr>
        <w:t xml:space="preserve">cumplimiento de requisitos, y/o ponderación de trayectoria, se constituye en un insumo </w:t>
      </w:r>
      <w:r w:rsidR="0093318D">
        <w:rPr>
          <w:rFonts w:ascii="Bookman Old Style" w:hAnsi="Bookman Old Style"/>
          <w:sz w:val="24"/>
          <w:szCs w:val="24"/>
        </w:rPr>
        <w:t>referencial no vinculante para</w:t>
      </w:r>
      <w:r w:rsidR="00BC38B3">
        <w:rPr>
          <w:rFonts w:ascii="Bookman Old Style" w:hAnsi="Bookman Old Style"/>
          <w:sz w:val="24"/>
          <w:szCs w:val="24"/>
        </w:rPr>
        <w:t xml:space="preserve"> la Comisión, quien en función del análisis de todos los postulantes presentará al pleno del Concejo una terna para la designación final del premio por parte del legislativo municipal.</w:t>
      </w:r>
    </w:p>
    <w:p w:rsidR="00C36BB3" w:rsidRPr="00C36BB3" w:rsidRDefault="00C36BB3" w:rsidP="00C36BB3">
      <w:pPr>
        <w:jc w:val="both"/>
        <w:rPr>
          <w:rFonts w:ascii="Bookman Old Style" w:hAnsi="Bookman Old Style"/>
          <w:sz w:val="24"/>
          <w:szCs w:val="24"/>
        </w:rPr>
      </w:pPr>
    </w:p>
    <w:p w:rsidR="00930856" w:rsidRPr="00930856" w:rsidRDefault="00930856" w:rsidP="00930856">
      <w:pPr>
        <w:autoSpaceDE w:val="0"/>
        <w:autoSpaceDN w:val="0"/>
        <w:adjustRightInd w:val="0"/>
        <w:spacing w:after="0" w:line="240" w:lineRule="auto"/>
        <w:jc w:val="both"/>
        <w:rPr>
          <w:rFonts w:ascii="Bookman Old Style" w:hAnsi="Bookman Old Style"/>
          <w:sz w:val="24"/>
          <w:szCs w:val="24"/>
        </w:rPr>
      </w:pPr>
      <w:r w:rsidRPr="00930856">
        <w:rPr>
          <w:rFonts w:ascii="Bookman Old Style" w:hAnsi="Bookman Old Style"/>
          <w:b/>
          <w:sz w:val="24"/>
          <w:szCs w:val="24"/>
        </w:rPr>
        <w:t>Disposición Final. -</w:t>
      </w:r>
      <w:r w:rsidRPr="00930856">
        <w:rPr>
          <w:rFonts w:ascii="Bookman Old Style" w:hAnsi="Bookman Old Style"/>
          <w:sz w:val="24"/>
          <w:szCs w:val="24"/>
        </w:rPr>
        <w:t xml:space="preserve"> La presente ordenanza entrará en vigencia a partir de su sanción sin perjuicio de su publicación </w:t>
      </w:r>
      <w:r w:rsidRPr="00930856">
        <w:rPr>
          <w:rFonts w:ascii="Bookman Old Style" w:hAnsi="Bookman Old Style" w:cs="Times New Roman"/>
          <w:sz w:val="24"/>
          <w:szCs w:val="24"/>
        </w:rPr>
        <w:t xml:space="preserve">en la Gaceta Oficial, en el dominio web de la institución y en el Registro Oficial. </w:t>
      </w:r>
    </w:p>
    <w:p w:rsidR="00930856" w:rsidRPr="00E23240" w:rsidRDefault="00930856" w:rsidP="00930856">
      <w:pPr>
        <w:rPr>
          <w:rFonts w:ascii="Garamond" w:hAnsi="Garamond"/>
          <w:sz w:val="24"/>
          <w:szCs w:val="24"/>
        </w:rPr>
      </w:pPr>
    </w:p>
    <w:p w:rsidR="00411211" w:rsidRPr="00C36BB3" w:rsidRDefault="00411211" w:rsidP="00C36BB3">
      <w:pPr>
        <w:jc w:val="both"/>
        <w:rPr>
          <w:rFonts w:ascii="Bookman Old Style" w:hAnsi="Bookman Old Style"/>
        </w:rPr>
      </w:pPr>
      <w:bookmarkStart w:id="0" w:name="_GoBack"/>
      <w:bookmarkEnd w:id="0"/>
    </w:p>
    <w:sectPr w:rsidR="00411211" w:rsidRPr="00C36B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Bookman Old Style">
    <w:charset w:val="00"/>
    <w:family w:val="roman"/>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11"/>
    <w:rsid w:val="00063E62"/>
    <w:rsid w:val="0007467D"/>
    <w:rsid w:val="00175D22"/>
    <w:rsid w:val="00411211"/>
    <w:rsid w:val="00463F5E"/>
    <w:rsid w:val="004929F3"/>
    <w:rsid w:val="006C13FC"/>
    <w:rsid w:val="007B282C"/>
    <w:rsid w:val="008955E0"/>
    <w:rsid w:val="00930856"/>
    <w:rsid w:val="0093318D"/>
    <w:rsid w:val="00BC38B3"/>
    <w:rsid w:val="00C36BB3"/>
    <w:rsid w:val="00D162C1"/>
    <w:rsid w:val="00D16BEF"/>
    <w:rsid w:val="00F459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3CC1-F8B3-4811-BA5D-F23F26D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28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Jaramillo Chicaiza</dc:creator>
  <cp:keywords/>
  <dc:description/>
  <cp:lastModifiedBy>Carlos Alberto Jaramillo Chicaiza</cp:lastModifiedBy>
  <cp:revision>2</cp:revision>
  <cp:lastPrinted>2022-05-31T15:50:00Z</cp:lastPrinted>
  <dcterms:created xsi:type="dcterms:W3CDTF">2022-09-21T14:28:00Z</dcterms:created>
  <dcterms:modified xsi:type="dcterms:W3CDTF">2022-09-21T14:28:00Z</dcterms:modified>
</cp:coreProperties>
</file>