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EXPOSICIÓN DE MOTIVOS</w:t>
      </w:r>
    </w:p>
    <w:p w14:paraId="00000002" w14:textId="77777777" w:rsidR="00706BCA" w:rsidRPr="00B376DD" w:rsidRDefault="00706BCA" w:rsidP="00B376DD">
      <w:pPr>
        <w:jc w:val="both"/>
        <w:rPr>
          <w:rFonts w:ascii="Times New Roman" w:eastAsia="Times New Roman" w:hAnsi="Times New Roman" w:cs="Times New Roman"/>
          <w:sz w:val="28"/>
          <w:szCs w:val="28"/>
        </w:rPr>
      </w:pPr>
    </w:p>
    <w:p w14:paraId="00000003"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Las dinámicas urbanas de Quito, ha provocado una obligatoria reconfiguración en los límites de la parroquia rural de Amaguaña, particularmente el límite occidental de la parroquia que colinda con el área urbana de Quito, la Av. Simón Bolívar, ubicada en la parte superior de la falla de Quito se convierte entonces en la vía divisoria entre parroquias, sin existir conflicto entre los ciudadanos, y en aras de generar mayor operatividad administrativa,  gestión y atención a la población, se propone que varios predios y zonas bajo la Av. Simón Bolívar, se incorporen a la parroquia rural de Amaguaña.</w:t>
      </w:r>
    </w:p>
    <w:p w14:paraId="00000004" w14:textId="77777777" w:rsidR="00706BCA" w:rsidRPr="00B376DD" w:rsidRDefault="00706BCA" w:rsidP="00B376DD">
      <w:pPr>
        <w:jc w:val="both"/>
        <w:rPr>
          <w:rFonts w:ascii="Times New Roman" w:eastAsia="Times New Roman" w:hAnsi="Times New Roman" w:cs="Times New Roman"/>
          <w:sz w:val="28"/>
          <w:szCs w:val="28"/>
        </w:rPr>
      </w:pPr>
    </w:p>
    <w:p w14:paraId="00000005" w14:textId="3302C6B6"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El Barrio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constituye una franja ubicada bajo el canal Pita-Tambo en el sector sur de la ciudad de Quito. </w:t>
      </w:r>
      <w:r w:rsidR="00B376DD" w:rsidRPr="00B376DD">
        <w:rPr>
          <w:rFonts w:ascii="Times New Roman" w:eastAsia="Times New Roman" w:hAnsi="Times New Roman" w:cs="Times New Roman"/>
          <w:sz w:val="28"/>
          <w:szCs w:val="28"/>
        </w:rPr>
        <w:t>Este barrio no ha</w:t>
      </w:r>
      <w:r w:rsidRPr="00B376DD">
        <w:rPr>
          <w:rFonts w:ascii="Times New Roman" w:eastAsia="Times New Roman" w:hAnsi="Times New Roman" w:cs="Times New Roman"/>
          <w:sz w:val="28"/>
          <w:szCs w:val="28"/>
        </w:rPr>
        <w:t xml:space="preserve"> podido ser atendido adecuadamente con: obras de </w:t>
      </w:r>
      <w:r w:rsidR="00B376DD" w:rsidRPr="00B376DD">
        <w:rPr>
          <w:rFonts w:ascii="Times New Roman" w:eastAsia="Times New Roman" w:hAnsi="Times New Roman" w:cs="Times New Roman"/>
          <w:sz w:val="28"/>
          <w:szCs w:val="28"/>
        </w:rPr>
        <w:t>infraestructura, préstamo</w:t>
      </w:r>
      <w:r w:rsidRPr="00B376DD">
        <w:rPr>
          <w:rFonts w:ascii="Times New Roman" w:eastAsia="Times New Roman" w:hAnsi="Times New Roman" w:cs="Times New Roman"/>
          <w:sz w:val="28"/>
          <w:szCs w:val="28"/>
        </w:rPr>
        <w:t xml:space="preserve"> de maquinaria, presupuestos participativos, servicios básicos, diseño de trazados viales, entre otras; debido a la falta de claridad de actuación del nivel operativo, es decir, las administraciones Zonales, suponiendo un conflicto de límites entre la parroquia rural de Amaguaña y la parroquia urbana de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w:t>
      </w:r>
    </w:p>
    <w:p w14:paraId="00000006" w14:textId="77777777" w:rsidR="00706BCA" w:rsidRPr="00B376DD" w:rsidRDefault="00706BCA" w:rsidP="00B376DD">
      <w:pPr>
        <w:jc w:val="both"/>
        <w:rPr>
          <w:rFonts w:ascii="Times New Roman" w:eastAsia="Times New Roman" w:hAnsi="Times New Roman" w:cs="Times New Roman"/>
          <w:sz w:val="28"/>
          <w:szCs w:val="28"/>
        </w:rPr>
      </w:pPr>
    </w:p>
    <w:p w14:paraId="00000007"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El límite Territorial de la Parroquia Amaguaña está determinado en el Acuerdo Ministerial Nº 3058, publicado en el Registro Oficial Nº 342 del 22 de diciembre de 1993, que aprueba la ordenanza de reglamentación metropolitana de Quito 3058, esta no incluye a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es decir este barrio es parte de la actual parroquia urbana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a cargo de la </w:t>
      </w:r>
      <w:proofErr w:type="spellStart"/>
      <w:r w:rsidRPr="00B376DD">
        <w:rPr>
          <w:rFonts w:ascii="Times New Roman" w:eastAsia="Times New Roman" w:hAnsi="Times New Roman" w:cs="Times New Roman"/>
          <w:sz w:val="28"/>
          <w:szCs w:val="28"/>
        </w:rPr>
        <w:t>Administraciòn</w:t>
      </w:r>
      <w:proofErr w:type="spellEnd"/>
      <w:r w:rsidRPr="00B376DD">
        <w:rPr>
          <w:rFonts w:ascii="Times New Roman" w:eastAsia="Times New Roman" w:hAnsi="Times New Roman" w:cs="Times New Roman"/>
          <w:sz w:val="28"/>
          <w:szCs w:val="28"/>
        </w:rPr>
        <w:t xml:space="preserve"> Zonal Quitumbe, facultada para atender a este barrio.</w:t>
      </w:r>
    </w:p>
    <w:p w14:paraId="00000008" w14:textId="77777777" w:rsidR="00706BCA" w:rsidRPr="00B376DD" w:rsidRDefault="00706BCA" w:rsidP="00B376DD">
      <w:pPr>
        <w:jc w:val="both"/>
        <w:rPr>
          <w:rFonts w:ascii="Times New Roman" w:eastAsia="Times New Roman" w:hAnsi="Times New Roman" w:cs="Times New Roman"/>
          <w:sz w:val="28"/>
          <w:szCs w:val="28"/>
        </w:rPr>
      </w:pPr>
    </w:p>
    <w:p w14:paraId="00000009" w14:textId="40733978"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A pesar de que 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pertenece a la parroquia urbana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la población tiene un lazo territorial y cultural, e incluso catastral con la parroquia de Amaguaña, misma que articula con la Administración Zonal Los Chillos. La </w:t>
      </w:r>
      <w:r w:rsidR="00B376DD" w:rsidRPr="00B376DD">
        <w:rPr>
          <w:rFonts w:ascii="Times New Roman" w:eastAsia="Times New Roman" w:hAnsi="Times New Roman" w:cs="Times New Roman"/>
          <w:sz w:val="28"/>
          <w:szCs w:val="28"/>
        </w:rPr>
        <w:t>población desarrolla</w:t>
      </w:r>
      <w:r w:rsidRPr="00B376DD">
        <w:rPr>
          <w:rFonts w:ascii="Times New Roman" w:eastAsia="Times New Roman" w:hAnsi="Times New Roman" w:cs="Times New Roman"/>
          <w:sz w:val="28"/>
          <w:szCs w:val="28"/>
        </w:rPr>
        <w:t xml:space="preserve">, reproduce la vida y cotidianidad en esta parroquia, por ejemplo, en el ámbito educativo, electoral, religioso, laboral, </w:t>
      </w:r>
      <w:proofErr w:type="spellStart"/>
      <w:r w:rsidRPr="00B376DD">
        <w:rPr>
          <w:rFonts w:ascii="Times New Roman" w:eastAsia="Times New Roman" w:hAnsi="Times New Roman" w:cs="Times New Roman"/>
          <w:sz w:val="28"/>
          <w:szCs w:val="28"/>
        </w:rPr>
        <w:t>etc</w:t>
      </w:r>
      <w:proofErr w:type="spellEnd"/>
      <w:r w:rsidRPr="00B376DD">
        <w:rPr>
          <w:rFonts w:ascii="Times New Roman" w:eastAsia="Times New Roman" w:hAnsi="Times New Roman" w:cs="Times New Roman"/>
          <w:sz w:val="28"/>
          <w:szCs w:val="28"/>
        </w:rPr>
        <w:t xml:space="preserve">; en ese sentido, la </w:t>
      </w:r>
      <w:r w:rsidR="00B376DD" w:rsidRPr="00B376DD">
        <w:rPr>
          <w:rFonts w:ascii="Times New Roman" w:eastAsia="Times New Roman" w:hAnsi="Times New Roman" w:cs="Times New Roman"/>
          <w:sz w:val="28"/>
          <w:szCs w:val="28"/>
        </w:rPr>
        <w:t>Administración</w:t>
      </w:r>
      <w:r w:rsidRPr="00B376DD">
        <w:rPr>
          <w:rFonts w:ascii="Times New Roman" w:eastAsia="Times New Roman" w:hAnsi="Times New Roman" w:cs="Times New Roman"/>
          <w:sz w:val="28"/>
          <w:szCs w:val="28"/>
        </w:rPr>
        <w:t xml:space="preserve"> Zonal Los Chillos a atendido dentro de sus posibilidades a ciertos requerimientos ciudadanos, y el catastro municipal identifica a más de 150 predios de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como parte de la parroquia de Amaguaña, contradiciendo la Ordenanza de </w:t>
      </w:r>
      <w:r w:rsidR="00B376DD" w:rsidRPr="00B376DD">
        <w:rPr>
          <w:rFonts w:ascii="Times New Roman" w:eastAsia="Times New Roman" w:hAnsi="Times New Roman" w:cs="Times New Roman"/>
          <w:sz w:val="28"/>
          <w:szCs w:val="28"/>
        </w:rPr>
        <w:t>límites</w:t>
      </w:r>
      <w:r w:rsidRPr="00B376DD">
        <w:rPr>
          <w:rFonts w:ascii="Times New Roman" w:eastAsia="Times New Roman" w:hAnsi="Times New Roman" w:cs="Times New Roman"/>
          <w:sz w:val="28"/>
          <w:szCs w:val="28"/>
        </w:rPr>
        <w:t xml:space="preserve"> parroquiales.</w:t>
      </w:r>
    </w:p>
    <w:p w14:paraId="0000000A" w14:textId="77777777" w:rsidR="00706BCA" w:rsidRPr="00B376DD" w:rsidRDefault="00706BCA" w:rsidP="00B376DD">
      <w:pPr>
        <w:jc w:val="both"/>
        <w:rPr>
          <w:rFonts w:ascii="Times New Roman" w:eastAsia="Times New Roman" w:hAnsi="Times New Roman" w:cs="Times New Roman"/>
          <w:sz w:val="28"/>
          <w:szCs w:val="28"/>
        </w:rPr>
      </w:pPr>
    </w:p>
    <w:p w14:paraId="0000000B" w14:textId="611E22B6"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lastRenderedPageBreak/>
        <w:t xml:space="preserve">En otras </w:t>
      </w:r>
      <w:r w:rsidR="00B376DD" w:rsidRPr="00B376DD">
        <w:rPr>
          <w:rFonts w:ascii="Times New Roman" w:eastAsia="Times New Roman" w:hAnsi="Times New Roman" w:cs="Times New Roman"/>
          <w:sz w:val="28"/>
          <w:szCs w:val="28"/>
        </w:rPr>
        <w:t>palabras,</w:t>
      </w:r>
      <w:r w:rsidRPr="00B376DD">
        <w:rPr>
          <w:rFonts w:ascii="Times New Roman" w:eastAsia="Times New Roman" w:hAnsi="Times New Roman" w:cs="Times New Roman"/>
          <w:sz w:val="28"/>
          <w:szCs w:val="28"/>
        </w:rPr>
        <w:t xml:space="preserve"> los límites parroquiales Amaguaña -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no coinciden con los límites jurisdiccionales de las Administraciones Zonales. Por lo antes expuesto y con la finalidad de que la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sea atendida oportunamente tanto por el GAD Parroquial de Amaguaña, </w:t>
      </w:r>
      <w:r w:rsidR="00B376DD" w:rsidRPr="00B376DD">
        <w:rPr>
          <w:rFonts w:ascii="Times New Roman" w:eastAsia="Times New Roman" w:hAnsi="Times New Roman" w:cs="Times New Roman"/>
          <w:sz w:val="28"/>
          <w:szCs w:val="28"/>
        </w:rPr>
        <w:t>así</w:t>
      </w:r>
      <w:r w:rsidRPr="00B376DD">
        <w:rPr>
          <w:rFonts w:ascii="Times New Roman" w:eastAsia="Times New Roman" w:hAnsi="Times New Roman" w:cs="Times New Roman"/>
          <w:sz w:val="28"/>
          <w:szCs w:val="28"/>
        </w:rPr>
        <w:t xml:space="preserve"> como por la </w:t>
      </w:r>
      <w:r w:rsidR="00B376DD" w:rsidRPr="00B376DD">
        <w:rPr>
          <w:rFonts w:ascii="Times New Roman" w:eastAsia="Times New Roman" w:hAnsi="Times New Roman" w:cs="Times New Roman"/>
          <w:sz w:val="28"/>
          <w:szCs w:val="28"/>
        </w:rPr>
        <w:t>Administración</w:t>
      </w:r>
      <w:r w:rsidRPr="00B376DD">
        <w:rPr>
          <w:rFonts w:ascii="Times New Roman" w:eastAsia="Times New Roman" w:hAnsi="Times New Roman" w:cs="Times New Roman"/>
          <w:sz w:val="28"/>
          <w:szCs w:val="28"/>
        </w:rPr>
        <w:t xml:space="preserve"> Zonal los Chillos, es necesario la reforma de la Ordenanza que determina los Límites parroquiales, </w:t>
      </w:r>
      <w:r w:rsidR="00B376DD" w:rsidRPr="00B376DD">
        <w:rPr>
          <w:rFonts w:ascii="Times New Roman" w:eastAsia="Times New Roman" w:hAnsi="Times New Roman" w:cs="Times New Roman"/>
          <w:sz w:val="28"/>
          <w:szCs w:val="28"/>
        </w:rPr>
        <w:t>ajustándola</w:t>
      </w:r>
      <w:r w:rsidRPr="00B376DD">
        <w:rPr>
          <w:rFonts w:ascii="Times New Roman" w:eastAsia="Times New Roman" w:hAnsi="Times New Roman" w:cs="Times New Roman"/>
          <w:sz w:val="28"/>
          <w:szCs w:val="28"/>
        </w:rPr>
        <w:t xml:space="preserve"> a los </w:t>
      </w:r>
      <w:r w:rsidR="00B376DD" w:rsidRPr="00B376DD">
        <w:rPr>
          <w:rFonts w:ascii="Times New Roman" w:eastAsia="Times New Roman" w:hAnsi="Times New Roman" w:cs="Times New Roman"/>
          <w:sz w:val="28"/>
          <w:szCs w:val="28"/>
        </w:rPr>
        <w:t>límites</w:t>
      </w:r>
      <w:r w:rsidRPr="00B376DD">
        <w:rPr>
          <w:rFonts w:ascii="Times New Roman" w:eastAsia="Times New Roman" w:hAnsi="Times New Roman" w:cs="Times New Roman"/>
          <w:sz w:val="28"/>
          <w:szCs w:val="28"/>
        </w:rPr>
        <w:t xml:space="preserve"> de la </w:t>
      </w:r>
      <w:r w:rsidR="00B376DD" w:rsidRPr="00B376DD">
        <w:rPr>
          <w:rFonts w:ascii="Times New Roman" w:eastAsia="Times New Roman" w:hAnsi="Times New Roman" w:cs="Times New Roman"/>
          <w:sz w:val="28"/>
          <w:szCs w:val="28"/>
        </w:rPr>
        <w:t>jurisdicción</w:t>
      </w:r>
      <w:r w:rsidRPr="00B376DD">
        <w:rPr>
          <w:rFonts w:ascii="Times New Roman" w:eastAsia="Times New Roman" w:hAnsi="Times New Roman" w:cs="Times New Roman"/>
          <w:sz w:val="28"/>
          <w:szCs w:val="28"/>
        </w:rPr>
        <w:t xml:space="preserve"> de las Administraciones Zonales.</w:t>
      </w:r>
    </w:p>
    <w:p w14:paraId="0000000C" w14:textId="77777777" w:rsidR="00706BCA" w:rsidRPr="00B376DD" w:rsidRDefault="00706BCA" w:rsidP="00B376DD">
      <w:pPr>
        <w:spacing w:before="240" w:after="240"/>
        <w:jc w:val="both"/>
        <w:rPr>
          <w:rFonts w:ascii="Times New Roman" w:eastAsia="Times New Roman" w:hAnsi="Times New Roman" w:cs="Times New Roman"/>
          <w:b/>
          <w:sz w:val="28"/>
          <w:szCs w:val="28"/>
        </w:rPr>
      </w:pPr>
    </w:p>
    <w:p w14:paraId="2F86BB30" w14:textId="77777777" w:rsidR="00B376DD" w:rsidRDefault="00B376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0D" w14:textId="0C4E3653"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lastRenderedPageBreak/>
        <w:t>EL CONCEJO METROPOLITANO DE QUITO</w:t>
      </w:r>
    </w:p>
    <w:p w14:paraId="0000000E" w14:textId="77777777"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 xml:space="preserve">Vistos los Informes Nos.: IC-xx, de xx de xx de 2022, expedidos por la Comisión de Desarrollo Parroquial. </w:t>
      </w:r>
    </w:p>
    <w:p w14:paraId="0000000F" w14:textId="77777777"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CONSIDERANDO:</w:t>
      </w:r>
    </w:p>
    <w:p w14:paraId="00000010"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Constitución de la República del Ecuador, en su artículo 238 señala que </w:t>
      </w:r>
      <w:r w:rsidRPr="00B376DD">
        <w:rPr>
          <w:rFonts w:ascii="Times New Roman" w:eastAsia="Times New Roman" w:hAnsi="Times New Roman" w:cs="Times New Roman"/>
          <w:i/>
          <w:sz w:val="28"/>
          <w:szCs w:val="28"/>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1"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sz w:val="28"/>
          <w:szCs w:val="28"/>
        </w:rPr>
        <w:t>,</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el artículo 240 de la Constitución determina que </w:t>
      </w:r>
      <w:r w:rsidRPr="00B376DD">
        <w:rPr>
          <w:rFonts w:ascii="Times New Roman" w:eastAsia="Times New Roman" w:hAnsi="Times New Roman" w:cs="Times New Roman"/>
          <w:i/>
          <w:sz w:val="28"/>
          <w:szCs w:val="28"/>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00000012"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i/>
          <w:sz w:val="28"/>
          <w:szCs w:val="28"/>
        </w:rPr>
        <w:t>Todos los gobiernos autónomos descentralizados ejercerán facultades ejecutivas en el ámbito de sus competencias y jurisdicciones territoriales”.</w:t>
      </w:r>
    </w:p>
    <w:p w14:paraId="00000013" w14:textId="77777777" w:rsidR="00706BCA" w:rsidRPr="00B376DD" w:rsidRDefault="00E57E6E" w:rsidP="00B376DD">
      <w:pPr>
        <w:spacing w:before="240" w:after="240"/>
        <w:jc w:val="both"/>
        <w:rPr>
          <w:rFonts w:ascii="Times New Roman" w:eastAsia="Times New Roman" w:hAnsi="Times New Roman" w:cs="Times New Roman"/>
          <w:b/>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sz w:val="28"/>
          <w:szCs w:val="28"/>
        </w:rPr>
        <w:t xml:space="preserve"> el Código Orgánico de Organización Territorial, </w:t>
      </w:r>
      <w:proofErr w:type="spellStart"/>
      <w:r w:rsidRPr="00B376DD">
        <w:rPr>
          <w:rFonts w:ascii="Times New Roman" w:eastAsia="Times New Roman" w:hAnsi="Times New Roman" w:cs="Times New Roman"/>
          <w:sz w:val="28"/>
          <w:szCs w:val="28"/>
        </w:rPr>
        <w:t>Autonomìa</w:t>
      </w:r>
      <w:proofErr w:type="spellEnd"/>
      <w:r w:rsidRPr="00B376DD">
        <w:rPr>
          <w:rFonts w:ascii="Times New Roman" w:eastAsia="Times New Roman" w:hAnsi="Times New Roman" w:cs="Times New Roman"/>
          <w:sz w:val="28"/>
          <w:szCs w:val="28"/>
        </w:rPr>
        <w:t xml:space="preserve"> y descentralización (COOTAD) determina en su artículo 5 que “</w:t>
      </w:r>
      <w:r w:rsidRPr="00B376DD">
        <w:rPr>
          <w:rFonts w:ascii="Times New Roman" w:eastAsia="Times New Roman" w:hAnsi="Times New Roman" w:cs="Times New Roman"/>
          <w:i/>
          <w:sz w:val="28"/>
          <w:szCs w:val="28"/>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r w:rsidRPr="00B376DD">
        <w:rPr>
          <w:rFonts w:ascii="Times New Roman" w:eastAsia="Times New Roman" w:hAnsi="Times New Roman" w:cs="Times New Roman"/>
          <w:b/>
          <w:i/>
          <w:sz w:val="28"/>
          <w:szCs w:val="28"/>
        </w:rPr>
        <w:t>.</w:t>
      </w:r>
    </w:p>
    <w:p w14:paraId="00000014"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i/>
          <w:sz w:val="28"/>
          <w:szCs w:val="28"/>
        </w:rPr>
        <w:t>Que,</w:t>
      </w:r>
      <w:r w:rsidRPr="00B376DD">
        <w:rPr>
          <w:rFonts w:ascii="Times New Roman" w:eastAsia="Times New Roman" w:hAnsi="Times New Roman" w:cs="Times New Roman"/>
          <w:i/>
          <w:sz w:val="28"/>
          <w:szCs w:val="28"/>
        </w:rPr>
        <w:t xml:space="preserve"> el artículo 87 del COOTAD en su literal a), señala que “Se determina la facultad normativa del gobierno autónomo descentralizado metropolitano en materias de su competencia mediante la expedición de ordenanzas metropolitanas, acuerdos y resoluciones”.</w:t>
      </w:r>
    </w:p>
    <w:p w14:paraId="00000015"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el artículo 87 del COOTAD en su literal x) determina que </w:t>
      </w:r>
      <w:r w:rsidRPr="00B376DD">
        <w:rPr>
          <w:rFonts w:ascii="Times New Roman" w:eastAsia="Times New Roman" w:hAnsi="Times New Roman" w:cs="Times New Roman"/>
          <w:i/>
          <w:sz w:val="28"/>
          <w:szCs w:val="28"/>
        </w:rPr>
        <w:t xml:space="preserve">“Regular mediante ordenanza la delimitación de los barrios y parroquias urbanas </w:t>
      </w:r>
      <w:r w:rsidRPr="00B376DD">
        <w:rPr>
          <w:rFonts w:ascii="Times New Roman" w:eastAsia="Times New Roman" w:hAnsi="Times New Roman" w:cs="Times New Roman"/>
          <w:i/>
          <w:sz w:val="28"/>
          <w:szCs w:val="28"/>
        </w:rPr>
        <w:lastRenderedPageBreak/>
        <w:t xml:space="preserve">tomando en cuenta la configuración territorial, identidad, historia, necesidades urbanísticas y administrativas y la aplicación del principio de equidad </w:t>
      </w:r>
      <w:proofErr w:type="spellStart"/>
      <w:r w:rsidRPr="00B376DD">
        <w:rPr>
          <w:rFonts w:ascii="Times New Roman" w:eastAsia="Times New Roman" w:hAnsi="Times New Roman" w:cs="Times New Roman"/>
          <w:i/>
          <w:sz w:val="28"/>
          <w:szCs w:val="28"/>
        </w:rPr>
        <w:t>interbarrial</w:t>
      </w:r>
      <w:proofErr w:type="spellEnd"/>
      <w:r w:rsidRPr="00B376DD">
        <w:rPr>
          <w:rFonts w:ascii="Times New Roman" w:eastAsia="Times New Roman" w:hAnsi="Times New Roman" w:cs="Times New Roman"/>
          <w:i/>
          <w:sz w:val="28"/>
          <w:szCs w:val="28"/>
        </w:rPr>
        <w:t>”.</w:t>
      </w:r>
    </w:p>
    <w:p w14:paraId="00000016"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Ley para la Fijación de Límites Territoriales Internos, en su artículo 9 señala que el </w:t>
      </w:r>
      <w:r w:rsidRPr="00B376DD">
        <w:rPr>
          <w:rFonts w:ascii="Times New Roman" w:eastAsia="Times New Roman" w:hAnsi="Times New Roman" w:cs="Times New Roman"/>
          <w:i/>
          <w:sz w:val="28"/>
          <w:szCs w:val="28"/>
        </w:rPr>
        <w:t>“Apoyo e Informe Técnico.- Los gobiernos autónomos descentralizados, en materia de fijación de límites internos que les competa negociar o resolver, contarán con la asistencia técnica del Instituto Geográfico Militar y con el informe técnico y jurídico del Comité Nacional de Límites Internos, sin el cual ninguna resolución u ordenanza tendrá el valor jurídico correspondiente.”</w:t>
      </w:r>
    </w:p>
    <w:p w14:paraId="00000017"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Ley para la Fijación de Límites Territoriales Internos, en su artículo 13 señala en el literal e) que las funciones del Comité </w:t>
      </w:r>
      <w:r w:rsidRPr="00B376DD">
        <w:rPr>
          <w:rFonts w:ascii="Times New Roman" w:eastAsia="Times New Roman" w:hAnsi="Times New Roman" w:cs="Times New Roman"/>
          <w:color w:val="FF0000"/>
          <w:sz w:val="28"/>
          <w:szCs w:val="28"/>
        </w:rPr>
        <w:t xml:space="preserve"> </w:t>
      </w:r>
      <w:r w:rsidRPr="00B376DD">
        <w:rPr>
          <w:rFonts w:ascii="Times New Roman" w:eastAsia="Times New Roman" w:hAnsi="Times New Roman" w:cs="Times New Roman"/>
          <w:sz w:val="28"/>
          <w:szCs w:val="28"/>
        </w:rPr>
        <w:t>Nacional de Límites Internos son “</w:t>
      </w:r>
      <w:r w:rsidRPr="00B376DD">
        <w:rPr>
          <w:rFonts w:ascii="Times New Roman" w:eastAsia="Times New Roman" w:hAnsi="Times New Roman" w:cs="Times New Roman"/>
          <w:i/>
          <w:sz w:val="28"/>
          <w:szCs w:val="28"/>
        </w:rPr>
        <w:t>Emitir el informe técnico de factibilidad, como requisito previo para la creación de nuevas circunscripciones territoriales o modificación de límites existentes”</w:t>
      </w:r>
    </w:p>
    <w:p w14:paraId="00000018" w14:textId="77777777" w:rsidR="00706BCA" w:rsidRPr="00B376DD" w:rsidRDefault="00E57E6E" w:rsidP="00B376DD">
      <w:pPr>
        <w:spacing w:before="240" w:after="240"/>
        <w:jc w:val="both"/>
        <w:rPr>
          <w:rFonts w:ascii="Times New Roman" w:eastAsia="Times New Roman" w:hAnsi="Times New Roman" w:cs="Times New Roman"/>
          <w:i/>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i/>
          <w:sz w:val="28"/>
          <w:szCs w:val="28"/>
        </w:rPr>
        <w:t xml:space="preserve"> </w:t>
      </w:r>
      <w:r w:rsidRPr="00B376DD">
        <w:rPr>
          <w:rFonts w:ascii="Times New Roman" w:eastAsia="Times New Roman" w:hAnsi="Times New Roman" w:cs="Times New Roman"/>
          <w:sz w:val="28"/>
          <w:szCs w:val="28"/>
        </w:rPr>
        <w:t xml:space="preserve">la Ley para la Fijación de Límites Territoriales Internos, en su artículo 20 señala que las </w:t>
      </w:r>
      <w:r w:rsidRPr="00B376DD">
        <w:rPr>
          <w:rFonts w:ascii="Times New Roman" w:eastAsia="Times New Roman" w:hAnsi="Times New Roman" w:cs="Times New Roman"/>
          <w:i/>
          <w:sz w:val="28"/>
          <w:szCs w:val="28"/>
        </w:rPr>
        <w:t>“Normas comunes a todos los procedimientos. - Los procedimientos de solución de conflictos en materia de fijación de límites internos se guiarán por las siguientes normas comunes”, en el literal determina “g) En aquellos casos en los que el conflicto de indefinición territorial verse sobre parroquias rurales, la solución que se logre será vinculante para el respectivo gobierno autónomo cantonal en la expedición de la correspondiente ordenanza”.</w:t>
      </w:r>
    </w:p>
    <w:p w14:paraId="00000019" w14:textId="77777777"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 xml:space="preserve">El Reglamento a la Ley para la Fijación de Límites Territoriales Internos, artículo 1 número 3. Suplemento Registro Oficial No. 408 de 05 de enero de 2015 determina como límite territorial legal: </w:t>
      </w:r>
      <w:r w:rsidRPr="00B376DD">
        <w:rPr>
          <w:rFonts w:ascii="Times New Roman" w:eastAsia="Times New Roman" w:hAnsi="Times New Roman" w:cs="Times New Roman"/>
          <w:i/>
          <w:sz w:val="28"/>
          <w:szCs w:val="28"/>
        </w:rPr>
        <w:t xml:space="preserve">“Es aquel que ha sido determinado por autoridad competente de conformidad con la Ley. Para el caso de los linderos territoriales provinciales y cantonales, según la normativa precedente y vigente, estos se fijan mediante ley. </w:t>
      </w:r>
      <w:r w:rsidRPr="00B376DD">
        <w:rPr>
          <w:rFonts w:ascii="Times New Roman" w:eastAsia="Times New Roman" w:hAnsi="Times New Roman" w:cs="Times New Roman"/>
          <w:b/>
          <w:i/>
          <w:sz w:val="28"/>
          <w:szCs w:val="28"/>
        </w:rPr>
        <w:t>Los límites territoriales de las parroquias rurales se definen mediante ordenanza municipal aprobada por el Ejecutivo</w:t>
      </w:r>
      <w:r w:rsidRPr="00B376DD">
        <w:rPr>
          <w:rFonts w:ascii="Times New Roman" w:eastAsia="Times New Roman" w:hAnsi="Times New Roman" w:cs="Times New Roman"/>
          <w:i/>
          <w:sz w:val="28"/>
          <w:szCs w:val="28"/>
        </w:rPr>
        <w:t xml:space="preserve">, excepto en los tramos que son colindantes con otras circunscripciones cantonales o provinciales”. </w:t>
      </w:r>
      <w:r w:rsidRPr="00B376DD">
        <w:rPr>
          <w:rFonts w:ascii="Times New Roman" w:eastAsia="Times New Roman" w:hAnsi="Times New Roman" w:cs="Times New Roman"/>
          <w:sz w:val="28"/>
          <w:szCs w:val="28"/>
        </w:rPr>
        <w:t>(Las negritas me pertenecen)</w:t>
      </w:r>
    </w:p>
    <w:p w14:paraId="0000001A"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b/>
          <w:i/>
          <w:sz w:val="28"/>
          <w:szCs w:val="28"/>
        </w:rPr>
        <w:t xml:space="preserve"> “</w:t>
      </w:r>
      <w:r w:rsidRPr="00B376DD">
        <w:rPr>
          <w:rFonts w:ascii="Times New Roman" w:eastAsia="Times New Roman" w:hAnsi="Times New Roman" w:cs="Times New Roman"/>
          <w:i/>
          <w:sz w:val="28"/>
          <w:szCs w:val="28"/>
        </w:rPr>
        <w:t xml:space="preserve">El Ministerio de Gobierno, a través de la Dirección de Articulación Política entre Niveles de Gobierno, dando cumplimiento al Decreto Ejecutivo No </w:t>
      </w:r>
      <w:r w:rsidRPr="00B376DD">
        <w:rPr>
          <w:rFonts w:ascii="Times New Roman" w:eastAsia="Times New Roman" w:hAnsi="Times New Roman" w:cs="Times New Roman"/>
          <w:i/>
          <w:sz w:val="28"/>
          <w:szCs w:val="28"/>
        </w:rPr>
        <w:lastRenderedPageBreak/>
        <w:t xml:space="preserve">1046 de 09 de mayo de 2020, que suprime la Secretaría Técnica del Comité Nacional de Límites Internos, en cumplimiento de las funciones de coordinación y asesoría prescritas en el artículo 20 literales a) y b) de la Ley para la Fijación de Límites Territoriales, publicada en el Suplemento del Registro Oficial N° 934 del 16 de abril del 2013 y literal h) del artículo 5 del Reglamento para su aplicación, formula informe referente al Diagnóstico Técnico, Jurídico y Social de los Límites Territoriales del Distrito Metropolitano de Quito y sus parroquias rurales constitutivas.” </w:t>
      </w:r>
      <w:r w:rsidRPr="00B376DD">
        <w:rPr>
          <w:rFonts w:ascii="Times New Roman" w:eastAsia="Times New Roman" w:hAnsi="Times New Roman" w:cs="Times New Roman"/>
          <w:sz w:val="28"/>
          <w:szCs w:val="28"/>
        </w:rPr>
        <w:t>y en cuyo informe concluye que</w:t>
      </w:r>
      <w:r w:rsidRPr="00B376DD">
        <w:rPr>
          <w:rFonts w:ascii="Times New Roman" w:eastAsia="Times New Roman" w:hAnsi="Times New Roman" w:cs="Times New Roman"/>
          <w:i/>
          <w:sz w:val="28"/>
          <w:szCs w:val="28"/>
        </w:rPr>
        <w:t xml:space="preserve"> “el Municipio del Distrito Metropolitano de Quito, quedó facultado para elaborar, conocer, aprobar y publicar la ordenanza correspondiente, la que deberá obligatoriamente recoger las descripciones técnicas de los límites </w:t>
      </w:r>
      <w:proofErr w:type="spellStart"/>
      <w:r w:rsidRPr="00B376DD">
        <w:rPr>
          <w:rFonts w:ascii="Times New Roman" w:eastAsia="Times New Roman" w:hAnsi="Times New Roman" w:cs="Times New Roman"/>
          <w:i/>
          <w:sz w:val="28"/>
          <w:szCs w:val="28"/>
        </w:rPr>
        <w:t>interparroquiales</w:t>
      </w:r>
      <w:proofErr w:type="spellEnd"/>
      <w:r w:rsidRPr="00B376DD">
        <w:rPr>
          <w:rFonts w:ascii="Times New Roman" w:eastAsia="Times New Roman" w:hAnsi="Times New Roman" w:cs="Times New Roman"/>
          <w:i/>
          <w:sz w:val="28"/>
          <w:szCs w:val="28"/>
        </w:rPr>
        <w:t>, constantes en los anexos de los informes referidos.”</w:t>
      </w:r>
    </w:p>
    <w:p w14:paraId="0000001B" w14:textId="77777777" w:rsidR="00706BCA" w:rsidRPr="00B376DD" w:rsidRDefault="00706BCA" w:rsidP="00B376DD">
      <w:pPr>
        <w:jc w:val="both"/>
        <w:rPr>
          <w:rFonts w:ascii="Times New Roman" w:eastAsia="Times New Roman" w:hAnsi="Times New Roman" w:cs="Times New Roman"/>
          <w:sz w:val="28"/>
          <w:szCs w:val="28"/>
        </w:rPr>
      </w:pPr>
    </w:p>
    <w:p w14:paraId="0000001C" w14:textId="77777777"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la Subsecretaría de articulación intergubernamental, del Ministerio de Gobierno, mediante Oficio Nro. MDG-VDG-SDI-2021-0029-O, de 05 de marzo de 2021, establece los documentos técnico geográfico, jurídico y social que sustente la necesidad de modificación del límite territorial., para la emisión del informe técnico de factibilidad.</w:t>
      </w:r>
    </w:p>
    <w:p w14:paraId="0000001D" w14:textId="4953EBE5"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 xml:space="preserve">mediante oficios del 04 de agosto del 2021 y 19 de abril de 2022, suscritos por la Sra. Martha Pacheco, presidenta del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solicita la Re </w:t>
      </w:r>
      <w:r w:rsidR="00B376DD" w:rsidRPr="00B376DD">
        <w:rPr>
          <w:rFonts w:ascii="Times New Roman" w:eastAsia="Times New Roman" w:hAnsi="Times New Roman" w:cs="Times New Roman"/>
          <w:sz w:val="28"/>
          <w:szCs w:val="28"/>
        </w:rPr>
        <w:t>delimitación y</w:t>
      </w:r>
      <w:r w:rsidRPr="00B376DD">
        <w:rPr>
          <w:rFonts w:ascii="Times New Roman" w:eastAsia="Times New Roman" w:hAnsi="Times New Roman" w:cs="Times New Roman"/>
          <w:sz w:val="28"/>
          <w:szCs w:val="28"/>
        </w:rPr>
        <w:t xml:space="preserve">/o modificación del límite occidental de la parroquia Amaguaña hasta la Av. Simón Bolívar con la finalidad de </w:t>
      </w:r>
      <w:r w:rsidR="00B376DD" w:rsidRPr="00B376DD">
        <w:rPr>
          <w:rFonts w:ascii="Times New Roman" w:eastAsia="Times New Roman" w:hAnsi="Times New Roman" w:cs="Times New Roman"/>
          <w:sz w:val="28"/>
          <w:szCs w:val="28"/>
        </w:rPr>
        <w:t>que,</w:t>
      </w:r>
      <w:r w:rsidRPr="00B376DD">
        <w:rPr>
          <w:rFonts w:ascii="Times New Roman" w:eastAsia="Times New Roman" w:hAnsi="Times New Roman" w:cs="Times New Roman"/>
          <w:sz w:val="28"/>
          <w:szCs w:val="28"/>
        </w:rPr>
        <w:t xml:space="preserve"> entre otros predios, 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pertenezca legalmente a la Parroquia de Amaguaña,</w:t>
      </w:r>
    </w:p>
    <w:p w14:paraId="0000001E" w14:textId="338D91C0"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Que, </w:t>
      </w:r>
      <w:r w:rsidRPr="00B376DD">
        <w:rPr>
          <w:rFonts w:ascii="Times New Roman" w:eastAsia="Times New Roman" w:hAnsi="Times New Roman" w:cs="Times New Roman"/>
          <w:sz w:val="28"/>
          <w:szCs w:val="28"/>
        </w:rPr>
        <w:t xml:space="preserve">mediante oficio Nro. STHV-2022-0635-O, de 04 de mayo de 2022, la Secretaría de Territorio Hábitat y Vivienda remite el Informe Técnico Nro. IT-STHV-DMPPS-2022-0077, justifica la modificación de la Ordenanza Metropolitana Nro. 3050 que fija los límites entre la parroquia urbana de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y la parroquia rural de Amaguaña.</w:t>
      </w:r>
    </w:p>
    <w:p w14:paraId="0000001F" w14:textId="512A6FE5" w:rsidR="00706BCA" w:rsidRPr="00B376DD" w:rsidRDefault="00E57E6E" w:rsidP="00B376DD">
      <w:pPr>
        <w:spacing w:before="240" w:after="240"/>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Que</w:t>
      </w:r>
      <w:r w:rsidRPr="00B376DD">
        <w:rPr>
          <w:rFonts w:ascii="Times New Roman" w:eastAsia="Times New Roman" w:hAnsi="Times New Roman" w:cs="Times New Roman"/>
          <w:sz w:val="28"/>
          <w:szCs w:val="28"/>
        </w:rPr>
        <w:t xml:space="preserve">, es necesaria la incorporación del barrio Libertad de </w:t>
      </w:r>
      <w:proofErr w:type="spellStart"/>
      <w:r w:rsidRPr="00B376DD">
        <w:rPr>
          <w:rFonts w:ascii="Times New Roman" w:eastAsia="Times New Roman" w:hAnsi="Times New Roman" w:cs="Times New Roman"/>
          <w:sz w:val="28"/>
          <w:szCs w:val="28"/>
        </w:rPr>
        <w:t>Catahuango</w:t>
      </w:r>
      <w:proofErr w:type="spellEnd"/>
      <w:r w:rsidRPr="00B376DD">
        <w:rPr>
          <w:rFonts w:ascii="Times New Roman" w:eastAsia="Times New Roman" w:hAnsi="Times New Roman" w:cs="Times New Roman"/>
          <w:sz w:val="28"/>
          <w:szCs w:val="28"/>
        </w:rPr>
        <w:t xml:space="preserve">, así como los predios ubicados bajo la Avenida Simón Bolívar al sur de Quito, a la parroquia Rural de Amaguaña, debido a la cercanía y sentido de pertenencia que tiene la población con la parroquia de Amaguaña, así como la importancia de que estos sectores puedan ser atendidos oportunamente en la provisión de </w:t>
      </w:r>
      <w:r w:rsidR="00B376DD" w:rsidRPr="00B376DD">
        <w:rPr>
          <w:rFonts w:ascii="Times New Roman" w:eastAsia="Times New Roman" w:hAnsi="Times New Roman" w:cs="Times New Roman"/>
          <w:sz w:val="28"/>
          <w:szCs w:val="28"/>
        </w:rPr>
        <w:t>servicios por</w:t>
      </w:r>
      <w:r w:rsidRPr="00B376DD">
        <w:rPr>
          <w:rFonts w:ascii="Times New Roman" w:eastAsia="Times New Roman" w:hAnsi="Times New Roman" w:cs="Times New Roman"/>
          <w:sz w:val="28"/>
          <w:szCs w:val="28"/>
        </w:rPr>
        <w:t xml:space="preserve"> los entes competentes.</w:t>
      </w:r>
    </w:p>
    <w:p w14:paraId="00000021" w14:textId="77777777" w:rsidR="00706BCA" w:rsidRPr="00B376DD" w:rsidRDefault="00E57E6E" w:rsidP="00B376DD">
      <w:pPr>
        <w:spacing w:before="240" w:after="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lastRenderedPageBreak/>
        <w:t>EXPIDE LA SIGUIENTE:</w:t>
      </w:r>
    </w:p>
    <w:p w14:paraId="00000022" w14:textId="77777777" w:rsidR="00706BCA" w:rsidRPr="00B376DD" w:rsidRDefault="00E57E6E" w:rsidP="00B376DD">
      <w:pPr>
        <w:spacing w:before="240"/>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ORDENANZA METROPOLITANA REFORMATORIA DE LA ORDENANZA NRO. 3058 QUE ESTABLECE LA REGLAMENTACIÓN METROPOLITANA DE QUITO, QUE FIJA LOS LÍMITES DEL ÁREA METROPOLITANA Y DE LA CIUDAD DE QUITO</w:t>
      </w:r>
    </w:p>
    <w:p w14:paraId="00000023" w14:textId="77777777" w:rsidR="00706BCA" w:rsidRPr="00B376DD" w:rsidRDefault="00706BCA" w:rsidP="00B376DD">
      <w:pPr>
        <w:jc w:val="both"/>
        <w:rPr>
          <w:rFonts w:ascii="Times New Roman" w:eastAsia="Times New Roman" w:hAnsi="Times New Roman" w:cs="Times New Roman"/>
          <w:b/>
          <w:sz w:val="28"/>
          <w:szCs w:val="28"/>
        </w:rPr>
      </w:pPr>
    </w:p>
    <w:p w14:paraId="00000024" w14:textId="22435630"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Artículo </w:t>
      </w:r>
      <w:r w:rsidR="00B376DD" w:rsidRPr="00B376DD">
        <w:rPr>
          <w:rFonts w:ascii="Times New Roman" w:eastAsia="Times New Roman" w:hAnsi="Times New Roman" w:cs="Times New Roman"/>
          <w:b/>
          <w:sz w:val="28"/>
          <w:szCs w:val="28"/>
        </w:rPr>
        <w:t>Único.</w:t>
      </w:r>
      <w:r w:rsidR="00B376DD" w:rsidRPr="00B376DD">
        <w:rPr>
          <w:rFonts w:ascii="Times New Roman" w:eastAsia="Times New Roman" w:hAnsi="Times New Roman" w:cs="Times New Roman"/>
          <w:sz w:val="28"/>
          <w:szCs w:val="28"/>
        </w:rPr>
        <w:t xml:space="preserve"> -</w:t>
      </w:r>
      <w:r w:rsidRPr="00B376DD">
        <w:rPr>
          <w:rFonts w:ascii="Times New Roman" w:eastAsia="Times New Roman" w:hAnsi="Times New Roman" w:cs="Times New Roman"/>
          <w:sz w:val="28"/>
          <w:szCs w:val="28"/>
        </w:rPr>
        <w:t xml:space="preserve"> Establecer la Av. Simón Bolívar como nuevo límite occidental de la parroquia rural de Amaguaña, </w:t>
      </w:r>
      <w:r w:rsidR="00B376DD" w:rsidRPr="00B376DD">
        <w:rPr>
          <w:rFonts w:ascii="Times New Roman" w:eastAsia="Times New Roman" w:hAnsi="Times New Roman" w:cs="Times New Roman"/>
          <w:sz w:val="28"/>
          <w:szCs w:val="28"/>
        </w:rPr>
        <w:t>y,</w:t>
      </w:r>
      <w:r w:rsidRPr="00B376DD">
        <w:rPr>
          <w:rFonts w:ascii="Times New Roman" w:eastAsia="Times New Roman" w:hAnsi="Times New Roman" w:cs="Times New Roman"/>
          <w:sz w:val="28"/>
          <w:szCs w:val="28"/>
        </w:rPr>
        <w:t xml:space="preserve"> en consecuencia, límite oriental de la parroquia urbana de </w:t>
      </w:r>
      <w:proofErr w:type="spellStart"/>
      <w:r w:rsidRPr="00B376DD">
        <w:rPr>
          <w:rFonts w:ascii="Times New Roman" w:eastAsia="Times New Roman" w:hAnsi="Times New Roman" w:cs="Times New Roman"/>
          <w:sz w:val="28"/>
          <w:szCs w:val="28"/>
        </w:rPr>
        <w:t>Turubamba</w:t>
      </w:r>
      <w:proofErr w:type="spellEnd"/>
      <w:r w:rsidRPr="00B376DD">
        <w:rPr>
          <w:rFonts w:ascii="Times New Roman" w:eastAsia="Times New Roman" w:hAnsi="Times New Roman" w:cs="Times New Roman"/>
          <w:sz w:val="28"/>
          <w:szCs w:val="28"/>
        </w:rPr>
        <w:t xml:space="preserve">, para lo cual se reforma parcialmente el lindero “Al ESTE”, del “LÍMITE DEL ÁREA DE </w:t>
      </w:r>
      <w:r w:rsidR="00B376DD" w:rsidRPr="00B376DD">
        <w:rPr>
          <w:rFonts w:ascii="Times New Roman" w:eastAsia="Times New Roman" w:hAnsi="Times New Roman" w:cs="Times New Roman"/>
          <w:sz w:val="28"/>
          <w:szCs w:val="28"/>
        </w:rPr>
        <w:t>PROTECCIÓN URBANA</w:t>
      </w:r>
      <w:r w:rsidRPr="00B376DD">
        <w:rPr>
          <w:rFonts w:ascii="Times New Roman" w:eastAsia="Times New Roman" w:hAnsi="Times New Roman" w:cs="Times New Roman"/>
          <w:sz w:val="28"/>
          <w:szCs w:val="28"/>
        </w:rPr>
        <w:t xml:space="preserve"> DE LA CIUDAD DE QUITO”, contenido en el Anexo N° 1 de la Ordenanza N° 3058, del 27 de octubre de 1993, publicada en el Registro Oficial N° 342 de 22 de diciembre del año 1993.</w:t>
      </w:r>
    </w:p>
    <w:p w14:paraId="00000025" w14:textId="77777777" w:rsidR="00706BCA" w:rsidRPr="00B376DD" w:rsidRDefault="00706BCA" w:rsidP="00B376DD">
      <w:pPr>
        <w:jc w:val="both"/>
        <w:rPr>
          <w:rFonts w:ascii="Times New Roman" w:eastAsia="Times New Roman" w:hAnsi="Times New Roman" w:cs="Times New Roman"/>
          <w:sz w:val="28"/>
          <w:szCs w:val="28"/>
        </w:rPr>
      </w:pPr>
    </w:p>
    <w:p w14:paraId="00000026"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El nuevo límite estará constituido: “</w:t>
      </w:r>
      <w:r w:rsidRPr="00B376DD">
        <w:rPr>
          <w:rFonts w:ascii="Times New Roman" w:eastAsia="Times New Roman" w:hAnsi="Times New Roman" w:cs="Times New Roman"/>
          <w:i/>
          <w:sz w:val="28"/>
          <w:szCs w:val="28"/>
        </w:rPr>
        <w:t xml:space="preserve">Desde el límite </w:t>
      </w:r>
      <w:proofErr w:type="spellStart"/>
      <w:r w:rsidRPr="00B376DD">
        <w:rPr>
          <w:rFonts w:ascii="Times New Roman" w:eastAsia="Times New Roman" w:hAnsi="Times New Roman" w:cs="Times New Roman"/>
          <w:i/>
          <w:sz w:val="28"/>
          <w:szCs w:val="28"/>
        </w:rPr>
        <w:t>intercantonal</w:t>
      </w:r>
      <w:proofErr w:type="spellEnd"/>
      <w:r w:rsidRPr="00B376DD">
        <w:rPr>
          <w:rFonts w:ascii="Times New Roman" w:eastAsia="Times New Roman" w:hAnsi="Times New Roman" w:cs="Times New Roman"/>
          <w:i/>
          <w:sz w:val="28"/>
          <w:szCs w:val="28"/>
        </w:rPr>
        <w:t xml:space="preserve"> del Distrito Metropolitano de Quito y el cantón Mejía, en la mediana de la calzada de la Avenida Simón Bolívar, tomando como referencia el punto 1 (P1) con coordenadas geográficas 0° 21' 33,15" Sur; 78° 32' 4,57" Oeste. De este punto, continuando por el eje de la calzada anteriormente mencionada en sentido noreste hasta llegar a la intersección del punto 2 (P2) con coordenadas geográficas 0° 19' 33,42" Sur; 78° 31' 9,39" Oeste. De dicho punto, un paralelo hasta llegar a las coordenadas geográficas del punto 3 (P3) 0° 19' 33,42" Sur; 78° 31' 7,04" Oeste hasta llegar a la Quebrada </w:t>
      </w:r>
      <w:proofErr w:type="spellStart"/>
      <w:r w:rsidRPr="00B376DD">
        <w:rPr>
          <w:rFonts w:ascii="Times New Roman" w:eastAsia="Times New Roman" w:hAnsi="Times New Roman" w:cs="Times New Roman"/>
          <w:i/>
          <w:sz w:val="28"/>
          <w:szCs w:val="28"/>
        </w:rPr>
        <w:t>Pasohuaycu</w:t>
      </w:r>
      <w:proofErr w:type="spellEnd"/>
      <w:r w:rsidRPr="00B376DD">
        <w:rPr>
          <w:rFonts w:ascii="Times New Roman" w:eastAsia="Times New Roman" w:hAnsi="Times New Roman" w:cs="Times New Roman"/>
          <w:i/>
          <w:sz w:val="28"/>
          <w:szCs w:val="28"/>
        </w:rPr>
        <w:t xml:space="preserve"> siguiendo el curso aguas abajo hasta el punto 4 (P4) con coordenadas 0° 19' 33,33" Sur; 78° 30' 51,29" Oeste.</w:t>
      </w:r>
      <w:r w:rsidRPr="00B376DD">
        <w:rPr>
          <w:rFonts w:ascii="Times New Roman" w:eastAsia="Times New Roman" w:hAnsi="Times New Roman" w:cs="Times New Roman"/>
          <w:sz w:val="28"/>
          <w:szCs w:val="28"/>
        </w:rPr>
        <w:t>” (Ver mapa anexo)</w:t>
      </w:r>
    </w:p>
    <w:p w14:paraId="00000027" w14:textId="77777777" w:rsidR="00706BCA" w:rsidRPr="00B376DD" w:rsidRDefault="00706BCA" w:rsidP="00B376DD">
      <w:pPr>
        <w:jc w:val="both"/>
        <w:rPr>
          <w:rFonts w:ascii="Times New Roman" w:eastAsia="Times New Roman" w:hAnsi="Times New Roman" w:cs="Times New Roman"/>
          <w:sz w:val="28"/>
          <w:szCs w:val="28"/>
        </w:rPr>
      </w:pPr>
    </w:p>
    <w:p w14:paraId="00000028" w14:textId="340DDEB0"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DISPOSICIÓN TRANSITORIA ÚNICA: </w:t>
      </w:r>
      <w:r w:rsidRPr="00B376DD">
        <w:rPr>
          <w:rFonts w:ascii="Times New Roman" w:eastAsia="Times New Roman" w:hAnsi="Times New Roman" w:cs="Times New Roman"/>
          <w:sz w:val="28"/>
          <w:szCs w:val="28"/>
        </w:rPr>
        <w:t xml:space="preserve">Una vez sancionada la presente Ordenanza, la entidad encargada del catastro municipal, en el término no mayor a 30 </w:t>
      </w:r>
      <w:r w:rsidR="00B376DD" w:rsidRPr="00B376DD">
        <w:rPr>
          <w:rFonts w:ascii="Times New Roman" w:eastAsia="Times New Roman" w:hAnsi="Times New Roman" w:cs="Times New Roman"/>
          <w:sz w:val="28"/>
          <w:szCs w:val="28"/>
        </w:rPr>
        <w:t>días actualizará</w:t>
      </w:r>
      <w:r w:rsidRPr="00B376DD">
        <w:rPr>
          <w:rFonts w:ascii="Times New Roman" w:eastAsia="Times New Roman" w:hAnsi="Times New Roman" w:cs="Times New Roman"/>
          <w:sz w:val="28"/>
          <w:szCs w:val="28"/>
        </w:rPr>
        <w:t xml:space="preserve"> la información predial contenida en los Informes de Regulación Metropolitana de los predios que pasan a formar parte de la parroquia rural de Amaguaña.</w:t>
      </w:r>
    </w:p>
    <w:p w14:paraId="00000029" w14:textId="77777777" w:rsidR="00706BCA" w:rsidRPr="00B376DD" w:rsidRDefault="00706BCA" w:rsidP="00B376DD">
      <w:pPr>
        <w:jc w:val="both"/>
        <w:rPr>
          <w:rFonts w:ascii="Times New Roman" w:eastAsia="Times New Roman" w:hAnsi="Times New Roman" w:cs="Times New Roman"/>
          <w:b/>
          <w:sz w:val="28"/>
          <w:szCs w:val="28"/>
        </w:rPr>
      </w:pPr>
    </w:p>
    <w:p w14:paraId="0000002A"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DISPOSICIÓN FINAL. - </w:t>
      </w:r>
      <w:r w:rsidRPr="00B376DD">
        <w:rPr>
          <w:rFonts w:ascii="Times New Roman" w:eastAsia="Times New Roman" w:hAnsi="Times New Roman" w:cs="Times New Roman"/>
          <w:sz w:val="28"/>
          <w:szCs w:val="28"/>
        </w:rPr>
        <w:t xml:space="preserve">Esta Ordenanza Metropolitana entrará en vigencia a partir de su sanción, sin perjuicio de su publicación en la Gaceta Oficial, la página web institucional; y, en el Registro Oficial. </w:t>
      </w:r>
    </w:p>
    <w:p w14:paraId="0000002B" w14:textId="77777777" w:rsidR="00706BCA" w:rsidRPr="00B376DD" w:rsidRDefault="00706BCA" w:rsidP="00B376DD">
      <w:pPr>
        <w:jc w:val="both"/>
        <w:rPr>
          <w:rFonts w:ascii="Times New Roman" w:eastAsia="Times New Roman" w:hAnsi="Times New Roman" w:cs="Times New Roman"/>
          <w:sz w:val="28"/>
          <w:szCs w:val="28"/>
        </w:rPr>
      </w:pPr>
    </w:p>
    <w:p w14:paraId="0000002C"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lastRenderedPageBreak/>
        <w:t>Dada, la ciudad de San Francisco de Quito, Distrito Metropolitano, en la sala de sesiones del Concejo Metropolitano, a los xx  días del mes de xx de dos mil veinte y dos.</w:t>
      </w:r>
    </w:p>
    <w:p w14:paraId="0000002D" w14:textId="77777777" w:rsidR="00706BCA" w:rsidRPr="00B376DD" w:rsidRDefault="00706BCA" w:rsidP="00B376DD">
      <w:pPr>
        <w:jc w:val="both"/>
        <w:rPr>
          <w:rFonts w:ascii="Times New Roman" w:eastAsia="Times New Roman" w:hAnsi="Times New Roman" w:cs="Times New Roman"/>
          <w:sz w:val="28"/>
          <w:szCs w:val="28"/>
        </w:rPr>
      </w:pPr>
    </w:p>
    <w:p w14:paraId="0000002E" w14:textId="77777777" w:rsidR="00706BCA" w:rsidRPr="00B376DD" w:rsidRDefault="00706BCA" w:rsidP="00B376DD">
      <w:pPr>
        <w:jc w:val="both"/>
        <w:rPr>
          <w:rFonts w:ascii="Times New Roman" w:eastAsia="Times New Roman" w:hAnsi="Times New Roman" w:cs="Times New Roman"/>
          <w:sz w:val="28"/>
          <w:szCs w:val="28"/>
        </w:rPr>
      </w:pPr>
    </w:p>
    <w:p w14:paraId="0000002F" w14:textId="77777777" w:rsidR="00706BCA" w:rsidRPr="00B376DD" w:rsidRDefault="00706BCA" w:rsidP="00B376DD">
      <w:pPr>
        <w:jc w:val="both"/>
        <w:rPr>
          <w:rFonts w:ascii="Times New Roman" w:eastAsia="Times New Roman" w:hAnsi="Times New Roman" w:cs="Times New Roman"/>
          <w:sz w:val="28"/>
          <w:szCs w:val="28"/>
        </w:rPr>
      </w:pPr>
    </w:p>
    <w:p w14:paraId="00000030" w14:textId="1324DA4F"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Abg. Pablo Antonio Santillán Paredes</w:t>
      </w:r>
    </w:p>
    <w:p w14:paraId="00000031"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SECRETARIO GENERAL DEL CONCEJO METROPOLITANO DE QUITO CERTIFICADO DE DISCUSIÓN</w:t>
      </w:r>
    </w:p>
    <w:p w14:paraId="00000032" w14:textId="77777777" w:rsidR="00706BCA" w:rsidRPr="00B376DD" w:rsidRDefault="00706BCA" w:rsidP="00B376DD">
      <w:pPr>
        <w:jc w:val="both"/>
        <w:rPr>
          <w:rFonts w:ascii="Times New Roman" w:eastAsia="Times New Roman" w:hAnsi="Times New Roman" w:cs="Times New Roman"/>
          <w:sz w:val="28"/>
          <w:szCs w:val="28"/>
        </w:rPr>
      </w:pPr>
    </w:p>
    <w:p w14:paraId="00000033"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El infrascrito Secretario General del Concejo Metropolitano de Quito certifica que la presente ordenanza fue discutida y aprobada en dos debates, desarrollados en sesiones Nos. xxx, efectuada el xx de xx de 2022; y xx de xx de xx de 2022.</w:t>
      </w:r>
    </w:p>
    <w:p w14:paraId="00000034" w14:textId="77777777" w:rsidR="00706BCA" w:rsidRPr="00B376DD" w:rsidRDefault="00706BCA" w:rsidP="00B376DD">
      <w:pPr>
        <w:jc w:val="both"/>
        <w:rPr>
          <w:rFonts w:ascii="Times New Roman" w:eastAsia="Times New Roman" w:hAnsi="Times New Roman" w:cs="Times New Roman"/>
          <w:sz w:val="28"/>
          <w:szCs w:val="28"/>
        </w:rPr>
      </w:pPr>
    </w:p>
    <w:p w14:paraId="00000035" w14:textId="07D7D069"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Abg. Pablo Antonio Santillán Paredes</w:t>
      </w:r>
    </w:p>
    <w:p w14:paraId="00000036"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SECRETARIO GENERAL DEL CONCEJO METROPOLITANO DE QUITO</w:t>
      </w:r>
    </w:p>
    <w:p w14:paraId="00000037" w14:textId="77777777" w:rsidR="00706BCA" w:rsidRPr="00B376DD" w:rsidRDefault="00706BCA" w:rsidP="00B376DD">
      <w:pPr>
        <w:jc w:val="both"/>
        <w:rPr>
          <w:rFonts w:ascii="Times New Roman" w:eastAsia="Times New Roman" w:hAnsi="Times New Roman" w:cs="Times New Roman"/>
          <w:b/>
          <w:sz w:val="28"/>
          <w:szCs w:val="28"/>
        </w:rPr>
      </w:pPr>
    </w:p>
    <w:p w14:paraId="00000038"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 xml:space="preserve">ALCALDÍA DEL DISTRITO METROPOLITANO. - </w:t>
      </w:r>
      <w:r w:rsidRPr="00B376DD">
        <w:rPr>
          <w:rFonts w:ascii="Times New Roman" w:eastAsia="Times New Roman" w:hAnsi="Times New Roman" w:cs="Times New Roman"/>
          <w:sz w:val="28"/>
          <w:szCs w:val="28"/>
        </w:rPr>
        <w:t>Distrito Metropolitano de Quito, xx de xx de 2022.</w:t>
      </w:r>
    </w:p>
    <w:p w14:paraId="00000039" w14:textId="77777777" w:rsidR="00706BCA" w:rsidRPr="00B376DD" w:rsidRDefault="00706BCA" w:rsidP="00B376DD">
      <w:pPr>
        <w:jc w:val="both"/>
        <w:rPr>
          <w:rFonts w:ascii="Times New Roman" w:eastAsia="Times New Roman" w:hAnsi="Times New Roman" w:cs="Times New Roman"/>
          <w:sz w:val="28"/>
          <w:szCs w:val="28"/>
        </w:rPr>
      </w:pPr>
    </w:p>
    <w:p w14:paraId="0000003A" w14:textId="25F10FF0"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Dr. Santiago Mauricio Guarderas Izquierdo</w:t>
      </w:r>
    </w:p>
    <w:p w14:paraId="0000003B"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ALCALDE DEL DISTRITO METROPOLITANO DE QUITO</w:t>
      </w:r>
    </w:p>
    <w:p w14:paraId="0000003C" w14:textId="77777777" w:rsidR="00706BCA" w:rsidRPr="00B376DD" w:rsidRDefault="00706BCA" w:rsidP="00B376DD">
      <w:pPr>
        <w:jc w:val="both"/>
        <w:rPr>
          <w:rFonts w:ascii="Times New Roman" w:eastAsia="Times New Roman" w:hAnsi="Times New Roman" w:cs="Times New Roman"/>
          <w:b/>
          <w:sz w:val="28"/>
          <w:szCs w:val="28"/>
        </w:rPr>
      </w:pPr>
    </w:p>
    <w:p w14:paraId="0000003D" w14:textId="77777777" w:rsidR="00706BCA" w:rsidRPr="00B376DD" w:rsidRDefault="00E57E6E" w:rsidP="00B376DD">
      <w:pPr>
        <w:jc w:val="both"/>
        <w:rPr>
          <w:rFonts w:ascii="Times New Roman" w:eastAsia="Times New Roman" w:hAnsi="Times New Roman" w:cs="Times New Roman"/>
          <w:sz w:val="28"/>
          <w:szCs w:val="28"/>
        </w:rPr>
      </w:pPr>
      <w:r w:rsidRPr="00B376DD">
        <w:rPr>
          <w:rFonts w:ascii="Times New Roman" w:eastAsia="Times New Roman" w:hAnsi="Times New Roman" w:cs="Times New Roman"/>
          <w:b/>
          <w:sz w:val="28"/>
          <w:szCs w:val="28"/>
        </w:rPr>
        <w:t>CERTIFICO,</w:t>
      </w:r>
      <w:r w:rsidRPr="00B376DD">
        <w:rPr>
          <w:rFonts w:ascii="Times New Roman" w:eastAsia="Times New Roman" w:hAnsi="Times New Roman" w:cs="Times New Roman"/>
          <w:sz w:val="28"/>
          <w:szCs w:val="28"/>
        </w:rPr>
        <w:t xml:space="preserve"> que la presente ordenanza fue sancionada por el Dr. Santiago Mauricio Guarderas Izquierdo, Alcalde del Distrito Metropolitano de Quito, el xx de xx de 2022. </w:t>
      </w:r>
    </w:p>
    <w:p w14:paraId="0000003E" w14:textId="77777777" w:rsidR="00706BCA" w:rsidRPr="00B376DD" w:rsidRDefault="00706BCA" w:rsidP="00B376DD">
      <w:pPr>
        <w:jc w:val="both"/>
        <w:rPr>
          <w:rFonts w:ascii="Times New Roman" w:eastAsia="Times New Roman" w:hAnsi="Times New Roman" w:cs="Times New Roman"/>
          <w:sz w:val="28"/>
          <w:szCs w:val="28"/>
        </w:rPr>
      </w:pPr>
    </w:p>
    <w:p w14:paraId="0000003F" w14:textId="2BFD314C" w:rsidR="00706BCA" w:rsidRPr="00B376DD" w:rsidRDefault="00E57E6E" w:rsidP="00B376DD">
      <w:pPr>
        <w:jc w:val="center"/>
        <w:rPr>
          <w:rFonts w:ascii="Times New Roman" w:eastAsia="Times New Roman" w:hAnsi="Times New Roman" w:cs="Times New Roman"/>
          <w:sz w:val="28"/>
          <w:szCs w:val="28"/>
        </w:rPr>
      </w:pPr>
      <w:r w:rsidRPr="00B376DD">
        <w:rPr>
          <w:rFonts w:ascii="Times New Roman" w:eastAsia="Times New Roman" w:hAnsi="Times New Roman" w:cs="Times New Roman"/>
          <w:sz w:val="28"/>
          <w:szCs w:val="28"/>
        </w:rPr>
        <w:t>Abg. Pablo Antonio Santillán Paredes</w:t>
      </w:r>
    </w:p>
    <w:p w14:paraId="00000040" w14:textId="77777777" w:rsidR="00706BCA" w:rsidRPr="00B376DD" w:rsidRDefault="00E57E6E" w:rsidP="00B376DD">
      <w:pPr>
        <w:jc w:val="center"/>
        <w:rPr>
          <w:rFonts w:ascii="Times New Roman" w:eastAsia="Times New Roman" w:hAnsi="Times New Roman" w:cs="Times New Roman"/>
          <w:b/>
          <w:sz w:val="28"/>
          <w:szCs w:val="28"/>
        </w:rPr>
      </w:pPr>
      <w:r w:rsidRPr="00B376DD">
        <w:rPr>
          <w:rFonts w:ascii="Times New Roman" w:eastAsia="Times New Roman" w:hAnsi="Times New Roman" w:cs="Times New Roman"/>
          <w:b/>
          <w:sz w:val="28"/>
          <w:szCs w:val="28"/>
        </w:rPr>
        <w:t>SECRETARIO GENERAL DEL CONCEJO METROPOLITANO DE QUITO</w:t>
      </w:r>
    </w:p>
    <w:sectPr w:rsidR="00706BCA" w:rsidRPr="00B376DD">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977" w14:textId="77777777" w:rsidR="001F2CD1" w:rsidRDefault="001F2CD1" w:rsidP="00B376DD">
      <w:pPr>
        <w:spacing w:line="240" w:lineRule="auto"/>
      </w:pPr>
      <w:r>
        <w:separator/>
      </w:r>
    </w:p>
  </w:endnote>
  <w:endnote w:type="continuationSeparator" w:id="0">
    <w:p w14:paraId="221C5F7E" w14:textId="77777777" w:rsidR="001F2CD1" w:rsidRDefault="001F2CD1" w:rsidP="00B37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40B3" w14:textId="77777777" w:rsidR="001F2CD1" w:rsidRDefault="001F2CD1" w:rsidP="00B376DD">
      <w:pPr>
        <w:spacing w:line="240" w:lineRule="auto"/>
      </w:pPr>
      <w:r>
        <w:separator/>
      </w:r>
    </w:p>
  </w:footnote>
  <w:footnote w:type="continuationSeparator" w:id="0">
    <w:p w14:paraId="02D035B4" w14:textId="77777777" w:rsidR="001F2CD1" w:rsidRDefault="001F2CD1" w:rsidP="00B37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37D2" w14:textId="18503C1A" w:rsidR="00B376DD" w:rsidRPr="00B376DD" w:rsidRDefault="00B376DD" w:rsidP="00B376DD">
    <w:pPr>
      <w:pStyle w:val="Encabezado"/>
      <w:jc w:val="right"/>
      <w:rPr>
        <w:rFonts w:ascii="Times New Roman" w:hAnsi="Times New Roman" w:cs="Times New Roman"/>
        <w:sz w:val="28"/>
      </w:rPr>
    </w:pPr>
    <w:r w:rsidRPr="00B376DD">
      <w:rPr>
        <w:rFonts w:ascii="Times New Roman" w:hAnsi="Times New Roman" w:cs="Times New Roman"/>
        <w:sz w:val="28"/>
      </w:rPr>
      <w:t>PROYECTO DE ORDENANZA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CA"/>
    <w:rsid w:val="001F2CD1"/>
    <w:rsid w:val="002C2E8E"/>
    <w:rsid w:val="005A152C"/>
    <w:rsid w:val="00706BCA"/>
    <w:rsid w:val="00A901E5"/>
    <w:rsid w:val="00B376DD"/>
    <w:rsid w:val="00D64763"/>
    <w:rsid w:val="00E57E6E"/>
    <w:rsid w:val="00F83C0D"/>
    <w:rsid w:val="00FE10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CAC9"/>
  <w15:docId w15:val="{D0C57AFB-1A77-406D-9425-7018F9F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376D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376DD"/>
  </w:style>
  <w:style w:type="paragraph" w:styleId="Piedepgina">
    <w:name w:val="footer"/>
    <w:basedOn w:val="Normal"/>
    <w:link w:val="PiedepginaCar"/>
    <w:uiPriority w:val="99"/>
    <w:unhideWhenUsed/>
    <w:rsid w:val="00B376D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376DD"/>
  </w:style>
  <w:style w:type="paragraph" w:styleId="Textodeglobo">
    <w:name w:val="Balloon Text"/>
    <w:basedOn w:val="Normal"/>
    <w:link w:val="TextodegloboCar"/>
    <w:uiPriority w:val="99"/>
    <w:semiHidden/>
    <w:unhideWhenUsed/>
    <w:rsid w:val="00B376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Zadkiel Cardenas Munoz</dc:creator>
  <cp:lastModifiedBy>Microsoft Office User</cp:lastModifiedBy>
  <cp:revision>2</cp:revision>
  <cp:lastPrinted>2022-05-06T15:29:00Z</cp:lastPrinted>
  <dcterms:created xsi:type="dcterms:W3CDTF">2022-09-03T17:11:00Z</dcterms:created>
  <dcterms:modified xsi:type="dcterms:W3CDTF">2022-09-03T17:11:00Z</dcterms:modified>
</cp:coreProperties>
</file>