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0BFE" w14:textId="72867D61" w:rsidR="004F2FCF" w:rsidRPr="006369AA" w:rsidRDefault="004F2FCF" w:rsidP="00415CF3">
      <w:pPr>
        <w:spacing w:after="120" w:line="276" w:lineRule="auto"/>
        <w:jc w:val="center"/>
        <w:outlineLvl w:val="0"/>
        <w:rPr>
          <w:rFonts w:ascii="Palatino Linotype" w:hAnsi="Palatino Linotype"/>
          <w:b/>
          <w:color w:val="000000" w:themeColor="text1"/>
          <w:lang w:val="es-ES_tradnl"/>
        </w:rPr>
      </w:pPr>
      <w:r w:rsidRPr="006369AA">
        <w:rPr>
          <w:rFonts w:ascii="Palatino Linotype" w:hAnsi="Palatino Linotype"/>
          <w:b/>
          <w:color w:val="000000" w:themeColor="text1"/>
          <w:lang w:val="es-ES_tradnl"/>
        </w:rPr>
        <w:t>EXPOSICIÓN DE MOTIVOS</w:t>
      </w:r>
    </w:p>
    <w:p w14:paraId="281A4013"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33AC9751" w14:textId="7185765A" w:rsidR="006369AA" w:rsidRPr="006369AA" w:rsidRDefault="006369AA" w:rsidP="006369AA">
      <w:pPr>
        <w:autoSpaceDE w:val="0"/>
        <w:autoSpaceDN w:val="0"/>
        <w:adjustRightInd w:val="0"/>
        <w:spacing w:after="0" w:line="240" w:lineRule="auto"/>
        <w:jc w:val="both"/>
        <w:rPr>
          <w:rFonts w:ascii="Palatino Linotype" w:hAnsi="Palatino Linotype" w:cstheme="minorHAnsi"/>
          <w:i/>
          <w:iCs/>
        </w:rPr>
      </w:pPr>
      <w:r w:rsidRPr="006369AA">
        <w:rPr>
          <w:rFonts w:ascii="Palatino Linotype" w:hAnsi="Palatino Linotype" w:cstheme="minorHAnsi"/>
        </w:rPr>
        <w:t xml:space="preserve">La CODIFICACIÓN DEL CÓDIGO MUNICIPAL PARA EL DISTRITO METROPOLITANO DE QUITO, establece en la SECCIÓN II, DE LA DECLARACIÓN DE ZONA ESPECIAL TURÍSTICA. Artículo 1354.- </w:t>
      </w:r>
      <w:r w:rsidRPr="006369AA">
        <w:rPr>
          <w:rFonts w:ascii="Palatino Linotype" w:hAnsi="Palatino Linotype" w:cstheme="minorHAnsi"/>
          <w:i/>
          <w:iCs/>
        </w:rPr>
        <w:t>“Declárese a la zona denominada “La Mariscal” como Zona Especial Turística, para efectos de fomento,</w:t>
      </w:r>
      <w:r w:rsidRPr="006369AA">
        <w:rPr>
          <w:rFonts w:ascii="Palatino Linotype" w:hAnsi="Palatino Linotype" w:cstheme="minorHAnsi"/>
        </w:rPr>
        <w:t xml:space="preserve"> </w:t>
      </w:r>
      <w:r w:rsidRPr="006369AA">
        <w:rPr>
          <w:rFonts w:ascii="Palatino Linotype" w:hAnsi="Palatino Linotype" w:cstheme="minorHAnsi"/>
          <w:i/>
          <w:iCs/>
        </w:rPr>
        <w:t>desarrollo y promoción de la actividad turística. El sector de “La Mariscal” se encuentra comprendido dentro</w:t>
      </w:r>
      <w:r w:rsidRPr="006369AA">
        <w:rPr>
          <w:rFonts w:ascii="Palatino Linotype" w:hAnsi="Palatino Linotype" w:cstheme="minorHAnsi"/>
        </w:rPr>
        <w:t xml:space="preserve"> </w:t>
      </w:r>
      <w:r w:rsidRPr="006369AA">
        <w:rPr>
          <w:rFonts w:ascii="Palatino Linotype" w:hAnsi="Palatino Linotype" w:cstheme="minorHAnsi"/>
          <w:i/>
          <w:iCs/>
        </w:rPr>
        <w:t>de la siguiente delimitación: Por el Norte: Avenida Orellana; por el Sur: Avenida Patria; por el Occidente:</w:t>
      </w:r>
      <w:r w:rsidRPr="006369AA">
        <w:rPr>
          <w:rFonts w:ascii="Palatino Linotype" w:hAnsi="Palatino Linotype" w:cstheme="minorHAnsi"/>
        </w:rPr>
        <w:t xml:space="preserve"> </w:t>
      </w:r>
      <w:r w:rsidRPr="006369AA">
        <w:rPr>
          <w:rFonts w:ascii="Palatino Linotype" w:hAnsi="Palatino Linotype" w:cstheme="minorHAnsi"/>
          <w:i/>
          <w:iCs/>
        </w:rPr>
        <w:t>Avenida 10 de Agosto; y, por el Oriente: Calles Isabel La Católica y Alfredo Mena Caamaño y Avenida 12 de</w:t>
      </w:r>
      <w:r w:rsidRPr="006369AA">
        <w:rPr>
          <w:rFonts w:ascii="Palatino Linotype" w:hAnsi="Palatino Linotype" w:cstheme="minorHAnsi"/>
        </w:rPr>
        <w:t xml:space="preserve"> </w:t>
      </w:r>
      <w:r w:rsidRPr="006369AA">
        <w:rPr>
          <w:rFonts w:ascii="Palatino Linotype" w:hAnsi="Palatino Linotype" w:cstheme="minorHAnsi"/>
          <w:i/>
          <w:iCs/>
        </w:rPr>
        <w:t>Octubre. Se incluyen dentro de la zona delimitada, los predios ubicados en ambos frentes de las calles o</w:t>
      </w:r>
      <w:r w:rsidRPr="006369AA">
        <w:rPr>
          <w:rFonts w:ascii="Palatino Linotype" w:hAnsi="Palatino Linotype" w:cstheme="minorHAnsi"/>
        </w:rPr>
        <w:t xml:space="preserve"> </w:t>
      </w:r>
      <w:r w:rsidRPr="006369AA">
        <w:rPr>
          <w:rFonts w:ascii="Palatino Linotype" w:hAnsi="Palatino Linotype" w:cstheme="minorHAnsi"/>
          <w:i/>
          <w:iCs/>
        </w:rPr>
        <w:t>avenidas limitantes”.</w:t>
      </w:r>
    </w:p>
    <w:p w14:paraId="7F35C168"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br/>
        <w:t>Los indicadores económicos de la ciudad, a raíz de la pandemia se deterioraron de manera abrupta. Según el Instituto Nacional de Estadística y Censos (INEC), la tasa de pobreza por ingresos a nivel nacional subió de 21,9% de la población en 2019 a 28,8% en 2021. Para 2020 no existen datos anuales, ya que en ese año no se pudieron llevar a cabo todas las encuestas como consecuencia de la pandemia. La pobreza extrema, por su parte, pasó de 7,6% en 2019 a 10,3% en 2021. Entre ambos años también hubo un deterioro en el Coeficiente de Gini, que se utiliza para medir la desigualdad. Mientras el valor de ese coeﬁciente, que puede estar entre 0 y 1, se acerca más a 0, entonces la distribución de la riqueza es mejor; si el indicador se acerca más a 1, es reflejo de una mayor concentración de la riqueza (Agenda de Competitividad, 2022).</w:t>
      </w:r>
    </w:p>
    <w:p w14:paraId="4C49C1D2"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Respecto a los indicadores laborales, desde el 2018 Quito sufrió un impacto sobre su tasa, por ejemplo, en lo que respecta a empleo adecuado cayó de 59,7% a 55,5%. Entre las cinco ciudades para las cuales el INEC presenta información, solo Quito y Ambato mostraron una caída en la tasa de empleo adecuado entre 2018 y 2019, mientras que en Guayaquil, Cuenca y Machala la tasa aumentó (Instituto Nacional de Estadística y Censos, 2022). La caída en Quito puede deberse al proceso de ajuste fiscal que inició en 2019 y que implicó la salida de varias personas del sector público (Agenda de Competitividad, 2022).</w:t>
      </w:r>
    </w:p>
    <w:p w14:paraId="449D65B0"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Indicadores laborales anuales (2018,2019,2021)</w:t>
      </w:r>
    </w:p>
    <w:tbl>
      <w:tblPr>
        <w:tblW w:w="5000" w:type="pct"/>
        <w:tblCellMar>
          <w:left w:w="70" w:type="dxa"/>
          <w:right w:w="70" w:type="dxa"/>
        </w:tblCellMar>
        <w:tblLook w:val="04A0" w:firstRow="1" w:lastRow="0" w:firstColumn="1" w:lastColumn="0" w:noHBand="0" w:noVBand="1"/>
      </w:tblPr>
      <w:tblGrid>
        <w:gridCol w:w="1475"/>
        <w:gridCol w:w="515"/>
        <w:gridCol w:w="913"/>
        <w:gridCol w:w="787"/>
        <w:gridCol w:w="627"/>
        <w:gridCol w:w="641"/>
        <w:gridCol w:w="1059"/>
        <w:gridCol w:w="777"/>
        <w:gridCol w:w="871"/>
        <w:gridCol w:w="829"/>
      </w:tblGrid>
      <w:tr w:rsidR="006369AA" w:rsidRPr="006369AA" w14:paraId="3D6C1F02" w14:textId="77777777" w:rsidTr="00C671A0">
        <w:trPr>
          <w:trHeight w:val="300"/>
        </w:trPr>
        <w:tc>
          <w:tcPr>
            <w:tcW w:w="76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52E6F4"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Indicadores</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8730C90"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Año</w:t>
            </w:r>
          </w:p>
        </w:tc>
        <w:tc>
          <w:tcPr>
            <w:tcW w:w="477" w:type="pct"/>
            <w:tcBorders>
              <w:top w:val="single" w:sz="4" w:space="0" w:color="auto"/>
              <w:left w:val="nil"/>
              <w:bottom w:val="single" w:sz="4" w:space="0" w:color="auto"/>
              <w:right w:val="single" w:sz="4" w:space="0" w:color="auto"/>
            </w:tcBorders>
            <w:shd w:val="clear" w:color="000000" w:fill="F2F2F2"/>
            <w:vAlign w:val="center"/>
            <w:hideMark/>
          </w:tcPr>
          <w:p w14:paraId="30B5B5B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Nacional</w:t>
            </w:r>
          </w:p>
        </w:tc>
        <w:tc>
          <w:tcPr>
            <w:tcW w:w="929" w:type="pct"/>
            <w:gridSpan w:val="2"/>
            <w:tcBorders>
              <w:top w:val="single" w:sz="4" w:space="0" w:color="auto"/>
              <w:left w:val="nil"/>
              <w:bottom w:val="single" w:sz="4" w:space="0" w:color="auto"/>
              <w:right w:val="single" w:sz="4" w:space="0" w:color="auto"/>
            </w:tcBorders>
            <w:shd w:val="clear" w:color="000000" w:fill="F2F2F2"/>
            <w:vAlign w:val="center"/>
            <w:hideMark/>
          </w:tcPr>
          <w:p w14:paraId="46084F25"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Área</w:t>
            </w:r>
          </w:p>
        </w:tc>
        <w:tc>
          <w:tcPr>
            <w:tcW w:w="2378" w:type="pct"/>
            <w:gridSpan w:val="5"/>
            <w:tcBorders>
              <w:top w:val="single" w:sz="4" w:space="0" w:color="auto"/>
              <w:left w:val="nil"/>
              <w:bottom w:val="single" w:sz="4" w:space="0" w:color="auto"/>
              <w:right w:val="single" w:sz="4" w:space="0" w:color="auto"/>
            </w:tcBorders>
            <w:shd w:val="clear" w:color="000000" w:fill="F2F2F2"/>
            <w:vAlign w:val="center"/>
            <w:hideMark/>
          </w:tcPr>
          <w:p w14:paraId="47D12458"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Ciudades</w:t>
            </w:r>
          </w:p>
        </w:tc>
      </w:tr>
      <w:tr w:rsidR="006369AA" w:rsidRPr="006369AA" w14:paraId="3E988A25" w14:textId="77777777" w:rsidTr="00C671A0">
        <w:trPr>
          <w:trHeight w:val="300"/>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77EE5DCC" w14:textId="77777777" w:rsidR="006369AA" w:rsidRPr="006369AA" w:rsidRDefault="006369AA" w:rsidP="00C671A0">
            <w:pPr>
              <w:rPr>
                <w:rFonts w:ascii="Palatino Linotype" w:eastAsia="Times New Roman" w:hAnsi="Palatino Linotype" w:cstheme="minorHAnsi"/>
                <w:b/>
                <w:bCs/>
                <w:color w:val="595959"/>
                <w:lang w:eastAsia="es-EC"/>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0E9165A8" w14:textId="77777777" w:rsidR="006369AA" w:rsidRPr="006369AA" w:rsidRDefault="006369AA" w:rsidP="00C671A0">
            <w:pPr>
              <w:rPr>
                <w:rFonts w:ascii="Palatino Linotype" w:eastAsia="Times New Roman" w:hAnsi="Palatino Linotype" w:cstheme="minorHAnsi"/>
                <w:b/>
                <w:bCs/>
                <w:color w:val="595959"/>
                <w:lang w:eastAsia="es-EC"/>
              </w:rPr>
            </w:pPr>
          </w:p>
        </w:tc>
        <w:tc>
          <w:tcPr>
            <w:tcW w:w="477" w:type="pct"/>
            <w:tcBorders>
              <w:top w:val="nil"/>
              <w:left w:val="nil"/>
              <w:bottom w:val="single" w:sz="4" w:space="0" w:color="auto"/>
              <w:right w:val="single" w:sz="4" w:space="0" w:color="auto"/>
            </w:tcBorders>
            <w:shd w:val="clear" w:color="000000" w:fill="F2F2F2"/>
            <w:vAlign w:val="center"/>
            <w:hideMark/>
          </w:tcPr>
          <w:p w14:paraId="7AF58BF6"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Total</w:t>
            </w:r>
          </w:p>
        </w:tc>
        <w:tc>
          <w:tcPr>
            <w:tcW w:w="469" w:type="pct"/>
            <w:tcBorders>
              <w:top w:val="nil"/>
              <w:left w:val="nil"/>
              <w:bottom w:val="single" w:sz="4" w:space="0" w:color="auto"/>
              <w:right w:val="single" w:sz="4" w:space="0" w:color="auto"/>
            </w:tcBorders>
            <w:shd w:val="clear" w:color="000000" w:fill="F2F2F2"/>
            <w:vAlign w:val="center"/>
            <w:hideMark/>
          </w:tcPr>
          <w:p w14:paraId="39074378"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Urbano</w:t>
            </w:r>
          </w:p>
        </w:tc>
        <w:tc>
          <w:tcPr>
            <w:tcW w:w="460" w:type="pct"/>
            <w:tcBorders>
              <w:top w:val="nil"/>
              <w:left w:val="nil"/>
              <w:bottom w:val="single" w:sz="4" w:space="0" w:color="auto"/>
              <w:right w:val="single" w:sz="4" w:space="0" w:color="auto"/>
            </w:tcBorders>
            <w:shd w:val="clear" w:color="000000" w:fill="F2F2F2"/>
            <w:vAlign w:val="center"/>
            <w:hideMark/>
          </w:tcPr>
          <w:p w14:paraId="66B42A08"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Rural</w:t>
            </w:r>
          </w:p>
        </w:tc>
        <w:tc>
          <w:tcPr>
            <w:tcW w:w="459" w:type="pct"/>
            <w:tcBorders>
              <w:top w:val="nil"/>
              <w:left w:val="nil"/>
              <w:bottom w:val="single" w:sz="4" w:space="0" w:color="auto"/>
              <w:right w:val="single" w:sz="4" w:space="0" w:color="auto"/>
            </w:tcBorders>
            <w:shd w:val="clear" w:color="000000" w:fill="F2F2F2"/>
            <w:vAlign w:val="center"/>
            <w:hideMark/>
          </w:tcPr>
          <w:p w14:paraId="28BD742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Quito</w:t>
            </w:r>
          </w:p>
        </w:tc>
        <w:tc>
          <w:tcPr>
            <w:tcW w:w="507" w:type="pct"/>
            <w:tcBorders>
              <w:top w:val="nil"/>
              <w:left w:val="nil"/>
              <w:bottom w:val="single" w:sz="4" w:space="0" w:color="auto"/>
              <w:right w:val="single" w:sz="4" w:space="0" w:color="auto"/>
            </w:tcBorders>
            <w:shd w:val="clear" w:color="000000" w:fill="F2F2F2"/>
            <w:vAlign w:val="center"/>
            <w:hideMark/>
          </w:tcPr>
          <w:p w14:paraId="071D2687"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Guayaquil</w:t>
            </w:r>
          </w:p>
        </w:tc>
        <w:tc>
          <w:tcPr>
            <w:tcW w:w="470" w:type="pct"/>
            <w:tcBorders>
              <w:top w:val="nil"/>
              <w:left w:val="nil"/>
              <w:bottom w:val="single" w:sz="4" w:space="0" w:color="auto"/>
              <w:right w:val="single" w:sz="4" w:space="0" w:color="auto"/>
            </w:tcBorders>
            <w:shd w:val="clear" w:color="000000" w:fill="F2F2F2"/>
            <w:vAlign w:val="center"/>
            <w:hideMark/>
          </w:tcPr>
          <w:p w14:paraId="045BCB49"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Cuenca</w:t>
            </w:r>
          </w:p>
        </w:tc>
        <w:tc>
          <w:tcPr>
            <w:tcW w:w="473" w:type="pct"/>
            <w:tcBorders>
              <w:top w:val="nil"/>
              <w:left w:val="nil"/>
              <w:bottom w:val="single" w:sz="4" w:space="0" w:color="auto"/>
              <w:right w:val="single" w:sz="4" w:space="0" w:color="auto"/>
            </w:tcBorders>
            <w:shd w:val="clear" w:color="000000" w:fill="F2F2F2"/>
            <w:vAlign w:val="center"/>
            <w:hideMark/>
          </w:tcPr>
          <w:p w14:paraId="5092528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Machala</w:t>
            </w:r>
          </w:p>
        </w:tc>
        <w:tc>
          <w:tcPr>
            <w:tcW w:w="470" w:type="pct"/>
            <w:tcBorders>
              <w:top w:val="nil"/>
              <w:left w:val="nil"/>
              <w:bottom w:val="single" w:sz="4" w:space="0" w:color="auto"/>
              <w:right w:val="single" w:sz="4" w:space="0" w:color="auto"/>
            </w:tcBorders>
            <w:shd w:val="clear" w:color="000000" w:fill="F2F2F2"/>
            <w:vAlign w:val="center"/>
            <w:hideMark/>
          </w:tcPr>
          <w:p w14:paraId="18743EC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Ambato</w:t>
            </w:r>
          </w:p>
        </w:tc>
      </w:tr>
      <w:tr w:rsidR="006369AA" w:rsidRPr="006369AA" w14:paraId="7C566EFD" w14:textId="77777777" w:rsidTr="00C671A0">
        <w:trPr>
          <w:trHeight w:val="300"/>
        </w:trPr>
        <w:tc>
          <w:tcPr>
            <w:tcW w:w="760"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F875F8"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Empleo adecuado/pleno</w:t>
            </w:r>
          </w:p>
        </w:tc>
        <w:tc>
          <w:tcPr>
            <w:tcW w:w="456" w:type="pct"/>
            <w:tcBorders>
              <w:top w:val="nil"/>
              <w:left w:val="nil"/>
              <w:bottom w:val="single" w:sz="4" w:space="0" w:color="auto"/>
              <w:right w:val="single" w:sz="4" w:space="0" w:color="auto"/>
            </w:tcBorders>
            <w:shd w:val="clear" w:color="000000" w:fill="FFFFFF"/>
            <w:vAlign w:val="center"/>
            <w:hideMark/>
          </w:tcPr>
          <w:p w14:paraId="62D2A4B3"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2018</w:t>
            </w:r>
          </w:p>
        </w:tc>
        <w:tc>
          <w:tcPr>
            <w:tcW w:w="477" w:type="pct"/>
            <w:tcBorders>
              <w:top w:val="nil"/>
              <w:left w:val="nil"/>
              <w:bottom w:val="single" w:sz="4" w:space="0" w:color="auto"/>
              <w:right w:val="single" w:sz="4" w:space="0" w:color="auto"/>
            </w:tcBorders>
            <w:shd w:val="clear" w:color="auto" w:fill="auto"/>
            <w:noWrap/>
            <w:vAlign w:val="center"/>
            <w:hideMark/>
          </w:tcPr>
          <w:p w14:paraId="46055FB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40,2%</w:t>
            </w:r>
          </w:p>
        </w:tc>
        <w:tc>
          <w:tcPr>
            <w:tcW w:w="469" w:type="pct"/>
            <w:tcBorders>
              <w:top w:val="nil"/>
              <w:left w:val="nil"/>
              <w:bottom w:val="single" w:sz="4" w:space="0" w:color="auto"/>
              <w:right w:val="single" w:sz="4" w:space="0" w:color="auto"/>
            </w:tcBorders>
            <w:shd w:val="clear" w:color="auto" w:fill="auto"/>
            <w:noWrap/>
            <w:vAlign w:val="center"/>
            <w:hideMark/>
          </w:tcPr>
          <w:p w14:paraId="5736A10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49,3%</w:t>
            </w:r>
          </w:p>
        </w:tc>
        <w:tc>
          <w:tcPr>
            <w:tcW w:w="460" w:type="pct"/>
            <w:tcBorders>
              <w:top w:val="nil"/>
              <w:left w:val="nil"/>
              <w:bottom w:val="single" w:sz="4" w:space="0" w:color="auto"/>
              <w:right w:val="single" w:sz="4" w:space="0" w:color="auto"/>
            </w:tcBorders>
            <w:shd w:val="clear" w:color="auto" w:fill="auto"/>
            <w:noWrap/>
            <w:vAlign w:val="center"/>
            <w:hideMark/>
          </w:tcPr>
          <w:p w14:paraId="65CCCC2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22,5%</w:t>
            </w:r>
          </w:p>
        </w:tc>
        <w:tc>
          <w:tcPr>
            <w:tcW w:w="459" w:type="pct"/>
            <w:tcBorders>
              <w:top w:val="nil"/>
              <w:left w:val="nil"/>
              <w:bottom w:val="single" w:sz="4" w:space="0" w:color="auto"/>
              <w:right w:val="single" w:sz="4" w:space="0" w:color="auto"/>
            </w:tcBorders>
            <w:shd w:val="clear" w:color="auto" w:fill="auto"/>
            <w:noWrap/>
            <w:vAlign w:val="center"/>
            <w:hideMark/>
          </w:tcPr>
          <w:p w14:paraId="7CC0037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59,7%</w:t>
            </w:r>
          </w:p>
        </w:tc>
        <w:tc>
          <w:tcPr>
            <w:tcW w:w="507" w:type="pct"/>
            <w:tcBorders>
              <w:top w:val="nil"/>
              <w:left w:val="nil"/>
              <w:bottom w:val="single" w:sz="4" w:space="0" w:color="auto"/>
              <w:right w:val="single" w:sz="4" w:space="0" w:color="auto"/>
            </w:tcBorders>
            <w:shd w:val="clear" w:color="auto" w:fill="auto"/>
            <w:noWrap/>
            <w:vAlign w:val="center"/>
            <w:hideMark/>
          </w:tcPr>
          <w:p w14:paraId="6D5231F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50,7%</w:t>
            </w:r>
          </w:p>
        </w:tc>
        <w:tc>
          <w:tcPr>
            <w:tcW w:w="470" w:type="pct"/>
            <w:tcBorders>
              <w:top w:val="nil"/>
              <w:left w:val="nil"/>
              <w:bottom w:val="single" w:sz="4" w:space="0" w:color="auto"/>
              <w:right w:val="single" w:sz="4" w:space="0" w:color="auto"/>
            </w:tcBorders>
            <w:shd w:val="clear" w:color="auto" w:fill="auto"/>
            <w:noWrap/>
            <w:vAlign w:val="center"/>
            <w:hideMark/>
          </w:tcPr>
          <w:p w14:paraId="0553B80F"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61,4%</w:t>
            </w:r>
          </w:p>
        </w:tc>
        <w:tc>
          <w:tcPr>
            <w:tcW w:w="473" w:type="pct"/>
            <w:tcBorders>
              <w:top w:val="nil"/>
              <w:left w:val="nil"/>
              <w:bottom w:val="single" w:sz="4" w:space="0" w:color="auto"/>
              <w:right w:val="single" w:sz="4" w:space="0" w:color="auto"/>
            </w:tcBorders>
            <w:shd w:val="clear" w:color="auto" w:fill="auto"/>
            <w:noWrap/>
            <w:vAlign w:val="center"/>
            <w:hideMark/>
          </w:tcPr>
          <w:p w14:paraId="77C8DD8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52,1%</w:t>
            </w:r>
          </w:p>
        </w:tc>
        <w:tc>
          <w:tcPr>
            <w:tcW w:w="470" w:type="pct"/>
            <w:tcBorders>
              <w:top w:val="nil"/>
              <w:left w:val="nil"/>
              <w:bottom w:val="single" w:sz="4" w:space="0" w:color="auto"/>
              <w:right w:val="single" w:sz="4" w:space="0" w:color="auto"/>
            </w:tcBorders>
            <w:shd w:val="clear" w:color="auto" w:fill="auto"/>
            <w:noWrap/>
            <w:vAlign w:val="center"/>
            <w:hideMark/>
          </w:tcPr>
          <w:p w14:paraId="6FE697B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52,4%</w:t>
            </w:r>
          </w:p>
        </w:tc>
      </w:tr>
      <w:tr w:rsidR="006369AA" w:rsidRPr="006369AA" w14:paraId="43A6C096"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1AECCC56"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0967AC6D"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477" w:type="pct"/>
            <w:tcBorders>
              <w:top w:val="nil"/>
              <w:left w:val="nil"/>
              <w:bottom w:val="single" w:sz="4" w:space="0" w:color="auto"/>
              <w:right w:val="single" w:sz="4" w:space="0" w:color="auto"/>
            </w:tcBorders>
            <w:shd w:val="clear" w:color="auto" w:fill="auto"/>
            <w:noWrap/>
            <w:vAlign w:val="center"/>
            <w:hideMark/>
          </w:tcPr>
          <w:p w14:paraId="694E996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38,3%</w:t>
            </w:r>
          </w:p>
        </w:tc>
        <w:tc>
          <w:tcPr>
            <w:tcW w:w="469" w:type="pct"/>
            <w:tcBorders>
              <w:top w:val="nil"/>
              <w:left w:val="nil"/>
              <w:bottom w:val="single" w:sz="4" w:space="0" w:color="auto"/>
              <w:right w:val="single" w:sz="4" w:space="0" w:color="auto"/>
            </w:tcBorders>
            <w:shd w:val="clear" w:color="auto" w:fill="auto"/>
            <w:noWrap/>
            <w:vAlign w:val="center"/>
            <w:hideMark/>
          </w:tcPr>
          <w:p w14:paraId="075EF888"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47,4%</w:t>
            </w:r>
          </w:p>
        </w:tc>
        <w:tc>
          <w:tcPr>
            <w:tcW w:w="460" w:type="pct"/>
            <w:tcBorders>
              <w:top w:val="nil"/>
              <w:left w:val="nil"/>
              <w:bottom w:val="single" w:sz="4" w:space="0" w:color="auto"/>
              <w:right w:val="single" w:sz="4" w:space="0" w:color="auto"/>
            </w:tcBorders>
            <w:shd w:val="clear" w:color="auto" w:fill="auto"/>
            <w:noWrap/>
            <w:vAlign w:val="center"/>
            <w:hideMark/>
          </w:tcPr>
          <w:p w14:paraId="6171282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20,9%</w:t>
            </w:r>
          </w:p>
        </w:tc>
        <w:tc>
          <w:tcPr>
            <w:tcW w:w="459" w:type="pct"/>
            <w:tcBorders>
              <w:top w:val="nil"/>
              <w:left w:val="nil"/>
              <w:bottom w:val="single" w:sz="4" w:space="0" w:color="auto"/>
              <w:right w:val="single" w:sz="4" w:space="0" w:color="auto"/>
            </w:tcBorders>
            <w:shd w:val="clear" w:color="auto" w:fill="auto"/>
            <w:noWrap/>
            <w:vAlign w:val="center"/>
            <w:hideMark/>
          </w:tcPr>
          <w:p w14:paraId="4D1E93E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55,5%</w:t>
            </w:r>
          </w:p>
        </w:tc>
        <w:tc>
          <w:tcPr>
            <w:tcW w:w="507" w:type="pct"/>
            <w:tcBorders>
              <w:top w:val="nil"/>
              <w:left w:val="nil"/>
              <w:bottom w:val="single" w:sz="4" w:space="0" w:color="auto"/>
              <w:right w:val="single" w:sz="4" w:space="0" w:color="auto"/>
            </w:tcBorders>
            <w:shd w:val="clear" w:color="auto" w:fill="auto"/>
            <w:noWrap/>
            <w:vAlign w:val="center"/>
            <w:hideMark/>
          </w:tcPr>
          <w:p w14:paraId="291D9536"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51,2%</w:t>
            </w:r>
          </w:p>
        </w:tc>
        <w:tc>
          <w:tcPr>
            <w:tcW w:w="470" w:type="pct"/>
            <w:tcBorders>
              <w:top w:val="nil"/>
              <w:left w:val="nil"/>
              <w:bottom w:val="single" w:sz="4" w:space="0" w:color="auto"/>
              <w:right w:val="single" w:sz="4" w:space="0" w:color="auto"/>
            </w:tcBorders>
            <w:shd w:val="clear" w:color="auto" w:fill="auto"/>
            <w:noWrap/>
            <w:vAlign w:val="center"/>
            <w:hideMark/>
          </w:tcPr>
          <w:p w14:paraId="6EF1EF3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64,4%</w:t>
            </w:r>
          </w:p>
        </w:tc>
        <w:tc>
          <w:tcPr>
            <w:tcW w:w="473" w:type="pct"/>
            <w:tcBorders>
              <w:top w:val="nil"/>
              <w:left w:val="nil"/>
              <w:bottom w:val="single" w:sz="4" w:space="0" w:color="auto"/>
              <w:right w:val="single" w:sz="4" w:space="0" w:color="auto"/>
            </w:tcBorders>
            <w:shd w:val="clear" w:color="auto" w:fill="auto"/>
            <w:noWrap/>
            <w:vAlign w:val="center"/>
            <w:hideMark/>
          </w:tcPr>
          <w:p w14:paraId="5273E0F5"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55,8%</w:t>
            </w:r>
          </w:p>
        </w:tc>
        <w:tc>
          <w:tcPr>
            <w:tcW w:w="470" w:type="pct"/>
            <w:tcBorders>
              <w:top w:val="nil"/>
              <w:left w:val="nil"/>
              <w:bottom w:val="single" w:sz="4" w:space="0" w:color="auto"/>
              <w:right w:val="single" w:sz="4" w:space="0" w:color="auto"/>
            </w:tcBorders>
            <w:shd w:val="clear" w:color="auto" w:fill="auto"/>
            <w:noWrap/>
            <w:vAlign w:val="center"/>
            <w:hideMark/>
          </w:tcPr>
          <w:p w14:paraId="428A032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49,7%</w:t>
            </w:r>
          </w:p>
        </w:tc>
      </w:tr>
      <w:tr w:rsidR="006369AA" w:rsidRPr="006369AA" w14:paraId="266DFE34"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6F370BC9"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2DCC214C"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477" w:type="pct"/>
            <w:tcBorders>
              <w:top w:val="nil"/>
              <w:left w:val="nil"/>
              <w:bottom w:val="single" w:sz="4" w:space="0" w:color="auto"/>
              <w:right w:val="single" w:sz="4" w:space="0" w:color="auto"/>
            </w:tcBorders>
            <w:shd w:val="clear" w:color="auto" w:fill="auto"/>
            <w:noWrap/>
            <w:vAlign w:val="center"/>
            <w:hideMark/>
          </w:tcPr>
          <w:p w14:paraId="0B261D14"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32,5%</w:t>
            </w:r>
          </w:p>
        </w:tc>
        <w:tc>
          <w:tcPr>
            <w:tcW w:w="469" w:type="pct"/>
            <w:tcBorders>
              <w:top w:val="nil"/>
              <w:left w:val="nil"/>
              <w:bottom w:val="single" w:sz="4" w:space="0" w:color="auto"/>
              <w:right w:val="single" w:sz="4" w:space="0" w:color="auto"/>
            </w:tcBorders>
            <w:shd w:val="clear" w:color="auto" w:fill="auto"/>
            <w:noWrap/>
            <w:vAlign w:val="center"/>
            <w:hideMark/>
          </w:tcPr>
          <w:p w14:paraId="50365225"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39,8%</w:t>
            </w:r>
          </w:p>
        </w:tc>
        <w:tc>
          <w:tcPr>
            <w:tcW w:w="460" w:type="pct"/>
            <w:tcBorders>
              <w:top w:val="nil"/>
              <w:left w:val="nil"/>
              <w:bottom w:val="single" w:sz="4" w:space="0" w:color="auto"/>
              <w:right w:val="single" w:sz="4" w:space="0" w:color="auto"/>
            </w:tcBorders>
            <w:shd w:val="clear" w:color="auto" w:fill="auto"/>
            <w:noWrap/>
            <w:vAlign w:val="center"/>
            <w:hideMark/>
          </w:tcPr>
          <w:p w14:paraId="4EFA330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18,7%</w:t>
            </w:r>
          </w:p>
        </w:tc>
        <w:tc>
          <w:tcPr>
            <w:tcW w:w="459" w:type="pct"/>
            <w:tcBorders>
              <w:top w:val="nil"/>
              <w:left w:val="nil"/>
              <w:bottom w:val="single" w:sz="4" w:space="0" w:color="auto"/>
              <w:right w:val="single" w:sz="4" w:space="0" w:color="auto"/>
            </w:tcBorders>
            <w:shd w:val="clear" w:color="auto" w:fill="auto"/>
            <w:noWrap/>
            <w:vAlign w:val="center"/>
            <w:hideMark/>
          </w:tcPr>
          <w:p w14:paraId="6F84685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45,2%</w:t>
            </w:r>
          </w:p>
        </w:tc>
        <w:tc>
          <w:tcPr>
            <w:tcW w:w="507" w:type="pct"/>
            <w:tcBorders>
              <w:top w:val="nil"/>
              <w:left w:val="nil"/>
              <w:bottom w:val="single" w:sz="4" w:space="0" w:color="auto"/>
              <w:right w:val="single" w:sz="4" w:space="0" w:color="auto"/>
            </w:tcBorders>
            <w:shd w:val="clear" w:color="auto" w:fill="auto"/>
            <w:noWrap/>
            <w:vAlign w:val="center"/>
            <w:hideMark/>
          </w:tcPr>
          <w:p w14:paraId="45A482F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42,3%</w:t>
            </w:r>
          </w:p>
        </w:tc>
        <w:tc>
          <w:tcPr>
            <w:tcW w:w="470" w:type="pct"/>
            <w:tcBorders>
              <w:top w:val="nil"/>
              <w:left w:val="nil"/>
              <w:bottom w:val="single" w:sz="4" w:space="0" w:color="auto"/>
              <w:right w:val="single" w:sz="4" w:space="0" w:color="auto"/>
            </w:tcBorders>
            <w:shd w:val="clear" w:color="auto" w:fill="auto"/>
            <w:noWrap/>
            <w:vAlign w:val="center"/>
            <w:hideMark/>
          </w:tcPr>
          <w:p w14:paraId="53401238"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52,3%</w:t>
            </w:r>
          </w:p>
        </w:tc>
        <w:tc>
          <w:tcPr>
            <w:tcW w:w="473" w:type="pct"/>
            <w:tcBorders>
              <w:top w:val="nil"/>
              <w:left w:val="nil"/>
              <w:bottom w:val="single" w:sz="4" w:space="0" w:color="auto"/>
              <w:right w:val="single" w:sz="4" w:space="0" w:color="auto"/>
            </w:tcBorders>
            <w:shd w:val="clear" w:color="auto" w:fill="auto"/>
            <w:noWrap/>
            <w:vAlign w:val="center"/>
            <w:hideMark/>
          </w:tcPr>
          <w:p w14:paraId="5C07D0C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41,4%</w:t>
            </w:r>
          </w:p>
        </w:tc>
        <w:tc>
          <w:tcPr>
            <w:tcW w:w="470" w:type="pct"/>
            <w:tcBorders>
              <w:top w:val="nil"/>
              <w:left w:val="nil"/>
              <w:bottom w:val="single" w:sz="4" w:space="0" w:color="auto"/>
              <w:right w:val="single" w:sz="4" w:space="0" w:color="auto"/>
            </w:tcBorders>
            <w:shd w:val="clear" w:color="auto" w:fill="auto"/>
            <w:noWrap/>
            <w:vAlign w:val="center"/>
            <w:hideMark/>
          </w:tcPr>
          <w:p w14:paraId="32E215E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39,0%</w:t>
            </w:r>
          </w:p>
        </w:tc>
      </w:tr>
      <w:tr w:rsidR="006369AA" w:rsidRPr="006369AA" w14:paraId="69EC15F8" w14:textId="77777777" w:rsidTr="00C671A0">
        <w:trPr>
          <w:trHeight w:val="300"/>
        </w:trPr>
        <w:tc>
          <w:tcPr>
            <w:tcW w:w="76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BDE3D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lastRenderedPageBreak/>
              <w:t>Desempleo</w:t>
            </w:r>
          </w:p>
        </w:tc>
        <w:tc>
          <w:tcPr>
            <w:tcW w:w="456" w:type="pct"/>
            <w:tcBorders>
              <w:top w:val="nil"/>
              <w:left w:val="nil"/>
              <w:bottom w:val="single" w:sz="4" w:space="0" w:color="auto"/>
              <w:right w:val="single" w:sz="4" w:space="0" w:color="auto"/>
            </w:tcBorders>
            <w:shd w:val="clear" w:color="000000" w:fill="FFFFFF"/>
            <w:vAlign w:val="center"/>
            <w:hideMark/>
          </w:tcPr>
          <w:p w14:paraId="63DA6580"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2018</w:t>
            </w:r>
          </w:p>
        </w:tc>
        <w:tc>
          <w:tcPr>
            <w:tcW w:w="477" w:type="pct"/>
            <w:tcBorders>
              <w:top w:val="nil"/>
              <w:left w:val="nil"/>
              <w:bottom w:val="single" w:sz="4" w:space="0" w:color="auto"/>
              <w:right w:val="single" w:sz="4" w:space="0" w:color="auto"/>
            </w:tcBorders>
            <w:shd w:val="clear" w:color="auto" w:fill="auto"/>
            <w:noWrap/>
            <w:vAlign w:val="center"/>
            <w:hideMark/>
          </w:tcPr>
          <w:p w14:paraId="4C74DAC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3,9%</w:t>
            </w:r>
          </w:p>
        </w:tc>
        <w:tc>
          <w:tcPr>
            <w:tcW w:w="469" w:type="pct"/>
            <w:tcBorders>
              <w:top w:val="nil"/>
              <w:left w:val="nil"/>
              <w:bottom w:val="single" w:sz="4" w:space="0" w:color="auto"/>
              <w:right w:val="single" w:sz="4" w:space="0" w:color="auto"/>
            </w:tcBorders>
            <w:shd w:val="clear" w:color="auto" w:fill="auto"/>
            <w:noWrap/>
            <w:vAlign w:val="center"/>
            <w:hideMark/>
          </w:tcPr>
          <w:p w14:paraId="39F9169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w:t>
            </w:r>
          </w:p>
        </w:tc>
        <w:tc>
          <w:tcPr>
            <w:tcW w:w="460" w:type="pct"/>
            <w:tcBorders>
              <w:top w:val="nil"/>
              <w:left w:val="nil"/>
              <w:bottom w:val="single" w:sz="4" w:space="0" w:color="auto"/>
              <w:right w:val="single" w:sz="4" w:space="0" w:color="auto"/>
            </w:tcBorders>
            <w:shd w:val="clear" w:color="auto" w:fill="auto"/>
            <w:noWrap/>
            <w:vAlign w:val="center"/>
            <w:hideMark/>
          </w:tcPr>
          <w:p w14:paraId="23E4C86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1,5%</w:t>
            </w:r>
          </w:p>
        </w:tc>
        <w:tc>
          <w:tcPr>
            <w:tcW w:w="459" w:type="pct"/>
            <w:tcBorders>
              <w:top w:val="nil"/>
              <w:left w:val="nil"/>
              <w:bottom w:val="single" w:sz="4" w:space="0" w:color="auto"/>
              <w:right w:val="single" w:sz="4" w:space="0" w:color="auto"/>
            </w:tcBorders>
            <w:shd w:val="clear" w:color="auto" w:fill="auto"/>
            <w:noWrap/>
            <w:vAlign w:val="center"/>
            <w:hideMark/>
          </w:tcPr>
          <w:p w14:paraId="1AE98CB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8,6%</w:t>
            </w:r>
          </w:p>
        </w:tc>
        <w:tc>
          <w:tcPr>
            <w:tcW w:w="507" w:type="pct"/>
            <w:tcBorders>
              <w:top w:val="nil"/>
              <w:left w:val="nil"/>
              <w:bottom w:val="single" w:sz="4" w:space="0" w:color="auto"/>
              <w:right w:val="single" w:sz="4" w:space="0" w:color="auto"/>
            </w:tcBorders>
            <w:shd w:val="clear" w:color="auto" w:fill="auto"/>
            <w:noWrap/>
            <w:vAlign w:val="center"/>
            <w:hideMark/>
          </w:tcPr>
          <w:p w14:paraId="0CC8D64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3,7%</w:t>
            </w:r>
          </w:p>
        </w:tc>
        <w:tc>
          <w:tcPr>
            <w:tcW w:w="470" w:type="pct"/>
            <w:tcBorders>
              <w:top w:val="nil"/>
              <w:left w:val="nil"/>
              <w:bottom w:val="single" w:sz="4" w:space="0" w:color="auto"/>
              <w:right w:val="single" w:sz="4" w:space="0" w:color="auto"/>
            </w:tcBorders>
            <w:shd w:val="clear" w:color="auto" w:fill="auto"/>
            <w:noWrap/>
            <w:vAlign w:val="center"/>
            <w:hideMark/>
          </w:tcPr>
          <w:p w14:paraId="0FD1FED3"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5,3%</w:t>
            </w:r>
          </w:p>
        </w:tc>
        <w:tc>
          <w:tcPr>
            <w:tcW w:w="473" w:type="pct"/>
            <w:tcBorders>
              <w:top w:val="nil"/>
              <w:left w:val="nil"/>
              <w:bottom w:val="single" w:sz="4" w:space="0" w:color="auto"/>
              <w:right w:val="single" w:sz="4" w:space="0" w:color="auto"/>
            </w:tcBorders>
            <w:shd w:val="clear" w:color="auto" w:fill="auto"/>
            <w:noWrap/>
            <w:vAlign w:val="center"/>
            <w:hideMark/>
          </w:tcPr>
          <w:p w14:paraId="062996A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6,3%</w:t>
            </w:r>
          </w:p>
        </w:tc>
        <w:tc>
          <w:tcPr>
            <w:tcW w:w="470" w:type="pct"/>
            <w:tcBorders>
              <w:top w:val="nil"/>
              <w:left w:val="nil"/>
              <w:bottom w:val="single" w:sz="4" w:space="0" w:color="auto"/>
              <w:right w:val="single" w:sz="4" w:space="0" w:color="auto"/>
            </w:tcBorders>
            <w:shd w:val="clear" w:color="auto" w:fill="auto"/>
            <w:noWrap/>
            <w:vAlign w:val="center"/>
            <w:hideMark/>
          </w:tcPr>
          <w:p w14:paraId="04847E4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4,6%</w:t>
            </w:r>
          </w:p>
        </w:tc>
      </w:tr>
      <w:tr w:rsidR="006369AA" w:rsidRPr="006369AA" w14:paraId="34B52871"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2113B831"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0C8DF543"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477" w:type="pct"/>
            <w:tcBorders>
              <w:top w:val="nil"/>
              <w:left w:val="nil"/>
              <w:bottom w:val="single" w:sz="4" w:space="0" w:color="auto"/>
              <w:right w:val="single" w:sz="4" w:space="0" w:color="auto"/>
            </w:tcBorders>
            <w:shd w:val="clear" w:color="auto" w:fill="auto"/>
            <w:noWrap/>
            <w:vAlign w:val="center"/>
            <w:hideMark/>
          </w:tcPr>
          <w:p w14:paraId="3D06CD6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4,2%</w:t>
            </w:r>
          </w:p>
        </w:tc>
        <w:tc>
          <w:tcPr>
            <w:tcW w:w="469" w:type="pct"/>
            <w:tcBorders>
              <w:top w:val="nil"/>
              <w:left w:val="nil"/>
              <w:bottom w:val="single" w:sz="4" w:space="0" w:color="auto"/>
              <w:right w:val="single" w:sz="4" w:space="0" w:color="auto"/>
            </w:tcBorders>
            <w:shd w:val="clear" w:color="auto" w:fill="auto"/>
            <w:noWrap/>
            <w:vAlign w:val="center"/>
            <w:hideMark/>
          </w:tcPr>
          <w:p w14:paraId="4903B06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5,3%</w:t>
            </w:r>
          </w:p>
        </w:tc>
        <w:tc>
          <w:tcPr>
            <w:tcW w:w="460" w:type="pct"/>
            <w:tcBorders>
              <w:top w:val="nil"/>
              <w:left w:val="nil"/>
              <w:bottom w:val="single" w:sz="4" w:space="0" w:color="auto"/>
              <w:right w:val="single" w:sz="4" w:space="0" w:color="auto"/>
            </w:tcBorders>
            <w:shd w:val="clear" w:color="auto" w:fill="auto"/>
            <w:noWrap/>
            <w:vAlign w:val="center"/>
            <w:hideMark/>
          </w:tcPr>
          <w:p w14:paraId="2D9254A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1,9%</w:t>
            </w:r>
          </w:p>
        </w:tc>
        <w:tc>
          <w:tcPr>
            <w:tcW w:w="459" w:type="pct"/>
            <w:tcBorders>
              <w:top w:val="nil"/>
              <w:left w:val="nil"/>
              <w:bottom w:val="single" w:sz="4" w:space="0" w:color="auto"/>
              <w:right w:val="single" w:sz="4" w:space="0" w:color="auto"/>
            </w:tcBorders>
            <w:shd w:val="clear" w:color="auto" w:fill="auto"/>
            <w:noWrap/>
            <w:vAlign w:val="center"/>
            <w:hideMark/>
          </w:tcPr>
          <w:p w14:paraId="61C65538"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9,1%</w:t>
            </w:r>
          </w:p>
        </w:tc>
        <w:tc>
          <w:tcPr>
            <w:tcW w:w="507" w:type="pct"/>
            <w:tcBorders>
              <w:top w:val="nil"/>
              <w:left w:val="nil"/>
              <w:bottom w:val="single" w:sz="4" w:space="0" w:color="auto"/>
              <w:right w:val="single" w:sz="4" w:space="0" w:color="auto"/>
            </w:tcBorders>
            <w:shd w:val="clear" w:color="auto" w:fill="auto"/>
            <w:noWrap/>
            <w:vAlign w:val="center"/>
            <w:hideMark/>
          </w:tcPr>
          <w:p w14:paraId="10C03B4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3,1%</w:t>
            </w:r>
          </w:p>
        </w:tc>
        <w:tc>
          <w:tcPr>
            <w:tcW w:w="470" w:type="pct"/>
            <w:tcBorders>
              <w:top w:val="nil"/>
              <w:left w:val="nil"/>
              <w:bottom w:val="single" w:sz="4" w:space="0" w:color="auto"/>
              <w:right w:val="single" w:sz="4" w:space="0" w:color="auto"/>
            </w:tcBorders>
            <w:shd w:val="clear" w:color="auto" w:fill="auto"/>
            <w:noWrap/>
            <w:vAlign w:val="center"/>
            <w:hideMark/>
          </w:tcPr>
          <w:p w14:paraId="39AF0F4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w:t>
            </w:r>
          </w:p>
        </w:tc>
        <w:tc>
          <w:tcPr>
            <w:tcW w:w="473" w:type="pct"/>
            <w:tcBorders>
              <w:top w:val="nil"/>
              <w:left w:val="nil"/>
              <w:bottom w:val="single" w:sz="4" w:space="0" w:color="auto"/>
              <w:right w:val="single" w:sz="4" w:space="0" w:color="auto"/>
            </w:tcBorders>
            <w:shd w:val="clear" w:color="auto" w:fill="auto"/>
            <w:noWrap/>
            <w:vAlign w:val="center"/>
            <w:hideMark/>
          </w:tcPr>
          <w:p w14:paraId="0BE8D8C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6,0%</w:t>
            </w:r>
          </w:p>
        </w:tc>
        <w:tc>
          <w:tcPr>
            <w:tcW w:w="470" w:type="pct"/>
            <w:tcBorders>
              <w:top w:val="nil"/>
              <w:left w:val="nil"/>
              <w:bottom w:val="single" w:sz="4" w:space="0" w:color="auto"/>
              <w:right w:val="single" w:sz="4" w:space="0" w:color="auto"/>
            </w:tcBorders>
            <w:shd w:val="clear" w:color="auto" w:fill="auto"/>
            <w:noWrap/>
            <w:vAlign w:val="center"/>
            <w:hideMark/>
          </w:tcPr>
          <w:p w14:paraId="7ED10B8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4,8%</w:t>
            </w:r>
          </w:p>
        </w:tc>
      </w:tr>
      <w:tr w:rsidR="006369AA" w:rsidRPr="006369AA" w14:paraId="55D63910"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24DD5995"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5AC27D7F"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477" w:type="pct"/>
            <w:tcBorders>
              <w:top w:val="nil"/>
              <w:left w:val="nil"/>
              <w:bottom w:val="single" w:sz="4" w:space="0" w:color="auto"/>
              <w:right w:val="single" w:sz="4" w:space="0" w:color="auto"/>
            </w:tcBorders>
            <w:shd w:val="clear" w:color="auto" w:fill="auto"/>
            <w:noWrap/>
            <w:vAlign w:val="center"/>
            <w:hideMark/>
          </w:tcPr>
          <w:p w14:paraId="72555F34"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w:t>
            </w:r>
          </w:p>
        </w:tc>
        <w:tc>
          <w:tcPr>
            <w:tcW w:w="469" w:type="pct"/>
            <w:tcBorders>
              <w:top w:val="nil"/>
              <w:left w:val="nil"/>
              <w:bottom w:val="single" w:sz="4" w:space="0" w:color="auto"/>
              <w:right w:val="single" w:sz="4" w:space="0" w:color="auto"/>
            </w:tcBorders>
            <w:shd w:val="clear" w:color="auto" w:fill="auto"/>
            <w:noWrap/>
            <w:vAlign w:val="center"/>
            <w:hideMark/>
          </w:tcPr>
          <w:p w14:paraId="50324793"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6,8%</w:t>
            </w:r>
          </w:p>
        </w:tc>
        <w:tc>
          <w:tcPr>
            <w:tcW w:w="460" w:type="pct"/>
            <w:tcBorders>
              <w:top w:val="nil"/>
              <w:left w:val="nil"/>
              <w:bottom w:val="single" w:sz="4" w:space="0" w:color="auto"/>
              <w:right w:val="single" w:sz="4" w:space="0" w:color="auto"/>
            </w:tcBorders>
            <w:shd w:val="clear" w:color="auto" w:fill="auto"/>
            <w:noWrap/>
            <w:vAlign w:val="center"/>
            <w:hideMark/>
          </w:tcPr>
          <w:p w14:paraId="33F0ABA5"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2,3%</w:t>
            </w:r>
          </w:p>
        </w:tc>
        <w:tc>
          <w:tcPr>
            <w:tcW w:w="459" w:type="pct"/>
            <w:tcBorders>
              <w:top w:val="nil"/>
              <w:left w:val="nil"/>
              <w:bottom w:val="single" w:sz="4" w:space="0" w:color="auto"/>
              <w:right w:val="single" w:sz="4" w:space="0" w:color="auto"/>
            </w:tcBorders>
            <w:shd w:val="clear" w:color="auto" w:fill="auto"/>
            <w:noWrap/>
            <w:vAlign w:val="center"/>
            <w:hideMark/>
          </w:tcPr>
          <w:p w14:paraId="32F5993B"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11,8%</w:t>
            </w:r>
          </w:p>
        </w:tc>
        <w:tc>
          <w:tcPr>
            <w:tcW w:w="507" w:type="pct"/>
            <w:tcBorders>
              <w:top w:val="nil"/>
              <w:left w:val="nil"/>
              <w:bottom w:val="single" w:sz="4" w:space="0" w:color="auto"/>
              <w:right w:val="single" w:sz="4" w:space="0" w:color="auto"/>
            </w:tcBorders>
            <w:shd w:val="clear" w:color="auto" w:fill="auto"/>
            <w:noWrap/>
            <w:vAlign w:val="center"/>
            <w:hideMark/>
          </w:tcPr>
          <w:p w14:paraId="1304406E"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4,4%</w:t>
            </w:r>
          </w:p>
        </w:tc>
        <w:tc>
          <w:tcPr>
            <w:tcW w:w="470" w:type="pct"/>
            <w:tcBorders>
              <w:top w:val="nil"/>
              <w:left w:val="nil"/>
              <w:bottom w:val="single" w:sz="4" w:space="0" w:color="auto"/>
              <w:right w:val="single" w:sz="4" w:space="0" w:color="auto"/>
            </w:tcBorders>
            <w:shd w:val="clear" w:color="auto" w:fill="auto"/>
            <w:noWrap/>
            <w:vAlign w:val="center"/>
            <w:hideMark/>
          </w:tcPr>
          <w:p w14:paraId="2528873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7,3%</w:t>
            </w:r>
          </w:p>
        </w:tc>
        <w:tc>
          <w:tcPr>
            <w:tcW w:w="473" w:type="pct"/>
            <w:tcBorders>
              <w:top w:val="nil"/>
              <w:left w:val="nil"/>
              <w:bottom w:val="single" w:sz="4" w:space="0" w:color="auto"/>
              <w:right w:val="single" w:sz="4" w:space="0" w:color="auto"/>
            </w:tcBorders>
            <w:shd w:val="clear" w:color="auto" w:fill="auto"/>
            <w:noWrap/>
            <w:vAlign w:val="center"/>
            <w:hideMark/>
          </w:tcPr>
          <w:p w14:paraId="1ED7245E"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8,7%</w:t>
            </w:r>
          </w:p>
        </w:tc>
        <w:tc>
          <w:tcPr>
            <w:tcW w:w="470" w:type="pct"/>
            <w:tcBorders>
              <w:top w:val="nil"/>
              <w:left w:val="nil"/>
              <w:bottom w:val="single" w:sz="4" w:space="0" w:color="auto"/>
              <w:right w:val="single" w:sz="4" w:space="0" w:color="auto"/>
            </w:tcBorders>
            <w:shd w:val="clear" w:color="auto" w:fill="auto"/>
            <w:noWrap/>
            <w:vAlign w:val="center"/>
            <w:hideMark/>
          </w:tcPr>
          <w:p w14:paraId="3E9ADB2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6,1%</w:t>
            </w:r>
          </w:p>
        </w:tc>
      </w:tr>
      <w:tr w:rsidR="006369AA" w:rsidRPr="006369AA" w14:paraId="75DB1315" w14:textId="77777777" w:rsidTr="00C671A0">
        <w:trPr>
          <w:trHeight w:val="300"/>
        </w:trPr>
        <w:tc>
          <w:tcPr>
            <w:tcW w:w="76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658091C"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Sector informal</w:t>
            </w:r>
          </w:p>
        </w:tc>
        <w:tc>
          <w:tcPr>
            <w:tcW w:w="456" w:type="pct"/>
            <w:tcBorders>
              <w:top w:val="nil"/>
              <w:left w:val="nil"/>
              <w:bottom w:val="single" w:sz="4" w:space="0" w:color="auto"/>
              <w:right w:val="single" w:sz="4" w:space="0" w:color="auto"/>
            </w:tcBorders>
            <w:shd w:val="clear" w:color="000000" w:fill="FFFFFF"/>
            <w:vAlign w:val="center"/>
            <w:hideMark/>
          </w:tcPr>
          <w:p w14:paraId="4A623909"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2018</w:t>
            </w:r>
          </w:p>
        </w:tc>
        <w:tc>
          <w:tcPr>
            <w:tcW w:w="477" w:type="pct"/>
            <w:tcBorders>
              <w:top w:val="nil"/>
              <w:left w:val="nil"/>
              <w:bottom w:val="single" w:sz="4" w:space="0" w:color="auto"/>
              <w:right w:val="single" w:sz="4" w:space="0" w:color="auto"/>
            </w:tcBorders>
            <w:shd w:val="clear" w:color="auto" w:fill="auto"/>
            <w:noWrap/>
            <w:vAlign w:val="center"/>
            <w:hideMark/>
          </w:tcPr>
          <w:p w14:paraId="3532DB26"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46,8%</w:t>
            </w:r>
          </w:p>
        </w:tc>
        <w:tc>
          <w:tcPr>
            <w:tcW w:w="469" w:type="pct"/>
            <w:tcBorders>
              <w:top w:val="nil"/>
              <w:left w:val="nil"/>
              <w:bottom w:val="single" w:sz="4" w:space="0" w:color="auto"/>
              <w:right w:val="single" w:sz="4" w:space="0" w:color="auto"/>
            </w:tcBorders>
            <w:shd w:val="clear" w:color="auto" w:fill="auto"/>
            <w:noWrap/>
            <w:vAlign w:val="center"/>
            <w:hideMark/>
          </w:tcPr>
          <w:p w14:paraId="7B0E023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35,2%</w:t>
            </w:r>
          </w:p>
        </w:tc>
        <w:tc>
          <w:tcPr>
            <w:tcW w:w="460" w:type="pct"/>
            <w:tcBorders>
              <w:top w:val="nil"/>
              <w:left w:val="nil"/>
              <w:bottom w:val="single" w:sz="4" w:space="0" w:color="auto"/>
              <w:right w:val="single" w:sz="4" w:space="0" w:color="auto"/>
            </w:tcBorders>
            <w:shd w:val="clear" w:color="auto" w:fill="auto"/>
            <w:noWrap/>
            <w:vAlign w:val="center"/>
            <w:hideMark/>
          </w:tcPr>
          <w:p w14:paraId="6377E7C6"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68,4%</w:t>
            </w:r>
          </w:p>
        </w:tc>
        <w:tc>
          <w:tcPr>
            <w:tcW w:w="459" w:type="pct"/>
            <w:tcBorders>
              <w:top w:val="nil"/>
              <w:left w:val="nil"/>
              <w:bottom w:val="single" w:sz="4" w:space="0" w:color="auto"/>
              <w:right w:val="single" w:sz="4" w:space="0" w:color="auto"/>
            </w:tcBorders>
            <w:shd w:val="clear" w:color="auto" w:fill="auto"/>
            <w:noWrap/>
            <w:vAlign w:val="center"/>
            <w:hideMark/>
          </w:tcPr>
          <w:p w14:paraId="0A03711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21,5%</w:t>
            </w:r>
          </w:p>
        </w:tc>
        <w:tc>
          <w:tcPr>
            <w:tcW w:w="507" w:type="pct"/>
            <w:tcBorders>
              <w:top w:val="nil"/>
              <w:left w:val="nil"/>
              <w:bottom w:val="single" w:sz="4" w:space="0" w:color="auto"/>
              <w:right w:val="single" w:sz="4" w:space="0" w:color="auto"/>
            </w:tcBorders>
            <w:shd w:val="clear" w:color="auto" w:fill="auto"/>
            <w:noWrap/>
            <w:vAlign w:val="center"/>
            <w:hideMark/>
          </w:tcPr>
          <w:p w14:paraId="411586B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41,7%</w:t>
            </w:r>
          </w:p>
        </w:tc>
        <w:tc>
          <w:tcPr>
            <w:tcW w:w="470" w:type="pct"/>
            <w:tcBorders>
              <w:top w:val="nil"/>
              <w:left w:val="nil"/>
              <w:bottom w:val="single" w:sz="4" w:space="0" w:color="auto"/>
              <w:right w:val="single" w:sz="4" w:space="0" w:color="auto"/>
            </w:tcBorders>
            <w:shd w:val="clear" w:color="auto" w:fill="auto"/>
            <w:noWrap/>
            <w:vAlign w:val="center"/>
            <w:hideMark/>
          </w:tcPr>
          <w:p w14:paraId="71DE301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21,8%</w:t>
            </w:r>
          </w:p>
        </w:tc>
        <w:tc>
          <w:tcPr>
            <w:tcW w:w="473" w:type="pct"/>
            <w:tcBorders>
              <w:top w:val="nil"/>
              <w:left w:val="nil"/>
              <w:bottom w:val="single" w:sz="4" w:space="0" w:color="auto"/>
              <w:right w:val="single" w:sz="4" w:space="0" w:color="auto"/>
            </w:tcBorders>
            <w:shd w:val="clear" w:color="auto" w:fill="auto"/>
            <w:noWrap/>
            <w:vAlign w:val="center"/>
            <w:hideMark/>
          </w:tcPr>
          <w:p w14:paraId="73E8984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33,5%</w:t>
            </w:r>
          </w:p>
        </w:tc>
        <w:tc>
          <w:tcPr>
            <w:tcW w:w="470" w:type="pct"/>
            <w:tcBorders>
              <w:top w:val="nil"/>
              <w:left w:val="nil"/>
              <w:bottom w:val="single" w:sz="4" w:space="0" w:color="auto"/>
              <w:right w:val="single" w:sz="4" w:space="0" w:color="auto"/>
            </w:tcBorders>
            <w:shd w:val="clear" w:color="auto" w:fill="auto"/>
            <w:noWrap/>
            <w:vAlign w:val="center"/>
            <w:hideMark/>
          </w:tcPr>
          <w:p w14:paraId="3D26000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20,9%</w:t>
            </w:r>
          </w:p>
        </w:tc>
      </w:tr>
      <w:tr w:rsidR="006369AA" w:rsidRPr="006369AA" w14:paraId="42EC79DD"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7077FBF8"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460A564D"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477" w:type="pct"/>
            <w:tcBorders>
              <w:top w:val="nil"/>
              <w:left w:val="nil"/>
              <w:bottom w:val="single" w:sz="4" w:space="0" w:color="auto"/>
              <w:right w:val="single" w:sz="4" w:space="0" w:color="auto"/>
            </w:tcBorders>
            <w:shd w:val="clear" w:color="auto" w:fill="auto"/>
            <w:noWrap/>
            <w:vAlign w:val="center"/>
            <w:hideMark/>
          </w:tcPr>
          <w:p w14:paraId="159D8F88"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47,8%</w:t>
            </w:r>
          </w:p>
        </w:tc>
        <w:tc>
          <w:tcPr>
            <w:tcW w:w="469" w:type="pct"/>
            <w:tcBorders>
              <w:top w:val="nil"/>
              <w:left w:val="nil"/>
              <w:bottom w:val="single" w:sz="4" w:space="0" w:color="auto"/>
              <w:right w:val="single" w:sz="4" w:space="0" w:color="auto"/>
            </w:tcBorders>
            <w:shd w:val="clear" w:color="auto" w:fill="auto"/>
            <w:noWrap/>
            <w:vAlign w:val="center"/>
            <w:hideMark/>
          </w:tcPr>
          <w:p w14:paraId="589819CA"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35,6%</w:t>
            </w:r>
          </w:p>
        </w:tc>
        <w:tc>
          <w:tcPr>
            <w:tcW w:w="460" w:type="pct"/>
            <w:tcBorders>
              <w:top w:val="nil"/>
              <w:left w:val="nil"/>
              <w:bottom w:val="single" w:sz="4" w:space="0" w:color="auto"/>
              <w:right w:val="single" w:sz="4" w:space="0" w:color="auto"/>
            </w:tcBorders>
            <w:shd w:val="clear" w:color="auto" w:fill="auto"/>
            <w:noWrap/>
            <w:vAlign w:val="center"/>
            <w:hideMark/>
          </w:tcPr>
          <w:p w14:paraId="5E223BD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68,9%</w:t>
            </w:r>
          </w:p>
        </w:tc>
        <w:tc>
          <w:tcPr>
            <w:tcW w:w="459" w:type="pct"/>
            <w:tcBorders>
              <w:top w:val="nil"/>
              <w:left w:val="nil"/>
              <w:bottom w:val="single" w:sz="4" w:space="0" w:color="auto"/>
              <w:right w:val="single" w:sz="4" w:space="0" w:color="auto"/>
            </w:tcBorders>
            <w:shd w:val="clear" w:color="auto" w:fill="auto"/>
            <w:noWrap/>
            <w:vAlign w:val="center"/>
            <w:hideMark/>
          </w:tcPr>
          <w:p w14:paraId="625F733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20,7%</w:t>
            </w:r>
          </w:p>
        </w:tc>
        <w:tc>
          <w:tcPr>
            <w:tcW w:w="507" w:type="pct"/>
            <w:tcBorders>
              <w:top w:val="nil"/>
              <w:left w:val="nil"/>
              <w:bottom w:val="single" w:sz="4" w:space="0" w:color="auto"/>
              <w:right w:val="single" w:sz="4" w:space="0" w:color="auto"/>
            </w:tcBorders>
            <w:shd w:val="clear" w:color="auto" w:fill="auto"/>
            <w:noWrap/>
            <w:vAlign w:val="center"/>
            <w:hideMark/>
          </w:tcPr>
          <w:p w14:paraId="02D2D37B"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42,1%</w:t>
            </w:r>
          </w:p>
        </w:tc>
        <w:tc>
          <w:tcPr>
            <w:tcW w:w="470" w:type="pct"/>
            <w:tcBorders>
              <w:top w:val="nil"/>
              <w:left w:val="nil"/>
              <w:bottom w:val="single" w:sz="4" w:space="0" w:color="auto"/>
              <w:right w:val="single" w:sz="4" w:space="0" w:color="auto"/>
            </w:tcBorders>
            <w:shd w:val="clear" w:color="auto" w:fill="auto"/>
            <w:noWrap/>
            <w:vAlign w:val="center"/>
            <w:hideMark/>
          </w:tcPr>
          <w:p w14:paraId="6D07BD65"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22,6%</w:t>
            </w:r>
          </w:p>
        </w:tc>
        <w:tc>
          <w:tcPr>
            <w:tcW w:w="473" w:type="pct"/>
            <w:tcBorders>
              <w:top w:val="nil"/>
              <w:left w:val="nil"/>
              <w:bottom w:val="single" w:sz="4" w:space="0" w:color="auto"/>
              <w:right w:val="single" w:sz="4" w:space="0" w:color="auto"/>
            </w:tcBorders>
            <w:shd w:val="clear" w:color="auto" w:fill="auto"/>
            <w:noWrap/>
            <w:vAlign w:val="center"/>
            <w:hideMark/>
          </w:tcPr>
          <w:p w14:paraId="5CF9AFDF"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34,8%</w:t>
            </w:r>
          </w:p>
        </w:tc>
        <w:tc>
          <w:tcPr>
            <w:tcW w:w="470" w:type="pct"/>
            <w:tcBorders>
              <w:top w:val="nil"/>
              <w:left w:val="nil"/>
              <w:bottom w:val="single" w:sz="4" w:space="0" w:color="auto"/>
              <w:right w:val="single" w:sz="4" w:space="0" w:color="auto"/>
            </w:tcBorders>
            <w:shd w:val="clear" w:color="auto" w:fill="auto"/>
            <w:noWrap/>
            <w:vAlign w:val="center"/>
            <w:hideMark/>
          </w:tcPr>
          <w:p w14:paraId="71DCE93B"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20,5%</w:t>
            </w:r>
          </w:p>
        </w:tc>
      </w:tr>
      <w:tr w:rsidR="006369AA" w:rsidRPr="006369AA" w14:paraId="6ED5712E" w14:textId="77777777" w:rsidTr="00C671A0">
        <w:trPr>
          <w:trHeight w:val="300"/>
        </w:trPr>
        <w:tc>
          <w:tcPr>
            <w:tcW w:w="760" w:type="pct"/>
            <w:vMerge/>
            <w:tcBorders>
              <w:top w:val="nil"/>
              <w:left w:val="single" w:sz="4" w:space="0" w:color="auto"/>
              <w:bottom w:val="single" w:sz="4" w:space="0" w:color="auto"/>
              <w:right w:val="single" w:sz="4" w:space="0" w:color="auto"/>
            </w:tcBorders>
            <w:vAlign w:val="center"/>
            <w:hideMark/>
          </w:tcPr>
          <w:p w14:paraId="050BEFD3" w14:textId="77777777" w:rsidR="006369AA" w:rsidRPr="006369AA" w:rsidRDefault="006369AA" w:rsidP="00C671A0">
            <w:pPr>
              <w:rPr>
                <w:rFonts w:ascii="Palatino Linotype" w:eastAsia="Times New Roman" w:hAnsi="Palatino Linotype" w:cstheme="minorHAnsi"/>
                <w:color w:val="000000"/>
                <w:lang w:eastAsia="es-EC"/>
              </w:rPr>
            </w:pPr>
          </w:p>
        </w:tc>
        <w:tc>
          <w:tcPr>
            <w:tcW w:w="456" w:type="pct"/>
            <w:tcBorders>
              <w:top w:val="nil"/>
              <w:left w:val="nil"/>
              <w:bottom w:val="single" w:sz="4" w:space="0" w:color="auto"/>
              <w:right w:val="single" w:sz="4" w:space="0" w:color="auto"/>
            </w:tcBorders>
            <w:shd w:val="clear" w:color="000000" w:fill="FFFFFF"/>
            <w:vAlign w:val="center"/>
            <w:hideMark/>
          </w:tcPr>
          <w:p w14:paraId="35FC31A4"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477" w:type="pct"/>
            <w:tcBorders>
              <w:top w:val="nil"/>
              <w:left w:val="nil"/>
              <w:bottom w:val="single" w:sz="4" w:space="0" w:color="auto"/>
              <w:right w:val="single" w:sz="4" w:space="0" w:color="auto"/>
            </w:tcBorders>
            <w:shd w:val="clear" w:color="auto" w:fill="auto"/>
            <w:noWrap/>
            <w:vAlign w:val="center"/>
            <w:hideMark/>
          </w:tcPr>
          <w:p w14:paraId="27093F1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49,5%</w:t>
            </w:r>
          </w:p>
        </w:tc>
        <w:tc>
          <w:tcPr>
            <w:tcW w:w="469" w:type="pct"/>
            <w:tcBorders>
              <w:top w:val="nil"/>
              <w:left w:val="nil"/>
              <w:bottom w:val="single" w:sz="4" w:space="0" w:color="auto"/>
              <w:right w:val="single" w:sz="4" w:space="0" w:color="auto"/>
            </w:tcBorders>
            <w:shd w:val="clear" w:color="auto" w:fill="auto"/>
            <w:noWrap/>
            <w:vAlign w:val="center"/>
            <w:hideMark/>
          </w:tcPr>
          <w:p w14:paraId="28C52487"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38,7%</w:t>
            </w:r>
          </w:p>
        </w:tc>
        <w:tc>
          <w:tcPr>
            <w:tcW w:w="460" w:type="pct"/>
            <w:tcBorders>
              <w:top w:val="nil"/>
              <w:left w:val="nil"/>
              <w:bottom w:val="single" w:sz="4" w:space="0" w:color="auto"/>
              <w:right w:val="single" w:sz="4" w:space="0" w:color="auto"/>
            </w:tcBorders>
            <w:shd w:val="clear" w:color="auto" w:fill="auto"/>
            <w:noWrap/>
            <w:vAlign w:val="center"/>
            <w:hideMark/>
          </w:tcPr>
          <w:p w14:paraId="2E170F1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69,0%</w:t>
            </w:r>
          </w:p>
        </w:tc>
        <w:tc>
          <w:tcPr>
            <w:tcW w:w="459" w:type="pct"/>
            <w:tcBorders>
              <w:top w:val="nil"/>
              <w:left w:val="nil"/>
              <w:bottom w:val="single" w:sz="4" w:space="0" w:color="auto"/>
              <w:right w:val="single" w:sz="4" w:space="0" w:color="auto"/>
            </w:tcBorders>
            <w:shd w:val="clear" w:color="auto" w:fill="auto"/>
            <w:noWrap/>
            <w:vAlign w:val="center"/>
            <w:hideMark/>
          </w:tcPr>
          <w:p w14:paraId="45AB6443"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25,6%</w:t>
            </w:r>
          </w:p>
        </w:tc>
        <w:tc>
          <w:tcPr>
            <w:tcW w:w="507" w:type="pct"/>
            <w:tcBorders>
              <w:top w:val="nil"/>
              <w:left w:val="nil"/>
              <w:bottom w:val="single" w:sz="4" w:space="0" w:color="auto"/>
              <w:right w:val="single" w:sz="4" w:space="0" w:color="auto"/>
            </w:tcBorders>
            <w:shd w:val="clear" w:color="auto" w:fill="auto"/>
            <w:noWrap/>
            <w:vAlign w:val="center"/>
            <w:hideMark/>
          </w:tcPr>
          <w:p w14:paraId="5B3235EE"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44,6%</w:t>
            </w:r>
          </w:p>
        </w:tc>
        <w:tc>
          <w:tcPr>
            <w:tcW w:w="470" w:type="pct"/>
            <w:tcBorders>
              <w:top w:val="nil"/>
              <w:left w:val="nil"/>
              <w:bottom w:val="single" w:sz="4" w:space="0" w:color="auto"/>
              <w:right w:val="single" w:sz="4" w:space="0" w:color="auto"/>
            </w:tcBorders>
            <w:shd w:val="clear" w:color="auto" w:fill="auto"/>
            <w:noWrap/>
            <w:vAlign w:val="center"/>
            <w:hideMark/>
          </w:tcPr>
          <w:p w14:paraId="304BD244"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23,4%</w:t>
            </w:r>
          </w:p>
        </w:tc>
        <w:tc>
          <w:tcPr>
            <w:tcW w:w="473" w:type="pct"/>
            <w:tcBorders>
              <w:top w:val="nil"/>
              <w:left w:val="nil"/>
              <w:bottom w:val="single" w:sz="4" w:space="0" w:color="auto"/>
              <w:right w:val="single" w:sz="4" w:space="0" w:color="auto"/>
            </w:tcBorders>
            <w:shd w:val="clear" w:color="auto" w:fill="auto"/>
            <w:noWrap/>
            <w:vAlign w:val="center"/>
            <w:hideMark/>
          </w:tcPr>
          <w:p w14:paraId="67CE3645"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37,0%</w:t>
            </w:r>
          </w:p>
        </w:tc>
        <w:tc>
          <w:tcPr>
            <w:tcW w:w="470" w:type="pct"/>
            <w:tcBorders>
              <w:top w:val="nil"/>
              <w:left w:val="nil"/>
              <w:bottom w:val="single" w:sz="4" w:space="0" w:color="auto"/>
              <w:right w:val="single" w:sz="4" w:space="0" w:color="auto"/>
            </w:tcBorders>
            <w:shd w:val="clear" w:color="auto" w:fill="auto"/>
            <w:noWrap/>
            <w:vAlign w:val="center"/>
            <w:hideMark/>
          </w:tcPr>
          <w:p w14:paraId="6D04DE6A"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25,1%</w:t>
            </w:r>
          </w:p>
        </w:tc>
      </w:tr>
    </w:tbl>
    <w:p w14:paraId="0D63E87A"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INEC 2022</w:t>
      </w:r>
    </w:p>
    <w:p w14:paraId="4CDA400D"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Sobre los indicadores de pobreza y desigualdad, Quito refleja un aumento en la tasa de pobreza por ingreso en 6,4 puntos porcentuales entre 2019 y 2021. Sobre desigualdad, el deterioro del coeficiente de Gini aumento de manera considerable de 0,47 a 0,51, así, la ciudad cuya tasa de pobreza extrema alcanzó el 6,5% en el 2021 paro a ser la ciudad con mayor desigualdad en el país (Agenda de Competitividad, 2022).</w:t>
      </w:r>
    </w:p>
    <w:p w14:paraId="6BD8013F"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Indicadores de pobreza y desigualdad por ciudad</w:t>
      </w:r>
    </w:p>
    <w:tbl>
      <w:tblPr>
        <w:tblW w:w="5089" w:type="pct"/>
        <w:tblCellMar>
          <w:left w:w="70" w:type="dxa"/>
          <w:right w:w="70" w:type="dxa"/>
        </w:tblCellMar>
        <w:tblLook w:val="04A0" w:firstRow="1" w:lastRow="0" w:firstColumn="1" w:lastColumn="0" w:noHBand="0" w:noVBand="1"/>
      </w:tblPr>
      <w:tblGrid>
        <w:gridCol w:w="1365"/>
        <w:gridCol w:w="1213"/>
        <w:gridCol w:w="1213"/>
        <w:gridCol w:w="1216"/>
        <w:gridCol w:w="1214"/>
        <w:gridCol w:w="1212"/>
        <w:gridCol w:w="1212"/>
      </w:tblGrid>
      <w:tr w:rsidR="006369AA" w:rsidRPr="006369AA" w14:paraId="782BE16E" w14:textId="77777777" w:rsidTr="00C671A0">
        <w:trPr>
          <w:trHeight w:val="300"/>
        </w:trPr>
        <w:tc>
          <w:tcPr>
            <w:tcW w:w="79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8B4B58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Indicadores</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A44486"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Año</w:t>
            </w:r>
          </w:p>
        </w:tc>
        <w:tc>
          <w:tcPr>
            <w:tcW w:w="3508" w:type="pct"/>
            <w:gridSpan w:val="5"/>
            <w:tcBorders>
              <w:top w:val="single" w:sz="4" w:space="0" w:color="auto"/>
              <w:left w:val="nil"/>
              <w:bottom w:val="single" w:sz="4" w:space="0" w:color="auto"/>
              <w:right w:val="single" w:sz="4" w:space="0" w:color="auto"/>
            </w:tcBorders>
            <w:shd w:val="clear" w:color="000000" w:fill="F2F2F2"/>
            <w:vAlign w:val="center"/>
            <w:hideMark/>
          </w:tcPr>
          <w:p w14:paraId="63E58BAA"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Ciudades</w:t>
            </w:r>
          </w:p>
        </w:tc>
      </w:tr>
      <w:tr w:rsidR="006369AA" w:rsidRPr="006369AA" w14:paraId="7B248D22" w14:textId="77777777" w:rsidTr="00C671A0">
        <w:trPr>
          <w:trHeight w:val="300"/>
        </w:trPr>
        <w:tc>
          <w:tcPr>
            <w:tcW w:w="790" w:type="pct"/>
            <w:vMerge/>
            <w:tcBorders>
              <w:top w:val="single" w:sz="4" w:space="0" w:color="auto"/>
              <w:left w:val="single" w:sz="4" w:space="0" w:color="auto"/>
              <w:bottom w:val="single" w:sz="4" w:space="0" w:color="auto"/>
              <w:right w:val="single" w:sz="4" w:space="0" w:color="auto"/>
            </w:tcBorders>
            <w:vAlign w:val="center"/>
            <w:hideMark/>
          </w:tcPr>
          <w:p w14:paraId="46742FA6" w14:textId="77777777" w:rsidR="006369AA" w:rsidRPr="006369AA" w:rsidRDefault="006369AA" w:rsidP="00C671A0">
            <w:pPr>
              <w:rPr>
                <w:rFonts w:ascii="Palatino Linotype" w:eastAsia="Times New Roman" w:hAnsi="Palatino Linotype" w:cstheme="minorHAnsi"/>
                <w:b/>
                <w:bCs/>
                <w:color w:val="595959"/>
                <w:lang w:eastAsia="es-EC"/>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254C25A" w14:textId="77777777" w:rsidR="006369AA" w:rsidRPr="006369AA" w:rsidRDefault="006369AA" w:rsidP="00C671A0">
            <w:pPr>
              <w:rPr>
                <w:rFonts w:ascii="Palatino Linotype" w:eastAsia="Times New Roman" w:hAnsi="Palatino Linotype" w:cstheme="minorHAnsi"/>
                <w:b/>
                <w:bCs/>
                <w:color w:val="595959"/>
                <w:lang w:eastAsia="es-EC"/>
              </w:rPr>
            </w:pPr>
          </w:p>
        </w:tc>
        <w:tc>
          <w:tcPr>
            <w:tcW w:w="702" w:type="pct"/>
            <w:tcBorders>
              <w:top w:val="nil"/>
              <w:left w:val="nil"/>
              <w:bottom w:val="single" w:sz="4" w:space="0" w:color="auto"/>
              <w:right w:val="single" w:sz="4" w:space="0" w:color="auto"/>
            </w:tcBorders>
            <w:shd w:val="clear" w:color="000000" w:fill="F2F2F2"/>
            <w:vAlign w:val="center"/>
            <w:hideMark/>
          </w:tcPr>
          <w:p w14:paraId="38B0E8BD"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Quito</w:t>
            </w:r>
          </w:p>
        </w:tc>
        <w:tc>
          <w:tcPr>
            <w:tcW w:w="702" w:type="pct"/>
            <w:tcBorders>
              <w:top w:val="nil"/>
              <w:left w:val="nil"/>
              <w:bottom w:val="single" w:sz="4" w:space="0" w:color="auto"/>
              <w:right w:val="single" w:sz="4" w:space="0" w:color="auto"/>
            </w:tcBorders>
            <w:shd w:val="clear" w:color="000000" w:fill="F2F2F2"/>
            <w:vAlign w:val="center"/>
            <w:hideMark/>
          </w:tcPr>
          <w:p w14:paraId="75DD5FD1"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Guayaquil</w:t>
            </w:r>
          </w:p>
        </w:tc>
        <w:tc>
          <w:tcPr>
            <w:tcW w:w="702" w:type="pct"/>
            <w:tcBorders>
              <w:top w:val="nil"/>
              <w:left w:val="nil"/>
              <w:bottom w:val="single" w:sz="4" w:space="0" w:color="auto"/>
              <w:right w:val="single" w:sz="4" w:space="0" w:color="auto"/>
            </w:tcBorders>
            <w:shd w:val="clear" w:color="000000" w:fill="F2F2F2"/>
            <w:vAlign w:val="center"/>
            <w:hideMark/>
          </w:tcPr>
          <w:p w14:paraId="48B1C7DE"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Cuenca</w:t>
            </w:r>
          </w:p>
        </w:tc>
        <w:tc>
          <w:tcPr>
            <w:tcW w:w="701" w:type="pct"/>
            <w:tcBorders>
              <w:top w:val="nil"/>
              <w:left w:val="nil"/>
              <w:bottom w:val="single" w:sz="4" w:space="0" w:color="auto"/>
              <w:right w:val="single" w:sz="4" w:space="0" w:color="auto"/>
            </w:tcBorders>
            <w:shd w:val="clear" w:color="000000" w:fill="F2F2F2"/>
            <w:vAlign w:val="center"/>
            <w:hideMark/>
          </w:tcPr>
          <w:p w14:paraId="674D5BB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Machala</w:t>
            </w:r>
          </w:p>
        </w:tc>
        <w:tc>
          <w:tcPr>
            <w:tcW w:w="702" w:type="pct"/>
            <w:tcBorders>
              <w:top w:val="nil"/>
              <w:left w:val="nil"/>
              <w:bottom w:val="single" w:sz="4" w:space="0" w:color="auto"/>
              <w:right w:val="single" w:sz="4" w:space="0" w:color="auto"/>
            </w:tcBorders>
            <w:shd w:val="clear" w:color="000000" w:fill="F2F2F2"/>
            <w:vAlign w:val="center"/>
            <w:hideMark/>
          </w:tcPr>
          <w:p w14:paraId="1DC3C9E1"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Ambato</w:t>
            </w:r>
          </w:p>
        </w:tc>
      </w:tr>
      <w:tr w:rsidR="006369AA" w:rsidRPr="006369AA" w14:paraId="1416EBB8" w14:textId="77777777" w:rsidTr="00C671A0">
        <w:trPr>
          <w:trHeight w:val="300"/>
        </w:trPr>
        <w:tc>
          <w:tcPr>
            <w:tcW w:w="79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4474DBC"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Coeficiente de desigualdad de Gini</w:t>
            </w:r>
          </w:p>
        </w:tc>
        <w:tc>
          <w:tcPr>
            <w:tcW w:w="702" w:type="pct"/>
            <w:tcBorders>
              <w:top w:val="nil"/>
              <w:left w:val="nil"/>
              <w:bottom w:val="single" w:sz="4" w:space="0" w:color="auto"/>
              <w:right w:val="single" w:sz="4" w:space="0" w:color="auto"/>
            </w:tcBorders>
            <w:shd w:val="clear" w:color="000000" w:fill="FFFFFF"/>
            <w:vAlign w:val="center"/>
            <w:hideMark/>
          </w:tcPr>
          <w:p w14:paraId="7E7DECDA"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702" w:type="pct"/>
            <w:tcBorders>
              <w:top w:val="nil"/>
              <w:left w:val="nil"/>
              <w:bottom w:val="single" w:sz="4" w:space="0" w:color="auto"/>
              <w:right w:val="single" w:sz="4" w:space="0" w:color="auto"/>
            </w:tcBorders>
            <w:shd w:val="clear" w:color="auto" w:fill="auto"/>
            <w:vAlign w:val="center"/>
            <w:hideMark/>
          </w:tcPr>
          <w:p w14:paraId="3FF452F1"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0,47</w:t>
            </w:r>
          </w:p>
        </w:tc>
        <w:tc>
          <w:tcPr>
            <w:tcW w:w="702" w:type="pct"/>
            <w:tcBorders>
              <w:top w:val="nil"/>
              <w:left w:val="nil"/>
              <w:bottom w:val="single" w:sz="4" w:space="0" w:color="auto"/>
              <w:right w:val="single" w:sz="4" w:space="0" w:color="auto"/>
            </w:tcBorders>
            <w:shd w:val="clear" w:color="auto" w:fill="auto"/>
            <w:vAlign w:val="center"/>
            <w:hideMark/>
          </w:tcPr>
          <w:p w14:paraId="1B1EC92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w:t>
            </w:r>
          </w:p>
        </w:tc>
        <w:tc>
          <w:tcPr>
            <w:tcW w:w="702" w:type="pct"/>
            <w:tcBorders>
              <w:top w:val="nil"/>
              <w:left w:val="nil"/>
              <w:bottom w:val="single" w:sz="4" w:space="0" w:color="auto"/>
              <w:right w:val="single" w:sz="4" w:space="0" w:color="auto"/>
            </w:tcBorders>
            <w:shd w:val="clear" w:color="auto" w:fill="auto"/>
            <w:vAlign w:val="center"/>
            <w:hideMark/>
          </w:tcPr>
          <w:p w14:paraId="0718DD8E"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0,42</w:t>
            </w:r>
          </w:p>
        </w:tc>
        <w:tc>
          <w:tcPr>
            <w:tcW w:w="701" w:type="pct"/>
            <w:tcBorders>
              <w:top w:val="nil"/>
              <w:left w:val="nil"/>
              <w:bottom w:val="single" w:sz="4" w:space="0" w:color="auto"/>
              <w:right w:val="single" w:sz="4" w:space="0" w:color="auto"/>
            </w:tcBorders>
            <w:shd w:val="clear" w:color="auto" w:fill="auto"/>
            <w:vAlign w:val="center"/>
            <w:hideMark/>
          </w:tcPr>
          <w:p w14:paraId="5FF83D04"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0,41</w:t>
            </w:r>
          </w:p>
        </w:tc>
        <w:tc>
          <w:tcPr>
            <w:tcW w:w="702" w:type="pct"/>
            <w:tcBorders>
              <w:top w:val="nil"/>
              <w:left w:val="nil"/>
              <w:bottom w:val="single" w:sz="4" w:space="0" w:color="auto"/>
              <w:right w:val="single" w:sz="4" w:space="0" w:color="auto"/>
            </w:tcBorders>
            <w:shd w:val="clear" w:color="auto" w:fill="auto"/>
            <w:vAlign w:val="center"/>
            <w:hideMark/>
          </w:tcPr>
          <w:p w14:paraId="5149B7A4"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0,47</w:t>
            </w:r>
          </w:p>
        </w:tc>
      </w:tr>
      <w:tr w:rsidR="006369AA" w:rsidRPr="006369AA" w14:paraId="56B7B6D2" w14:textId="77777777" w:rsidTr="00C671A0">
        <w:trPr>
          <w:trHeight w:val="300"/>
        </w:trPr>
        <w:tc>
          <w:tcPr>
            <w:tcW w:w="790" w:type="pct"/>
            <w:vMerge/>
            <w:tcBorders>
              <w:top w:val="nil"/>
              <w:left w:val="single" w:sz="4" w:space="0" w:color="auto"/>
              <w:bottom w:val="single" w:sz="4" w:space="0" w:color="auto"/>
              <w:right w:val="single" w:sz="4" w:space="0" w:color="auto"/>
            </w:tcBorders>
            <w:vAlign w:val="center"/>
            <w:hideMark/>
          </w:tcPr>
          <w:p w14:paraId="4E5D9CDA" w14:textId="77777777" w:rsidR="006369AA" w:rsidRPr="006369AA" w:rsidRDefault="006369AA" w:rsidP="00C671A0">
            <w:pPr>
              <w:rPr>
                <w:rFonts w:ascii="Palatino Linotype" w:eastAsia="Times New Roman" w:hAnsi="Palatino Linotype" w:cstheme="minorHAnsi"/>
                <w:color w:val="000000"/>
                <w:lang w:eastAsia="es-EC"/>
              </w:rPr>
            </w:pPr>
          </w:p>
        </w:tc>
        <w:tc>
          <w:tcPr>
            <w:tcW w:w="702" w:type="pct"/>
            <w:tcBorders>
              <w:top w:val="nil"/>
              <w:left w:val="nil"/>
              <w:bottom w:val="single" w:sz="4" w:space="0" w:color="auto"/>
              <w:right w:val="single" w:sz="4" w:space="0" w:color="auto"/>
            </w:tcBorders>
            <w:shd w:val="clear" w:color="000000" w:fill="FFFFFF"/>
            <w:vAlign w:val="center"/>
            <w:hideMark/>
          </w:tcPr>
          <w:p w14:paraId="78573B12"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702" w:type="pct"/>
            <w:tcBorders>
              <w:top w:val="nil"/>
              <w:left w:val="nil"/>
              <w:bottom w:val="single" w:sz="4" w:space="0" w:color="auto"/>
              <w:right w:val="single" w:sz="4" w:space="0" w:color="auto"/>
            </w:tcBorders>
            <w:shd w:val="clear" w:color="auto" w:fill="auto"/>
            <w:vAlign w:val="center"/>
            <w:hideMark/>
          </w:tcPr>
          <w:p w14:paraId="4582269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0,51</w:t>
            </w:r>
          </w:p>
        </w:tc>
        <w:tc>
          <w:tcPr>
            <w:tcW w:w="702" w:type="pct"/>
            <w:tcBorders>
              <w:top w:val="nil"/>
              <w:left w:val="nil"/>
              <w:bottom w:val="single" w:sz="4" w:space="0" w:color="auto"/>
              <w:right w:val="single" w:sz="4" w:space="0" w:color="auto"/>
            </w:tcBorders>
            <w:shd w:val="clear" w:color="auto" w:fill="auto"/>
            <w:vAlign w:val="center"/>
            <w:hideMark/>
          </w:tcPr>
          <w:p w14:paraId="2D101F4A"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0,43</w:t>
            </w:r>
          </w:p>
        </w:tc>
        <w:tc>
          <w:tcPr>
            <w:tcW w:w="702" w:type="pct"/>
            <w:tcBorders>
              <w:top w:val="nil"/>
              <w:left w:val="nil"/>
              <w:bottom w:val="single" w:sz="4" w:space="0" w:color="auto"/>
              <w:right w:val="single" w:sz="4" w:space="0" w:color="auto"/>
            </w:tcBorders>
            <w:shd w:val="clear" w:color="auto" w:fill="auto"/>
            <w:vAlign w:val="center"/>
            <w:hideMark/>
          </w:tcPr>
          <w:p w14:paraId="5E8D33F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0,43</w:t>
            </w:r>
          </w:p>
        </w:tc>
        <w:tc>
          <w:tcPr>
            <w:tcW w:w="701" w:type="pct"/>
            <w:tcBorders>
              <w:top w:val="nil"/>
              <w:left w:val="nil"/>
              <w:bottom w:val="single" w:sz="4" w:space="0" w:color="auto"/>
              <w:right w:val="single" w:sz="4" w:space="0" w:color="auto"/>
            </w:tcBorders>
            <w:shd w:val="clear" w:color="auto" w:fill="auto"/>
            <w:vAlign w:val="center"/>
            <w:hideMark/>
          </w:tcPr>
          <w:p w14:paraId="6A0EB17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0,44</w:t>
            </w:r>
          </w:p>
        </w:tc>
        <w:tc>
          <w:tcPr>
            <w:tcW w:w="702" w:type="pct"/>
            <w:tcBorders>
              <w:top w:val="nil"/>
              <w:left w:val="nil"/>
              <w:bottom w:val="single" w:sz="4" w:space="0" w:color="auto"/>
              <w:right w:val="single" w:sz="4" w:space="0" w:color="auto"/>
            </w:tcBorders>
            <w:shd w:val="clear" w:color="auto" w:fill="auto"/>
            <w:vAlign w:val="center"/>
            <w:hideMark/>
          </w:tcPr>
          <w:p w14:paraId="50BBFBC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0,48</w:t>
            </w:r>
          </w:p>
        </w:tc>
      </w:tr>
      <w:tr w:rsidR="006369AA" w:rsidRPr="006369AA" w14:paraId="14B92C0B" w14:textId="77777777" w:rsidTr="00C671A0">
        <w:trPr>
          <w:trHeight w:val="300"/>
        </w:trPr>
        <w:tc>
          <w:tcPr>
            <w:tcW w:w="79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ED7DD7"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Pobreza extrema por ingresos</w:t>
            </w:r>
          </w:p>
        </w:tc>
        <w:tc>
          <w:tcPr>
            <w:tcW w:w="702" w:type="pct"/>
            <w:tcBorders>
              <w:top w:val="nil"/>
              <w:left w:val="nil"/>
              <w:bottom w:val="single" w:sz="4" w:space="0" w:color="auto"/>
              <w:right w:val="single" w:sz="4" w:space="0" w:color="auto"/>
            </w:tcBorders>
            <w:shd w:val="clear" w:color="000000" w:fill="FFFFFF"/>
            <w:vAlign w:val="center"/>
            <w:hideMark/>
          </w:tcPr>
          <w:p w14:paraId="12017BFF"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702" w:type="pct"/>
            <w:tcBorders>
              <w:top w:val="nil"/>
              <w:left w:val="nil"/>
              <w:bottom w:val="single" w:sz="4" w:space="0" w:color="auto"/>
              <w:right w:val="single" w:sz="4" w:space="0" w:color="auto"/>
            </w:tcBorders>
            <w:shd w:val="clear" w:color="auto" w:fill="auto"/>
            <w:vAlign w:val="center"/>
            <w:hideMark/>
          </w:tcPr>
          <w:p w14:paraId="5DFEA5C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4,10%</w:t>
            </w:r>
          </w:p>
        </w:tc>
        <w:tc>
          <w:tcPr>
            <w:tcW w:w="702" w:type="pct"/>
            <w:tcBorders>
              <w:top w:val="nil"/>
              <w:left w:val="nil"/>
              <w:bottom w:val="single" w:sz="4" w:space="0" w:color="auto"/>
              <w:right w:val="single" w:sz="4" w:space="0" w:color="auto"/>
            </w:tcBorders>
            <w:shd w:val="clear" w:color="auto" w:fill="auto"/>
            <w:vAlign w:val="center"/>
            <w:hideMark/>
          </w:tcPr>
          <w:p w14:paraId="0D2A895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1,70%</w:t>
            </w:r>
          </w:p>
        </w:tc>
        <w:tc>
          <w:tcPr>
            <w:tcW w:w="702" w:type="pct"/>
            <w:tcBorders>
              <w:top w:val="nil"/>
              <w:left w:val="nil"/>
              <w:bottom w:val="single" w:sz="4" w:space="0" w:color="auto"/>
              <w:right w:val="single" w:sz="4" w:space="0" w:color="auto"/>
            </w:tcBorders>
            <w:shd w:val="clear" w:color="auto" w:fill="auto"/>
            <w:vAlign w:val="center"/>
            <w:hideMark/>
          </w:tcPr>
          <w:p w14:paraId="33E4152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1,10%</w:t>
            </w:r>
          </w:p>
        </w:tc>
        <w:tc>
          <w:tcPr>
            <w:tcW w:w="701" w:type="pct"/>
            <w:tcBorders>
              <w:top w:val="nil"/>
              <w:left w:val="nil"/>
              <w:bottom w:val="single" w:sz="4" w:space="0" w:color="auto"/>
              <w:right w:val="single" w:sz="4" w:space="0" w:color="auto"/>
            </w:tcBorders>
            <w:shd w:val="clear" w:color="auto" w:fill="auto"/>
            <w:vAlign w:val="center"/>
            <w:hideMark/>
          </w:tcPr>
          <w:p w14:paraId="500CD36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2,70%</w:t>
            </w:r>
          </w:p>
        </w:tc>
        <w:tc>
          <w:tcPr>
            <w:tcW w:w="702" w:type="pct"/>
            <w:tcBorders>
              <w:top w:val="nil"/>
              <w:left w:val="nil"/>
              <w:bottom w:val="single" w:sz="4" w:space="0" w:color="auto"/>
              <w:right w:val="single" w:sz="4" w:space="0" w:color="auto"/>
            </w:tcBorders>
            <w:shd w:val="clear" w:color="auto" w:fill="auto"/>
            <w:vAlign w:val="center"/>
            <w:hideMark/>
          </w:tcPr>
          <w:p w14:paraId="171827B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2,70%</w:t>
            </w:r>
          </w:p>
        </w:tc>
      </w:tr>
      <w:tr w:rsidR="006369AA" w:rsidRPr="006369AA" w14:paraId="11762930" w14:textId="77777777" w:rsidTr="00C671A0">
        <w:trPr>
          <w:trHeight w:val="300"/>
        </w:trPr>
        <w:tc>
          <w:tcPr>
            <w:tcW w:w="790" w:type="pct"/>
            <w:vMerge/>
            <w:tcBorders>
              <w:top w:val="nil"/>
              <w:left w:val="single" w:sz="4" w:space="0" w:color="auto"/>
              <w:bottom w:val="single" w:sz="4" w:space="0" w:color="auto"/>
              <w:right w:val="single" w:sz="4" w:space="0" w:color="auto"/>
            </w:tcBorders>
            <w:vAlign w:val="center"/>
            <w:hideMark/>
          </w:tcPr>
          <w:p w14:paraId="1EDB662F" w14:textId="77777777" w:rsidR="006369AA" w:rsidRPr="006369AA" w:rsidRDefault="006369AA" w:rsidP="00C671A0">
            <w:pPr>
              <w:rPr>
                <w:rFonts w:ascii="Palatino Linotype" w:eastAsia="Times New Roman" w:hAnsi="Palatino Linotype" w:cstheme="minorHAnsi"/>
                <w:color w:val="000000"/>
                <w:lang w:eastAsia="es-EC"/>
              </w:rPr>
            </w:pPr>
          </w:p>
        </w:tc>
        <w:tc>
          <w:tcPr>
            <w:tcW w:w="702" w:type="pct"/>
            <w:tcBorders>
              <w:top w:val="nil"/>
              <w:left w:val="nil"/>
              <w:bottom w:val="single" w:sz="4" w:space="0" w:color="auto"/>
              <w:right w:val="single" w:sz="4" w:space="0" w:color="auto"/>
            </w:tcBorders>
            <w:shd w:val="clear" w:color="000000" w:fill="FFFFFF"/>
            <w:vAlign w:val="center"/>
            <w:hideMark/>
          </w:tcPr>
          <w:p w14:paraId="61EBD7CA"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702" w:type="pct"/>
            <w:tcBorders>
              <w:top w:val="nil"/>
              <w:left w:val="nil"/>
              <w:bottom w:val="single" w:sz="4" w:space="0" w:color="auto"/>
              <w:right w:val="single" w:sz="4" w:space="0" w:color="auto"/>
            </w:tcBorders>
            <w:shd w:val="clear" w:color="auto" w:fill="auto"/>
            <w:vAlign w:val="center"/>
            <w:hideMark/>
          </w:tcPr>
          <w:p w14:paraId="2FC23B7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6,50%</w:t>
            </w:r>
          </w:p>
        </w:tc>
        <w:tc>
          <w:tcPr>
            <w:tcW w:w="702" w:type="pct"/>
            <w:tcBorders>
              <w:top w:val="nil"/>
              <w:left w:val="nil"/>
              <w:bottom w:val="single" w:sz="4" w:space="0" w:color="auto"/>
              <w:right w:val="single" w:sz="4" w:space="0" w:color="auto"/>
            </w:tcBorders>
            <w:shd w:val="clear" w:color="auto" w:fill="auto"/>
            <w:vAlign w:val="center"/>
            <w:hideMark/>
          </w:tcPr>
          <w:p w14:paraId="49714C2E"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5,20%</w:t>
            </w:r>
          </w:p>
        </w:tc>
        <w:tc>
          <w:tcPr>
            <w:tcW w:w="702" w:type="pct"/>
            <w:tcBorders>
              <w:top w:val="nil"/>
              <w:left w:val="nil"/>
              <w:bottom w:val="single" w:sz="4" w:space="0" w:color="auto"/>
              <w:right w:val="single" w:sz="4" w:space="0" w:color="auto"/>
            </w:tcBorders>
            <w:shd w:val="clear" w:color="auto" w:fill="auto"/>
            <w:vAlign w:val="center"/>
            <w:hideMark/>
          </w:tcPr>
          <w:p w14:paraId="1A8460C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2,40%</w:t>
            </w:r>
          </w:p>
        </w:tc>
        <w:tc>
          <w:tcPr>
            <w:tcW w:w="701" w:type="pct"/>
            <w:tcBorders>
              <w:top w:val="nil"/>
              <w:left w:val="nil"/>
              <w:bottom w:val="single" w:sz="4" w:space="0" w:color="auto"/>
              <w:right w:val="single" w:sz="4" w:space="0" w:color="auto"/>
            </w:tcBorders>
            <w:shd w:val="clear" w:color="auto" w:fill="auto"/>
            <w:vAlign w:val="center"/>
            <w:hideMark/>
          </w:tcPr>
          <w:p w14:paraId="63813A29"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5,00%</w:t>
            </w:r>
          </w:p>
        </w:tc>
        <w:tc>
          <w:tcPr>
            <w:tcW w:w="702" w:type="pct"/>
            <w:tcBorders>
              <w:top w:val="nil"/>
              <w:left w:val="nil"/>
              <w:bottom w:val="single" w:sz="4" w:space="0" w:color="auto"/>
              <w:right w:val="single" w:sz="4" w:space="0" w:color="auto"/>
            </w:tcBorders>
            <w:shd w:val="clear" w:color="auto" w:fill="auto"/>
            <w:vAlign w:val="center"/>
            <w:hideMark/>
          </w:tcPr>
          <w:p w14:paraId="6FA11381"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5,20%</w:t>
            </w:r>
          </w:p>
        </w:tc>
      </w:tr>
      <w:tr w:rsidR="006369AA" w:rsidRPr="006369AA" w14:paraId="0408B82C" w14:textId="77777777" w:rsidTr="00C671A0">
        <w:trPr>
          <w:trHeight w:val="300"/>
        </w:trPr>
        <w:tc>
          <w:tcPr>
            <w:tcW w:w="790" w:type="pct"/>
            <w:vMerge w:val="restart"/>
            <w:tcBorders>
              <w:top w:val="nil"/>
              <w:left w:val="single" w:sz="4" w:space="0" w:color="auto"/>
              <w:bottom w:val="single" w:sz="4" w:space="0" w:color="auto"/>
              <w:right w:val="single" w:sz="4" w:space="0" w:color="auto"/>
            </w:tcBorders>
            <w:shd w:val="clear" w:color="000000" w:fill="FFFFFF"/>
            <w:vAlign w:val="center"/>
            <w:hideMark/>
          </w:tcPr>
          <w:p w14:paraId="7D16CA8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Pobreza por ingresos</w:t>
            </w:r>
          </w:p>
        </w:tc>
        <w:tc>
          <w:tcPr>
            <w:tcW w:w="702" w:type="pct"/>
            <w:tcBorders>
              <w:top w:val="nil"/>
              <w:left w:val="nil"/>
              <w:bottom w:val="single" w:sz="4" w:space="0" w:color="auto"/>
              <w:right w:val="single" w:sz="4" w:space="0" w:color="auto"/>
            </w:tcBorders>
            <w:shd w:val="clear" w:color="000000" w:fill="FFFFFF"/>
            <w:vAlign w:val="center"/>
            <w:hideMark/>
          </w:tcPr>
          <w:p w14:paraId="6E63E6A4"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2019</w:t>
            </w:r>
          </w:p>
        </w:tc>
        <w:tc>
          <w:tcPr>
            <w:tcW w:w="702" w:type="pct"/>
            <w:tcBorders>
              <w:top w:val="nil"/>
              <w:left w:val="nil"/>
              <w:bottom w:val="single" w:sz="4" w:space="0" w:color="auto"/>
              <w:right w:val="single" w:sz="4" w:space="0" w:color="auto"/>
            </w:tcBorders>
            <w:shd w:val="clear" w:color="auto" w:fill="auto"/>
            <w:vAlign w:val="center"/>
            <w:hideMark/>
          </w:tcPr>
          <w:p w14:paraId="099426E1"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12,10%</w:t>
            </w:r>
          </w:p>
        </w:tc>
        <w:tc>
          <w:tcPr>
            <w:tcW w:w="702" w:type="pct"/>
            <w:tcBorders>
              <w:top w:val="nil"/>
              <w:left w:val="nil"/>
              <w:bottom w:val="single" w:sz="4" w:space="0" w:color="auto"/>
              <w:right w:val="single" w:sz="4" w:space="0" w:color="auto"/>
            </w:tcBorders>
            <w:shd w:val="clear" w:color="auto" w:fill="auto"/>
            <w:vAlign w:val="center"/>
            <w:hideMark/>
          </w:tcPr>
          <w:p w14:paraId="13A43E9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10,80%</w:t>
            </w:r>
          </w:p>
        </w:tc>
        <w:tc>
          <w:tcPr>
            <w:tcW w:w="702" w:type="pct"/>
            <w:tcBorders>
              <w:top w:val="nil"/>
              <w:left w:val="nil"/>
              <w:bottom w:val="single" w:sz="4" w:space="0" w:color="auto"/>
              <w:right w:val="single" w:sz="4" w:space="0" w:color="auto"/>
            </w:tcBorders>
            <w:shd w:val="clear" w:color="auto" w:fill="auto"/>
            <w:vAlign w:val="center"/>
            <w:hideMark/>
          </w:tcPr>
          <w:p w14:paraId="1F02BB58"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5,60%</w:t>
            </w:r>
          </w:p>
        </w:tc>
        <w:tc>
          <w:tcPr>
            <w:tcW w:w="701" w:type="pct"/>
            <w:tcBorders>
              <w:top w:val="nil"/>
              <w:left w:val="nil"/>
              <w:bottom w:val="single" w:sz="4" w:space="0" w:color="auto"/>
              <w:right w:val="single" w:sz="4" w:space="0" w:color="auto"/>
            </w:tcBorders>
            <w:shd w:val="clear" w:color="auto" w:fill="auto"/>
            <w:vAlign w:val="center"/>
            <w:hideMark/>
          </w:tcPr>
          <w:p w14:paraId="46D9DC2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11,20%</w:t>
            </w:r>
          </w:p>
        </w:tc>
        <w:tc>
          <w:tcPr>
            <w:tcW w:w="702" w:type="pct"/>
            <w:tcBorders>
              <w:top w:val="nil"/>
              <w:left w:val="nil"/>
              <w:bottom w:val="single" w:sz="4" w:space="0" w:color="auto"/>
              <w:right w:val="single" w:sz="4" w:space="0" w:color="auto"/>
            </w:tcBorders>
            <w:shd w:val="clear" w:color="auto" w:fill="auto"/>
            <w:vAlign w:val="center"/>
            <w:hideMark/>
          </w:tcPr>
          <w:p w14:paraId="2EE0E04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9,80%</w:t>
            </w:r>
          </w:p>
        </w:tc>
      </w:tr>
      <w:tr w:rsidR="006369AA" w:rsidRPr="006369AA" w14:paraId="0882E444" w14:textId="77777777" w:rsidTr="00C671A0">
        <w:trPr>
          <w:trHeight w:val="300"/>
        </w:trPr>
        <w:tc>
          <w:tcPr>
            <w:tcW w:w="790" w:type="pct"/>
            <w:vMerge/>
            <w:tcBorders>
              <w:top w:val="nil"/>
              <w:left w:val="single" w:sz="4" w:space="0" w:color="auto"/>
              <w:bottom w:val="single" w:sz="4" w:space="0" w:color="auto"/>
              <w:right w:val="single" w:sz="4" w:space="0" w:color="auto"/>
            </w:tcBorders>
            <w:vAlign w:val="center"/>
            <w:hideMark/>
          </w:tcPr>
          <w:p w14:paraId="5D8E222F" w14:textId="77777777" w:rsidR="006369AA" w:rsidRPr="006369AA" w:rsidRDefault="006369AA" w:rsidP="00C671A0">
            <w:pPr>
              <w:rPr>
                <w:rFonts w:ascii="Palatino Linotype" w:eastAsia="Times New Roman" w:hAnsi="Palatino Linotype" w:cstheme="minorHAnsi"/>
                <w:color w:val="000000"/>
                <w:lang w:eastAsia="es-EC"/>
              </w:rPr>
            </w:pPr>
          </w:p>
        </w:tc>
        <w:tc>
          <w:tcPr>
            <w:tcW w:w="702" w:type="pct"/>
            <w:tcBorders>
              <w:top w:val="nil"/>
              <w:left w:val="nil"/>
              <w:bottom w:val="single" w:sz="4" w:space="0" w:color="auto"/>
              <w:right w:val="single" w:sz="4" w:space="0" w:color="auto"/>
            </w:tcBorders>
            <w:shd w:val="clear" w:color="000000" w:fill="FFFFFF"/>
            <w:vAlign w:val="center"/>
            <w:hideMark/>
          </w:tcPr>
          <w:p w14:paraId="30C259BD" w14:textId="77777777" w:rsidR="006369AA" w:rsidRPr="006369AA" w:rsidRDefault="006369AA" w:rsidP="00C671A0">
            <w:pPr>
              <w:jc w:val="center"/>
              <w:rPr>
                <w:rFonts w:ascii="Palatino Linotype" w:eastAsia="Times New Roman" w:hAnsi="Palatino Linotype" w:cstheme="minorHAnsi"/>
                <w:color w:val="595959"/>
                <w:lang w:eastAsia="es-EC"/>
              </w:rPr>
            </w:pPr>
            <w:r w:rsidRPr="006369AA">
              <w:rPr>
                <w:rFonts w:ascii="Palatino Linotype" w:eastAsia="Times New Roman" w:hAnsi="Palatino Linotype" w:cstheme="minorHAnsi"/>
                <w:color w:val="595959"/>
                <w:lang w:eastAsia="es-EC"/>
              </w:rPr>
              <w:t>2021</w:t>
            </w:r>
          </w:p>
        </w:tc>
        <w:tc>
          <w:tcPr>
            <w:tcW w:w="702" w:type="pct"/>
            <w:tcBorders>
              <w:top w:val="nil"/>
              <w:left w:val="nil"/>
              <w:bottom w:val="single" w:sz="4" w:space="0" w:color="auto"/>
              <w:right w:val="single" w:sz="4" w:space="0" w:color="auto"/>
            </w:tcBorders>
            <w:shd w:val="clear" w:color="auto" w:fill="auto"/>
            <w:vAlign w:val="center"/>
            <w:hideMark/>
          </w:tcPr>
          <w:p w14:paraId="2AF97A6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18,50%</w:t>
            </w:r>
          </w:p>
        </w:tc>
        <w:tc>
          <w:tcPr>
            <w:tcW w:w="702" w:type="pct"/>
            <w:tcBorders>
              <w:top w:val="nil"/>
              <w:left w:val="nil"/>
              <w:bottom w:val="single" w:sz="4" w:space="0" w:color="auto"/>
              <w:right w:val="single" w:sz="4" w:space="0" w:color="auto"/>
            </w:tcBorders>
            <w:shd w:val="clear" w:color="auto" w:fill="auto"/>
            <w:vAlign w:val="center"/>
            <w:hideMark/>
          </w:tcPr>
          <w:p w14:paraId="3FD8C975"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20,10%</w:t>
            </w:r>
          </w:p>
        </w:tc>
        <w:tc>
          <w:tcPr>
            <w:tcW w:w="702" w:type="pct"/>
            <w:tcBorders>
              <w:top w:val="nil"/>
              <w:left w:val="nil"/>
              <w:bottom w:val="single" w:sz="4" w:space="0" w:color="auto"/>
              <w:right w:val="single" w:sz="4" w:space="0" w:color="auto"/>
            </w:tcBorders>
            <w:shd w:val="clear" w:color="auto" w:fill="auto"/>
            <w:vAlign w:val="center"/>
            <w:hideMark/>
          </w:tcPr>
          <w:p w14:paraId="7AB56EC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9,40%</w:t>
            </w:r>
          </w:p>
        </w:tc>
        <w:tc>
          <w:tcPr>
            <w:tcW w:w="701" w:type="pct"/>
            <w:tcBorders>
              <w:top w:val="nil"/>
              <w:left w:val="nil"/>
              <w:bottom w:val="single" w:sz="4" w:space="0" w:color="auto"/>
              <w:right w:val="single" w:sz="4" w:space="0" w:color="auto"/>
            </w:tcBorders>
            <w:shd w:val="clear" w:color="auto" w:fill="auto"/>
            <w:vAlign w:val="center"/>
            <w:hideMark/>
          </w:tcPr>
          <w:p w14:paraId="1D66FFD7"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19,30%</w:t>
            </w:r>
          </w:p>
        </w:tc>
        <w:tc>
          <w:tcPr>
            <w:tcW w:w="702" w:type="pct"/>
            <w:tcBorders>
              <w:top w:val="nil"/>
              <w:left w:val="nil"/>
              <w:bottom w:val="single" w:sz="4" w:space="0" w:color="auto"/>
              <w:right w:val="single" w:sz="4" w:space="0" w:color="auto"/>
            </w:tcBorders>
            <w:shd w:val="clear" w:color="auto" w:fill="auto"/>
            <w:vAlign w:val="center"/>
            <w:hideMark/>
          </w:tcPr>
          <w:p w14:paraId="13719C39"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16,80%</w:t>
            </w:r>
          </w:p>
        </w:tc>
      </w:tr>
    </w:tbl>
    <w:p w14:paraId="207BC8F7"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INEC 2022</w:t>
      </w:r>
    </w:p>
    <w:p w14:paraId="47D9716A"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lastRenderedPageBreak/>
        <w:t>Para el año 2020, el Instituto Nacional de Estadísticas y Censos (INEC) registra que, para la ciudad de Quito existía 186.445 empresas: 168.275 microempresas; 13.746 pequeñas empresas; 3.241 medianas empresas y 1.183 grandes. El número de empresas disminuyó en 5.375 frente a 2019 como consecuencia de la pandemia, concentrándose el 83% de esas pérdidas en micro y pequeñas empresas.</w:t>
      </w:r>
    </w:p>
    <w:p w14:paraId="7BE0C67F"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Empresas en Quito (2019,2020)</w:t>
      </w:r>
    </w:p>
    <w:tbl>
      <w:tblPr>
        <w:tblW w:w="6627" w:type="dxa"/>
        <w:jc w:val="center"/>
        <w:tblCellMar>
          <w:left w:w="70" w:type="dxa"/>
          <w:right w:w="70" w:type="dxa"/>
        </w:tblCellMar>
        <w:tblLook w:val="04A0" w:firstRow="1" w:lastRow="0" w:firstColumn="1" w:lastColumn="0" w:noHBand="0" w:noVBand="1"/>
      </w:tblPr>
      <w:tblGrid>
        <w:gridCol w:w="1820"/>
        <w:gridCol w:w="1290"/>
        <w:gridCol w:w="1290"/>
        <w:gridCol w:w="1296"/>
        <w:gridCol w:w="1069"/>
      </w:tblGrid>
      <w:tr w:rsidR="006369AA" w:rsidRPr="006369AA" w14:paraId="01E5CAB6" w14:textId="77777777" w:rsidTr="00C671A0">
        <w:trPr>
          <w:trHeight w:val="255"/>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BF1EA"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Tamaño de la empresa</w:t>
            </w:r>
          </w:p>
        </w:tc>
        <w:tc>
          <w:tcPr>
            <w:tcW w:w="4807"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5ECA0E9"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Número de empresas</w:t>
            </w:r>
          </w:p>
        </w:tc>
      </w:tr>
      <w:tr w:rsidR="006369AA" w:rsidRPr="006369AA" w14:paraId="39F91179" w14:textId="77777777" w:rsidTr="00C671A0">
        <w:trPr>
          <w:trHeight w:val="300"/>
          <w:jc w:val="center"/>
        </w:trPr>
        <w:tc>
          <w:tcPr>
            <w:tcW w:w="18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9E6734" w14:textId="77777777" w:rsidR="006369AA" w:rsidRPr="006369AA" w:rsidRDefault="006369AA" w:rsidP="00C671A0">
            <w:pPr>
              <w:jc w:val="center"/>
              <w:rPr>
                <w:rFonts w:ascii="Palatino Linotype" w:eastAsia="Times New Roman" w:hAnsi="Palatino Linotype" w:cstheme="minorHAnsi"/>
                <w:b/>
                <w:bCs/>
                <w:color w:val="595959"/>
                <w:lang w:eastAsia="es-EC"/>
              </w:rPr>
            </w:pP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42EA33D9"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2019</w:t>
            </w: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2DD3E346"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2020</w:t>
            </w:r>
          </w:p>
        </w:tc>
        <w:tc>
          <w:tcPr>
            <w:tcW w:w="1296" w:type="dxa"/>
            <w:tcBorders>
              <w:top w:val="nil"/>
              <w:left w:val="nil"/>
              <w:bottom w:val="single" w:sz="4" w:space="0" w:color="auto"/>
              <w:right w:val="single" w:sz="4" w:space="0" w:color="auto"/>
            </w:tcBorders>
            <w:shd w:val="clear" w:color="auto" w:fill="F2F2F2" w:themeFill="background1" w:themeFillShade="F2"/>
            <w:noWrap/>
            <w:vAlign w:val="bottom"/>
            <w:hideMark/>
          </w:tcPr>
          <w:p w14:paraId="34C2CD4C"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diferencia</w:t>
            </w:r>
          </w:p>
        </w:tc>
        <w:tc>
          <w:tcPr>
            <w:tcW w:w="931" w:type="dxa"/>
            <w:tcBorders>
              <w:top w:val="nil"/>
              <w:left w:val="nil"/>
              <w:bottom w:val="single" w:sz="4" w:space="0" w:color="auto"/>
              <w:right w:val="single" w:sz="4" w:space="0" w:color="auto"/>
            </w:tcBorders>
            <w:shd w:val="clear" w:color="auto" w:fill="F2F2F2" w:themeFill="background1" w:themeFillShade="F2"/>
            <w:noWrap/>
            <w:vAlign w:val="bottom"/>
            <w:hideMark/>
          </w:tcPr>
          <w:p w14:paraId="304AA06C"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variación</w:t>
            </w:r>
          </w:p>
        </w:tc>
      </w:tr>
      <w:tr w:rsidR="006369AA" w:rsidRPr="006369AA" w14:paraId="4EDE0A73"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3201850"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Gran empresa</w:t>
            </w:r>
          </w:p>
        </w:tc>
        <w:tc>
          <w:tcPr>
            <w:tcW w:w="1290" w:type="dxa"/>
            <w:tcBorders>
              <w:top w:val="nil"/>
              <w:left w:val="nil"/>
              <w:bottom w:val="single" w:sz="4" w:space="0" w:color="auto"/>
              <w:right w:val="single" w:sz="4" w:space="0" w:color="auto"/>
            </w:tcBorders>
            <w:shd w:val="clear" w:color="auto" w:fill="auto"/>
            <w:noWrap/>
            <w:vAlign w:val="bottom"/>
            <w:hideMark/>
          </w:tcPr>
          <w:p w14:paraId="2151883C"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1.410 </w:t>
            </w:r>
          </w:p>
        </w:tc>
        <w:tc>
          <w:tcPr>
            <w:tcW w:w="1290" w:type="dxa"/>
            <w:tcBorders>
              <w:top w:val="nil"/>
              <w:left w:val="nil"/>
              <w:bottom w:val="single" w:sz="4" w:space="0" w:color="auto"/>
              <w:right w:val="single" w:sz="4" w:space="0" w:color="auto"/>
            </w:tcBorders>
            <w:shd w:val="clear" w:color="auto" w:fill="auto"/>
            <w:noWrap/>
            <w:vAlign w:val="bottom"/>
            <w:hideMark/>
          </w:tcPr>
          <w:p w14:paraId="4FE43119"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1.183 </w:t>
            </w:r>
          </w:p>
        </w:tc>
        <w:tc>
          <w:tcPr>
            <w:tcW w:w="1296" w:type="dxa"/>
            <w:tcBorders>
              <w:top w:val="nil"/>
              <w:left w:val="nil"/>
              <w:bottom w:val="single" w:sz="4" w:space="0" w:color="auto"/>
              <w:right w:val="single" w:sz="4" w:space="0" w:color="auto"/>
            </w:tcBorders>
            <w:shd w:val="clear" w:color="auto" w:fill="auto"/>
            <w:noWrap/>
            <w:vAlign w:val="bottom"/>
            <w:hideMark/>
          </w:tcPr>
          <w:p w14:paraId="003C7AFB"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-227 </w:t>
            </w:r>
          </w:p>
        </w:tc>
        <w:tc>
          <w:tcPr>
            <w:tcW w:w="931" w:type="dxa"/>
            <w:tcBorders>
              <w:top w:val="nil"/>
              <w:left w:val="nil"/>
              <w:bottom w:val="single" w:sz="4" w:space="0" w:color="auto"/>
              <w:right w:val="single" w:sz="4" w:space="0" w:color="auto"/>
            </w:tcBorders>
            <w:shd w:val="clear" w:color="auto" w:fill="auto"/>
            <w:noWrap/>
            <w:vAlign w:val="bottom"/>
            <w:hideMark/>
          </w:tcPr>
          <w:p w14:paraId="2B469C11"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-16,1%</w:t>
            </w:r>
          </w:p>
        </w:tc>
      </w:tr>
      <w:tr w:rsidR="006369AA" w:rsidRPr="006369AA" w14:paraId="17BC6913"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743B093"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Microempresa</w:t>
            </w:r>
          </w:p>
        </w:tc>
        <w:tc>
          <w:tcPr>
            <w:tcW w:w="1290" w:type="dxa"/>
            <w:tcBorders>
              <w:top w:val="nil"/>
              <w:left w:val="nil"/>
              <w:bottom w:val="single" w:sz="4" w:space="0" w:color="auto"/>
              <w:right w:val="single" w:sz="4" w:space="0" w:color="auto"/>
            </w:tcBorders>
            <w:shd w:val="clear" w:color="auto" w:fill="auto"/>
            <w:noWrap/>
            <w:vAlign w:val="bottom"/>
            <w:hideMark/>
          </w:tcPr>
          <w:p w14:paraId="3AD9C63A"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169.533 </w:t>
            </w:r>
          </w:p>
        </w:tc>
        <w:tc>
          <w:tcPr>
            <w:tcW w:w="1290" w:type="dxa"/>
            <w:tcBorders>
              <w:top w:val="nil"/>
              <w:left w:val="nil"/>
              <w:bottom w:val="single" w:sz="4" w:space="0" w:color="auto"/>
              <w:right w:val="single" w:sz="4" w:space="0" w:color="auto"/>
            </w:tcBorders>
            <w:shd w:val="clear" w:color="auto" w:fill="auto"/>
            <w:noWrap/>
            <w:vAlign w:val="bottom"/>
            <w:hideMark/>
          </w:tcPr>
          <w:p w14:paraId="4F967C35"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168.275 </w:t>
            </w:r>
          </w:p>
        </w:tc>
        <w:tc>
          <w:tcPr>
            <w:tcW w:w="1296" w:type="dxa"/>
            <w:tcBorders>
              <w:top w:val="nil"/>
              <w:left w:val="nil"/>
              <w:bottom w:val="single" w:sz="4" w:space="0" w:color="auto"/>
              <w:right w:val="single" w:sz="4" w:space="0" w:color="auto"/>
            </w:tcBorders>
            <w:shd w:val="clear" w:color="auto" w:fill="auto"/>
            <w:noWrap/>
            <w:vAlign w:val="bottom"/>
            <w:hideMark/>
          </w:tcPr>
          <w:p w14:paraId="5B27CEA0"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-1.258 </w:t>
            </w:r>
          </w:p>
        </w:tc>
        <w:tc>
          <w:tcPr>
            <w:tcW w:w="931" w:type="dxa"/>
            <w:tcBorders>
              <w:top w:val="nil"/>
              <w:left w:val="nil"/>
              <w:bottom w:val="single" w:sz="4" w:space="0" w:color="auto"/>
              <w:right w:val="single" w:sz="4" w:space="0" w:color="auto"/>
            </w:tcBorders>
            <w:shd w:val="clear" w:color="auto" w:fill="auto"/>
            <w:noWrap/>
            <w:vAlign w:val="bottom"/>
            <w:hideMark/>
          </w:tcPr>
          <w:p w14:paraId="212EB402"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-0,7%</w:t>
            </w:r>
          </w:p>
        </w:tc>
      </w:tr>
      <w:tr w:rsidR="006369AA" w:rsidRPr="006369AA" w14:paraId="4DEBDB70"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217C828"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Mediana empresa</w:t>
            </w:r>
          </w:p>
        </w:tc>
        <w:tc>
          <w:tcPr>
            <w:tcW w:w="1290" w:type="dxa"/>
            <w:tcBorders>
              <w:top w:val="nil"/>
              <w:left w:val="nil"/>
              <w:bottom w:val="single" w:sz="4" w:space="0" w:color="auto"/>
              <w:right w:val="single" w:sz="4" w:space="0" w:color="auto"/>
            </w:tcBorders>
            <w:shd w:val="clear" w:color="auto" w:fill="auto"/>
            <w:noWrap/>
            <w:vAlign w:val="bottom"/>
            <w:hideMark/>
          </w:tcPr>
          <w:p w14:paraId="55668098"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5.413 </w:t>
            </w:r>
          </w:p>
        </w:tc>
        <w:tc>
          <w:tcPr>
            <w:tcW w:w="1290" w:type="dxa"/>
            <w:tcBorders>
              <w:top w:val="nil"/>
              <w:left w:val="nil"/>
              <w:bottom w:val="single" w:sz="4" w:space="0" w:color="auto"/>
              <w:right w:val="single" w:sz="4" w:space="0" w:color="auto"/>
            </w:tcBorders>
            <w:shd w:val="clear" w:color="auto" w:fill="auto"/>
            <w:noWrap/>
            <w:vAlign w:val="bottom"/>
            <w:hideMark/>
          </w:tcPr>
          <w:p w14:paraId="58602DCB"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4.265 </w:t>
            </w:r>
          </w:p>
        </w:tc>
        <w:tc>
          <w:tcPr>
            <w:tcW w:w="1296" w:type="dxa"/>
            <w:tcBorders>
              <w:top w:val="nil"/>
              <w:left w:val="nil"/>
              <w:bottom w:val="single" w:sz="4" w:space="0" w:color="auto"/>
              <w:right w:val="single" w:sz="4" w:space="0" w:color="auto"/>
            </w:tcBorders>
            <w:shd w:val="clear" w:color="auto" w:fill="auto"/>
            <w:noWrap/>
            <w:vAlign w:val="bottom"/>
            <w:hideMark/>
          </w:tcPr>
          <w:p w14:paraId="7CC9B822"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-1.148 </w:t>
            </w:r>
          </w:p>
        </w:tc>
        <w:tc>
          <w:tcPr>
            <w:tcW w:w="931" w:type="dxa"/>
            <w:tcBorders>
              <w:top w:val="nil"/>
              <w:left w:val="nil"/>
              <w:bottom w:val="single" w:sz="4" w:space="0" w:color="auto"/>
              <w:right w:val="single" w:sz="4" w:space="0" w:color="auto"/>
            </w:tcBorders>
            <w:shd w:val="clear" w:color="auto" w:fill="auto"/>
            <w:noWrap/>
            <w:vAlign w:val="bottom"/>
            <w:hideMark/>
          </w:tcPr>
          <w:p w14:paraId="61A9E61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-21,2%</w:t>
            </w:r>
          </w:p>
        </w:tc>
      </w:tr>
      <w:tr w:rsidR="006369AA" w:rsidRPr="006369AA" w14:paraId="44EB3A2D" w14:textId="77777777" w:rsidTr="00C671A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C4E398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Pequeña empresa</w:t>
            </w:r>
          </w:p>
        </w:tc>
        <w:tc>
          <w:tcPr>
            <w:tcW w:w="1290" w:type="dxa"/>
            <w:tcBorders>
              <w:top w:val="nil"/>
              <w:left w:val="nil"/>
              <w:bottom w:val="single" w:sz="4" w:space="0" w:color="auto"/>
              <w:right w:val="single" w:sz="4" w:space="0" w:color="auto"/>
            </w:tcBorders>
            <w:shd w:val="clear" w:color="auto" w:fill="auto"/>
            <w:noWrap/>
            <w:vAlign w:val="bottom"/>
            <w:hideMark/>
          </w:tcPr>
          <w:p w14:paraId="10026BE1"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16.924 </w:t>
            </w:r>
          </w:p>
        </w:tc>
        <w:tc>
          <w:tcPr>
            <w:tcW w:w="1290" w:type="dxa"/>
            <w:tcBorders>
              <w:top w:val="nil"/>
              <w:left w:val="nil"/>
              <w:bottom w:val="single" w:sz="4" w:space="0" w:color="auto"/>
              <w:right w:val="single" w:sz="4" w:space="0" w:color="auto"/>
            </w:tcBorders>
            <w:shd w:val="clear" w:color="auto" w:fill="auto"/>
            <w:noWrap/>
            <w:vAlign w:val="bottom"/>
            <w:hideMark/>
          </w:tcPr>
          <w:p w14:paraId="47F15D3F"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13.746 </w:t>
            </w:r>
          </w:p>
        </w:tc>
        <w:tc>
          <w:tcPr>
            <w:tcW w:w="1296" w:type="dxa"/>
            <w:tcBorders>
              <w:top w:val="nil"/>
              <w:left w:val="nil"/>
              <w:bottom w:val="single" w:sz="4" w:space="0" w:color="auto"/>
              <w:right w:val="single" w:sz="4" w:space="0" w:color="auto"/>
            </w:tcBorders>
            <w:shd w:val="clear" w:color="auto" w:fill="auto"/>
            <w:noWrap/>
            <w:vAlign w:val="bottom"/>
            <w:hideMark/>
          </w:tcPr>
          <w:p w14:paraId="119310CF"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-3.178 </w:t>
            </w:r>
          </w:p>
        </w:tc>
        <w:tc>
          <w:tcPr>
            <w:tcW w:w="931" w:type="dxa"/>
            <w:tcBorders>
              <w:top w:val="nil"/>
              <w:left w:val="nil"/>
              <w:bottom w:val="single" w:sz="4" w:space="0" w:color="auto"/>
              <w:right w:val="single" w:sz="4" w:space="0" w:color="auto"/>
            </w:tcBorders>
            <w:shd w:val="clear" w:color="auto" w:fill="auto"/>
            <w:noWrap/>
            <w:vAlign w:val="bottom"/>
            <w:hideMark/>
          </w:tcPr>
          <w:p w14:paraId="51F87D4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-18,8%</w:t>
            </w:r>
          </w:p>
        </w:tc>
      </w:tr>
      <w:tr w:rsidR="006369AA" w:rsidRPr="006369AA" w14:paraId="3FB21A49"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F23B654"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Total</w:t>
            </w:r>
          </w:p>
        </w:tc>
        <w:tc>
          <w:tcPr>
            <w:tcW w:w="1290" w:type="dxa"/>
            <w:tcBorders>
              <w:top w:val="nil"/>
              <w:left w:val="nil"/>
              <w:bottom w:val="single" w:sz="4" w:space="0" w:color="auto"/>
              <w:right w:val="single" w:sz="4" w:space="0" w:color="auto"/>
            </w:tcBorders>
            <w:shd w:val="clear" w:color="auto" w:fill="auto"/>
            <w:noWrap/>
            <w:vAlign w:val="bottom"/>
            <w:hideMark/>
          </w:tcPr>
          <w:p w14:paraId="68167028"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191.820 </w:t>
            </w:r>
          </w:p>
        </w:tc>
        <w:tc>
          <w:tcPr>
            <w:tcW w:w="1290" w:type="dxa"/>
            <w:tcBorders>
              <w:top w:val="nil"/>
              <w:left w:val="nil"/>
              <w:bottom w:val="single" w:sz="4" w:space="0" w:color="auto"/>
              <w:right w:val="single" w:sz="4" w:space="0" w:color="auto"/>
            </w:tcBorders>
            <w:shd w:val="clear" w:color="auto" w:fill="auto"/>
            <w:noWrap/>
            <w:vAlign w:val="bottom"/>
            <w:hideMark/>
          </w:tcPr>
          <w:p w14:paraId="3FD99ED9"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186.445 </w:t>
            </w:r>
          </w:p>
        </w:tc>
        <w:tc>
          <w:tcPr>
            <w:tcW w:w="1296" w:type="dxa"/>
            <w:tcBorders>
              <w:top w:val="nil"/>
              <w:left w:val="nil"/>
              <w:bottom w:val="single" w:sz="4" w:space="0" w:color="auto"/>
              <w:right w:val="single" w:sz="4" w:space="0" w:color="auto"/>
            </w:tcBorders>
            <w:shd w:val="clear" w:color="auto" w:fill="auto"/>
            <w:noWrap/>
            <w:vAlign w:val="bottom"/>
            <w:hideMark/>
          </w:tcPr>
          <w:p w14:paraId="1AAFCF63"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-5.375 </w:t>
            </w:r>
          </w:p>
        </w:tc>
        <w:tc>
          <w:tcPr>
            <w:tcW w:w="931" w:type="dxa"/>
            <w:tcBorders>
              <w:top w:val="nil"/>
              <w:left w:val="nil"/>
              <w:bottom w:val="single" w:sz="4" w:space="0" w:color="auto"/>
              <w:right w:val="single" w:sz="4" w:space="0" w:color="auto"/>
            </w:tcBorders>
            <w:shd w:val="clear" w:color="auto" w:fill="auto"/>
            <w:noWrap/>
            <w:vAlign w:val="bottom"/>
            <w:hideMark/>
          </w:tcPr>
          <w:p w14:paraId="65B3D9A9"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-2,8%</w:t>
            </w:r>
          </w:p>
        </w:tc>
      </w:tr>
      <w:tr w:rsidR="006369AA" w:rsidRPr="006369AA" w14:paraId="614D60E2" w14:textId="77777777" w:rsidTr="00C671A0">
        <w:trPr>
          <w:trHeight w:val="255"/>
          <w:jc w:val="center"/>
        </w:trPr>
        <w:tc>
          <w:tcPr>
            <w:tcW w:w="66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73FF5"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w:t>
            </w:r>
          </w:p>
        </w:tc>
      </w:tr>
      <w:tr w:rsidR="006369AA" w:rsidRPr="006369AA" w14:paraId="17CDFB86" w14:textId="77777777" w:rsidTr="00C671A0">
        <w:trPr>
          <w:trHeight w:val="300"/>
          <w:jc w:val="center"/>
        </w:trPr>
        <w:tc>
          <w:tcPr>
            <w:tcW w:w="182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8AB7DB"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Tamaño de la empresa</w:t>
            </w:r>
          </w:p>
        </w:tc>
        <w:tc>
          <w:tcPr>
            <w:tcW w:w="4807"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4BC5322"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Plazas de empleo registrado</w:t>
            </w:r>
          </w:p>
        </w:tc>
      </w:tr>
      <w:tr w:rsidR="006369AA" w:rsidRPr="006369AA" w14:paraId="31C710DE" w14:textId="77777777" w:rsidTr="00C671A0">
        <w:trPr>
          <w:trHeight w:val="255"/>
          <w:jc w:val="center"/>
        </w:trPr>
        <w:tc>
          <w:tcPr>
            <w:tcW w:w="182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36F1AF" w14:textId="77777777" w:rsidR="006369AA" w:rsidRPr="006369AA" w:rsidRDefault="006369AA" w:rsidP="00C671A0">
            <w:pPr>
              <w:jc w:val="center"/>
              <w:rPr>
                <w:rFonts w:ascii="Palatino Linotype" w:eastAsia="Times New Roman" w:hAnsi="Palatino Linotype" w:cstheme="minorHAnsi"/>
                <w:b/>
                <w:bCs/>
                <w:color w:val="595959"/>
                <w:lang w:eastAsia="es-EC"/>
              </w:rPr>
            </w:pP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5AE2B4A4"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2019</w:t>
            </w: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4638F14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2020</w:t>
            </w:r>
          </w:p>
        </w:tc>
        <w:tc>
          <w:tcPr>
            <w:tcW w:w="1296" w:type="dxa"/>
            <w:tcBorders>
              <w:top w:val="nil"/>
              <w:left w:val="nil"/>
              <w:bottom w:val="single" w:sz="4" w:space="0" w:color="auto"/>
              <w:right w:val="single" w:sz="4" w:space="0" w:color="auto"/>
            </w:tcBorders>
            <w:shd w:val="clear" w:color="auto" w:fill="F2F2F2" w:themeFill="background1" w:themeFillShade="F2"/>
            <w:noWrap/>
            <w:vAlign w:val="bottom"/>
            <w:hideMark/>
          </w:tcPr>
          <w:p w14:paraId="118C7095"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diferencia</w:t>
            </w:r>
          </w:p>
        </w:tc>
        <w:tc>
          <w:tcPr>
            <w:tcW w:w="931" w:type="dxa"/>
            <w:tcBorders>
              <w:top w:val="nil"/>
              <w:left w:val="nil"/>
              <w:bottom w:val="single" w:sz="4" w:space="0" w:color="auto"/>
              <w:right w:val="single" w:sz="4" w:space="0" w:color="auto"/>
            </w:tcBorders>
            <w:shd w:val="clear" w:color="auto" w:fill="F2F2F2" w:themeFill="background1" w:themeFillShade="F2"/>
            <w:noWrap/>
            <w:vAlign w:val="bottom"/>
            <w:hideMark/>
          </w:tcPr>
          <w:p w14:paraId="53C7C46B"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variación</w:t>
            </w:r>
          </w:p>
        </w:tc>
      </w:tr>
      <w:tr w:rsidR="006369AA" w:rsidRPr="006369AA" w14:paraId="1EF393F9"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CDEDFE1"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Gran empresa</w:t>
            </w:r>
          </w:p>
        </w:tc>
        <w:tc>
          <w:tcPr>
            <w:tcW w:w="1290" w:type="dxa"/>
            <w:tcBorders>
              <w:top w:val="nil"/>
              <w:left w:val="nil"/>
              <w:bottom w:val="single" w:sz="4" w:space="0" w:color="auto"/>
              <w:right w:val="single" w:sz="4" w:space="0" w:color="auto"/>
            </w:tcBorders>
            <w:shd w:val="clear" w:color="auto" w:fill="auto"/>
            <w:noWrap/>
            <w:vAlign w:val="bottom"/>
            <w:hideMark/>
          </w:tcPr>
          <w:p w14:paraId="4D3F7C4D"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431.522 </w:t>
            </w:r>
          </w:p>
        </w:tc>
        <w:tc>
          <w:tcPr>
            <w:tcW w:w="1290" w:type="dxa"/>
            <w:tcBorders>
              <w:top w:val="nil"/>
              <w:left w:val="nil"/>
              <w:bottom w:val="single" w:sz="4" w:space="0" w:color="auto"/>
              <w:right w:val="single" w:sz="4" w:space="0" w:color="auto"/>
            </w:tcBorders>
            <w:shd w:val="clear" w:color="auto" w:fill="auto"/>
            <w:noWrap/>
            <w:vAlign w:val="bottom"/>
            <w:hideMark/>
          </w:tcPr>
          <w:p w14:paraId="17906D58"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383.539 </w:t>
            </w:r>
          </w:p>
        </w:tc>
        <w:tc>
          <w:tcPr>
            <w:tcW w:w="1296" w:type="dxa"/>
            <w:tcBorders>
              <w:top w:val="nil"/>
              <w:left w:val="nil"/>
              <w:bottom w:val="single" w:sz="4" w:space="0" w:color="auto"/>
              <w:right w:val="single" w:sz="4" w:space="0" w:color="auto"/>
            </w:tcBorders>
            <w:shd w:val="clear" w:color="auto" w:fill="auto"/>
            <w:noWrap/>
            <w:vAlign w:val="bottom"/>
            <w:hideMark/>
          </w:tcPr>
          <w:p w14:paraId="1ABF7481"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-47.983 </w:t>
            </w:r>
          </w:p>
        </w:tc>
        <w:tc>
          <w:tcPr>
            <w:tcW w:w="931" w:type="dxa"/>
            <w:tcBorders>
              <w:top w:val="nil"/>
              <w:left w:val="nil"/>
              <w:bottom w:val="single" w:sz="4" w:space="0" w:color="auto"/>
              <w:right w:val="single" w:sz="4" w:space="0" w:color="auto"/>
            </w:tcBorders>
            <w:shd w:val="clear" w:color="auto" w:fill="auto"/>
            <w:noWrap/>
            <w:vAlign w:val="bottom"/>
            <w:hideMark/>
          </w:tcPr>
          <w:p w14:paraId="3DE540CB"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-11,1%</w:t>
            </w:r>
          </w:p>
        </w:tc>
      </w:tr>
      <w:tr w:rsidR="006369AA" w:rsidRPr="006369AA" w14:paraId="34B85AD2" w14:textId="77777777" w:rsidTr="00C671A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180845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Microempresa</w:t>
            </w:r>
          </w:p>
        </w:tc>
        <w:tc>
          <w:tcPr>
            <w:tcW w:w="1290" w:type="dxa"/>
            <w:tcBorders>
              <w:top w:val="nil"/>
              <w:left w:val="nil"/>
              <w:bottom w:val="single" w:sz="4" w:space="0" w:color="auto"/>
              <w:right w:val="single" w:sz="4" w:space="0" w:color="auto"/>
            </w:tcBorders>
            <w:shd w:val="clear" w:color="auto" w:fill="auto"/>
            <w:noWrap/>
            <w:vAlign w:val="bottom"/>
            <w:hideMark/>
          </w:tcPr>
          <w:p w14:paraId="3A6198A8"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207.703 </w:t>
            </w:r>
          </w:p>
        </w:tc>
        <w:tc>
          <w:tcPr>
            <w:tcW w:w="1290" w:type="dxa"/>
            <w:tcBorders>
              <w:top w:val="nil"/>
              <w:left w:val="nil"/>
              <w:bottom w:val="single" w:sz="4" w:space="0" w:color="auto"/>
              <w:right w:val="single" w:sz="4" w:space="0" w:color="auto"/>
            </w:tcBorders>
            <w:shd w:val="clear" w:color="auto" w:fill="auto"/>
            <w:noWrap/>
            <w:vAlign w:val="bottom"/>
            <w:hideMark/>
          </w:tcPr>
          <w:p w14:paraId="4D2A2E76"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210.345 </w:t>
            </w:r>
          </w:p>
        </w:tc>
        <w:tc>
          <w:tcPr>
            <w:tcW w:w="1296" w:type="dxa"/>
            <w:tcBorders>
              <w:top w:val="nil"/>
              <w:left w:val="nil"/>
              <w:bottom w:val="single" w:sz="4" w:space="0" w:color="auto"/>
              <w:right w:val="single" w:sz="4" w:space="0" w:color="auto"/>
            </w:tcBorders>
            <w:shd w:val="clear" w:color="auto" w:fill="auto"/>
            <w:noWrap/>
            <w:vAlign w:val="bottom"/>
            <w:hideMark/>
          </w:tcPr>
          <w:p w14:paraId="66454A78"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2.642 </w:t>
            </w:r>
          </w:p>
        </w:tc>
        <w:tc>
          <w:tcPr>
            <w:tcW w:w="931" w:type="dxa"/>
            <w:tcBorders>
              <w:top w:val="nil"/>
              <w:left w:val="nil"/>
              <w:bottom w:val="single" w:sz="4" w:space="0" w:color="auto"/>
              <w:right w:val="single" w:sz="4" w:space="0" w:color="auto"/>
            </w:tcBorders>
            <w:shd w:val="clear" w:color="auto" w:fill="auto"/>
            <w:noWrap/>
            <w:vAlign w:val="bottom"/>
            <w:hideMark/>
          </w:tcPr>
          <w:p w14:paraId="0B46C320"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1,3%</w:t>
            </w:r>
          </w:p>
        </w:tc>
      </w:tr>
      <w:tr w:rsidR="006369AA" w:rsidRPr="006369AA" w14:paraId="5565DA84"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F810CF9"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Mediana empresa</w:t>
            </w:r>
          </w:p>
        </w:tc>
        <w:tc>
          <w:tcPr>
            <w:tcW w:w="1290" w:type="dxa"/>
            <w:tcBorders>
              <w:top w:val="nil"/>
              <w:left w:val="nil"/>
              <w:bottom w:val="single" w:sz="4" w:space="0" w:color="auto"/>
              <w:right w:val="single" w:sz="4" w:space="0" w:color="auto"/>
            </w:tcBorders>
            <w:shd w:val="clear" w:color="auto" w:fill="auto"/>
            <w:noWrap/>
            <w:vAlign w:val="bottom"/>
            <w:hideMark/>
          </w:tcPr>
          <w:p w14:paraId="34DB6867"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148.334 </w:t>
            </w:r>
          </w:p>
        </w:tc>
        <w:tc>
          <w:tcPr>
            <w:tcW w:w="1290" w:type="dxa"/>
            <w:tcBorders>
              <w:top w:val="nil"/>
              <w:left w:val="nil"/>
              <w:bottom w:val="single" w:sz="4" w:space="0" w:color="auto"/>
              <w:right w:val="single" w:sz="4" w:space="0" w:color="auto"/>
            </w:tcBorders>
            <w:shd w:val="clear" w:color="auto" w:fill="auto"/>
            <w:noWrap/>
            <w:vAlign w:val="bottom"/>
            <w:hideMark/>
          </w:tcPr>
          <w:p w14:paraId="6040F6E1"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132.836 </w:t>
            </w:r>
          </w:p>
        </w:tc>
        <w:tc>
          <w:tcPr>
            <w:tcW w:w="1296" w:type="dxa"/>
            <w:tcBorders>
              <w:top w:val="nil"/>
              <w:left w:val="nil"/>
              <w:bottom w:val="single" w:sz="4" w:space="0" w:color="auto"/>
              <w:right w:val="single" w:sz="4" w:space="0" w:color="auto"/>
            </w:tcBorders>
            <w:shd w:val="clear" w:color="auto" w:fill="auto"/>
            <w:noWrap/>
            <w:vAlign w:val="bottom"/>
            <w:hideMark/>
          </w:tcPr>
          <w:p w14:paraId="374C102C"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-15.498 </w:t>
            </w:r>
          </w:p>
        </w:tc>
        <w:tc>
          <w:tcPr>
            <w:tcW w:w="931" w:type="dxa"/>
            <w:tcBorders>
              <w:top w:val="nil"/>
              <w:left w:val="nil"/>
              <w:bottom w:val="single" w:sz="4" w:space="0" w:color="auto"/>
              <w:right w:val="single" w:sz="4" w:space="0" w:color="auto"/>
            </w:tcBorders>
            <w:shd w:val="clear" w:color="auto" w:fill="auto"/>
            <w:noWrap/>
            <w:vAlign w:val="bottom"/>
            <w:hideMark/>
          </w:tcPr>
          <w:p w14:paraId="7C153A2D"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-10,4%</w:t>
            </w:r>
          </w:p>
        </w:tc>
      </w:tr>
      <w:tr w:rsidR="006369AA" w:rsidRPr="006369AA" w14:paraId="633FCA8E" w14:textId="77777777" w:rsidTr="00C671A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F7CD1B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Pequeña empresa</w:t>
            </w:r>
          </w:p>
        </w:tc>
        <w:tc>
          <w:tcPr>
            <w:tcW w:w="1290" w:type="dxa"/>
            <w:tcBorders>
              <w:top w:val="nil"/>
              <w:left w:val="nil"/>
              <w:bottom w:val="single" w:sz="4" w:space="0" w:color="auto"/>
              <w:right w:val="single" w:sz="4" w:space="0" w:color="auto"/>
            </w:tcBorders>
            <w:shd w:val="clear" w:color="auto" w:fill="auto"/>
            <w:noWrap/>
            <w:vAlign w:val="bottom"/>
            <w:hideMark/>
          </w:tcPr>
          <w:p w14:paraId="3285680A"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147.415 </w:t>
            </w:r>
          </w:p>
        </w:tc>
        <w:tc>
          <w:tcPr>
            <w:tcW w:w="1290" w:type="dxa"/>
            <w:tcBorders>
              <w:top w:val="nil"/>
              <w:left w:val="nil"/>
              <w:bottom w:val="single" w:sz="4" w:space="0" w:color="auto"/>
              <w:right w:val="single" w:sz="4" w:space="0" w:color="auto"/>
            </w:tcBorders>
            <w:shd w:val="clear" w:color="auto" w:fill="auto"/>
            <w:noWrap/>
            <w:vAlign w:val="bottom"/>
            <w:hideMark/>
          </w:tcPr>
          <w:p w14:paraId="42F52152"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131.010 </w:t>
            </w:r>
          </w:p>
        </w:tc>
        <w:tc>
          <w:tcPr>
            <w:tcW w:w="1296" w:type="dxa"/>
            <w:tcBorders>
              <w:top w:val="nil"/>
              <w:left w:val="nil"/>
              <w:bottom w:val="single" w:sz="4" w:space="0" w:color="auto"/>
              <w:right w:val="single" w:sz="4" w:space="0" w:color="auto"/>
            </w:tcBorders>
            <w:shd w:val="clear" w:color="auto" w:fill="auto"/>
            <w:noWrap/>
            <w:vAlign w:val="bottom"/>
            <w:hideMark/>
          </w:tcPr>
          <w:p w14:paraId="510C30E3"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-16.405 </w:t>
            </w:r>
          </w:p>
        </w:tc>
        <w:tc>
          <w:tcPr>
            <w:tcW w:w="931" w:type="dxa"/>
            <w:tcBorders>
              <w:top w:val="nil"/>
              <w:left w:val="nil"/>
              <w:bottom w:val="single" w:sz="4" w:space="0" w:color="auto"/>
              <w:right w:val="single" w:sz="4" w:space="0" w:color="auto"/>
            </w:tcBorders>
            <w:shd w:val="clear" w:color="auto" w:fill="auto"/>
            <w:noWrap/>
            <w:vAlign w:val="bottom"/>
            <w:hideMark/>
          </w:tcPr>
          <w:p w14:paraId="5BBC5618"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-11,1%</w:t>
            </w:r>
          </w:p>
        </w:tc>
      </w:tr>
      <w:tr w:rsidR="006369AA" w:rsidRPr="006369AA" w14:paraId="1FEAEBCF"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14AA2B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Total</w:t>
            </w:r>
          </w:p>
        </w:tc>
        <w:tc>
          <w:tcPr>
            <w:tcW w:w="1290" w:type="dxa"/>
            <w:tcBorders>
              <w:top w:val="nil"/>
              <w:left w:val="nil"/>
              <w:bottom w:val="single" w:sz="4" w:space="0" w:color="auto"/>
              <w:right w:val="single" w:sz="4" w:space="0" w:color="auto"/>
            </w:tcBorders>
            <w:shd w:val="clear" w:color="auto" w:fill="auto"/>
            <w:noWrap/>
            <w:vAlign w:val="bottom"/>
            <w:hideMark/>
          </w:tcPr>
          <w:p w14:paraId="47524836"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934.974 </w:t>
            </w:r>
          </w:p>
        </w:tc>
        <w:tc>
          <w:tcPr>
            <w:tcW w:w="1290" w:type="dxa"/>
            <w:tcBorders>
              <w:top w:val="nil"/>
              <w:left w:val="nil"/>
              <w:bottom w:val="single" w:sz="4" w:space="0" w:color="auto"/>
              <w:right w:val="single" w:sz="4" w:space="0" w:color="auto"/>
            </w:tcBorders>
            <w:shd w:val="clear" w:color="auto" w:fill="auto"/>
            <w:noWrap/>
            <w:vAlign w:val="bottom"/>
            <w:hideMark/>
          </w:tcPr>
          <w:p w14:paraId="3AA91CC1"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857.730 </w:t>
            </w:r>
          </w:p>
        </w:tc>
        <w:tc>
          <w:tcPr>
            <w:tcW w:w="1296" w:type="dxa"/>
            <w:tcBorders>
              <w:top w:val="nil"/>
              <w:left w:val="nil"/>
              <w:bottom w:val="single" w:sz="4" w:space="0" w:color="auto"/>
              <w:right w:val="single" w:sz="4" w:space="0" w:color="auto"/>
            </w:tcBorders>
            <w:shd w:val="clear" w:color="auto" w:fill="auto"/>
            <w:noWrap/>
            <w:vAlign w:val="bottom"/>
            <w:hideMark/>
          </w:tcPr>
          <w:p w14:paraId="04C0E97D" w14:textId="77777777" w:rsidR="006369AA" w:rsidRPr="006369AA" w:rsidRDefault="006369AA" w:rsidP="00C671A0">
            <w:pP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xml:space="preserve">          -77.244 </w:t>
            </w:r>
          </w:p>
        </w:tc>
        <w:tc>
          <w:tcPr>
            <w:tcW w:w="931" w:type="dxa"/>
            <w:tcBorders>
              <w:top w:val="nil"/>
              <w:left w:val="nil"/>
              <w:bottom w:val="single" w:sz="4" w:space="0" w:color="auto"/>
              <w:right w:val="single" w:sz="4" w:space="0" w:color="auto"/>
            </w:tcBorders>
            <w:shd w:val="clear" w:color="auto" w:fill="auto"/>
            <w:noWrap/>
            <w:vAlign w:val="bottom"/>
            <w:hideMark/>
          </w:tcPr>
          <w:p w14:paraId="77CA1DEC" w14:textId="77777777" w:rsidR="006369AA" w:rsidRPr="006369AA" w:rsidRDefault="006369AA" w:rsidP="00C671A0">
            <w:pPr>
              <w:jc w:val="right"/>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-8,3%</w:t>
            </w:r>
          </w:p>
        </w:tc>
      </w:tr>
      <w:tr w:rsidR="006369AA" w:rsidRPr="006369AA" w14:paraId="4EB3F234" w14:textId="77777777" w:rsidTr="00C671A0">
        <w:trPr>
          <w:trHeight w:val="255"/>
          <w:jc w:val="center"/>
        </w:trPr>
        <w:tc>
          <w:tcPr>
            <w:tcW w:w="66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2E75"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 </w:t>
            </w:r>
          </w:p>
        </w:tc>
      </w:tr>
      <w:tr w:rsidR="006369AA" w:rsidRPr="006369AA" w14:paraId="3482FE1D" w14:textId="77777777" w:rsidTr="00C671A0">
        <w:trPr>
          <w:trHeight w:val="255"/>
          <w:jc w:val="center"/>
        </w:trPr>
        <w:tc>
          <w:tcPr>
            <w:tcW w:w="182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5F9B77"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Tamaño de la empresa</w:t>
            </w:r>
          </w:p>
        </w:tc>
        <w:tc>
          <w:tcPr>
            <w:tcW w:w="4807"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6DC179F"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Ventas en millones de dólares</w:t>
            </w:r>
          </w:p>
        </w:tc>
      </w:tr>
      <w:tr w:rsidR="006369AA" w:rsidRPr="006369AA" w14:paraId="2444E9AA" w14:textId="77777777" w:rsidTr="00C671A0">
        <w:trPr>
          <w:trHeight w:val="255"/>
          <w:jc w:val="center"/>
        </w:trPr>
        <w:tc>
          <w:tcPr>
            <w:tcW w:w="182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5B5FBA" w14:textId="77777777" w:rsidR="006369AA" w:rsidRPr="006369AA" w:rsidRDefault="006369AA" w:rsidP="00C671A0">
            <w:pPr>
              <w:jc w:val="center"/>
              <w:rPr>
                <w:rFonts w:ascii="Palatino Linotype" w:eastAsia="Times New Roman" w:hAnsi="Palatino Linotype" w:cstheme="minorHAnsi"/>
                <w:b/>
                <w:bCs/>
                <w:color w:val="595959"/>
                <w:lang w:eastAsia="es-EC"/>
              </w:rPr>
            </w:pP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C741718"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2019</w:t>
            </w:r>
          </w:p>
        </w:tc>
        <w:tc>
          <w:tcPr>
            <w:tcW w:w="1290" w:type="dxa"/>
            <w:tcBorders>
              <w:top w:val="nil"/>
              <w:left w:val="nil"/>
              <w:bottom w:val="single" w:sz="4" w:space="0" w:color="auto"/>
              <w:right w:val="single" w:sz="4" w:space="0" w:color="auto"/>
            </w:tcBorders>
            <w:shd w:val="clear" w:color="auto" w:fill="F2F2F2" w:themeFill="background1" w:themeFillShade="F2"/>
            <w:noWrap/>
            <w:vAlign w:val="bottom"/>
            <w:hideMark/>
          </w:tcPr>
          <w:p w14:paraId="3CA6DA39"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2020</w:t>
            </w:r>
          </w:p>
        </w:tc>
        <w:tc>
          <w:tcPr>
            <w:tcW w:w="1296" w:type="dxa"/>
            <w:tcBorders>
              <w:top w:val="nil"/>
              <w:left w:val="nil"/>
              <w:bottom w:val="single" w:sz="4" w:space="0" w:color="auto"/>
              <w:right w:val="single" w:sz="4" w:space="0" w:color="auto"/>
            </w:tcBorders>
            <w:shd w:val="clear" w:color="auto" w:fill="F2F2F2" w:themeFill="background1" w:themeFillShade="F2"/>
            <w:noWrap/>
            <w:vAlign w:val="bottom"/>
            <w:hideMark/>
          </w:tcPr>
          <w:p w14:paraId="680E82C3"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diferencia</w:t>
            </w:r>
          </w:p>
        </w:tc>
        <w:tc>
          <w:tcPr>
            <w:tcW w:w="931" w:type="dxa"/>
            <w:tcBorders>
              <w:top w:val="nil"/>
              <w:left w:val="nil"/>
              <w:bottom w:val="single" w:sz="4" w:space="0" w:color="auto"/>
              <w:right w:val="single" w:sz="4" w:space="0" w:color="auto"/>
            </w:tcBorders>
            <w:shd w:val="clear" w:color="auto" w:fill="F2F2F2" w:themeFill="background1" w:themeFillShade="F2"/>
            <w:noWrap/>
            <w:vAlign w:val="bottom"/>
            <w:hideMark/>
          </w:tcPr>
          <w:p w14:paraId="0FBB6CAD" w14:textId="77777777" w:rsidR="006369AA" w:rsidRPr="006369AA" w:rsidRDefault="006369AA" w:rsidP="00C671A0">
            <w:pPr>
              <w:jc w:val="center"/>
              <w:rPr>
                <w:rFonts w:ascii="Palatino Linotype" w:eastAsia="Times New Roman" w:hAnsi="Palatino Linotype" w:cstheme="minorHAnsi"/>
                <w:b/>
                <w:bCs/>
                <w:color w:val="595959"/>
                <w:lang w:eastAsia="es-EC"/>
              </w:rPr>
            </w:pPr>
            <w:r w:rsidRPr="006369AA">
              <w:rPr>
                <w:rFonts w:ascii="Palatino Linotype" w:eastAsia="Times New Roman" w:hAnsi="Palatino Linotype" w:cstheme="minorHAnsi"/>
                <w:b/>
                <w:bCs/>
                <w:color w:val="595959"/>
                <w:lang w:eastAsia="es-EC"/>
              </w:rPr>
              <w:t>variación</w:t>
            </w:r>
          </w:p>
        </w:tc>
      </w:tr>
      <w:tr w:rsidR="006369AA" w:rsidRPr="006369AA" w14:paraId="178D9448"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2C4D6CF"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lastRenderedPageBreak/>
              <w:t>Gran empresa</w:t>
            </w:r>
          </w:p>
        </w:tc>
        <w:tc>
          <w:tcPr>
            <w:tcW w:w="1290" w:type="dxa"/>
            <w:tcBorders>
              <w:top w:val="nil"/>
              <w:left w:val="nil"/>
              <w:bottom w:val="single" w:sz="4" w:space="0" w:color="auto"/>
              <w:right w:val="single" w:sz="4" w:space="0" w:color="auto"/>
            </w:tcBorders>
            <w:shd w:val="clear" w:color="auto" w:fill="auto"/>
            <w:noWrap/>
            <w:vAlign w:val="center"/>
            <w:hideMark/>
          </w:tcPr>
          <w:p w14:paraId="54717194"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55.380</w:t>
            </w:r>
          </w:p>
        </w:tc>
        <w:tc>
          <w:tcPr>
            <w:tcW w:w="1290" w:type="dxa"/>
            <w:tcBorders>
              <w:top w:val="nil"/>
              <w:left w:val="nil"/>
              <w:bottom w:val="single" w:sz="4" w:space="0" w:color="auto"/>
              <w:right w:val="single" w:sz="4" w:space="0" w:color="auto"/>
            </w:tcBorders>
            <w:shd w:val="clear" w:color="auto" w:fill="auto"/>
            <w:noWrap/>
            <w:vAlign w:val="center"/>
            <w:hideMark/>
          </w:tcPr>
          <w:p w14:paraId="1F1F2551"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42.342</w:t>
            </w:r>
          </w:p>
        </w:tc>
        <w:tc>
          <w:tcPr>
            <w:tcW w:w="1296" w:type="dxa"/>
            <w:tcBorders>
              <w:top w:val="nil"/>
              <w:left w:val="nil"/>
              <w:bottom w:val="single" w:sz="4" w:space="0" w:color="auto"/>
              <w:right w:val="single" w:sz="4" w:space="0" w:color="auto"/>
            </w:tcBorders>
            <w:shd w:val="clear" w:color="auto" w:fill="auto"/>
            <w:noWrap/>
            <w:vAlign w:val="center"/>
            <w:hideMark/>
          </w:tcPr>
          <w:p w14:paraId="08E76A2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-13.038</w:t>
            </w:r>
          </w:p>
        </w:tc>
        <w:tc>
          <w:tcPr>
            <w:tcW w:w="931" w:type="dxa"/>
            <w:tcBorders>
              <w:top w:val="nil"/>
              <w:left w:val="nil"/>
              <w:bottom w:val="single" w:sz="4" w:space="0" w:color="auto"/>
              <w:right w:val="single" w:sz="4" w:space="0" w:color="auto"/>
            </w:tcBorders>
            <w:shd w:val="clear" w:color="auto" w:fill="auto"/>
            <w:noWrap/>
            <w:vAlign w:val="center"/>
            <w:hideMark/>
          </w:tcPr>
          <w:p w14:paraId="30DFDF7D"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-23,5%</w:t>
            </w:r>
          </w:p>
        </w:tc>
      </w:tr>
      <w:tr w:rsidR="006369AA" w:rsidRPr="006369AA" w14:paraId="224F1E50"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D7E47C7"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Microempresa</w:t>
            </w:r>
          </w:p>
        </w:tc>
        <w:tc>
          <w:tcPr>
            <w:tcW w:w="1290" w:type="dxa"/>
            <w:tcBorders>
              <w:top w:val="nil"/>
              <w:left w:val="nil"/>
              <w:bottom w:val="single" w:sz="4" w:space="0" w:color="auto"/>
              <w:right w:val="single" w:sz="4" w:space="0" w:color="auto"/>
            </w:tcBorders>
            <w:shd w:val="clear" w:color="auto" w:fill="auto"/>
            <w:noWrap/>
            <w:vAlign w:val="center"/>
            <w:hideMark/>
          </w:tcPr>
          <w:p w14:paraId="60946AE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491</w:t>
            </w:r>
          </w:p>
        </w:tc>
        <w:tc>
          <w:tcPr>
            <w:tcW w:w="1290" w:type="dxa"/>
            <w:tcBorders>
              <w:top w:val="nil"/>
              <w:left w:val="nil"/>
              <w:bottom w:val="single" w:sz="4" w:space="0" w:color="auto"/>
              <w:right w:val="single" w:sz="4" w:space="0" w:color="auto"/>
            </w:tcBorders>
            <w:shd w:val="clear" w:color="auto" w:fill="auto"/>
            <w:noWrap/>
            <w:vAlign w:val="center"/>
            <w:hideMark/>
          </w:tcPr>
          <w:p w14:paraId="38D69A1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441</w:t>
            </w:r>
          </w:p>
        </w:tc>
        <w:tc>
          <w:tcPr>
            <w:tcW w:w="1296" w:type="dxa"/>
            <w:tcBorders>
              <w:top w:val="nil"/>
              <w:left w:val="nil"/>
              <w:bottom w:val="single" w:sz="4" w:space="0" w:color="auto"/>
              <w:right w:val="single" w:sz="4" w:space="0" w:color="auto"/>
            </w:tcBorders>
            <w:shd w:val="clear" w:color="auto" w:fill="auto"/>
            <w:noWrap/>
            <w:vAlign w:val="center"/>
            <w:hideMark/>
          </w:tcPr>
          <w:p w14:paraId="1BE2C465"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-50</w:t>
            </w:r>
          </w:p>
        </w:tc>
        <w:tc>
          <w:tcPr>
            <w:tcW w:w="931" w:type="dxa"/>
            <w:tcBorders>
              <w:top w:val="nil"/>
              <w:left w:val="nil"/>
              <w:bottom w:val="single" w:sz="4" w:space="0" w:color="auto"/>
              <w:right w:val="single" w:sz="4" w:space="0" w:color="auto"/>
            </w:tcBorders>
            <w:shd w:val="clear" w:color="auto" w:fill="auto"/>
            <w:noWrap/>
            <w:vAlign w:val="center"/>
            <w:hideMark/>
          </w:tcPr>
          <w:p w14:paraId="65950E36"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-10,3%</w:t>
            </w:r>
          </w:p>
        </w:tc>
      </w:tr>
      <w:tr w:rsidR="006369AA" w:rsidRPr="006369AA" w14:paraId="7B1BC1DA"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04A9DB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Mediana empresa</w:t>
            </w:r>
          </w:p>
        </w:tc>
        <w:tc>
          <w:tcPr>
            <w:tcW w:w="1290" w:type="dxa"/>
            <w:tcBorders>
              <w:top w:val="nil"/>
              <w:left w:val="nil"/>
              <w:bottom w:val="single" w:sz="4" w:space="0" w:color="auto"/>
              <w:right w:val="single" w:sz="4" w:space="0" w:color="auto"/>
            </w:tcBorders>
            <w:shd w:val="clear" w:color="auto" w:fill="auto"/>
            <w:noWrap/>
            <w:vAlign w:val="center"/>
            <w:hideMark/>
          </w:tcPr>
          <w:p w14:paraId="5991F163"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7.927</w:t>
            </w:r>
          </w:p>
        </w:tc>
        <w:tc>
          <w:tcPr>
            <w:tcW w:w="1290" w:type="dxa"/>
            <w:tcBorders>
              <w:top w:val="nil"/>
              <w:left w:val="nil"/>
              <w:bottom w:val="single" w:sz="4" w:space="0" w:color="auto"/>
              <w:right w:val="single" w:sz="4" w:space="0" w:color="auto"/>
            </w:tcBorders>
            <w:shd w:val="clear" w:color="auto" w:fill="auto"/>
            <w:noWrap/>
            <w:vAlign w:val="center"/>
            <w:hideMark/>
          </w:tcPr>
          <w:p w14:paraId="4EE656BA"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6.340</w:t>
            </w:r>
          </w:p>
        </w:tc>
        <w:tc>
          <w:tcPr>
            <w:tcW w:w="1296" w:type="dxa"/>
            <w:tcBorders>
              <w:top w:val="nil"/>
              <w:left w:val="nil"/>
              <w:bottom w:val="single" w:sz="4" w:space="0" w:color="auto"/>
              <w:right w:val="single" w:sz="4" w:space="0" w:color="auto"/>
            </w:tcBorders>
            <w:shd w:val="clear" w:color="auto" w:fill="auto"/>
            <w:noWrap/>
            <w:vAlign w:val="center"/>
            <w:hideMark/>
          </w:tcPr>
          <w:p w14:paraId="759A0FC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-1.587</w:t>
            </w:r>
          </w:p>
        </w:tc>
        <w:tc>
          <w:tcPr>
            <w:tcW w:w="931" w:type="dxa"/>
            <w:tcBorders>
              <w:top w:val="nil"/>
              <w:left w:val="nil"/>
              <w:bottom w:val="single" w:sz="4" w:space="0" w:color="auto"/>
              <w:right w:val="single" w:sz="4" w:space="0" w:color="auto"/>
            </w:tcBorders>
            <w:shd w:val="clear" w:color="auto" w:fill="auto"/>
            <w:noWrap/>
            <w:vAlign w:val="center"/>
            <w:hideMark/>
          </w:tcPr>
          <w:p w14:paraId="325B7EC9"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-20,0%</w:t>
            </w:r>
          </w:p>
        </w:tc>
      </w:tr>
      <w:tr w:rsidR="006369AA" w:rsidRPr="006369AA" w14:paraId="00B370DA"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2E8CA6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Pequeña empresa</w:t>
            </w:r>
          </w:p>
        </w:tc>
        <w:tc>
          <w:tcPr>
            <w:tcW w:w="1290" w:type="dxa"/>
            <w:tcBorders>
              <w:top w:val="nil"/>
              <w:left w:val="nil"/>
              <w:bottom w:val="single" w:sz="4" w:space="0" w:color="auto"/>
              <w:right w:val="single" w:sz="4" w:space="0" w:color="auto"/>
            </w:tcBorders>
            <w:shd w:val="clear" w:color="auto" w:fill="auto"/>
            <w:noWrap/>
            <w:vAlign w:val="center"/>
            <w:hideMark/>
          </w:tcPr>
          <w:p w14:paraId="67AA5F62"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5.413</w:t>
            </w:r>
          </w:p>
        </w:tc>
        <w:tc>
          <w:tcPr>
            <w:tcW w:w="1290" w:type="dxa"/>
            <w:tcBorders>
              <w:top w:val="nil"/>
              <w:left w:val="nil"/>
              <w:bottom w:val="single" w:sz="4" w:space="0" w:color="auto"/>
              <w:right w:val="single" w:sz="4" w:space="0" w:color="auto"/>
            </w:tcBorders>
            <w:shd w:val="clear" w:color="auto" w:fill="auto"/>
            <w:noWrap/>
            <w:vAlign w:val="center"/>
            <w:hideMark/>
          </w:tcPr>
          <w:p w14:paraId="0E1A1DD4"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4.265</w:t>
            </w:r>
          </w:p>
        </w:tc>
        <w:tc>
          <w:tcPr>
            <w:tcW w:w="1296" w:type="dxa"/>
            <w:tcBorders>
              <w:top w:val="nil"/>
              <w:left w:val="nil"/>
              <w:bottom w:val="single" w:sz="4" w:space="0" w:color="auto"/>
              <w:right w:val="single" w:sz="4" w:space="0" w:color="auto"/>
            </w:tcBorders>
            <w:shd w:val="clear" w:color="auto" w:fill="auto"/>
            <w:noWrap/>
            <w:vAlign w:val="center"/>
            <w:hideMark/>
          </w:tcPr>
          <w:p w14:paraId="1AF6FEB9"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-1.148</w:t>
            </w:r>
          </w:p>
        </w:tc>
        <w:tc>
          <w:tcPr>
            <w:tcW w:w="931" w:type="dxa"/>
            <w:tcBorders>
              <w:top w:val="nil"/>
              <w:left w:val="nil"/>
              <w:bottom w:val="single" w:sz="4" w:space="0" w:color="auto"/>
              <w:right w:val="single" w:sz="4" w:space="0" w:color="auto"/>
            </w:tcBorders>
            <w:shd w:val="clear" w:color="auto" w:fill="auto"/>
            <w:noWrap/>
            <w:vAlign w:val="center"/>
            <w:hideMark/>
          </w:tcPr>
          <w:p w14:paraId="1096B53C"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-21,2%</w:t>
            </w:r>
          </w:p>
        </w:tc>
      </w:tr>
      <w:tr w:rsidR="006369AA" w:rsidRPr="006369AA" w14:paraId="09EE0D60" w14:textId="77777777" w:rsidTr="00C671A0">
        <w:trPr>
          <w:trHeight w:val="25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EFD1B8E"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Total</w:t>
            </w:r>
          </w:p>
        </w:tc>
        <w:tc>
          <w:tcPr>
            <w:tcW w:w="1290" w:type="dxa"/>
            <w:tcBorders>
              <w:top w:val="nil"/>
              <w:left w:val="nil"/>
              <w:bottom w:val="single" w:sz="4" w:space="0" w:color="auto"/>
              <w:right w:val="single" w:sz="4" w:space="0" w:color="auto"/>
            </w:tcBorders>
            <w:shd w:val="clear" w:color="auto" w:fill="auto"/>
            <w:noWrap/>
            <w:vAlign w:val="center"/>
            <w:hideMark/>
          </w:tcPr>
          <w:p w14:paraId="4F1717EA"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69.211</w:t>
            </w:r>
          </w:p>
        </w:tc>
        <w:tc>
          <w:tcPr>
            <w:tcW w:w="1290" w:type="dxa"/>
            <w:tcBorders>
              <w:top w:val="nil"/>
              <w:left w:val="nil"/>
              <w:bottom w:val="single" w:sz="4" w:space="0" w:color="auto"/>
              <w:right w:val="single" w:sz="4" w:space="0" w:color="auto"/>
            </w:tcBorders>
            <w:shd w:val="clear" w:color="auto" w:fill="auto"/>
            <w:noWrap/>
            <w:vAlign w:val="center"/>
            <w:hideMark/>
          </w:tcPr>
          <w:p w14:paraId="43FD3EA7"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53.388</w:t>
            </w:r>
          </w:p>
        </w:tc>
        <w:tc>
          <w:tcPr>
            <w:tcW w:w="1296" w:type="dxa"/>
            <w:tcBorders>
              <w:top w:val="nil"/>
              <w:left w:val="nil"/>
              <w:bottom w:val="single" w:sz="4" w:space="0" w:color="auto"/>
              <w:right w:val="single" w:sz="4" w:space="0" w:color="auto"/>
            </w:tcBorders>
            <w:shd w:val="clear" w:color="auto" w:fill="auto"/>
            <w:noWrap/>
            <w:vAlign w:val="center"/>
            <w:hideMark/>
          </w:tcPr>
          <w:p w14:paraId="655973EB"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-15.823</w:t>
            </w:r>
          </w:p>
        </w:tc>
        <w:tc>
          <w:tcPr>
            <w:tcW w:w="931" w:type="dxa"/>
            <w:tcBorders>
              <w:top w:val="nil"/>
              <w:left w:val="nil"/>
              <w:bottom w:val="single" w:sz="4" w:space="0" w:color="auto"/>
              <w:right w:val="single" w:sz="4" w:space="0" w:color="auto"/>
            </w:tcBorders>
            <w:shd w:val="clear" w:color="auto" w:fill="auto"/>
            <w:noWrap/>
            <w:vAlign w:val="center"/>
            <w:hideMark/>
          </w:tcPr>
          <w:p w14:paraId="33C0E3C0" w14:textId="77777777" w:rsidR="006369AA" w:rsidRPr="006369AA" w:rsidRDefault="006369AA" w:rsidP="00C671A0">
            <w:pPr>
              <w:jc w:val="center"/>
              <w:rPr>
                <w:rFonts w:ascii="Palatino Linotype" w:eastAsia="Times New Roman" w:hAnsi="Palatino Linotype" w:cstheme="minorHAnsi"/>
                <w:color w:val="000000"/>
                <w:lang w:eastAsia="es-EC"/>
              </w:rPr>
            </w:pPr>
            <w:r w:rsidRPr="006369AA">
              <w:rPr>
                <w:rFonts w:ascii="Palatino Linotype" w:eastAsia="Times New Roman" w:hAnsi="Palatino Linotype" w:cstheme="minorHAnsi"/>
                <w:color w:val="000000"/>
                <w:lang w:eastAsia="es-EC"/>
              </w:rPr>
              <w:t>-22,9%</w:t>
            </w:r>
          </w:p>
        </w:tc>
      </w:tr>
    </w:tbl>
    <w:p w14:paraId="0C83E070"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INEC 2022</w:t>
      </w:r>
    </w:p>
    <w:p w14:paraId="3A45E3E2" w14:textId="77777777" w:rsidR="006369AA" w:rsidRPr="006369AA" w:rsidRDefault="006369AA" w:rsidP="006369AA">
      <w:pPr>
        <w:tabs>
          <w:tab w:val="right" w:pos="9026"/>
        </w:tabs>
        <w:jc w:val="both"/>
        <w:rPr>
          <w:rFonts w:ascii="Palatino Linotype" w:hAnsi="Palatino Linotype" w:cstheme="minorHAnsi"/>
        </w:rPr>
      </w:pPr>
    </w:p>
    <w:p w14:paraId="26441B9C"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Según el Instituto Nacional de Estadísticas y Censos (INEC, 2023) la variación anual del Índice de Precios al Consumidor al mes de diciembre 2021 respecto a diciembre de 2022 bordea 2,04% para la ciudad de Quito y el IPC acumulado al primer semestre 2021 ha sido del 3,82%. Se puede explicar que, si bien ha existido cierta mejora, se avizora una reducción de la demanda de los hogares residentes en el área urbana en el DMQ misma que obliga la reducción de precios para mantener las ventas, con una leve tendencia a recuperarse, sin embargo, no se alcanzan los niveles registrados en años anteriores.</w:t>
      </w:r>
    </w:p>
    <w:p w14:paraId="1DE40697" w14:textId="77777777" w:rsidR="006369AA" w:rsidRPr="006369AA" w:rsidRDefault="006369AA" w:rsidP="006369AA">
      <w:pPr>
        <w:tabs>
          <w:tab w:val="right" w:pos="9026"/>
        </w:tabs>
        <w:jc w:val="both"/>
        <w:rPr>
          <w:rFonts w:ascii="Palatino Linotype" w:hAnsi="Palatino Linotype" w:cstheme="minorHAnsi"/>
        </w:rPr>
      </w:pPr>
    </w:p>
    <w:p w14:paraId="4FDD9D4E"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Índice de Precios al Consumidor (IPC)</w:t>
      </w:r>
    </w:p>
    <w:p w14:paraId="03E899FF" w14:textId="77777777" w:rsidR="006369AA" w:rsidRPr="006369AA" w:rsidRDefault="006369AA" w:rsidP="006369AA">
      <w:pPr>
        <w:rPr>
          <w:rFonts w:ascii="Palatino Linotype" w:hAnsi="Palatino Linotype" w:cstheme="minorHAnsi"/>
          <w:b/>
          <w:bCs/>
        </w:rPr>
      </w:pPr>
      <w:r w:rsidRPr="006369AA">
        <w:rPr>
          <w:rFonts w:ascii="Palatino Linotype" w:hAnsi="Palatino Linotype" w:cstheme="minorHAnsi"/>
          <w:noProof/>
          <w:lang w:val="en-US"/>
        </w:rPr>
        <w:drawing>
          <wp:anchor distT="0" distB="0" distL="114300" distR="114300" simplePos="0" relativeHeight="251659264" behindDoc="0" locked="0" layoutInCell="1" allowOverlap="1" wp14:anchorId="13BD032D" wp14:editId="552F9B2E">
            <wp:simplePos x="0" y="0"/>
            <wp:positionH relativeFrom="margin">
              <wp:align>center</wp:align>
            </wp:positionH>
            <wp:positionV relativeFrom="paragraph">
              <wp:posOffset>106680</wp:posOffset>
            </wp:positionV>
            <wp:extent cx="6953250" cy="2286000"/>
            <wp:effectExtent l="0" t="0" r="0" b="0"/>
            <wp:wrapNone/>
            <wp:docPr id="6" name="Gráfico 6">
              <a:extLst xmlns:a="http://schemas.openxmlformats.org/drawingml/2006/main">
                <a:ext uri="{FF2B5EF4-FFF2-40B4-BE49-F238E27FC236}">
                  <a16:creationId xmlns:a16="http://schemas.microsoft.com/office/drawing/2014/main" id="{E6E3ACC3-691B-42FD-BBA8-7E4A06350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D688B41" w14:textId="77777777" w:rsidR="006369AA" w:rsidRPr="006369AA" w:rsidRDefault="006369AA" w:rsidP="006369AA">
      <w:pPr>
        <w:rPr>
          <w:rFonts w:ascii="Palatino Linotype" w:hAnsi="Palatino Linotype" w:cstheme="minorHAnsi"/>
          <w:b/>
          <w:bCs/>
        </w:rPr>
      </w:pPr>
    </w:p>
    <w:p w14:paraId="7EB2F841" w14:textId="77777777" w:rsidR="006369AA" w:rsidRPr="006369AA" w:rsidRDefault="006369AA" w:rsidP="006369AA">
      <w:pPr>
        <w:rPr>
          <w:rFonts w:ascii="Palatino Linotype" w:hAnsi="Palatino Linotype" w:cstheme="minorHAnsi"/>
          <w:b/>
          <w:bCs/>
        </w:rPr>
      </w:pPr>
    </w:p>
    <w:p w14:paraId="32EAC5EF" w14:textId="77777777" w:rsidR="006369AA" w:rsidRPr="006369AA" w:rsidRDefault="006369AA" w:rsidP="006369AA">
      <w:pPr>
        <w:rPr>
          <w:rFonts w:ascii="Palatino Linotype" w:hAnsi="Palatino Linotype" w:cstheme="minorHAnsi"/>
          <w:b/>
          <w:bCs/>
        </w:rPr>
      </w:pPr>
    </w:p>
    <w:p w14:paraId="73B82016" w14:textId="77777777" w:rsidR="006369AA" w:rsidRPr="006369AA" w:rsidRDefault="006369AA" w:rsidP="006369AA">
      <w:pPr>
        <w:rPr>
          <w:rFonts w:ascii="Palatino Linotype" w:hAnsi="Palatino Linotype" w:cstheme="minorHAnsi"/>
          <w:b/>
          <w:bCs/>
        </w:rPr>
      </w:pPr>
    </w:p>
    <w:p w14:paraId="79B3EA05" w14:textId="77777777" w:rsidR="006369AA" w:rsidRPr="006369AA" w:rsidRDefault="006369AA" w:rsidP="006369AA">
      <w:pPr>
        <w:rPr>
          <w:rFonts w:ascii="Palatino Linotype" w:hAnsi="Palatino Linotype" w:cstheme="minorHAnsi"/>
          <w:b/>
          <w:bCs/>
        </w:rPr>
      </w:pPr>
    </w:p>
    <w:p w14:paraId="0625AFBD" w14:textId="77777777" w:rsidR="006369AA" w:rsidRPr="006369AA" w:rsidRDefault="006369AA" w:rsidP="006369AA">
      <w:pPr>
        <w:rPr>
          <w:rFonts w:ascii="Palatino Linotype" w:hAnsi="Palatino Linotype" w:cstheme="minorHAnsi"/>
          <w:b/>
          <w:bCs/>
        </w:rPr>
      </w:pPr>
    </w:p>
    <w:p w14:paraId="6ED3AB1E" w14:textId="77777777" w:rsidR="006369AA" w:rsidRPr="006369AA" w:rsidRDefault="006369AA" w:rsidP="006369AA">
      <w:pPr>
        <w:rPr>
          <w:rFonts w:ascii="Palatino Linotype" w:hAnsi="Palatino Linotype" w:cstheme="minorHAnsi"/>
          <w:b/>
          <w:bCs/>
        </w:rPr>
      </w:pPr>
    </w:p>
    <w:p w14:paraId="49588659" w14:textId="77777777" w:rsidR="006369AA" w:rsidRPr="006369AA" w:rsidRDefault="006369AA" w:rsidP="006369AA">
      <w:pPr>
        <w:rPr>
          <w:rFonts w:ascii="Palatino Linotype" w:hAnsi="Palatino Linotype" w:cstheme="minorHAnsi"/>
          <w:b/>
          <w:bCs/>
        </w:rPr>
      </w:pPr>
    </w:p>
    <w:p w14:paraId="6426E643"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INEC 2023</w:t>
      </w:r>
    </w:p>
    <w:p w14:paraId="435C81B0"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lastRenderedPageBreak/>
        <w:t>Para el año 2019 (prepandemia), Quito representaba el 25% del Valor Agregado Bruto (VAB)</w:t>
      </w:r>
      <w:r w:rsidRPr="006369AA">
        <w:rPr>
          <w:rStyle w:val="Refdenotaalpie"/>
          <w:rFonts w:ascii="Palatino Linotype" w:hAnsi="Palatino Linotype" w:cstheme="minorHAnsi"/>
        </w:rPr>
        <w:footnoteReference w:id="2"/>
      </w:r>
      <w:r w:rsidRPr="006369AA">
        <w:rPr>
          <w:rFonts w:ascii="Palatino Linotype" w:hAnsi="Palatino Linotype" w:cstheme="minorHAnsi"/>
        </w:rPr>
        <w:t xml:space="preserve"> a nivel nacional. Para el año 2020, la ciudad registra un 26% del VAB (Banco Central del Ecuador, 2023). Si bien el año 2020 fue atípico, no es posible asegurar un incremento especifico (sin versión final disponible en el BCE).</w:t>
      </w:r>
    </w:p>
    <w:p w14:paraId="4EE8259D" w14:textId="77777777" w:rsidR="006369AA" w:rsidRPr="006369AA" w:rsidRDefault="006369AA" w:rsidP="006369AA">
      <w:pPr>
        <w:tabs>
          <w:tab w:val="right" w:pos="9026"/>
        </w:tabs>
        <w:jc w:val="both"/>
        <w:rPr>
          <w:rFonts w:ascii="Palatino Linotype" w:hAnsi="Palatino Linotype" w:cstheme="minorHAnsi"/>
        </w:rPr>
      </w:pPr>
    </w:p>
    <w:p w14:paraId="3AF7C85C" w14:textId="77777777" w:rsidR="006369AA" w:rsidRPr="006369AA" w:rsidRDefault="006369AA" w:rsidP="006369AA">
      <w:pPr>
        <w:jc w:val="both"/>
        <w:rPr>
          <w:rFonts w:ascii="Palatino Linotype" w:hAnsi="Palatino Linotype" w:cstheme="minorHAnsi"/>
          <w:b/>
          <w:bCs/>
        </w:rPr>
      </w:pPr>
    </w:p>
    <w:p w14:paraId="4ECE4078"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Composición del VAB de Quito (2019-2020)</w:t>
      </w:r>
    </w:p>
    <w:p w14:paraId="598C2DA2" w14:textId="77777777" w:rsidR="006369AA" w:rsidRPr="006369AA" w:rsidRDefault="006369AA" w:rsidP="006369AA">
      <w:pPr>
        <w:jc w:val="both"/>
        <w:rPr>
          <w:rFonts w:ascii="Palatino Linotype" w:hAnsi="Palatino Linotype" w:cstheme="minorHAnsi"/>
          <w:b/>
          <w:bCs/>
        </w:rPr>
      </w:pPr>
    </w:p>
    <w:p w14:paraId="71BF8B39" w14:textId="77777777" w:rsidR="006369AA" w:rsidRPr="006369AA" w:rsidRDefault="006369AA" w:rsidP="006369AA">
      <w:pPr>
        <w:jc w:val="both"/>
        <w:rPr>
          <w:rFonts w:ascii="Palatino Linotype" w:hAnsi="Palatino Linotype" w:cstheme="minorHAnsi"/>
          <w:b/>
          <w:bCs/>
        </w:rPr>
      </w:pPr>
      <w:r w:rsidRPr="006369AA">
        <w:rPr>
          <w:rFonts w:ascii="Palatino Linotype" w:hAnsi="Palatino Linotype" w:cstheme="minorHAnsi"/>
          <w:noProof/>
          <w:lang w:val="en-US"/>
        </w:rPr>
        <w:drawing>
          <wp:anchor distT="0" distB="0" distL="114300" distR="114300" simplePos="0" relativeHeight="251660288" behindDoc="0" locked="0" layoutInCell="1" allowOverlap="1" wp14:anchorId="1E6118A4" wp14:editId="0DFB18C2">
            <wp:simplePos x="0" y="0"/>
            <wp:positionH relativeFrom="column">
              <wp:posOffset>828675</wp:posOffset>
            </wp:positionH>
            <wp:positionV relativeFrom="paragraph">
              <wp:posOffset>47625</wp:posOffset>
            </wp:positionV>
            <wp:extent cx="4572000" cy="2743200"/>
            <wp:effectExtent l="0" t="0" r="0" b="0"/>
            <wp:wrapNone/>
            <wp:docPr id="7" name="Gráfico 7">
              <a:extLst xmlns:a="http://schemas.openxmlformats.org/drawingml/2006/main">
                <a:ext uri="{FF2B5EF4-FFF2-40B4-BE49-F238E27FC236}">
                  <a16:creationId xmlns:a16="http://schemas.microsoft.com/office/drawing/2014/main" id="{A9B7316C-B854-4E3F-B873-F40091B9F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C4CEEB5" w14:textId="77777777" w:rsidR="006369AA" w:rsidRPr="006369AA" w:rsidRDefault="006369AA" w:rsidP="006369AA">
      <w:pPr>
        <w:jc w:val="both"/>
        <w:rPr>
          <w:rFonts w:ascii="Palatino Linotype" w:hAnsi="Palatino Linotype" w:cstheme="minorHAnsi"/>
          <w:b/>
          <w:bCs/>
        </w:rPr>
      </w:pPr>
    </w:p>
    <w:p w14:paraId="0E6E9044" w14:textId="77777777" w:rsidR="006369AA" w:rsidRPr="006369AA" w:rsidRDefault="006369AA" w:rsidP="006369AA">
      <w:pPr>
        <w:jc w:val="both"/>
        <w:rPr>
          <w:rFonts w:ascii="Palatino Linotype" w:hAnsi="Palatino Linotype" w:cstheme="minorHAnsi"/>
          <w:b/>
          <w:bCs/>
        </w:rPr>
      </w:pPr>
    </w:p>
    <w:p w14:paraId="42A13381" w14:textId="77777777" w:rsidR="006369AA" w:rsidRPr="006369AA" w:rsidRDefault="006369AA" w:rsidP="006369AA">
      <w:pPr>
        <w:jc w:val="both"/>
        <w:rPr>
          <w:rFonts w:ascii="Palatino Linotype" w:hAnsi="Palatino Linotype" w:cstheme="minorHAnsi"/>
          <w:b/>
          <w:bCs/>
        </w:rPr>
      </w:pPr>
    </w:p>
    <w:p w14:paraId="3D41BB8C" w14:textId="77777777" w:rsidR="006369AA" w:rsidRPr="006369AA" w:rsidRDefault="006369AA" w:rsidP="006369AA">
      <w:pPr>
        <w:jc w:val="both"/>
        <w:rPr>
          <w:rFonts w:ascii="Palatino Linotype" w:hAnsi="Palatino Linotype" w:cstheme="minorHAnsi"/>
          <w:b/>
          <w:bCs/>
        </w:rPr>
      </w:pPr>
    </w:p>
    <w:p w14:paraId="1DC4C1FA" w14:textId="77777777" w:rsidR="006369AA" w:rsidRPr="006369AA" w:rsidRDefault="006369AA" w:rsidP="006369AA">
      <w:pPr>
        <w:jc w:val="both"/>
        <w:rPr>
          <w:rFonts w:ascii="Palatino Linotype" w:hAnsi="Palatino Linotype" w:cstheme="minorHAnsi"/>
          <w:b/>
          <w:bCs/>
        </w:rPr>
      </w:pPr>
    </w:p>
    <w:p w14:paraId="20525EAD" w14:textId="77777777" w:rsidR="006369AA" w:rsidRPr="006369AA" w:rsidRDefault="006369AA" w:rsidP="006369AA">
      <w:pPr>
        <w:jc w:val="both"/>
        <w:rPr>
          <w:rFonts w:ascii="Palatino Linotype" w:hAnsi="Palatino Linotype" w:cstheme="minorHAnsi"/>
          <w:b/>
          <w:bCs/>
        </w:rPr>
      </w:pPr>
    </w:p>
    <w:p w14:paraId="1306D7EF" w14:textId="77777777" w:rsidR="006369AA" w:rsidRPr="006369AA" w:rsidRDefault="006369AA" w:rsidP="006369AA">
      <w:pPr>
        <w:jc w:val="both"/>
        <w:rPr>
          <w:rFonts w:ascii="Palatino Linotype" w:hAnsi="Palatino Linotype" w:cstheme="minorHAnsi"/>
          <w:b/>
          <w:bCs/>
        </w:rPr>
      </w:pPr>
    </w:p>
    <w:p w14:paraId="0896B170" w14:textId="77777777" w:rsidR="006369AA" w:rsidRPr="006369AA" w:rsidRDefault="006369AA" w:rsidP="006369AA">
      <w:pPr>
        <w:jc w:val="both"/>
        <w:rPr>
          <w:rFonts w:ascii="Palatino Linotype" w:hAnsi="Palatino Linotype" w:cstheme="minorHAnsi"/>
          <w:b/>
          <w:bCs/>
        </w:rPr>
      </w:pPr>
    </w:p>
    <w:p w14:paraId="1821BF5A" w14:textId="77777777" w:rsidR="006369AA" w:rsidRPr="006369AA" w:rsidRDefault="006369AA" w:rsidP="006369AA">
      <w:pPr>
        <w:jc w:val="both"/>
        <w:rPr>
          <w:rFonts w:ascii="Palatino Linotype" w:hAnsi="Palatino Linotype" w:cstheme="minorHAnsi"/>
          <w:b/>
          <w:bCs/>
        </w:rPr>
      </w:pPr>
    </w:p>
    <w:p w14:paraId="61B692DF"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BCE 2022</w:t>
      </w:r>
    </w:p>
    <w:p w14:paraId="342D512D" w14:textId="77777777" w:rsidR="006369AA" w:rsidRPr="006369AA" w:rsidRDefault="006369AA" w:rsidP="006369AA">
      <w:pPr>
        <w:tabs>
          <w:tab w:val="right" w:pos="9026"/>
        </w:tabs>
        <w:jc w:val="both"/>
        <w:rPr>
          <w:rFonts w:ascii="Palatino Linotype" w:hAnsi="Palatino Linotype" w:cstheme="minorHAnsi"/>
        </w:rPr>
      </w:pPr>
    </w:p>
    <w:p w14:paraId="498FEEDC" w14:textId="77777777" w:rsidR="006369AA" w:rsidRPr="006369AA" w:rsidRDefault="006369AA" w:rsidP="006369AA">
      <w:pPr>
        <w:spacing w:after="200" w:line="276" w:lineRule="auto"/>
        <w:jc w:val="both"/>
        <w:rPr>
          <w:rFonts w:ascii="Palatino Linotype" w:hAnsi="Palatino Linotype" w:cstheme="minorHAnsi"/>
          <w:b/>
          <w:bCs/>
        </w:rPr>
      </w:pPr>
      <w:r w:rsidRPr="006369AA">
        <w:rPr>
          <w:rFonts w:ascii="Palatino Linotype" w:hAnsi="Palatino Linotype" w:cstheme="minorHAnsi"/>
          <w:b/>
          <w:bCs/>
        </w:rPr>
        <w:t>Turismo en la ciudad</w:t>
      </w:r>
    </w:p>
    <w:p w14:paraId="31CB3AA6" w14:textId="77777777" w:rsidR="006369AA" w:rsidRPr="006369AA" w:rsidRDefault="006369AA" w:rsidP="006369AA">
      <w:pPr>
        <w:tabs>
          <w:tab w:val="right" w:pos="9026"/>
        </w:tabs>
        <w:jc w:val="both"/>
        <w:rPr>
          <w:rFonts w:ascii="Palatino Linotype" w:hAnsi="Palatino Linotype" w:cstheme="minorHAnsi"/>
          <w:i/>
          <w:iCs/>
        </w:rPr>
      </w:pPr>
      <w:r w:rsidRPr="006369AA">
        <w:rPr>
          <w:rFonts w:ascii="Palatino Linotype" w:hAnsi="Palatino Linotype" w:cstheme="minorHAnsi"/>
        </w:rPr>
        <w:t xml:space="preserve">Según el Código Municipal, en su </w:t>
      </w:r>
      <w:r w:rsidRPr="006369AA">
        <w:rPr>
          <w:rFonts w:ascii="Palatino Linotype" w:hAnsi="Palatino Linotype" w:cstheme="minorHAnsi"/>
          <w:i/>
          <w:iCs/>
        </w:rPr>
        <w:t>TITULO II DEL TURISMO EN EL DISTRITO METROPOLITANO DE QUITO, CAPÍTULO I DISPOSICIONES GENERALES, SECCIÓN I ÁMBITO, PRINCIPIOS Y OBJETIVOS, Artículo 1337.- Ámbito. - El presente Título determina las normas que integran el ordenamiento jurídico metropolitano con las que se regula: ¸</w:t>
      </w:r>
      <w:r w:rsidRPr="006369AA">
        <w:rPr>
          <w:rFonts w:ascii="Palatino Linotype" w:hAnsi="Palatino Linotype" w:cstheme="minorHAnsi"/>
        </w:rPr>
        <w:t xml:space="preserve"> en su literal </w:t>
      </w:r>
      <w:r w:rsidRPr="006369AA">
        <w:rPr>
          <w:rFonts w:ascii="Palatino Linotype" w:hAnsi="Palatino Linotype" w:cstheme="minorHAnsi"/>
          <w:i/>
          <w:iCs/>
        </w:rPr>
        <w:t xml:space="preserve">d. Los mecanismos de promoción y desarrollo de las actividades turísticas, </w:t>
      </w:r>
      <w:r w:rsidRPr="006369AA">
        <w:rPr>
          <w:rFonts w:ascii="Palatino Linotype" w:hAnsi="Palatino Linotype" w:cstheme="minorHAnsi"/>
        </w:rPr>
        <w:t xml:space="preserve">menciona </w:t>
      </w:r>
      <w:r w:rsidRPr="006369AA">
        <w:rPr>
          <w:rFonts w:ascii="Palatino Linotype" w:hAnsi="Palatino Linotype" w:cstheme="minorHAnsi"/>
          <w:i/>
          <w:iCs/>
        </w:rPr>
        <w:t xml:space="preserve">“(…) Las actividades turísticas, sus modalidades, tipos y subtipos, sus características principales, requisitos y sus regímenes especiales son aquellos determinados en la Ley de Turismo y sus reglamentos de aplicación. Para todos los propósitos previstos en este Título, sin perjuicio de aquellas previstas en la legislación nacional, se consideran actividades turísticas las siguientes: Alojamiento; Servicio de alimentos y bebidas; Transportación, cuando se dedica principalmente </w:t>
      </w:r>
      <w:r w:rsidRPr="006369AA">
        <w:rPr>
          <w:rFonts w:ascii="Palatino Linotype" w:hAnsi="Palatino Linotype" w:cstheme="minorHAnsi"/>
          <w:i/>
          <w:iCs/>
        </w:rPr>
        <w:lastRenderedPageBreak/>
        <w:t xml:space="preserve">al turismo; Operación; Intermediación, agencia de servicios turísticos y organizadoras de eventos, congresos y convenciones; y, Hipódromos y parques de atracciones estables. </w:t>
      </w:r>
    </w:p>
    <w:p w14:paraId="5C95CC24" w14:textId="77777777" w:rsidR="006369AA" w:rsidRPr="006369AA" w:rsidRDefault="006369AA" w:rsidP="006369AA">
      <w:pPr>
        <w:tabs>
          <w:tab w:val="right" w:pos="9026"/>
        </w:tabs>
        <w:jc w:val="both"/>
        <w:rPr>
          <w:rFonts w:ascii="Palatino Linotype" w:hAnsi="Palatino Linotype" w:cstheme="minorHAnsi"/>
          <w:i/>
          <w:iCs/>
        </w:rPr>
      </w:pPr>
      <w:r w:rsidRPr="006369AA">
        <w:rPr>
          <w:rFonts w:ascii="Palatino Linotype" w:hAnsi="Palatino Linotype" w:cstheme="minorHAnsi"/>
          <w:i/>
          <w:iCs/>
        </w:rPr>
        <w:t>Son también actividades turísticas para todos los efectos, y principalmente con ocasión de la aplicación del régimen de autorizaciones administrativas y el ejercicio de la potestad administrativa sancionadora, aquellas referidas a los servicios de alojamiento o alimentos y bebidas que se realicen en una Zona Especial Turística. Los Prestadores de Servicios Turísticos son las personas, naturales o jurídicas, que proporcionen, intermedien o contraten con el turista, cualquier servicio relacionado con las actividades calificadas como turísticas, de conformidad con el ordenamiento jurídico nacional y metropolitano”</w:t>
      </w:r>
    </w:p>
    <w:p w14:paraId="79C5791C"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 xml:space="preserve">Con esto, se define claramente cuales se consideran actividades turísticas dentro del Distrito Metropolitano de Quito. </w:t>
      </w:r>
    </w:p>
    <w:p w14:paraId="27C426ED" w14:textId="77777777" w:rsidR="006369AA" w:rsidRPr="006369AA" w:rsidRDefault="006369AA" w:rsidP="006369AA">
      <w:pPr>
        <w:tabs>
          <w:tab w:val="right" w:pos="9026"/>
        </w:tabs>
        <w:jc w:val="both"/>
        <w:rPr>
          <w:rFonts w:ascii="Palatino Linotype" w:hAnsi="Palatino Linotype" w:cstheme="minorHAnsi"/>
        </w:rPr>
      </w:pPr>
    </w:p>
    <w:p w14:paraId="2B162066"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La Agenda de Competitividad 2019, prioriza el sector “turismo” donde se menciona que cuenta con varios indicadores que lo vuelven un sector altamente competitivo. Para el año 2020, el sector turístico registra una caída de 54,9% en sus ventas totales en la capital (Instituto Nacional de Estadísticas y Censos, 2020).</w:t>
      </w:r>
    </w:p>
    <w:p w14:paraId="0AE5BBC7" w14:textId="77777777" w:rsidR="006369AA" w:rsidRPr="006369AA" w:rsidRDefault="006369AA" w:rsidP="006369AA">
      <w:pPr>
        <w:tabs>
          <w:tab w:val="right" w:pos="9026"/>
        </w:tabs>
        <w:jc w:val="both"/>
        <w:rPr>
          <w:rFonts w:ascii="Palatino Linotype" w:hAnsi="Palatino Linotype" w:cstheme="minorHAnsi"/>
        </w:rPr>
      </w:pPr>
    </w:p>
    <w:p w14:paraId="2A618927"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Variación de ventas entre 2019 y 2020</w:t>
      </w:r>
    </w:p>
    <w:p w14:paraId="7AD7580F" w14:textId="77777777" w:rsidR="006369AA" w:rsidRPr="006369AA" w:rsidRDefault="006369AA" w:rsidP="006369AA">
      <w:pPr>
        <w:tabs>
          <w:tab w:val="right" w:pos="9026"/>
        </w:tabs>
        <w:jc w:val="center"/>
        <w:rPr>
          <w:rFonts w:ascii="Palatino Linotype" w:hAnsi="Palatino Linotype" w:cstheme="minorHAnsi"/>
          <w:b/>
          <w:bCs/>
        </w:rPr>
      </w:pPr>
    </w:p>
    <w:p w14:paraId="325A2ED0"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noProof/>
          <w:lang w:val="en-US"/>
        </w:rPr>
        <w:drawing>
          <wp:anchor distT="0" distB="0" distL="114300" distR="114300" simplePos="0" relativeHeight="251661312" behindDoc="0" locked="0" layoutInCell="1" allowOverlap="1" wp14:anchorId="74F18165" wp14:editId="6FFE055C">
            <wp:simplePos x="0" y="0"/>
            <wp:positionH relativeFrom="margin">
              <wp:align>center</wp:align>
            </wp:positionH>
            <wp:positionV relativeFrom="paragraph">
              <wp:posOffset>5213</wp:posOffset>
            </wp:positionV>
            <wp:extent cx="4572000" cy="2852738"/>
            <wp:effectExtent l="0" t="0" r="0" b="5080"/>
            <wp:wrapThrough wrapText="bothSides">
              <wp:wrapPolygon edited="0">
                <wp:start x="0" y="0"/>
                <wp:lineTo x="0" y="21494"/>
                <wp:lineTo x="21510" y="21494"/>
                <wp:lineTo x="21510" y="0"/>
                <wp:lineTo x="0" y="0"/>
              </wp:wrapPolygon>
            </wp:wrapThrough>
            <wp:docPr id="4" name="Gráfico 4">
              <a:extLst xmlns:a="http://schemas.openxmlformats.org/drawingml/2006/main">
                <a:ext uri="{FF2B5EF4-FFF2-40B4-BE49-F238E27FC236}">
                  <a16:creationId xmlns:a16="http://schemas.microsoft.com/office/drawing/2014/main" id="{320C0FB8-847D-473C-8877-BC6768CD0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8C2A2AD" w14:textId="77777777" w:rsidR="006369AA" w:rsidRPr="006369AA" w:rsidRDefault="006369AA" w:rsidP="006369AA">
      <w:pPr>
        <w:tabs>
          <w:tab w:val="right" w:pos="9026"/>
        </w:tabs>
        <w:jc w:val="center"/>
        <w:rPr>
          <w:rFonts w:ascii="Palatino Linotype" w:hAnsi="Palatino Linotype" w:cstheme="minorHAnsi"/>
          <w:b/>
          <w:bCs/>
        </w:rPr>
      </w:pPr>
    </w:p>
    <w:p w14:paraId="6DE79AC4" w14:textId="77777777" w:rsidR="006369AA" w:rsidRPr="006369AA" w:rsidRDefault="006369AA" w:rsidP="006369AA">
      <w:pPr>
        <w:tabs>
          <w:tab w:val="right" w:pos="9026"/>
        </w:tabs>
        <w:jc w:val="center"/>
        <w:rPr>
          <w:rFonts w:ascii="Palatino Linotype" w:hAnsi="Palatino Linotype" w:cstheme="minorHAnsi"/>
          <w:b/>
          <w:bCs/>
        </w:rPr>
      </w:pPr>
    </w:p>
    <w:p w14:paraId="69293BD3" w14:textId="77777777" w:rsidR="006369AA" w:rsidRPr="006369AA" w:rsidRDefault="006369AA" w:rsidP="006369AA">
      <w:pPr>
        <w:tabs>
          <w:tab w:val="right" w:pos="9026"/>
        </w:tabs>
        <w:jc w:val="center"/>
        <w:rPr>
          <w:rFonts w:ascii="Palatino Linotype" w:hAnsi="Palatino Linotype" w:cstheme="minorHAnsi"/>
          <w:b/>
          <w:bCs/>
        </w:rPr>
      </w:pPr>
    </w:p>
    <w:p w14:paraId="6DE8F9C5" w14:textId="77777777" w:rsidR="006369AA" w:rsidRPr="006369AA" w:rsidRDefault="006369AA" w:rsidP="006369AA">
      <w:pPr>
        <w:tabs>
          <w:tab w:val="right" w:pos="9026"/>
        </w:tabs>
        <w:jc w:val="center"/>
        <w:rPr>
          <w:rFonts w:ascii="Palatino Linotype" w:hAnsi="Palatino Linotype" w:cstheme="minorHAnsi"/>
          <w:b/>
          <w:bCs/>
        </w:rPr>
      </w:pPr>
    </w:p>
    <w:p w14:paraId="1DC2FEE4" w14:textId="77777777" w:rsidR="006369AA" w:rsidRPr="006369AA" w:rsidRDefault="006369AA" w:rsidP="006369AA">
      <w:pPr>
        <w:tabs>
          <w:tab w:val="right" w:pos="9026"/>
        </w:tabs>
        <w:jc w:val="center"/>
        <w:rPr>
          <w:rFonts w:ascii="Palatino Linotype" w:hAnsi="Palatino Linotype" w:cstheme="minorHAnsi"/>
          <w:b/>
          <w:bCs/>
        </w:rPr>
      </w:pPr>
    </w:p>
    <w:p w14:paraId="5CB94246" w14:textId="77777777" w:rsidR="006369AA" w:rsidRPr="006369AA" w:rsidRDefault="006369AA" w:rsidP="006369AA">
      <w:pPr>
        <w:tabs>
          <w:tab w:val="right" w:pos="9026"/>
        </w:tabs>
        <w:jc w:val="center"/>
        <w:rPr>
          <w:rFonts w:ascii="Palatino Linotype" w:hAnsi="Palatino Linotype" w:cstheme="minorHAnsi"/>
          <w:b/>
          <w:bCs/>
        </w:rPr>
      </w:pPr>
    </w:p>
    <w:p w14:paraId="4A306247" w14:textId="77777777" w:rsidR="006369AA" w:rsidRPr="006369AA" w:rsidRDefault="006369AA" w:rsidP="006369AA">
      <w:pPr>
        <w:tabs>
          <w:tab w:val="right" w:pos="9026"/>
        </w:tabs>
        <w:jc w:val="center"/>
        <w:rPr>
          <w:rFonts w:ascii="Palatino Linotype" w:hAnsi="Palatino Linotype" w:cstheme="minorHAnsi"/>
          <w:b/>
          <w:bCs/>
        </w:rPr>
      </w:pPr>
    </w:p>
    <w:p w14:paraId="3D371862" w14:textId="77777777" w:rsidR="006369AA" w:rsidRPr="006369AA" w:rsidRDefault="006369AA" w:rsidP="006369AA">
      <w:pPr>
        <w:tabs>
          <w:tab w:val="right" w:pos="9026"/>
        </w:tabs>
        <w:jc w:val="center"/>
        <w:rPr>
          <w:rFonts w:ascii="Palatino Linotype" w:hAnsi="Palatino Linotype" w:cstheme="minorHAnsi"/>
          <w:b/>
          <w:bCs/>
        </w:rPr>
      </w:pPr>
    </w:p>
    <w:p w14:paraId="05AF323C" w14:textId="77777777" w:rsidR="006369AA" w:rsidRPr="006369AA" w:rsidRDefault="006369AA" w:rsidP="006369AA">
      <w:pPr>
        <w:tabs>
          <w:tab w:val="right" w:pos="9026"/>
        </w:tabs>
        <w:jc w:val="center"/>
        <w:rPr>
          <w:rFonts w:ascii="Palatino Linotype" w:hAnsi="Palatino Linotype" w:cstheme="minorHAnsi"/>
          <w:b/>
          <w:bCs/>
        </w:rPr>
      </w:pPr>
    </w:p>
    <w:p w14:paraId="2D26D7FA" w14:textId="689DF593" w:rsidR="006369AA" w:rsidRPr="006369AA" w:rsidRDefault="006369AA" w:rsidP="006369AA">
      <w:pPr>
        <w:tabs>
          <w:tab w:val="right" w:pos="9026"/>
        </w:tabs>
        <w:rPr>
          <w:rFonts w:ascii="Palatino Linotype" w:hAnsi="Palatino Linotype" w:cstheme="minorHAnsi"/>
        </w:rPr>
      </w:pPr>
      <w:r w:rsidRPr="006369AA">
        <w:rPr>
          <w:rFonts w:ascii="Palatino Linotype" w:hAnsi="Palatino Linotype" w:cstheme="minorHAnsi"/>
        </w:rPr>
        <w:br/>
        <w:t>Fuente: INEC 2022</w:t>
      </w:r>
    </w:p>
    <w:p w14:paraId="463863CB" w14:textId="77777777" w:rsidR="006369AA" w:rsidRPr="006369AA" w:rsidRDefault="006369AA" w:rsidP="006369AA">
      <w:pPr>
        <w:tabs>
          <w:tab w:val="right" w:pos="9026"/>
        </w:tabs>
        <w:jc w:val="both"/>
        <w:rPr>
          <w:rFonts w:ascii="Palatino Linotype" w:hAnsi="Palatino Linotype" w:cstheme="minorHAnsi"/>
        </w:rPr>
      </w:pPr>
    </w:p>
    <w:p w14:paraId="7C5931A4"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lastRenderedPageBreak/>
        <w:t xml:space="preserve">La Agenda de Competitividad 2022 (actualización), dentro de los 12 sectores priorizados, incluye al sector Turismo como prioritario con potencialidades en los pilares de Competitividad. En su análisis de Competitividad de Quito, la Agenda 2022 calcula el Índice Herﬁndahl-Hirschman (IHH) que mide el grado de concentración en un mercado. A nivel general considerando a todas las empresas de la ciudad, el índice alcanzó un valor de 137 en 2020, lo que reﬂejaría un mercado con alta competencia. Al analizar por actividad, las siguientes son las que presentan índices más bajos: servicios empresariales, salud, construcción, educación, industria textil, turismo, ﬂoricultura (Instituto Nacional de Estadísticas y Censos, 2020). Mientras más alto el índice, menos competencia-rivalidad existiría, pero en todas esas actividades el índice no supera los 500 puntos, siendo considerados mercados muy competitivos ya que están lejos del umbral de 1.000 puntos, donde los mercados pasan a ser moderadamente competitivos. </w:t>
      </w:r>
    </w:p>
    <w:p w14:paraId="04D26B0D" w14:textId="77777777" w:rsidR="006369AA" w:rsidRPr="006369AA" w:rsidRDefault="006369AA" w:rsidP="006369AA">
      <w:pPr>
        <w:jc w:val="both"/>
        <w:rPr>
          <w:rFonts w:ascii="Palatino Linotype" w:hAnsi="Palatino Linotype" w:cstheme="minorHAnsi"/>
          <w:b/>
          <w:bCs/>
        </w:rPr>
      </w:pPr>
    </w:p>
    <w:p w14:paraId="1903D104" w14:textId="77777777" w:rsidR="006369AA" w:rsidRPr="006369AA" w:rsidRDefault="006369AA" w:rsidP="006369AA">
      <w:pPr>
        <w:tabs>
          <w:tab w:val="right" w:pos="9026"/>
        </w:tabs>
        <w:jc w:val="center"/>
        <w:rPr>
          <w:rFonts w:ascii="Palatino Linotype" w:hAnsi="Palatino Linotype" w:cstheme="minorHAnsi"/>
          <w:b/>
          <w:bCs/>
        </w:rPr>
      </w:pPr>
      <w:r w:rsidRPr="006369AA">
        <w:rPr>
          <w:rFonts w:ascii="Palatino Linotype" w:hAnsi="Palatino Linotype" w:cstheme="minorHAnsi"/>
          <w:b/>
          <w:bCs/>
        </w:rPr>
        <w:t>Índice Herﬁndahl Hirschman a 2020</w:t>
      </w:r>
    </w:p>
    <w:p w14:paraId="42764026" w14:textId="77777777" w:rsidR="006369AA" w:rsidRPr="006369AA" w:rsidRDefault="006369AA" w:rsidP="006369AA">
      <w:pPr>
        <w:jc w:val="both"/>
        <w:rPr>
          <w:rFonts w:ascii="Palatino Linotype" w:hAnsi="Palatino Linotype" w:cstheme="minorHAnsi"/>
          <w:b/>
          <w:bCs/>
        </w:rPr>
      </w:pPr>
    </w:p>
    <w:p w14:paraId="4D87C666" w14:textId="77777777" w:rsidR="006369AA" w:rsidRPr="006369AA" w:rsidRDefault="006369AA" w:rsidP="006369AA">
      <w:pPr>
        <w:jc w:val="both"/>
        <w:rPr>
          <w:rFonts w:ascii="Palatino Linotype" w:hAnsi="Palatino Linotype" w:cstheme="minorHAnsi"/>
          <w:b/>
          <w:bCs/>
        </w:rPr>
      </w:pPr>
      <w:r w:rsidRPr="006369AA">
        <w:rPr>
          <w:rFonts w:ascii="Palatino Linotype" w:hAnsi="Palatino Linotype" w:cstheme="minorHAnsi"/>
          <w:noProof/>
          <w:lang w:val="en-US"/>
        </w:rPr>
        <w:drawing>
          <wp:anchor distT="0" distB="0" distL="114300" distR="114300" simplePos="0" relativeHeight="251662336" behindDoc="0" locked="0" layoutInCell="1" allowOverlap="1" wp14:anchorId="7F209C6B" wp14:editId="211DBAC5">
            <wp:simplePos x="0" y="0"/>
            <wp:positionH relativeFrom="margin">
              <wp:align>center</wp:align>
            </wp:positionH>
            <wp:positionV relativeFrom="paragraph">
              <wp:posOffset>2540</wp:posOffset>
            </wp:positionV>
            <wp:extent cx="3935896" cy="2194560"/>
            <wp:effectExtent l="0" t="0" r="7620" b="0"/>
            <wp:wrapThrough wrapText="bothSides">
              <wp:wrapPolygon edited="0">
                <wp:start x="0" y="0"/>
                <wp:lineTo x="0" y="21375"/>
                <wp:lineTo x="21537" y="21375"/>
                <wp:lineTo x="21537" y="0"/>
                <wp:lineTo x="0" y="0"/>
              </wp:wrapPolygon>
            </wp:wrapThrough>
            <wp:docPr id="5" name="Gráfico 5">
              <a:extLst xmlns:a="http://schemas.openxmlformats.org/drawingml/2006/main">
                <a:ext uri="{FF2B5EF4-FFF2-40B4-BE49-F238E27FC236}">
                  <a16:creationId xmlns:a16="http://schemas.microsoft.com/office/drawing/2014/main" id="{518ABADC-A06D-453A-BCE3-149F959A4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CD313AA" w14:textId="77777777" w:rsidR="006369AA" w:rsidRPr="006369AA" w:rsidRDefault="006369AA" w:rsidP="006369AA">
      <w:pPr>
        <w:jc w:val="both"/>
        <w:rPr>
          <w:rFonts w:ascii="Palatino Linotype" w:hAnsi="Palatino Linotype" w:cstheme="minorHAnsi"/>
          <w:b/>
          <w:bCs/>
        </w:rPr>
      </w:pPr>
    </w:p>
    <w:p w14:paraId="78A64E13" w14:textId="77777777" w:rsidR="006369AA" w:rsidRPr="006369AA" w:rsidRDefault="006369AA" w:rsidP="006369AA">
      <w:pPr>
        <w:jc w:val="both"/>
        <w:rPr>
          <w:rFonts w:ascii="Palatino Linotype" w:hAnsi="Palatino Linotype" w:cstheme="minorHAnsi"/>
          <w:b/>
          <w:bCs/>
        </w:rPr>
      </w:pPr>
    </w:p>
    <w:p w14:paraId="1F0E2FB5" w14:textId="77777777" w:rsidR="006369AA" w:rsidRPr="006369AA" w:rsidRDefault="006369AA" w:rsidP="006369AA">
      <w:pPr>
        <w:jc w:val="both"/>
        <w:rPr>
          <w:rFonts w:ascii="Palatino Linotype" w:hAnsi="Palatino Linotype" w:cstheme="minorHAnsi"/>
          <w:b/>
          <w:bCs/>
        </w:rPr>
      </w:pPr>
    </w:p>
    <w:p w14:paraId="7E48EF84" w14:textId="77777777" w:rsidR="006369AA" w:rsidRPr="006369AA" w:rsidRDefault="006369AA" w:rsidP="006369AA">
      <w:pPr>
        <w:jc w:val="both"/>
        <w:rPr>
          <w:rFonts w:ascii="Palatino Linotype" w:hAnsi="Palatino Linotype" w:cstheme="minorHAnsi"/>
          <w:b/>
          <w:bCs/>
        </w:rPr>
      </w:pPr>
    </w:p>
    <w:p w14:paraId="4F19A712" w14:textId="77777777" w:rsidR="006369AA" w:rsidRPr="006369AA" w:rsidRDefault="006369AA" w:rsidP="006369AA">
      <w:pPr>
        <w:jc w:val="both"/>
        <w:rPr>
          <w:rFonts w:ascii="Palatino Linotype" w:hAnsi="Palatino Linotype" w:cstheme="minorHAnsi"/>
          <w:b/>
          <w:bCs/>
        </w:rPr>
      </w:pPr>
    </w:p>
    <w:p w14:paraId="262B2ACB" w14:textId="77777777" w:rsidR="006369AA" w:rsidRPr="006369AA" w:rsidRDefault="006369AA" w:rsidP="006369AA">
      <w:pPr>
        <w:jc w:val="both"/>
        <w:rPr>
          <w:rFonts w:ascii="Palatino Linotype" w:hAnsi="Palatino Linotype" w:cstheme="minorHAnsi"/>
          <w:b/>
          <w:bCs/>
        </w:rPr>
      </w:pPr>
    </w:p>
    <w:p w14:paraId="0DCF2768" w14:textId="77777777" w:rsidR="006369AA" w:rsidRPr="006369AA" w:rsidRDefault="006369AA" w:rsidP="006369AA">
      <w:pPr>
        <w:jc w:val="both"/>
        <w:rPr>
          <w:rFonts w:ascii="Palatino Linotype" w:hAnsi="Palatino Linotype" w:cstheme="minorHAnsi"/>
          <w:b/>
          <w:bCs/>
        </w:rPr>
      </w:pPr>
    </w:p>
    <w:p w14:paraId="5F27766E"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Fuente: INEC 2021</w:t>
      </w:r>
    </w:p>
    <w:p w14:paraId="07F735E7"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Esto muestra, que el sector Turismo cuenta con gran capacidad competitiva en la ciudad. Adicional a esto, es importante mencionar que, existen 13.000 empresas que emplean a más de 50.000 trabajadores en el sector (Instituto Nacional de Estadísticas y Censos, 2020).</w:t>
      </w:r>
    </w:p>
    <w:p w14:paraId="31DB8D86"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 xml:space="preserve">Del análisis realizado, se puede denotar que el sector Turismo ha sufrido pérdidas importantes que se vienen acarreando desde años anteriores. Si bien, a nivel de ciudad han existido importante recuperación en todas las actividades económicas, Turismo como sector específico ha contado con mayores complejidades y porcentajes mayores de pérdidas. En términos de dinámica económica, al abarcar seis actividades económicas: Alojamiento; Servicio de alimentos y bebidas; Transportación, cuando se dedica principalmente al turismo; Operación; Intermediación, agencia de servicios turísticos y organizadoras de eventos, congresos y convenciones; e, Hipódromos y parques de </w:t>
      </w:r>
      <w:r w:rsidRPr="006369AA">
        <w:rPr>
          <w:rFonts w:ascii="Palatino Linotype" w:hAnsi="Palatino Linotype" w:cstheme="minorHAnsi"/>
        </w:rPr>
        <w:lastRenderedPageBreak/>
        <w:t xml:space="preserve">atracciones estables, </w:t>
      </w:r>
      <w:bookmarkStart w:id="0" w:name="_Hlk128140582"/>
      <w:r w:rsidRPr="006369AA">
        <w:rPr>
          <w:rFonts w:ascii="Palatino Linotype" w:hAnsi="Palatino Linotype" w:cstheme="minorHAnsi"/>
        </w:rPr>
        <w:t>conllevan mayores encadenamientos productivo-valor involucrando mayor producción y comercialización de productos y servicios.</w:t>
      </w:r>
      <w:bookmarkEnd w:id="0"/>
    </w:p>
    <w:p w14:paraId="4ED126C5"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En términos de competitividad, el sector Turismo, cuenta con potencialidades, especialmente en el Índice Herﬁndahl-Hirschman (IHH), esto quiere decir, un número importante de empresas que intervienen en la producción o venta de un bien dentro del sector.</w:t>
      </w:r>
    </w:p>
    <w:p w14:paraId="48C92C48" w14:textId="77777777" w:rsidR="006369AA" w:rsidRPr="006369AA" w:rsidRDefault="006369AA" w:rsidP="006369AA">
      <w:pPr>
        <w:jc w:val="both"/>
        <w:rPr>
          <w:rFonts w:ascii="Palatino Linotype" w:hAnsi="Palatino Linotype" w:cstheme="minorHAnsi"/>
          <w:b/>
          <w:bCs/>
        </w:rPr>
      </w:pPr>
    </w:p>
    <w:p w14:paraId="68B4A264" w14:textId="77777777" w:rsidR="006369AA" w:rsidRPr="006369AA" w:rsidRDefault="006369AA" w:rsidP="006369AA">
      <w:pPr>
        <w:spacing w:after="200" w:line="276" w:lineRule="auto"/>
        <w:jc w:val="both"/>
        <w:rPr>
          <w:rFonts w:ascii="Palatino Linotype" w:hAnsi="Palatino Linotype" w:cstheme="minorHAnsi"/>
          <w:b/>
          <w:bCs/>
        </w:rPr>
      </w:pPr>
      <w:r w:rsidRPr="006369AA">
        <w:rPr>
          <w:rFonts w:ascii="Palatino Linotype" w:hAnsi="Palatino Linotype" w:cstheme="minorHAnsi"/>
          <w:b/>
          <w:bCs/>
        </w:rPr>
        <w:t>Zonas Especiales Turísticas</w:t>
      </w:r>
    </w:p>
    <w:p w14:paraId="74C6C72B" w14:textId="77777777" w:rsidR="006369AA" w:rsidRPr="006369AA" w:rsidRDefault="006369AA" w:rsidP="006369AA">
      <w:pPr>
        <w:spacing w:after="200" w:line="276" w:lineRule="auto"/>
        <w:jc w:val="both"/>
        <w:rPr>
          <w:rFonts w:ascii="Palatino Linotype" w:hAnsi="Palatino Linotype" w:cstheme="minorHAnsi"/>
          <w:b/>
          <w:bCs/>
        </w:rPr>
      </w:pPr>
      <w:r w:rsidRPr="006369AA">
        <w:rPr>
          <w:rFonts w:ascii="Palatino Linotype" w:hAnsi="Palatino Linotype" w:cstheme="minorHAnsi"/>
        </w:rPr>
        <w:t>Las Zonas Especiales Turísticas, según el Artículo 1352 del Código Municipal para el Distrito Metropolitano de Quito, está definida como “</w:t>
      </w:r>
      <w:r w:rsidRPr="006369AA">
        <w:rPr>
          <w:rFonts w:ascii="Palatino Linotype" w:hAnsi="Palatino Linotype" w:cstheme="minorHAnsi"/>
          <w:i/>
          <w:iCs/>
        </w:rPr>
        <w:t>…el territorio dentro del Distrito Metropolitano de Quito que, al tiempo de reunir características y condiciones para la ejecución de una política turística común, ha sido declarado como tal…”.</w:t>
      </w:r>
    </w:p>
    <w:p w14:paraId="08D3AB98" w14:textId="3D220FDC"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b/>
          <w:bCs/>
        </w:rPr>
        <w:t xml:space="preserve">Zona Especial Turística “La Mariscal” </w:t>
      </w:r>
    </w:p>
    <w:p w14:paraId="3B6A9A25" w14:textId="77777777" w:rsidR="006369AA" w:rsidRPr="006369AA" w:rsidRDefault="006369AA" w:rsidP="006369AA">
      <w:pPr>
        <w:tabs>
          <w:tab w:val="right" w:pos="9026"/>
        </w:tabs>
        <w:jc w:val="both"/>
        <w:rPr>
          <w:rFonts w:ascii="Palatino Linotype" w:hAnsi="Palatino Linotype" w:cstheme="minorHAnsi"/>
        </w:rPr>
      </w:pPr>
      <w:r w:rsidRPr="006369AA">
        <w:rPr>
          <w:rFonts w:ascii="Palatino Linotype" w:hAnsi="Palatino Linotype" w:cstheme="minorHAnsi"/>
        </w:rPr>
        <w:t xml:space="preserve">El sector La Mariscal, se encuentra declarada Zona Especial Turística, para efectos de fomento, desarrollo y promoción de la actividad turística según lo menciona el Artículo 1354 del Código, con las siguiente delimitación: Por el Norte: Avenida Orellana; por el Sur: Avenida Patria; por el Occidente: Avenida 10 de Agosto; y, por el Oriente: Calles Isabel La Católica y Alfredo Mena Caamaño y Avenida 12 de Octubre, adicionalmente se incluyen dentro de la zona delimitada, los predios ubicados en ambos frentes de las calles o avenidas limitantes. </w:t>
      </w:r>
    </w:p>
    <w:p w14:paraId="03A85290"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La zona de La Mariscal desde su génesis se estableció como Zona Especial Turística porque concentraba una gran cantidad de establecimientos dedicados a la diversión, recreación y esparcimiento, por lo que se constituía en el mayor centro de diversión de la ciudad de Quito, en el cual convergen varios de los visitantes nacionales y extranjeros, la misma ha venido presentado una involución en la trama urbana, marcada por la proliferación marcada de establecimientos para el ocio y la recreación urbana, produciendo la adaptación de su estructura urbano-arquitectónica hacia estos nuevos usos y a una ocupación caótica y desordenada del territorio.</w:t>
      </w:r>
    </w:p>
    <w:p w14:paraId="6B741EF9"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6D377361"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Desde los años setenta el eje de la calle Amazonas cumplió la función de sitio de convocatoria ciudadana de la ciudad y lugar de encuentro, al momento esta arteria se ha convertido en el límite de las actividades de recreación y ocio, siendo La Zona de La Mariscal la Plaza del Quinde (Plaza Foch) y su perímetro circundante el único centro reconocido de encuentro e interacción para las actividades de ocio.</w:t>
      </w:r>
    </w:p>
    <w:p w14:paraId="035247FA"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069FFF7D"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Sin embargo, para entender la situación actual en cuanto a la ocupación y usos de suelo que se han venido dando en la Zona Especial Turística La Mariscal y la relación con el desarrollo de actividades económicas sean estas reguladas o no, enfocadas en el análisis de los centros de diversión de tipología CZ1A o CZ1B, para lo cual el análisis se enmarca así:</w:t>
      </w:r>
    </w:p>
    <w:p w14:paraId="431924B2"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36A199AC"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b/>
          <w:bCs/>
        </w:rPr>
      </w:pPr>
      <w:r w:rsidRPr="006369AA">
        <w:rPr>
          <w:rFonts w:ascii="Palatino Linotype" w:hAnsi="Palatino Linotype" w:cstheme="minorHAnsi"/>
          <w:b/>
          <w:bCs/>
        </w:rPr>
        <w:lastRenderedPageBreak/>
        <w:t>Análisis de la normativa desde el año 2009 al año 2023.</w:t>
      </w:r>
    </w:p>
    <w:p w14:paraId="70911DF1"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0A36AB2D"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noProof/>
          <w:lang w:val="en-US"/>
        </w:rPr>
        <w:drawing>
          <wp:inline distT="0" distB="0" distL="0" distR="0" wp14:anchorId="0C92E1D3" wp14:editId="79EE0F5A">
            <wp:extent cx="5208105" cy="25181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541" t="30995" r="18650" b="17570"/>
                    <a:stretch/>
                  </pic:blipFill>
                  <pic:spPr bwMode="auto">
                    <a:xfrm>
                      <a:off x="0" y="0"/>
                      <a:ext cx="5241235" cy="2534211"/>
                    </a:xfrm>
                    <a:prstGeom prst="rect">
                      <a:avLst/>
                    </a:prstGeom>
                    <a:ln>
                      <a:noFill/>
                    </a:ln>
                    <a:extLst>
                      <a:ext uri="{53640926-AAD7-44D8-BBD7-CCE9431645EC}">
                        <a14:shadowObscured xmlns:a14="http://schemas.microsoft.com/office/drawing/2010/main"/>
                      </a:ext>
                    </a:extLst>
                  </pic:spPr>
                </pic:pic>
              </a:graphicData>
            </a:graphic>
          </wp:inline>
        </w:drawing>
      </w:r>
    </w:p>
    <w:p w14:paraId="6E51A44D"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noProof/>
          <w:lang w:val="en-US"/>
        </w:rPr>
        <w:drawing>
          <wp:inline distT="0" distB="0" distL="0" distR="0" wp14:anchorId="3CCFD646" wp14:editId="0C5C0889">
            <wp:extent cx="5295569" cy="354475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382" t="26208" r="20925" b="7486"/>
                    <a:stretch/>
                  </pic:blipFill>
                  <pic:spPr bwMode="auto">
                    <a:xfrm>
                      <a:off x="0" y="0"/>
                      <a:ext cx="5334567" cy="3570856"/>
                    </a:xfrm>
                    <a:prstGeom prst="rect">
                      <a:avLst/>
                    </a:prstGeom>
                    <a:ln>
                      <a:noFill/>
                    </a:ln>
                    <a:extLst>
                      <a:ext uri="{53640926-AAD7-44D8-BBD7-CCE9431645EC}">
                        <a14:shadowObscured xmlns:a14="http://schemas.microsoft.com/office/drawing/2010/main"/>
                      </a:ext>
                    </a:extLst>
                  </pic:spPr>
                </pic:pic>
              </a:graphicData>
            </a:graphic>
          </wp:inline>
        </w:drawing>
      </w:r>
    </w:p>
    <w:p w14:paraId="4D191EB3"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noProof/>
          <w:lang w:val="en-US"/>
        </w:rPr>
        <w:lastRenderedPageBreak/>
        <w:drawing>
          <wp:inline distT="0" distB="0" distL="0" distR="0" wp14:anchorId="41C01FB9" wp14:editId="028DDFA4">
            <wp:extent cx="5295265" cy="3005328"/>
            <wp:effectExtent l="0" t="0" r="63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384" t="29484" r="20916" b="14289"/>
                    <a:stretch/>
                  </pic:blipFill>
                  <pic:spPr bwMode="auto">
                    <a:xfrm>
                      <a:off x="0" y="0"/>
                      <a:ext cx="5325274" cy="3022360"/>
                    </a:xfrm>
                    <a:prstGeom prst="rect">
                      <a:avLst/>
                    </a:prstGeom>
                    <a:ln>
                      <a:noFill/>
                    </a:ln>
                    <a:extLst>
                      <a:ext uri="{53640926-AAD7-44D8-BBD7-CCE9431645EC}">
                        <a14:shadowObscured xmlns:a14="http://schemas.microsoft.com/office/drawing/2010/main"/>
                      </a:ext>
                    </a:extLst>
                  </pic:spPr>
                </pic:pic>
              </a:graphicData>
            </a:graphic>
          </wp:inline>
        </w:drawing>
      </w:r>
    </w:p>
    <w:p w14:paraId="57BB9543"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65F7FFAE"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En la revisión de la normativa se evidencia que las condiciones de implantación para el periodo 2009, se autoriza en la tipología R3, la implantación de tipologías CZ1A y CZ1B.</w:t>
      </w:r>
    </w:p>
    <w:p w14:paraId="7618906C"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276973C0"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En el año 2011 se establece que los establecimientos que hayan obtenido Informe de Compatibilidad de Uso de Suelo favorable o permiso de funcionamiento desde el año 2003, hasta la fecha que entró en vigencia la ordenanza No. 135, podrán seguir funcionando a distancias menores a las establecidas en las condiciones específicas de implantación del uso comercial y de servicios previstas en el PUOS siempre y cuando cumplan con las condiciones de implantación de la actividad.</w:t>
      </w:r>
    </w:p>
    <w:p w14:paraId="138A519D"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3C69A4BD"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En la ordenanza del año 2018 se establecen las actividades preexistentes en uso de suelo prohibido, que de acuerdo al uso de suelo vigente sean incompatibles y/o no cumplan condiciones de implantación, de conformidad con lo previsto en el PUOS.</w:t>
      </w:r>
    </w:p>
    <w:p w14:paraId="3BE1C30C"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5F047BC6"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Así también, desde el 2011 al 2022 se han generado condiciones de uso e implantación de suelo en los planes vigentes para todo el DMQ, sin embargo y del análisis expuesto, la Zona Especial Turística La Mariscal no ha logrado cumplir con el propósito de tener una zona rosa con un crecimiento sostenido, controlado, seguro, con estándares de calidad que permitan hacer uso y disfrute de la oferta instalada, sino que, han provocado que la zona presente un deterioro en su imagen y calidad urbana, así como la degradación en la calidad y oferta de las actividades con tipología ZC11 y Z1B, y con ello el vaciamiento y detrimento de la zona en general, hasta llegar a tener niveles de desocupación altos en la zona.</w:t>
      </w:r>
    </w:p>
    <w:p w14:paraId="4A0D41A8"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799CA4FE"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Respecto a los temas específicos de otorgamiento de licencias para tipologías CZ1A y CZ1B se destaca lo siguiente:</w:t>
      </w:r>
    </w:p>
    <w:p w14:paraId="097291BF"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0B4E0E67"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 xml:space="preserve">Para el período del 2011 al 2016 en el cual estuvo vigente la Ordenanza Metropolitana Nro. 0172, se contabilizan picos para los pedidos 2014, 2015 y 2016, de los cuales el promedio de emisión de LUAE, es de 99 por año, </w:t>
      </w:r>
      <w:r w:rsidRPr="006369AA">
        <w:rPr>
          <w:rFonts w:ascii="Palatino Linotype" w:hAnsi="Palatino Linotype" w:cstheme="minorHAnsi"/>
        </w:rPr>
        <w:lastRenderedPageBreak/>
        <w:t>teniendo para el 2015, el pico de 111 LUAE emitidas para las actividades de tipología ZC1A y CZ1B, siendo este el que representaría un desarrollo pleno de las actividades en la zona.</w:t>
      </w:r>
    </w:p>
    <w:p w14:paraId="4C8B39DE"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En el período del 2017, debido a la aplicación de las varias reformas a la ordenanza 0172, se evidencia que solo 13 trámites terminaron el proceso para obtención de la LUAE, lo que no significa que la zona estuvo sin actividad, por el contrario, se desarrollaron las actividades sin que estas hayan obtenido su licencia.</w:t>
      </w:r>
    </w:p>
    <w:p w14:paraId="1437D92F"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Para el período 2018 se contabiliza la emisión de 55 LUAE, de las cuales 35 están implantadas en sitios prohibidos, sin embargo, su autorización son soportadas conforme lo establece la normativa de preexistencia que permite que los establecimientos puedan seguir funcionando a distancias menores a las establecidas en las condiciones específicas de implantación del uso comercial y de servicios, cantidad que representa el 63 % con respecto a las LUAE emitidas en sitios que sí cumplen con los parámetros normativos.</w:t>
      </w:r>
    </w:p>
    <w:p w14:paraId="3D93AA41"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Para el período del 2019 al 2022, en la que se toman en cuenta las preexistencias, se contabiliza para el 2019 la emisión de 86 LUAE, de las cuales 32 cumplen el requisito de preexistencia, lo que representa el 59% respecto con respecto a las LUAE emitidas en sitios que cumplen con los parámetros normativos.</w:t>
      </w:r>
    </w:p>
    <w:p w14:paraId="64F752B5"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Para el período 2020, al ser un año atípico por la pandemia mundial del coronavirus, el análisis muestra que se emitieron 38 LUAE, sin embargo, de estas 21 fueron aparadas bajo la preexistencia es decir el 123% con respecto a las 17 LUAE que se emitieron en sitios permitidos y sin necesidad de tener una preexistencia.</w:t>
      </w:r>
    </w:p>
    <w:p w14:paraId="7F2CD473" w14:textId="77777777" w:rsidR="006369AA" w:rsidRPr="006369AA" w:rsidRDefault="006369AA" w:rsidP="006369AA">
      <w:pPr>
        <w:pStyle w:val="Prrafodelista"/>
        <w:numPr>
          <w:ilvl w:val="0"/>
          <w:numId w:val="21"/>
        </w:num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Para el período 2021 se emitieron un total de 87 LUAE de las cuales 47 tienen la condición de preexistencia; y para el 2022 se emitieron un total de 70 LUAE de las cuales 37 tienen la condición de preexistencia; evidencia que los permisos emitidos en un gran porcentaje corresponden a establecimientos con preexistencia.</w:t>
      </w:r>
    </w:p>
    <w:p w14:paraId="75DF32CA"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0EAC68B2"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color w:val="000000" w:themeColor="text1"/>
          <w:lang w:val="es-ES_tradnl"/>
        </w:rPr>
      </w:pPr>
      <w:r w:rsidRPr="006369AA">
        <w:rPr>
          <w:rFonts w:ascii="Palatino Linotype" w:hAnsi="Palatino Linotype" w:cstheme="minorHAnsi"/>
          <w:color w:val="000000" w:themeColor="text1"/>
          <w:lang w:val="es-ES_tradnl"/>
        </w:rPr>
        <w:t>La Ley de Turismo en su artículo 4 prescribe que la política estatal en relación al sector turístico debe cumplir con: "</w:t>
      </w:r>
      <w:r w:rsidRPr="006369AA">
        <w:rPr>
          <w:rFonts w:ascii="Palatino Linotype" w:hAnsi="Palatino Linotype" w:cstheme="minorHAnsi"/>
          <w:i/>
          <w:color w:val="000000" w:themeColor="text1"/>
          <w:lang w:val="es-ES_tradnl"/>
        </w:rPr>
        <w:t>a) Reconocer que la actividad turística corresponde a la iniciativa privada y comunitaria o de autogestión, y al Estado en cuanto debe potencializar las actividades mediante el fomento y promoción de un producto turístico competitivo; b) Garantizar el uso racional de los recursos naturales, históricos, culturales y arqueológicos de la Nación; c) Proteger al turista y fomentar la conciencia turística; d) Propiciar la coordinación de los diferentes estamentos del Gobierno Nacional, y de los gobiernos locales para la consecución de los objetivos turísticos; e) Promover la capacitación técnica y profesional de quienes ejercen legalmente la actividad turística; f) Promover internacionalmente al país y sus atractivos en conjunto con otros organismos del sector público y con el sector privado; y, g) Fomentar e incentivar el turismo interno.</w:t>
      </w:r>
      <w:r w:rsidRPr="006369AA">
        <w:rPr>
          <w:rFonts w:ascii="Palatino Linotype" w:hAnsi="Palatino Linotype" w:cstheme="minorHAnsi"/>
          <w:color w:val="000000" w:themeColor="text1"/>
          <w:lang w:val="es-ES_tradnl"/>
        </w:rPr>
        <w:t>"</w:t>
      </w:r>
    </w:p>
    <w:p w14:paraId="07392B24"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color w:val="000000" w:themeColor="text1"/>
          <w:lang w:val="es-ES_tradnl"/>
        </w:rPr>
      </w:pPr>
    </w:p>
    <w:p w14:paraId="3738B994"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i/>
          <w:color w:val="000000" w:themeColor="text1"/>
          <w:lang w:val="es-ES_tradnl"/>
        </w:rPr>
      </w:pPr>
      <w:r w:rsidRPr="006369AA">
        <w:rPr>
          <w:rFonts w:ascii="Palatino Linotype" w:hAnsi="Palatino Linotype" w:cstheme="minorHAnsi"/>
          <w:color w:val="000000" w:themeColor="text1"/>
          <w:lang w:val="es-ES_tradnl"/>
        </w:rPr>
        <w:t xml:space="preserve">El Código Municipal para el Distrito Metropolitano de Quito en su artículo </w:t>
      </w:r>
      <w:r w:rsidRPr="006369AA">
        <w:rPr>
          <w:rFonts w:ascii="Palatino Linotype" w:eastAsia="Palatino Linotype" w:hAnsi="Palatino Linotype" w:cstheme="minorHAnsi"/>
          <w:color w:val="000000" w:themeColor="text1"/>
          <w:lang w:val="es-ES_tradnl"/>
        </w:rPr>
        <w:t xml:space="preserve">1362 establece lo siguiente: </w:t>
      </w:r>
      <w:r w:rsidRPr="006369AA">
        <w:rPr>
          <w:rFonts w:ascii="Palatino Linotype" w:hAnsi="Palatino Linotype" w:cstheme="minorHAnsi"/>
          <w:i/>
          <w:color w:val="000000" w:themeColor="text1"/>
          <w:lang w:val="es-ES_tradnl"/>
        </w:rPr>
        <w:t>“</w:t>
      </w:r>
      <w:r w:rsidRPr="006369AA">
        <w:rPr>
          <w:rFonts w:ascii="Palatino Linotype" w:hAnsi="Palatino Linotype" w:cstheme="minorHAnsi"/>
          <w:i/>
        </w:rPr>
        <w:t xml:space="preserve">Cuando de conformidad con el ordenamiento jurídico metropolitano un establecimiento que se hubiera implantado en una Zona Especial Turística cumpliere con todos los requisitos para el ejercicio de la actividad turística en dicho territorio, aquellos previstos como </w:t>
      </w:r>
      <w:r w:rsidRPr="006369AA">
        <w:rPr>
          <w:rFonts w:ascii="Palatino Linotype" w:hAnsi="Palatino Linotype" w:cstheme="minorHAnsi"/>
          <w:i/>
        </w:rPr>
        <w:lastRenderedPageBreak/>
        <w:t xml:space="preserve">requisitos, limitaciones y condiciones particulares o generales de implantación del régimen general no le serán aplicables, siempre que la Autoridad Administrativa Competente al otorgar la Licencia Metropolitana Única para el Ejercicio de Actividades Económicas lo autorice dentro del trámite especial. </w:t>
      </w:r>
    </w:p>
    <w:p w14:paraId="163430C5" w14:textId="77777777" w:rsidR="006369AA" w:rsidRPr="006369AA" w:rsidRDefault="006369AA" w:rsidP="006369AA">
      <w:pPr>
        <w:pStyle w:val="Default"/>
        <w:jc w:val="both"/>
        <w:rPr>
          <w:rFonts w:ascii="Palatino Linotype" w:hAnsi="Palatino Linotype" w:cstheme="minorHAnsi"/>
          <w:i/>
          <w:sz w:val="22"/>
          <w:szCs w:val="22"/>
        </w:rPr>
      </w:pPr>
      <w:r w:rsidRPr="006369AA">
        <w:rPr>
          <w:rFonts w:ascii="Palatino Linotype" w:hAnsi="Palatino Linotype" w:cstheme="minorHAnsi"/>
          <w:i/>
          <w:sz w:val="22"/>
          <w:szCs w:val="22"/>
        </w:rPr>
        <w:t xml:space="preserve">La Autoridad Administrativa Competente podrá otorgar la autorización a la que se refiere en numeral precedente, siempre que constatare que no existen afectaciones a las personas, los bienes o el ambiente, o que tales afectaciones pueden ser mitigadas con determinadas medidas o condiciones que deberán formar parte de la Licencia Metropolitana Única para el Ejercicio de Actividades Económicas que llegare a otorgar. </w:t>
      </w:r>
    </w:p>
    <w:p w14:paraId="6B3FAC69"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i/>
          <w:color w:val="000000" w:themeColor="text1"/>
          <w:lang w:val="es-ES_tradnl"/>
        </w:rPr>
      </w:pPr>
      <w:r w:rsidRPr="006369AA">
        <w:rPr>
          <w:rFonts w:ascii="Palatino Linotype" w:hAnsi="Palatino Linotype" w:cstheme="minorHAnsi"/>
          <w:i/>
        </w:rPr>
        <w:t>En Zonas Especiales Turísticas no podrán implantarse actividades restringidas en el correspondiente Plan de Gestión”.</w:t>
      </w:r>
    </w:p>
    <w:p w14:paraId="04C636DA"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i/>
        </w:rPr>
      </w:pPr>
    </w:p>
    <w:p w14:paraId="433302AA"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r w:rsidRPr="006369AA">
        <w:rPr>
          <w:rFonts w:ascii="Palatino Linotype" w:hAnsi="Palatino Linotype" w:cstheme="minorHAnsi"/>
        </w:rPr>
        <w:t xml:space="preserve">Considerando la situación actual descrita en la motivación de reforma normativa, específicamente lo que sucede en la zona de recreación de la Plaza Quinde (Plaza Foch), se hace necesario generar una reforma al artículo 1362 del Código Municipal para ampliar las posibilidades normativas que se otorgan a estos casos, también a los </w:t>
      </w:r>
      <w:r w:rsidRPr="006369AA">
        <w:rPr>
          <w:rFonts w:ascii="Palatino Linotype" w:eastAsia="Palatino Linotype" w:hAnsi="Palatino Linotype" w:cstheme="minorHAnsi"/>
          <w:bCs/>
          <w:color w:val="000000" w:themeColor="text1"/>
          <w:lang w:val="es-ES_tradnl"/>
        </w:rPr>
        <w:t>establecimientos que busquen implantarse dentro en una Zona Especial Turística como es La Mariscal.</w:t>
      </w:r>
    </w:p>
    <w:p w14:paraId="16FA19D0" w14:textId="77777777" w:rsidR="006369AA" w:rsidRPr="006369AA" w:rsidRDefault="006369AA" w:rsidP="006369AA">
      <w:pPr>
        <w:autoSpaceDE w:val="0"/>
        <w:autoSpaceDN w:val="0"/>
        <w:adjustRightInd w:val="0"/>
        <w:spacing w:after="0" w:line="240" w:lineRule="auto"/>
        <w:jc w:val="both"/>
        <w:rPr>
          <w:rFonts w:ascii="Palatino Linotype" w:hAnsi="Palatino Linotype" w:cstheme="minorHAnsi"/>
        </w:rPr>
      </w:pPr>
    </w:p>
    <w:p w14:paraId="430C3790" w14:textId="7C2F307E" w:rsidR="004F2FCF" w:rsidRDefault="004F2FCF" w:rsidP="006369AA">
      <w:pPr>
        <w:spacing w:after="120" w:line="276" w:lineRule="auto"/>
        <w:outlineLvl w:val="0"/>
        <w:rPr>
          <w:rFonts w:ascii="Palatino Linotype" w:hAnsi="Palatino Linotype"/>
          <w:b/>
          <w:color w:val="000000" w:themeColor="text1"/>
          <w:lang w:val="es-ES_tradnl"/>
        </w:rPr>
      </w:pPr>
    </w:p>
    <w:p w14:paraId="39645C51" w14:textId="703290D4" w:rsidR="006369AA" w:rsidRDefault="006369AA" w:rsidP="006369AA">
      <w:pPr>
        <w:spacing w:after="120" w:line="276" w:lineRule="auto"/>
        <w:outlineLvl w:val="0"/>
        <w:rPr>
          <w:rFonts w:ascii="Palatino Linotype" w:hAnsi="Palatino Linotype"/>
          <w:b/>
          <w:color w:val="000000" w:themeColor="text1"/>
          <w:lang w:val="es-ES_tradnl"/>
        </w:rPr>
      </w:pPr>
    </w:p>
    <w:p w14:paraId="5EEB0D0D" w14:textId="1AE7BFB8" w:rsidR="006369AA" w:rsidRDefault="006369AA" w:rsidP="006369AA">
      <w:pPr>
        <w:spacing w:after="120" w:line="276" w:lineRule="auto"/>
        <w:outlineLvl w:val="0"/>
        <w:rPr>
          <w:rFonts w:ascii="Palatino Linotype" w:hAnsi="Palatino Linotype"/>
          <w:b/>
          <w:color w:val="000000" w:themeColor="text1"/>
          <w:lang w:val="es-ES_tradnl"/>
        </w:rPr>
      </w:pPr>
    </w:p>
    <w:p w14:paraId="47B2AFEA" w14:textId="05892354" w:rsidR="006369AA" w:rsidRDefault="006369AA" w:rsidP="006369AA">
      <w:pPr>
        <w:spacing w:after="120" w:line="276" w:lineRule="auto"/>
        <w:outlineLvl w:val="0"/>
        <w:rPr>
          <w:rFonts w:ascii="Palatino Linotype" w:hAnsi="Palatino Linotype"/>
          <w:b/>
          <w:color w:val="000000" w:themeColor="text1"/>
          <w:lang w:val="es-ES_tradnl"/>
        </w:rPr>
      </w:pPr>
    </w:p>
    <w:p w14:paraId="791CF60C" w14:textId="2A423FD0" w:rsidR="006369AA" w:rsidRDefault="006369AA" w:rsidP="006369AA">
      <w:pPr>
        <w:spacing w:after="120" w:line="276" w:lineRule="auto"/>
        <w:outlineLvl w:val="0"/>
        <w:rPr>
          <w:rFonts w:ascii="Palatino Linotype" w:hAnsi="Palatino Linotype"/>
          <w:b/>
          <w:color w:val="000000" w:themeColor="text1"/>
          <w:lang w:val="es-ES_tradnl"/>
        </w:rPr>
      </w:pPr>
    </w:p>
    <w:p w14:paraId="4A96EA80" w14:textId="570AF801" w:rsidR="006369AA" w:rsidRDefault="006369AA" w:rsidP="006369AA">
      <w:pPr>
        <w:spacing w:after="120" w:line="276" w:lineRule="auto"/>
        <w:outlineLvl w:val="0"/>
        <w:rPr>
          <w:rFonts w:ascii="Palatino Linotype" w:hAnsi="Palatino Linotype"/>
          <w:b/>
          <w:color w:val="000000" w:themeColor="text1"/>
          <w:lang w:val="es-ES_tradnl"/>
        </w:rPr>
      </w:pPr>
    </w:p>
    <w:p w14:paraId="5AD93559" w14:textId="10D937C1" w:rsidR="006369AA" w:rsidRDefault="006369AA" w:rsidP="006369AA">
      <w:pPr>
        <w:spacing w:after="120" w:line="276" w:lineRule="auto"/>
        <w:outlineLvl w:val="0"/>
        <w:rPr>
          <w:rFonts w:ascii="Palatino Linotype" w:hAnsi="Palatino Linotype"/>
          <w:b/>
          <w:color w:val="000000" w:themeColor="text1"/>
          <w:lang w:val="es-ES_tradnl"/>
        </w:rPr>
      </w:pPr>
    </w:p>
    <w:p w14:paraId="783CA168" w14:textId="58460F7C" w:rsidR="006369AA" w:rsidRDefault="006369AA" w:rsidP="006369AA">
      <w:pPr>
        <w:spacing w:after="120" w:line="276" w:lineRule="auto"/>
        <w:outlineLvl w:val="0"/>
        <w:rPr>
          <w:rFonts w:ascii="Palatino Linotype" w:hAnsi="Palatino Linotype"/>
          <w:b/>
          <w:color w:val="000000" w:themeColor="text1"/>
          <w:lang w:val="es-ES_tradnl"/>
        </w:rPr>
      </w:pPr>
    </w:p>
    <w:p w14:paraId="12CCF66B" w14:textId="1D358D6C" w:rsidR="006369AA" w:rsidRDefault="006369AA" w:rsidP="006369AA">
      <w:pPr>
        <w:spacing w:after="120" w:line="276" w:lineRule="auto"/>
        <w:outlineLvl w:val="0"/>
        <w:rPr>
          <w:rFonts w:ascii="Palatino Linotype" w:hAnsi="Palatino Linotype"/>
          <w:b/>
          <w:color w:val="000000" w:themeColor="text1"/>
          <w:lang w:val="es-ES_tradnl"/>
        </w:rPr>
      </w:pPr>
    </w:p>
    <w:p w14:paraId="2A7F259A" w14:textId="676B2414" w:rsidR="006369AA" w:rsidRDefault="006369AA" w:rsidP="006369AA">
      <w:pPr>
        <w:spacing w:after="120" w:line="276" w:lineRule="auto"/>
        <w:outlineLvl w:val="0"/>
        <w:rPr>
          <w:rFonts w:ascii="Palatino Linotype" w:hAnsi="Palatino Linotype"/>
          <w:b/>
          <w:color w:val="000000" w:themeColor="text1"/>
          <w:lang w:val="es-ES_tradnl"/>
        </w:rPr>
      </w:pPr>
    </w:p>
    <w:p w14:paraId="14540349" w14:textId="698EA4ED" w:rsidR="006369AA" w:rsidRDefault="006369AA" w:rsidP="006369AA">
      <w:pPr>
        <w:spacing w:after="120" w:line="276" w:lineRule="auto"/>
        <w:outlineLvl w:val="0"/>
        <w:rPr>
          <w:rFonts w:ascii="Palatino Linotype" w:hAnsi="Palatino Linotype"/>
          <w:b/>
          <w:color w:val="000000" w:themeColor="text1"/>
          <w:lang w:val="es-ES_tradnl"/>
        </w:rPr>
      </w:pPr>
    </w:p>
    <w:p w14:paraId="205A0904" w14:textId="5A75C661" w:rsidR="006369AA" w:rsidRDefault="006369AA" w:rsidP="006369AA">
      <w:pPr>
        <w:spacing w:after="120" w:line="276" w:lineRule="auto"/>
        <w:outlineLvl w:val="0"/>
        <w:rPr>
          <w:rFonts w:ascii="Palatino Linotype" w:hAnsi="Palatino Linotype"/>
          <w:b/>
          <w:color w:val="000000" w:themeColor="text1"/>
          <w:lang w:val="es-ES_tradnl"/>
        </w:rPr>
      </w:pPr>
    </w:p>
    <w:p w14:paraId="7348508D" w14:textId="0743779D" w:rsidR="006369AA" w:rsidRDefault="006369AA" w:rsidP="006369AA">
      <w:pPr>
        <w:spacing w:after="120" w:line="276" w:lineRule="auto"/>
        <w:outlineLvl w:val="0"/>
        <w:rPr>
          <w:rFonts w:ascii="Palatino Linotype" w:hAnsi="Palatino Linotype"/>
          <w:b/>
          <w:color w:val="000000" w:themeColor="text1"/>
          <w:lang w:val="es-ES_tradnl"/>
        </w:rPr>
      </w:pPr>
    </w:p>
    <w:p w14:paraId="42507284" w14:textId="2A347F1A" w:rsidR="006369AA" w:rsidRDefault="006369AA" w:rsidP="006369AA">
      <w:pPr>
        <w:spacing w:after="120" w:line="276" w:lineRule="auto"/>
        <w:outlineLvl w:val="0"/>
        <w:rPr>
          <w:rFonts w:ascii="Palatino Linotype" w:hAnsi="Palatino Linotype"/>
          <w:b/>
          <w:color w:val="000000" w:themeColor="text1"/>
          <w:lang w:val="es-ES_tradnl"/>
        </w:rPr>
      </w:pPr>
    </w:p>
    <w:p w14:paraId="3AFCCBBB" w14:textId="533531AF" w:rsidR="006369AA" w:rsidRDefault="006369AA" w:rsidP="006369AA">
      <w:pPr>
        <w:spacing w:after="120" w:line="276" w:lineRule="auto"/>
        <w:outlineLvl w:val="0"/>
        <w:rPr>
          <w:rFonts w:ascii="Palatino Linotype" w:hAnsi="Palatino Linotype"/>
          <w:b/>
          <w:color w:val="000000" w:themeColor="text1"/>
          <w:lang w:val="es-ES_tradnl"/>
        </w:rPr>
      </w:pPr>
    </w:p>
    <w:p w14:paraId="3ABFE2BD" w14:textId="0CCDB8F7" w:rsidR="006369AA" w:rsidRDefault="006369AA" w:rsidP="006369AA">
      <w:pPr>
        <w:spacing w:after="120" w:line="276" w:lineRule="auto"/>
        <w:outlineLvl w:val="0"/>
        <w:rPr>
          <w:rFonts w:ascii="Palatino Linotype" w:hAnsi="Palatino Linotype"/>
          <w:b/>
          <w:color w:val="000000" w:themeColor="text1"/>
          <w:lang w:val="es-ES_tradnl"/>
        </w:rPr>
      </w:pPr>
    </w:p>
    <w:p w14:paraId="4B3D9B6B" w14:textId="1DC4DF69" w:rsidR="006369AA" w:rsidRDefault="006369AA" w:rsidP="006369AA">
      <w:pPr>
        <w:spacing w:after="120" w:line="276" w:lineRule="auto"/>
        <w:outlineLvl w:val="0"/>
        <w:rPr>
          <w:rFonts w:ascii="Palatino Linotype" w:hAnsi="Palatino Linotype"/>
          <w:b/>
          <w:color w:val="000000" w:themeColor="text1"/>
          <w:lang w:val="es-ES_tradnl"/>
        </w:rPr>
      </w:pPr>
    </w:p>
    <w:p w14:paraId="24BB8E6C" w14:textId="77777777" w:rsidR="006369AA" w:rsidRPr="006369AA" w:rsidRDefault="006369AA" w:rsidP="006369AA">
      <w:pPr>
        <w:spacing w:after="120" w:line="276" w:lineRule="auto"/>
        <w:outlineLvl w:val="0"/>
        <w:rPr>
          <w:rFonts w:ascii="Palatino Linotype" w:hAnsi="Palatino Linotype"/>
          <w:b/>
          <w:color w:val="000000" w:themeColor="text1"/>
          <w:lang w:val="es-ES_tradnl"/>
        </w:rPr>
      </w:pPr>
    </w:p>
    <w:p w14:paraId="13581C81" w14:textId="11A613C8" w:rsidR="00536FA3" w:rsidRPr="006369AA" w:rsidRDefault="005A1FBD" w:rsidP="00415CF3">
      <w:pPr>
        <w:spacing w:after="120" w:line="276" w:lineRule="auto"/>
        <w:jc w:val="center"/>
        <w:outlineLvl w:val="0"/>
        <w:rPr>
          <w:rFonts w:ascii="Palatino Linotype" w:hAnsi="Palatino Linotype"/>
          <w:b/>
          <w:color w:val="000000" w:themeColor="text1"/>
          <w:lang w:val="es-ES_tradnl"/>
        </w:rPr>
      </w:pPr>
      <w:r w:rsidRPr="006369AA">
        <w:rPr>
          <w:rFonts w:ascii="Palatino Linotype" w:hAnsi="Palatino Linotype"/>
          <w:b/>
          <w:color w:val="000000" w:themeColor="text1"/>
          <w:lang w:val="es-ES_tradnl"/>
        </w:rPr>
        <w:lastRenderedPageBreak/>
        <w:t>EL CONCEJO METROPOLITANO DE QUITO</w:t>
      </w:r>
    </w:p>
    <w:p w14:paraId="13581C82" w14:textId="69AFD646" w:rsidR="00C613C5" w:rsidRPr="006369AA" w:rsidRDefault="00C613C5" w:rsidP="00C613C5">
      <w:pPr>
        <w:spacing w:after="120" w:line="276" w:lineRule="auto"/>
        <w:jc w:val="both"/>
        <w:outlineLvl w:val="0"/>
        <w:rPr>
          <w:rFonts w:ascii="Palatino Linotype" w:hAnsi="Palatino Linotype"/>
          <w:color w:val="000000" w:themeColor="text1"/>
          <w:lang w:val="es-ES_tradnl"/>
        </w:rPr>
      </w:pPr>
      <w:r w:rsidRPr="006369AA">
        <w:rPr>
          <w:rFonts w:ascii="Palatino Linotype" w:hAnsi="Palatino Linotype"/>
          <w:color w:val="000000" w:themeColor="text1"/>
          <w:lang w:val="es-ES_tradnl"/>
        </w:rPr>
        <w:t>Vistos los informes Nos</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de </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de</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y</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de </w:t>
      </w:r>
      <w:r w:rsidR="00DC3DB9" w:rsidRPr="006369AA">
        <w:rPr>
          <w:rFonts w:ascii="Palatino Linotype" w:hAnsi="Palatino Linotype"/>
          <w:color w:val="000000" w:themeColor="text1"/>
          <w:lang w:val="es-ES_tradnl"/>
        </w:rPr>
        <w:t>…..</w:t>
      </w:r>
      <w:r w:rsidRPr="006369AA">
        <w:rPr>
          <w:rFonts w:ascii="Palatino Linotype" w:hAnsi="Palatino Linotype"/>
          <w:color w:val="000000" w:themeColor="text1"/>
          <w:lang w:val="es-ES_tradnl"/>
        </w:rPr>
        <w:t xml:space="preserve">, respectivamente, emitidos por la Comisión de </w:t>
      </w:r>
      <w:r w:rsidR="00F159D3" w:rsidRPr="006369AA">
        <w:rPr>
          <w:rFonts w:ascii="Palatino Linotype" w:hAnsi="Palatino Linotype"/>
          <w:color w:val="000000" w:themeColor="text1"/>
          <w:lang w:val="es-ES_tradnl"/>
        </w:rPr>
        <w:t>Desarrollo Económico</w:t>
      </w:r>
      <w:r w:rsidRPr="006369AA">
        <w:rPr>
          <w:rFonts w:ascii="Palatino Linotype" w:hAnsi="Palatino Linotype"/>
          <w:color w:val="000000" w:themeColor="text1"/>
          <w:lang w:val="es-ES_tradnl"/>
        </w:rPr>
        <w:t>.</w:t>
      </w:r>
    </w:p>
    <w:p w14:paraId="13581C83" w14:textId="77777777" w:rsidR="00536FA3" w:rsidRPr="006038BC" w:rsidRDefault="005A1FBD" w:rsidP="005055BD">
      <w:pPr>
        <w:spacing w:after="120" w:line="276" w:lineRule="auto"/>
        <w:jc w:val="center"/>
        <w:rPr>
          <w:rFonts w:ascii="Palatino Linotype" w:hAnsi="Palatino Linotype"/>
          <w:b/>
          <w:lang w:val="es-ES_tradnl"/>
        </w:rPr>
      </w:pPr>
      <w:r w:rsidRPr="006038BC">
        <w:rPr>
          <w:rFonts w:ascii="Palatino Linotype" w:hAnsi="Palatino Linotype"/>
          <w:b/>
          <w:lang w:val="es-ES_tradnl"/>
        </w:rPr>
        <w:t>CONSIDERANDO:</w:t>
      </w:r>
    </w:p>
    <w:p w14:paraId="0696B55D" w14:textId="7E1E14B6" w:rsidR="004A2F67" w:rsidRPr="006038BC" w:rsidRDefault="004A2F67" w:rsidP="004A2F67">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Pr="006038BC">
        <w:rPr>
          <w:rFonts w:ascii="Palatino Linotype" w:hAnsi="Palatino Linotype"/>
          <w:lang w:val="es-ES_tradnl"/>
        </w:rPr>
        <w:tab/>
        <w:t>el numeral 4 del artículo 11 de la Constitución de la República establece que: “</w:t>
      </w:r>
      <w:r w:rsidRPr="006038BC">
        <w:rPr>
          <w:rFonts w:ascii="Palatino Linotype" w:hAnsi="Palatino Linotype"/>
          <w:i/>
          <w:lang w:val="es-ES_tradnl"/>
        </w:rPr>
        <w:t>Ninguna norma jurídica podrá restringir el contenido de los derechos ni de las garantías constitucionales</w:t>
      </w:r>
      <w:r w:rsidRPr="006038BC">
        <w:rPr>
          <w:rFonts w:ascii="Palatino Linotype" w:hAnsi="Palatino Linotype"/>
          <w:lang w:val="es-ES_tradnl"/>
        </w:rPr>
        <w:t>.”</w:t>
      </w:r>
    </w:p>
    <w:p w14:paraId="6F96C87F" w14:textId="4410D529" w:rsidR="004A2F67" w:rsidRPr="006038BC" w:rsidRDefault="004A2F67" w:rsidP="005055BD">
      <w:pPr>
        <w:spacing w:after="120" w:line="276" w:lineRule="auto"/>
        <w:ind w:left="705" w:hanging="705"/>
        <w:jc w:val="both"/>
        <w:rPr>
          <w:rFonts w:ascii="Palatino Linotype" w:hAnsi="Palatino Linotype"/>
          <w:b/>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Pr="006038BC">
        <w:rPr>
          <w:rFonts w:ascii="Palatino Linotype" w:hAnsi="Palatino Linotype"/>
          <w:lang w:val="es-ES_tradnl"/>
        </w:rPr>
        <w:tab/>
        <w:t xml:space="preserve">el artículo 33 de la Constitución de la República establece que: </w:t>
      </w:r>
      <w:r w:rsidRPr="006038BC">
        <w:rPr>
          <w:rFonts w:ascii="Palatino Linotype" w:hAnsi="Palatino Linotype"/>
          <w:i/>
          <w:lang w:val="es-ES_tradnl"/>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6038BC">
        <w:rPr>
          <w:rFonts w:ascii="Palatino Linotype" w:hAnsi="Palatino Linotype"/>
          <w:lang w:val="es-ES_tradnl"/>
        </w:rPr>
        <w:t>.”</w:t>
      </w:r>
    </w:p>
    <w:p w14:paraId="79058DC9" w14:textId="6136FB3B" w:rsidR="004A665F" w:rsidRPr="006038BC" w:rsidRDefault="005A1FBD" w:rsidP="005055BD">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005055BD" w:rsidRPr="006038BC">
        <w:rPr>
          <w:rFonts w:ascii="Palatino Linotype" w:hAnsi="Palatino Linotype"/>
          <w:lang w:val="es-ES_tradnl"/>
        </w:rPr>
        <w:tab/>
      </w:r>
      <w:r w:rsidR="00DE0AF5" w:rsidRPr="006038BC">
        <w:rPr>
          <w:rFonts w:ascii="Palatino Linotype" w:hAnsi="Palatino Linotype"/>
          <w:lang w:val="es-ES_tradnl"/>
        </w:rPr>
        <w:t>el numeral 1</w:t>
      </w:r>
      <w:r w:rsidR="00245DEA" w:rsidRPr="006038BC">
        <w:rPr>
          <w:rFonts w:ascii="Palatino Linotype" w:hAnsi="Palatino Linotype"/>
          <w:lang w:val="es-ES_tradnl"/>
        </w:rPr>
        <w:t xml:space="preserve"> </w:t>
      </w:r>
      <w:r w:rsidR="00DE0AF5" w:rsidRPr="006038BC">
        <w:rPr>
          <w:rFonts w:ascii="Palatino Linotype" w:hAnsi="Palatino Linotype"/>
          <w:lang w:val="es-ES_tradnl"/>
        </w:rPr>
        <w:t>del artículo 264 de la Constitución de la República establece que los gobiernos municipales tienen, entre otras, la facultad de planificar desarrollo cantonal</w:t>
      </w:r>
      <w:r w:rsidR="004F2FCF" w:rsidRPr="006038BC">
        <w:rPr>
          <w:rFonts w:ascii="Palatino Linotype" w:hAnsi="Palatino Linotype"/>
          <w:lang w:val="es-ES_tradnl"/>
        </w:rPr>
        <w:t>;</w:t>
      </w:r>
    </w:p>
    <w:p w14:paraId="13581C89" w14:textId="6B0BB648" w:rsidR="005055BD" w:rsidRPr="006038BC" w:rsidRDefault="005A1FBD" w:rsidP="00EF5481">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005055BD" w:rsidRPr="006038BC">
        <w:rPr>
          <w:rFonts w:ascii="Palatino Linotype" w:hAnsi="Palatino Linotype"/>
          <w:lang w:val="es-ES_tradnl"/>
        </w:rPr>
        <w:tab/>
      </w:r>
      <w:r w:rsidR="00171C94" w:rsidRPr="006038BC">
        <w:rPr>
          <w:rFonts w:ascii="Palatino Linotype" w:hAnsi="Palatino Linotype"/>
          <w:lang w:val="es-ES_tradnl"/>
        </w:rPr>
        <w:t>de conformidad con el artículo 266 de la Constitución de la República, los gobiernos de los distritos metropolitanos autónomos ejercerán, entre otras, las mismas competencias que los gobiernos municipales;</w:t>
      </w:r>
    </w:p>
    <w:p w14:paraId="49F7BB2B" w14:textId="3656AB0C" w:rsidR="002F5E7C" w:rsidRPr="006038BC" w:rsidRDefault="002F5E7C" w:rsidP="0024755A">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Pr="006038BC">
        <w:rPr>
          <w:rFonts w:ascii="Palatino Linotype" w:hAnsi="Palatino Linotype"/>
          <w:lang w:val="es-ES_tradnl"/>
        </w:rPr>
        <w:tab/>
      </w:r>
      <w:r w:rsidRPr="006038BC">
        <w:rPr>
          <w:rFonts w:ascii="Palatino Linotype" w:hAnsi="Palatino Linotype"/>
          <w:lang w:val="es-ES_tradnl"/>
        </w:rPr>
        <w:tab/>
      </w:r>
      <w:r w:rsidR="00EF5481" w:rsidRPr="006038BC">
        <w:rPr>
          <w:rFonts w:ascii="Palatino Linotype" w:hAnsi="Palatino Linotype"/>
          <w:lang w:val="es-ES_tradnl"/>
        </w:rPr>
        <w:t xml:space="preserve">el literal g) del artículo </w:t>
      </w:r>
      <w:r w:rsidR="00EF4709" w:rsidRPr="006038BC">
        <w:rPr>
          <w:rFonts w:ascii="Palatino Linotype" w:hAnsi="Palatino Linotype"/>
          <w:lang w:val="es-ES_tradnl"/>
        </w:rPr>
        <w:t>8</w:t>
      </w:r>
      <w:r w:rsidR="00EF5481" w:rsidRPr="006038BC">
        <w:rPr>
          <w:rFonts w:ascii="Palatino Linotype" w:hAnsi="Palatino Linotype"/>
          <w:lang w:val="es-ES_tradnl"/>
        </w:rPr>
        <w:t xml:space="preserve">4 del Código Orgánico de Organización Territorial Autonomía y Descentralización establece como función del gobierno del distrito autónomo metropolitano al de: </w:t>
      </w:r>
      <w:r w:rsidR="00EF5481" w:rsidRPr="006038BC">
        <w:rPr>
          <w:rFonts w:ascii="Palatino Linotype" w:hAnsi="Palatino Linotype"/>
          <w:i/>
          <w:lang w:val="es-ES_tradnl"/>
        </w:rPr>
        <w:t>"(...) g) Regular, controlar y promover el desarrollo de la actividad turística en el distrito metropolitano</w:t>
      </w:r>
      <w:r w:rsidR="00EF5481" w:rsidRPr="006038BC">
        <w:rPr>
          <w:rFonts w:ascii="Palatino Linotype" w:hAnsi="Palatino Linotype"/>
          <w:lang w:val="es-ES_tradnl"/>
        </w:rPr>
        <w:t>. (...)";</w:t>
      </w:r>
    </w:p>
    <w:p w14:paraId="3DA5250C" w14:textId="0445A35D" w:rsidR="00BD64DE" w:rsidRPr="006038BC" w:rsidRDefault="005A1FBD" w:rsidP="005055BD">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005055BD" w:rsidRPr="006038BC">
        <w:rPr>
          <w:rFonts w:ascii="Palatino Linotype" w:hAnsi="Palatino Linotype"/>
          <w:lang w:val="es-ES_tradnl"/>
        </w:rPr>
        <w:tab/>
      </w:r>
      <w:r w:rsidR="0024755A" w:rsidRPr="006038BC">
        <w:rPr>
          <w:rFonts w:ascii="Palatino Linotype" w:hAnsi="Palatino Linotype"/>
          <w:lang w:val="es-ES_tradnl"/>
        </w:rPr>
        <w:t xml:space="preserve">el literal </w:t>
      </w:r>
      <w:r w:rsidR="009F05E3" w:rsidRPr="006038BC">
        <w:rPr>
          <w:rFonts w:ascii="Palatino Linotype" w:hAnsi="Palatino Linotype"/>
          <w:lang w:val="es-ES_tradnl"/>
        </w:rPr>
        <w:t>o</w:t>
      </w:r>
      <w:r w:rsidR="0024755A" w:rsidRPr="006038BC">
        <w:rPr>
          <w:rFonts w:ascii="Palatino Linotype" w:hAnsi="Palatino Linotype"/>
          <w:lang w:val="es-ES_tradnl"/>
        </w:rPr>
        <w:t xml:space="preserve">) del artículo </w:t>
      </w:r>
      <w:r w:rsidR="00631D55" w:rsidRPr="006038BC">
        <w:rPr>
          <w:rFonts w:ascii="Palatino Linotype" w:hAnsi="Palatino Linotype"/>
          <w:lang w:val="es-ES_tradnl"/>
        </w:rPr>
        <w:t>84 ibídem</w:t>
      </w:r>
      <w:r w:rsidR="0024755A" w:rsidRPr="006038BC">
        <w:rPr>
          <w:rFonts w:ascii="Palatino Linotype" w:hAnsi="Palatino Linotype"/>
          <w:lang w:val="es-ES_tradnl"/>
        </w:rPr>
        <w:t>, señala: “</w:t>
      </w:r>
      <w:r w:rsidR="007073CC" w:rsidRPr="006038BC">
        <w:rPr>
          <w:rFonts w:ascii="Palatino Linotype" w:hAnsi="Palatino Linotype"/>
          <w:i/>
          <w:lang w:val="es-ES_tradnl"/>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007073CC" w:rsidRPr="006038BC">
        <w:rPr>
          <w:rFonts w:ascii="Palatino Linotype" w:hAnsi="Palatino Linotype"/>
          <w:lang w:val="es-ES_tradnl"/>
        </w:rPr>
        <w:t>;</w:t>
      </w:r>
      <w:r w:rsidR="0024755A" w:rsidRPr="006038BC">
        <w:rPr>
          <w:rFonts w:ascii="Palatino Linotype" w:hAnsi="Palatino Linotype"/>
          <w:lang w:val="es-ES_tradnl"/>
        </w:rPr>
        <w:t>”;</w:t>
      </w:r>
    </w:p>
    <w:p w14:paraId="67CBE629" w14:textId="54D46A99" w:rsidR="00511723" w:rsidRPr="006038BC" w:rsidRDefault="005A1FBD" w:rsidP="00550B87">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 xml:space="preserve">Que, </w:t>
      </w:r>
      <w:r w:rsidR="005055BD" w:rsidRPr="006038BC">
        <w:rPr>
          <w:rFonts w:ascii="Palatino Linotype" w:hAnsi="Palatino Linotype"/>
          <w:b/>
          <w:lang w:val="es-ES_tradnl"/>
        </w:rPr>
        <w:tab/>
      </w:r>
      <w:r w:rsidR="00316FAA" w:rsidRPr="006038BC">
        <w:rPr>
          <w:rFonts w:ascii="Palatino Linotype" w:hAnsi="Palatino Linotype"/>
          <w:lang w:val="es-ES_tradnl"/>
        </w:rPr>
        <w:t>el artículo 3 de la Ley de Turismo prescribe, entre otros principios de la actividad turística: "</w:t>
      </w:r>
      <w:r w:rsidR="00550B87" w:rsidRPr="006038BC">
        <w:rPr>
          <w:rFonts w:ascii="Palatino Linotype" w:hAnsi="Palatino Linotype"/>
          <w:i/>
          <w:lang w:val="es-ES_tradnl"/>
        </w:rPr>
        <w:t>a) La iniciativa privada como pilar fundamental del sector; con su contribución mediante la inversión directa, la generación de empleo y promoción nacional e internacional; b) La participación de los gobiernos provincial y cantonal para impulsar y apoyar el desarrollo turístico, dentro del marco de la descentralización; c) El fomento de la infraestructura nacional y el mejoramiento de los servicios públicos básicos para garantizar la adecuada satisfacción de los turistas; d) La conservación permanente de los recursos naturales y culturales del país; y, e) La iniciativa y participación comunitaria indígena, campesina, montubia o afro ecuatoriana, con su cultura y tradiciones preservando su identidad, protegiendo su ecosistema y participando en la prestación de servicios turísticos, en los términos previstos en esta Ley y sus reglamentos</w:t>
      </w:r>
      <w:r w:rsidR="00550B87" w:rsidRPr="006038BC">
        <w:rPr>
          <w:rFonts w:ascii="Palatino Linotype" w:hAnsi="Palatino Linotype"/>
          <w:lang w:val="es-ES_tradnl"/>
        </w:rPr>
        <w:t>.</w:t>
      </w:r>
      <w:r w:rsidR="00AF0DC3" w:rsidRPr="006038BC">
        <w:rPr>
          <w:rFonts w:ascii="Palatino Linotype" w:hAnsi="Palatino Linotype"/>
          <w:lang w:val="es-ES_tradnl"/>
        </w:rPr>
        <w:t>";</w:t>
      </w:r>
    </w:p>
    <w:p w14:paraId="0EC44836" w14:textId="0662617F" w:rsidR="00511723" w:rsidRPr="006038BC" w:rsidRDefault="00511723" w:rsidP="00B3704F">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lastRenderedPageBreak/>
        <w:t xml:space="preserve"> Que</w:t>
      </w:r>
      <w:r w:rsidRPr="006038BC">
        <w:rPr>
          <w:rFonts w:ascii="Palatino Linotype" w:hAnsi="Palatino Linotype"/>
          <w:lang w:val="es-ES_tradnl"/>
        </w:rPr>
        <w:t xml:space="preserve">, </w:t>
      </w:r>
      <w:r w:rsidRPr="006038BC">
        <w:rPr>
          <w:rFonts w:ascii="Palatino Linotype" w:hAnsi="Palatino Linotype"/>
          <w:lang w:val="es-ES_tradnl"/>
        </w:rPr>
        <w:tab/>
      </w:r>
      <w:r w:rsidR="0001371C" w:rsidRPr="006038BC">
        <w:rPr>
          <w:rFonts w:ascii="Palatino Linotype" w:hAnsi="Palatino Linotype"/>
          <w:lang w:val="es-ES_tradnl"/>
        </w:rPr>
        <w:t xml:space="preserve">el artículo 4 de la Ley de Turismo prescribe, </w:t>
      </w:r>
      <w:r w:rsidR="00D74433" w:rsidRPr="006038BC">
        <w:rPr>
          <w:rFonts w:ascii="Palatino Linotype" w:hAnsi="Palatino Linotype"/>
          <w:lang w:val="es-ES_tradnl"/>
        </w:rPr>
        <w:t>que la</w:t>
      </w:r>
      <w:r w:rsidR="00D30075" w:rsidRPr="006038BC">
        <w:rPr>
          <w:rFonts w:ascii="Palatino Linotype" w:hAnsi="Palatino Linotype"/>
          <w:lang w:val="es-ES_tradnl"/>
        </w:rPr>
        <w:t xml:space="preserve"> política</w:t>
      </w:r>
      <w:r w:rsidR="00607EFA" w:rsidRPr="006038BC">
        <w:rPr>
          <w:rFonts w:ascii="Palatino Linotype" w:hAnsi="Palatino Linotype"/>
          <w:lang w:val="es-ES_tradnl"/>
        </w:rPr>
        <w:t xml:space="preserve"> estatal en relación al sector turístico</w:t>
      </w:r>
      <w:r w:rsidR="00D74433" w:rsidRPr="006038BC">
        <w:rPr>
          <w:rFonts w:ascii="Palatino Linotype" w:hAnsi="Palatino Linotype"/>
          <w:lang w:val="es-ES_tradnl"/>
        </w:rPr>
        <w:t xml:space="preserve"> debe cumplir con</w:t>
      </w:r>
      <w:r w:rsidR="0001371C" w:rsidRPr="006038BC">
        <w:rPr>
          <w:rFonts w:ascii="Palatino Linotype" w:hAnsi="Palatino Linotype"/>
          <w:lang w:val="es-ES_tradnl"/>
        </w:rPr>
        <w:t>: "</w:t>
      </w:r>
      <w:r w:rsidR="00B3704F" w:rsidRPr="006038BC">
        <w:rPr>
          <w:rFonts w:ascii="Palatino Linotype" w:hAnsi="Palatino Linotype"/>
          <w:i/>
          <w:lang w:val="es-ES_tradnl"/>
        </w:rPr>
        <w:t>a) Reconocer que la actividad turística corresponde a la iniciativa privada y comunitaria o de autogestión, y al Estado en cuanto debe potencializar las actividades mediante el fomento y promoción de un producto turístico competitivo; b) Garantizar el uso racional de los recursos naturales, históricos, culturales y arqueológicos de la Nación; c) Proteger al turista y fomentar la conciencia turística; d) Propiciar la coordinación de los diferentes estamentos del Gobierno Nacional, y de los gobiernos locales para la consecución de los objetivos turísticos; e) Promover la capacitación técnica y profesional de quienes ejercen legalmente la actividad turística; f) Promover internacionalmente al país y sus atractivos en conjunto con otros organismos del sector público y con el sector privado; y, g) Fomentar e incentivar el turismo interno.</w:t>
      </w:r>
      <w:r w:rsidR="0001371C" w:rsidRPr="006038BC">
        <w:rPr>
          <w:rFonts w:ascii="Palatino Linotype" w:hAnsi="Palatino Linotype"/>
          <w:lang w:val="es-ES_tradnl"/>
        </w:rPr>
        <w:t>"</w:t>
      </w:r>
      <w:r w:rsidRPr="006038BC">
        <w:rPr>
          <w:rFonts w:ascii="Palatino Linotype" w:hAnsi="Palatino Linotype"/>
          <w:lang w:val="es-ES_tradnl"/>
        </w:rPr>
        <w:t>;</w:t>
      </w:r>
    </w:p>
    <w:p w14:paraId="09A9DD02" w14:textId="69AFF4E1" w:rsidR="00C6688A" w:rsidRPr="006038BC" w:rsidRDefault="00C6688A" w:rsidP="00B3704F">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Pr="006038BC">
        <w:rPr>
          <w:rFonts w:ascii="Palatino Linotype" w:hAnsi="Palatino Linotype"/>
          <w:lang w:val="es-ES_tradnl"/>
        </w:rPr>
        <w:tab/>
        <w:t xml:space="preserve">el </w:t>
      </w:r>
      <w:r w:rsidR="008B4C98" w:rsidRPr="006038BC">
        <w:rPr>
          <w:rFonts w:ascii="Palatino Linotype" w:hAnsi="Palatino Linotype"/>
          <w:lang w:val="es-ES_tradnl"/>
        </w:rPr>
        <w:t xml:space="preserve">literal b), del </w:t>
      </w:r>
      <w:r w:rsidRPr="006038BC">
        <w:rPr>
          <w:rFonts w:ascii="Palatino Linotype" w:hAnsi="Palatino Linotype"/>
          <w:lang w:val="es-ES_tradnl"/>
        </w:rPr>
        <w:t>artículo 5 ibídem</w:t>
      </w:r>
      <w:r w:rsidR="008B4C98" w:rsidRPr="006038BC">
        <w:rPr>
          <w:rFonts w:ascii="Palatino Linotype" w:hAnsi="Palatino Linotype"/>
          <w:lang w:val="es-ES_tradnl"/>
        </w:rPr>
        <w:t xml:space="preserve"> establece que l</w:t>
      </w:r>
      <w:r w:rsidR="00BC15D0" w:rsidRPr="006038BC">
        <w:rPr>
          <w:rFonts w:ascii="Palatino Linotype" w:hAnsi="Palatino Linotype"/>
          <w:lang w:val="es-ES_tradnl"/>
        </w:rPr>
        <w:t>os servicios de alimentos y bebidas son actividades turísticas.</w:t>
      </w:r>
    </w:p>
    <w:p w14:paraId="13581C8E" w14:textId="55654B6C" w:rsidR="005055BD" w:rsidRPr="006038BC" w:rsidRDefault="00511723" w:rsidP="00890362">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Pr="006038BC">
        <w:rPr>
          <w:rFonts w:ascii="Palatino Linotype" w:hAnsi="Palatino Linotype"/>
          <w:lang w:val="es-ES_tradnl"/>
        </w:rPr>
        <w:tab/>
      </w:r>
      <w:r w:rsidR="00890362" w:rsidRPr="006038BC">
        <w:rPr>
          <w:rFonts w:ascii="Palatino Linotype" w:hAnsi="Palatino Linotype"/>
          <w:lang w:val="es-ES_tradnl"/>
        </w:rPr>
        <w:t>de conformidad con el régimen jurídico vigente en la época, mediante los convenios correspondientes suscritos el 31 de agosto de 2001 y el 9 de abril de 2008, el Gobierno de la República del Ecuador transfirió a favor del Municipio del Distrito Metropolitano de Quito al competencia de turismo, incluyendo el otorgamiento del registro de turismo, concesión y renovación de la licencia de funcionamiento, fortalecimiento y desarrollo del turismo, promoción turística, control y vigilancia de la calidad de</w:t>
      </w:r>
      <w:r w:rsidR="009B57DF" w:rsidRPr="006038BC">
        <w:rPr>
          <w:rFonts w:ascii="Palatino Linotype" w:hAnsi="Palatino Linotype"/>
          <w:lang w:val="es-ES_tradnl"/>
        </w:rPr>
        <w:t xml:space="preserve"> </w:t>
      </w:r>
      <w:r w:rsidR="00890362" w:rsidRPr="006038BC">
        <w:rPr>
          <w:rFonts w:ascii="Palatino Linotype" w:hAnsi="Palatino Linotype"/>
          <w:lang w:val="es-ES_tradnl"/>
        </w:rPr>
        <w:t>las actividades y establecimientos turísticos, en la circunscripción territorial que le corresponde</w:t>
      </w:r>
      <w:r w:rsidRPr="006038BC">
        <w:rPr>
          <w:rFonts w:ascii="Palatino Linotype" w:hAnsi="Palatino Linotype"/>
          <w:lang w:val="es-ES_tradnl"/>
        </w:rPr>
        <w:t>;</w:t>
      </w:r>
    </w:p>
    <w:p w14:paraId="13581C9E" w14:textId="03B81154" w:rsidR="006E1833" w:rsidRPr="006038BC" w:rsidRDefault="005A1FBD" w:rsidP="00F24E30">
      <w:pPr>
        <w:spacing w:after="120" w:line="276" w:lineRule="auto"/>
        <w:ind w:left="705" w:hanging="705"/>
        <w:jc w:val="both"/>
        <w:rPr>
          <w:rFonts w:ascii="Palatino Linotype" w:hAnsi="Palatino Linotype"/>
          <w:lang w:val="es-ES_tradnl"/>
        </w:rPr>
      </w:pPr>
      <w:r w:rsidRPr="006038BC">
        <w:rPr>
          <w:rFonts w:ascii="Palatino Linotype" w:hAnsi="Palatino Linotype"/>
          <w:b/>
          <w:lang w:val="es-ES_tradnl"/>
        </w:rPr>
        <w:t>Que,</w:t>
      </w:r>
      <w:r w:rsidRPr="006038BC">
        <w:rPr>
          <w:rFonts w:ascii="Palatino Linotype" w:hAnsi="Palatino Linotype"/>
          <w:lang w:val="es-ES_tradnl"/>
        </w:rPr>
        <w:t xml:space="preserve"> </w:t>
      </w:r>
      <w:r w:rsidR="006E1833" w:rsidRPr="006038BC">
        <w:rPr>
          <w:rFonts w:ascii="Palatino Linotype" w:hAnsi="Palatino Linotype"/>
          <w:lang w:val="es-ES_tradnl"/>
        </w:rPr>
        <w:tab/>
      </w:r>
      <w:r w:rsidR="000E4E90" w:rsidRPr="006038BC">
        <w:rPr>
          <w:rFonts w:ascii="Palatino Linotype" w:hAnsi="Palatino Linotype"/>
          <w:lang w:val="es-ES_tradnl"/>
        </w:rPr>
        <w:t>el Municipio del Distrito Metropolitano de Quito, tiene las atribuciones de planificar, controlar, capacitar, realizar estadísticas locales, fomentar, incentivar y facilitar la organización, funcionamiento y competitividad de la actividad turística en el Distrito Metropolitano de Quito, atribuciones que fueron trasladadas desde el Gobierno Nacional, a través del Ministerio de Turismo, mediante Convenio de transferencia de competencias, y para lo cual puede expedir ordenanzas y resoluciones de carácter local que contribuyan al fortalecimiento y desarrollo del turismo de conformidad con la ley;</w:t>
      </w:r>
      <w:r w:rsidR="00EE6D0D" w:rsidRPr="006038BC">
        <w:rPr>
          <w:rFonts w:ascii="Palatino Linotype" w:hAnsi="Palatino Linotype"/>
          <w:lang w:val="es-ES_tradnl"/>
        </w:rPr>
        <w:t xml:space="preserve"> y,</w:t>
      </w:r>
    </w:p>
    <w:p w14:paraId="2612AB98" w14:textId="0C7ECB06" w:rsidR="004F2FCF" w:rsidRPr="006038BC" w:rsidRDefault="004F2FCF" w:rsidP="00F24E30">
      <w:pPr>
        <w:spacing w:after="120" w:line="276" w:lineRule="auto"/>
        <w:ind w:left="705" w:hanging="705"/>
        <w:jc w:val="both"/>
        <w:rPr>
          <w:rFonts w:ascii="Palatino Linotype" w:hAnsi="Palatino Linotype"/>
          <w:bCs/>
          <w:lang w:val="es-ES_tradnl"/>
        </w:rPr>
      </w:pPr>
      <w:r w:rsidRPr="006038BC">
        <w:rPr>
          <w:rFonts w:ascii="Palatino Linotype" w:hAnsi="Palatino Linotype"/>
          <w:b/>
          <w:lang w:val="es-ES_tradnl"/>
        </w:rPr>
        <w:t>Que,</w:t>
      </w:r>
      <w:r w:rsidRPr="006038BC">
        <w:rPr>
          <w:rFonts w:ascii="Palatino Linotype" w:hAnsi="Palatino Linotype"/>
          <w:b/>
          <w:lang w:val="es-ES_tradnl"/>
        </w:rPr>
        <w:tab/>
      </w:r>
      <w:r w:rsidRPr="006038BC">
        <w:rPr>
          <w:rFonts w:ascii="Palatino Linotype" w:hAnsi="Palatino Linotype"/>
          <w:bCs/>
          <w:lang w:val="es-ES_tradnl"/>
        </w:rPr>
        <w:t xml:space="preserve">el </w:t>
      </w:r>
      <w:r w:rsidR="002E5545" w:rsidRPr="006038BC">
        <w:rPr>
          <w:rFonts w:ascii="Palatino Linotype" w:hAnsi="Palatino Linotype"/>
          <w:bCs/>
          <w:lang w:val="es-ES_tradnl"/>
        </w:rPr>
        <w:t xml:space="preserve">Capítulo III, Título II, del </w:t>
      </w:r>
      <w:r w:rsidRPr="006038BC">
        <w:rPr>
          <w:rFonts w:ascii="Palatino Linotype" w:hAnsi="Palatino Linotype"/>
          <w:bCs/>
          <w:lang w:val="es-ES_tradnl"/>
        </w:rPr>
        <w:t>Libro III.4</w:t>
      </w:r>
      <w:r w:rsidR="002E5545" w:rsidRPr="006038BC">
        <w:rPr>
          <w:rFonts w:ascii="Palatino Linotype" w:hAnsi="Palatino Linotype"/>
          <w:bCs/>
          <w:lang w:val="es-ES_tradnl"/>
        </w:rPr>
        <w:t xml:space="preserve"> del Código Municipal para el Distrito Metropolitano de Quito, regula la naturaleza de las zonas especiales turísticas, estableciéndose un régimen especial para los sectores del Distrito que se cataloguen como tales, incluyendo parámetros relacionados con la planificación territorial.</w:t>
      </w:r>
    </w:p>
    <w:p w14:paraId="13581CA0" w14:textId="65B2C2D8" w:rsidR="00536FA3" w:rsidRPr="006038BC" w:rsidRDefault="005A1FBD" w:rsidP="005055BD">
      <w:pPr>
        <w:spacing w:after="120" w:line="276" w:lineRule="auto"/>
        <w:jc w:val="both"/>
        <w:rPr>
          <w:rFonts w:ascii="Palatino Linotype" w:hAnsi="Palatino Linotype"/>
          <w:b/>
          <w:lang w:val="es-ES_tradnl"/>
        </w:rPr>
      </w:pPr>
      <w:r w:rsidRPr="006038BC">
        <w:rPr>
          <w:rFonts w:ascii="Palatino Linotype" w:hAnsi="Palatino Linotype"/>
          <w:b/>
          <w:lang w:val="es-ES_tradnl"/>
        </w:rPr>
        <w:t xml:space="preserve">En ejercicio de las atribuciones que le confieren </w:t>
      </w:r>
      <w:r w:rsidR="00110AE6" w:rsidRPr="006038BC">
        <w:rPr>
          <w:rFonts w:ascii="Palatino Linotype" w:hAnsi="Palatino Linotype"/>
          <w:b/>
          <w:lang w:val="es-ES_tradnl"/>
        </w:rPr>
        <w:t>el</w:t>
      </w:r>
      <w:r w:rsidRPr="006038BC">
        <w:rPr>
          <w:rFonts w:ascii="Palatino Linotype" w:hAnsi="Palatino Linotype"/>
          <w:b/>
          <w:lang w:val="es-ES_tradnl"/>
        </w:rPr>
        <w:t xml:space="preserve"> </w:t>
      </w:r>
      <w:r w:rsidR="00DD5F05" w:rsidRPr="006038BC">
        <w:rPr>
          <w:rFonts w:ascii="Palatino Linotype" w:hAnsi="Palatino Linotype"/>
          <w:b/>
          <w:lang w:val="es-ES_tradnl"/>
        </w:rPr>
        <w:t>artículo 87</w:t>
      </w:r>
      <w:r w:rsidRPr="006038BC">
        <w:rPr>
          <w:rFonts w:ascii="Palatino Linotype" w:hAnsi="Palatino Linotype"/>
          <w:b/>
          <w:lang w:val="es-ES_tradnl"/>
        </w:rPr>
        <w:t xml:space="preserve">, literal a) del Código Orgánico de Organización Territorial, Autonomía y Descentralización; y, artículo 8, numeral 1) de la Ley Orgánica de Régimen para el Distrito Metropolitano de Quito. </w:t>
      </w:r>
    </w:p>
    <w:p w14:paraId="13581CA1" w14:textId="77777777" w:rsidR="00536FA3" w:rsidRPr="006038BC" w:rsidRDefault="005A1FBD" w:rsidP="005055BD">
      <w:pPr>
        <w:spacing w:after="120" w:line="276" w:lineRule="auto"/>
        <w:jc w:val="center"/>
        <w:outlineLvl w:val="0"/>
        <w:rPr>
          <w:rFonts w:ascii="Palatino Linotype" w:hAnsi="Palatino Linotype"/>
          <w:b/>
          <w:lang w:val="es-ES_tradnl"/>
        </w:rPr>
      </w:pPr>
      <w:r w:rsidRPr="006038BC">
        <w:rPr>
          <w:rFonts w:ascii="Palatino Linotype" w:hAnsi="Palatino Linotype"/>
          <w:b/>
          <w:lang w:val="es-ES_tradnl"/>
        </w:rPr>
        <w:t>EXPIDE</w:t>
      </w:r>
      <w:r w:rsidR="006E1833" w:rsidRPr="006038BC">
        <w:rPr>
          <w:rFonts w:ascii="Palatino Linotype" w:hAnsi="Palatino Linotype"/>
          <w:b/>
          <w:lang w:val="es-ES_tradnl"/>
        </w:rPr>
        <w:t xml:space="preserve"> LA SIGUIENTE</w:t>
      </w:r>
      <w:r w:rsidRPr="006038BC">
        <w:rPr>
          <w:rFonts w:ascii="Palatino Linotype" w:hAnsi="Palatino Linotype"/>
          <w:b/>
          <w:lang w:val="es-ES_tradnl"/>
        </w:rPr>
        <w:t>:</w:t>
      </w:r>
    </w:p>
    <w:p w14:paraId="0C3F4B6A" w14:textId="7EF7DFB5" w:rsidR="0095790D" w:rsidRPr="006038BC" w:rsidRDefault="005A1FBD" w:rsidP="006369AA">
      <w:pPr>
        <w:spacing w:after="120" w:line="276" w:lineRule="auto"/>
        <w:jc w:val="center"/>
        <w:rPr>
          <w:rFonts w:ascii="Palatino Linotype" w:eastAsia="Calibri" w:hAnsi="Palatino Linotype" w:cs="Times New Roman"/>
          <w:lang w:val="es-ES_tradnl"/>
        </w:rPr>
      </w:pPr>
      <w:r w:rsidRPr="006038BC">
        <w:rPr>
          <w:rFonts w:ascii="Palatino Linotype" w:hAnsi="Palatino Linotype"/>
          <w:b/>
          <w:lang w:val="es-ES_tradnl"/>
        </w:rPr>
        <w:lastRenderedPageBreak/>
        <w:t xml:space="preserve">ORDENANZA METROPOLITANA </w:t>
      </w:r>
      <w:r w:rsidR="003D45C7" w:rsidRPr="006038BC">
        <w:rPr>
          <w:rFonts w:ascii="Palatino Linotype" w:hAnsi="Palatino Linotype"/>
          <w:b/>
          <w:lang w:val="es-ES_tradnl"/>
        </w:rPr>
        <w:t>REFORMATORIA</w:t>
      </w:r>
      <w:r w:rsidR="009F415E" w:rsidRPr="006038BC">
        <w:rPr>
          <w:rFonts w:ascii="Palatino Linotype" w:hAnsi="Palatino Linotype"/>
          <w:b/>
          <w:lang w:val="es-ES_tradnl"/>
        </w:rPr>
        <w:t xml:space="preserve"> </w:t>
      </w:r>
      <w:r w:rsidR="00FC19ED" w:rsidRPr="006038BC">
        <w:rPr>
          <w:rFonts w:ascii="Palatino Linotype" w:hAnsi="Palatino Linotype"/>
          <w:b/>
          <w:lang w:val="es-ES_tradnl"/>
        </w:rPr>
        <w:t>AL</w:t>
      </w:r>
      <w:r w:rsidR="002E5545" w:rsidRPr="006038BC">
        <w:rPr>
          <w:rFonts w:ascii="Palatino Linotype" w:hAnsi="Palatino Linotype"/>
          <w:b/>
          <w:lang w:val="es-ES_tradnl"/>
        </w:rPr>
        <w:t xml:space="preserve"> </w:t>
      </w:r>
      <w:r w:rsidR="00FC19ED" w:rsidRPr="006038BC">
        <w:rPr>
          <w:rFonts w:ascii="Palatino Linotype" w:hAnsi="Palatino Linotype"/>
          <w:b/>
          <w:lang w:val="es-ES_tradnl"/>
        </w:rPr>
        <w:t>TÍTULO II</w:t>
      </w:r>
      <w:r w:rsidR="002E5545" w:rsidRPr="006038BC">
        <w:rPr>
          <w:rFonts w:ascii="Palatino Linotype" w:hAnsi="Palatino Linotype"/>
          <w:b/>
          <w:lang w:val="es-ES_tradnl"/>
        </w:rPr>
        <w:t xml:space="preserve"> DEL LIBRO IV.4 DEL CÓDIGO MUNICIPAL PARA EL DISTRITO METROPOLITANO DE QUITO, RELACIONADO CON </w:t>
      </w:r>
      <w:r w:rsidR="00FC19ED" w:rsidRPr="006038BC">
        <w:rPr>
          <w:rFonts w:ascii="Palatino Linotype" w:hAnsi="Palatino Linotype"/>
          <w:b/>
          <w:lang w:val="es-ES_tradnl"/>
        </w:rPr>
        <w:t xml:space="preserve">EL TURISMO EN EL DISTRITO METROPOLITANO DE QUITO, </w:t>
      </w:r>
      <w:r w:rsidR="002E5545" w:rsidRPr="006038BC">
        <w:rPr>
          <w:rFonts w:ascii="Palatino Linotype" w:hAnsi="Palatino Linotype"/>
          <w:b/>
          <w:lang w:val="es-ES_tradnl"/>
        </w:rPr>
        <w:t xml:space="preserve">EN SU </w:t>
      </w:r>
      <w:r w:rsidR="00FC19ED" w:rsidRPr="006038BC">
        <w:rPr>
          <w:rFonts w:ascii="Palatino Linotype" w:hAnsi="Palatino Linotype"/>
          <w:b/>
          <w:lang w:val="es-ES_tradnl"/>
        </w:rPr>
        <w:t>SECCIÓN II</w:t>
      </w:r>
      <w:r w:rsidR="003A7D8A" w:rsidRPr="006038BC">
        <w:rPr>
          <w:rFonts w:ascii="Palatino Linotype" w:hAnsi="Palatino Linotype"/>
          <w:b/>
          <w:lang w:val="es-ES_tradnl"/>
        </w:rPr>
        <w:t>I</w:t>
      </w:r>
      <w:r w:rsidR="002E5545" w:rsidRPr="006038BC">
        <w:rPr>
          <w:rFonts w:ascii="Palatino Linotype" w:hAnsi="Palatino Linotype"/>
          <w:b/>
          <w:lang w:val="es-ES_tradnl"/>
        </w:rPr>
        <w:t>,</w:t>
      </w:r>
      <w:r w:rsidR="003A7D8A" w:rsidRPr="006038BC">
        <w:rPr>
          <w:rFonts w:ascii="Palatino Linotype" w:hAnsi="Palatino Linotype"/>
          <w:b/>
          <w:lang w:val="es-ES_tradnl"/>
        </w:rPr>
        <w:t xml:space="preserve"> RÉGIMEN ESPECIAL, PARRÁGRAFO II, </w:t>
      </w:r>
      <w:r w:rsidR="002E5545" w:rsidRPr="006038BC">
        <w:rPr>
          <w:rFonts w:ascii="Palatino Linotype" w:hAnsi="Palatino Linotype"/>
          <w:b/>
          <w:lang w:val="es-ES_tradnl"/>
        </w:rPr>
        <w:t xml:space="preserve">SOBRE LA </w:t>
      </w:r>
      <w:r w:rsidR="003A7D8A" w:rsidRPr="006038BC">
        <w:rPr>
          <w:rFonts w:ascii="Palatino Linotype" w:hAnsi="Palatino Linotype"/>
          <w:b/>
          <w:lang w:val="es-ES_tradnl"/>
        </w:rPr>
        <w:t>PLANIFICACIÓN TERRITORIAL</w:t>
      </w:r>
      <w:r w:rsidR="002E5545" w:rsidRPr="006038BC">
        <w:rPr>
          <w:rFonts w:ascii="Palatino Linotype" w:hAnsi="Palatino Linotype"/>
          <w:b/>
          <w:lang w:val="es-ES_tradnl"/>
        </w:rPr>
        <w:t xml:space="preserve"> DE LAS ZONAS ESPECIALES TURÍSTICAS</w:t>
      </w:r>
    </w:p>
    <w:p w14:paraId="69E691AD" w14:textId="2F6BBECE" w:rsidR="00135C3C" w:rsidRPr="006038BC" w:rsidRDefault="00135C3C" w:rsidP="003B2F72">
      <w:pPr>
        <w:spacing w:after="120" w:line="276" w:lineRule="auto"/>
        <w:jc w:val="both"/>
        <w:rPr>
          <w:rFonts w:ascii="Palatino Linotype" w:eastAsia="Palatino Linotype" w:hAnsi="Palatino Linotype" w:cs="Palatino Linotype"/>
          <w:bCs/>
          <w:lang w:val="es-ES_tradnl"/>
        </w:rPr>
      </w:pPr>
      <w:r w:rsidRPr="006038BC">
        <w:rPr>
          <w:rFonts w:ascii="Palatino Linotype" w:eastAsia="Palatino Linotype" w:hAnsi="Palatino Linotype" w:cs="Palatino Linotype"/>
          <w:b/>
          <w:lang w:val="es-ES_tradnl"/>
        </w:rPr>
        <w:t xml:space="preserve">Artículo </w:t>
      </w:r>
      <w:r w:rsidR="00BC227E" w:rsidRPr="006038BC">
        <w:rPr>
          <w:rFonts w:ascii="Palatino Linotype" w:eastAsia="Palatino Linotype" w:hAnsi="Palatino Linotype" w:cs="Palatino Linotype"/>
          <w:b/>
          <w:lang w:val="es-ES_tradnl"/>
        </w:rPr>
        <w:t xml:space="preserve">Único. </w:t>
      </w:r>
      <w:r w:rsidR="004F2FCF" w:rsidRPr="006038BC">
        <w:rPr>
          <w:rFonts w:ascii="Palatino Linotype" w:eastAsia="Palatino Linotype" w:hAnsi="Palatino Linotype" w:cs="Palatino Linotype"/>
          <w:b/>
          <w:lang w:val="es-ES_tradnl"/>
        </w:rPr>
        <w:t>–</w:t>
      </w:r>
      <w:r w:rsidR="009E4573" w:rsidRPr="006038BC">
        <w:rPr>
          <w:rFonts w:ascii="Palatino Linotype" w:eastAsia="Palatino Linotype" w:hAnsi="Palatino Linotype" w:cs="Palatino Linotype"/>
          <w:b/>
          <w:lang w:val="es-ES_tradnl"/>
        </w:rPr>
        <w:t xml:space="preserve"> </w:t>
      </w:r>
      <w:r w:rsidR="004F2FCF" w:rsidRPr="006038BC">
        <w:rPr>
          <w:rFonts w:ascii="Palatino Linotype" w:eastAsia="Palatino Linotype" w:hAnsi="Palatino Linotype" w:cs="Palatino Linotype"/>
          <w:lang w:val="es-ES_tradnl"/>
        </w:rPr>
        <w:t xml:space="preserve">Sustitúyase </w:t>
      </w:r>
      <w:r w:rsidR="00CB6676" w:rsidRPr="006038BC">
        <w:rPr>
          <w:rFonts w:ascii="Palatino Linotype" w:eastAsia="Palatino Linotype" w:hAnsi="Palatino Linotype" w:cs="Palatino Linotype"/>
          <w:lang w:val="es-ES_tradnl"/>
        </w:rPr>
        <w:t>el primer</w:t>
      </w:r>
      <w:r w:rsidR="00EA12B1" w:rsidRPr="006038BC">
        <w:rPr>
          <w:rFonts w:ascii="Palatino Linotype" w:eastAsia="Palatino Linotype" w:hAnsi="Palatino Linotype" w:cs="Palatino Linotype"/>
          <w:lang w:val="es-ES_tradnl"/>
        </w:rPr>
        <w:t xml:space="preserve"> inciso en el artículo </w:t>
      </w:r>
      <w:r w:rsidR="00396707" w:rsidRPr="006038BC">
        <w:rPr>
          <w:rFonts w:ascii="Palatino Linotype" w:eastAsia="Palatino Linotype" w:hAnsi="Palatino Linotype" w:cs="Palatino Linotype"/>
          <w:lang w:val="es-ES_tradnl"/>
        </w:rPr>
        <w:t>1362</w:t>
      </w:r>
      <w:r w:rsidR="004F2FCF" w:rsidRPr="006038BC">
        <w:rPr>
          <w:rFonts w:ascii="Palatino Linotype" w:eastAsia="Palatino Linotype" w:hAnsi="Palatino Linotype" w:cs="Palatino Linotype"/>
          <w:lang w:val="es-ES_tradnl"/>
        </w:rPr>
        <w:t xml:space="preserve"> del Código Municipal para el Distrito Metropolitano de Quito</w:t>
      </w:r>
      <w:r w:rsidR="00EA12B1" w:rsidRPr="006038BC">
        <w:rPr>
          <w:rFonts w:ascii="Palatino Linotype" w:eastAsia="Palatino Linotype" w:hAnsi="Palatino Linotype" w:cs="Palatino Linotype"/>
          <w:lang w:val="es-ES_tradnl"/>
        </w:rPr>
        <w:t xml:space="preserve">, </w:t>
      </w:r>
      <w:r w:rsidR="004F2FCF" w:rsidRPr="006038BC">
        <w:rPr>
          <w:rFonts w:ascii="Palatino Linotype" w:eastAsia="Palatino Linotype" w:hAnsi="Palatino Linotype" w:cs="Palatino Linotype"/>
          <w:lang w:val="es-ES_tradnl"/>
        </w:rPr>
        <w:t xml:space="preserve">por </w:t>
      </w:r>
      <w:r w:rsidR="00EA12B1" w:rsidRPr="006038BC">
        <w:rPr>
          <w:rFonts w:ascii="Palatino Linotype" w:eastAsia="Palatino Linotype" w:hAnsi="Palatino Linotype" w:cs="Palatino Linotype"/>
          <w:lang w:val="es-ES_tradnl"/>
        </w:rPr>
        <w:t>el siguiente texto</w:t>
      </w:r>
      <w:r w:rsidR="00F92C5D" w:rsidRPr="006038BC">
        <w:rPr>
          <w:rFonts w:ascii="Palatino Linotype" w:eastAsia="Palatino Linotype" w:hAnsi="Palatino Linotype" w:cs="Palatino Linotype"/>
          <w:bCs/>
          <w:lang w:val="es-ES_tradnl"/>
        </w:rPr>
        <w:t>:</w:t>
      </w:r>
      <w:r w:rsidR="00DD72F4" w:rsidRPr="006038BC">
        <w:rPr>
          <w:rFonts w:ascii="Palatino Linotype" w:eastAsia="Palatino Linotype" w:hAnsi="Palatino Linotype" w:cs="Palatino Linotype"/>
          <w:bCs/>
          <w:lang w:val="es-ES_tradnl"/>
        </w:rPr>
        <w:t xml:space="preserve"> </w:t>
      </w:r>
    </w:p>
    <w:p w14:paraId="275C80B9" w14:textId="1A2C73FC" w:rsidR="003350CF" w:rsidRPr="006369AA" w:rsidRDefault="00DD72F4" w:rsidP="006369AA">
      <w:pPr>
        <w:spacing w:after="120" w:line="276" w:lineRule="auto"/>
        <w:ind w:left="708"/>
        <w:jc w:val="both"/>
        <w:rPr>
          <w:rFonts w:ascii="Palatino Linotype" w:eastAsia="Palatino Linotype" w:hAnsi="Palatino Linotype" w:cs="Palatino Linotype"/>
          <w:bCs/>
          <w:color w:val="000000" w:themeColor="text1"/>
          <w:lang w:val="es-ES_tradnl"/>
        </w:rPr>
      </w:pPr>
      <w:r w:rsidRPr="006038BC">
        <w:rPr>
          <w:rFonts w:ascii="Palatino Linotype" w:eastAsia="Palatino Linotype" w:hAnsi="Palatino Linotype" w:cs="Palatino Linotype"/>
          <w:bCs/>
          <w:lang w:val="es-ES_tradnl"/>
        </w:rPr>
        <w:t>“</w:t>
      </w:r>
      <w:r w:rsidR="000A66F3" w:rsidRPr="006038BC">
        <w:rPr>
          <w:rFonts w:ascii="Palatino Linotype" w:eastAsia="Palatino Linotype" w:hAnsi="Palatino Linotype" w:cs="Palatino Linotype"/>
          <w:bCs/>
          <w:lang w:val="es-ES_tradnl"/>
        </w:rPr>
        <w:t xml:space="preserve">Cuando de conformidad con el ordenamiento jurídico metropolitano un establecimiento que se hubiera implantado </w:t>
      </w:r>
      <w:r w:rsidR="00AE492B" w:rsidRPr="006038BC">
        <w:rPr>
          <w:rFonts w:ascii="Palatino Linotype" w:eastAsia="Palatino Linotype" w:hAnsi="Palatino Linotype" w:cs="Palatino Linotype"/>
          <w:bCs/>
          <w:lang w:val="es-ES_tradnl"/>
        </w:rPr>
        <w:t xml:space="preserve">dentro </w:t>
      </w:r>
      <w:r w:rsidR="000A66F3" w:rsidRPr="006038BC">
        <w:rPr>
          <w:rFonts w:ascii="Palatino Linotype" w:eastAsia="Palatino Linotype" w:hAnsi="Palatino Linotype" w:cs="Palatino Linotype"/>
          <w:bCs/>
          <w:lang w:val="es-ES_tradnl"/>
        </w:rPr>
        <w:t>en una Zona Especial Turística</w:t>
      </w:r>
      <w:r w:rsidR="000453B4" w:rsidRPr="006038BC">
        <w:rPr>
          <w:rFonts w:ascii="Palatino Linotype" w:eastAsia="Palatino Linotype" w:hAnsi="Palatino Linotype" w:cs="Palatino Linotype"/>
          <w:bCs/>
          <w:lang w:val="es-ES_tradnl"/>
        </w:rPr>
        <w:t>,</w:t>
      </w:r>
      <w:r w:rsidR="00690D48" w:rsidRPr="006038BC">
        <w:rPr>
          <w:rFonts w:ascii="Palatino Linotype" w:eastAsia="Palatino Linotype" w:hAnsi="Palatino Linotype" w:cs="Palatino Linotype"/>
          <w:bCs/>
          <w:lang w:val="es-ES_tradnl"/>
        </w:rPr>
        <w:t xml:space="preserve"> </w:t>
      </w:r>
      <w:r w:rsidR="000A66F3" w:rsidRPr="006038BC">
        <w:rPr>
          <w:rFonts w:ascii="Palatino Linotype" w:eastAsia="Palatino Linotype" w:hAnsi="Palatino Linotype" w:cs="Palatino Linotype"/>
          <w:bCs/>
          <w:lang w:val="es-ES_tradnl"/>
        </w:rPr>
        <w:t>cumplie</w:t>
      </w:r>
      <w:r w:rsidR="00BE3F49" w:rsidRPr="006038BC">
        <w:rPr>
          <w:rFonts w:ascii="Palatino Linotype" w:eastAsia="Palatino Linotype" w:hAnsi="Palatino Linotype" w:cs="Palatino Linotype"/>
          <w:bCs/>
          <w:lang w:val="es-ES_tradnl"/>
        </w:rPr>
        <w:t>ndo</w:t>
      </w:r>
      <w:r w:rsidR="000A66F3" w:rsidRPr="006038BC">
        <w:rPr>
          <w:rFonts w:ascii="Palatino Linotype" w:eastAsia="Palatino Linotype" w:hAnsi="Palatino Linotype" w:cs="Palatino Linotype"/>
          <w:bCs/>
          <w:lang w:val="es-ES_tradnl"/>
        </w:rPr>
        <w:t xml:space="preserve"> co</w:t>
      </w:r>
      <w:r w:rsidR="000A66F3" w:rsidRPr="006369AA">
        <w:rPr>
          <w:rFonts w:ascii="Palatino Linotype" w:eastAsia="Palatino Linotype" w:hAnsi="Palatino Linotype" w:cs="Palatino Linotype"/>
          <w:bCs/>
          <w:color w:val="000000" w:themeColor="text1"/>
          <w:lang w:val="es-ES_tradnl"/>
        </w:rPr>
        <w:t>n todos los requisitos para el ejercicio de la actividad turística en dicho territorio, aquellos previstos como requisitos, limitaciones y condiciones particulares o generales de implantación del régimen general no le serán aplicables, siempre que la Autoridad Administrativa Competente al otorgar la Licencia Metropolitana Única para el Ejercicio de Actividades Económicas lo autorice dentro del trámite especial</w:t>
      </w:r>
      <w:r w:rsidR="003350CF" w:rsidRPr="006369AA">
        <w:rPr>
          <w:rFonts w:ascii="Palatino Linotype" w:eastAsia="Palatino Linotype" w:hAnsi="Palatino Linotype" w:cs="Palatino Linotype"/>
          <w:bCs/>
          <w:color w:val="000000" w:themeColor="text1"/>
          <w:lang w:val="es-ES_tradnl"/>
        </w:rPr>
        <w:t>; lo mismo ocurrirá en el caso de un establecimiento que busque</w:t>
      </w:r>
      <w:r w:rsidR="00623C63" w:rsidRPr="006369AA">
        <w:rPr>
          <w:rFonts w:ascii="Palatino Linotype" w:eastAsia="Palatino Linotype" w:hAnsi="Palatino Linotype" w:cs="Palatino Linotype"/>
          <w:bCs/>
          <w:color w:val="000000" w:themeColor="text1"/>
          <w:lang w:val="es-ES_tradnl"/>
        </w:rPr>
        <w:t>n</w:t>
      </w:r>
      <w:r w:rsidR="003350CF" w:rsidRPr="006369AA">
        <w:rPr>
          <w:rFonts w:ascii="Palatino Linotype" w:eastAsia="Palatino Linotype" w:hAnsi="Palatino Linotype" w:cs="Palatino Linotype"/>
          <w:bCs/>
          <w:color w:val="000000" w:themeColor="text1"/>
          <w:lang w:val="es-ES_tradnl"/>
        </w:rPr>
        <w:t xml:space="preserve"> implantarse dentro en una Zona Especial Turística</w:t>
      </w:r>
      <w:r w:rsidR="00BC227E" w:rsidRPr="006369AA">
        <w:rPr>
          <w:rFonts w:ascii="Palatino Linotype" w:eastAsia="Palatino Linotype" w:hAnsi="Palatino Linotype" w:cs="Palatino Linotype"/>
          <w:bCs/>
          <w:color w:val="000000" w:themeColor="text1"/>
          <w:lang w:val="es-ES_tradnl"/>
        </w:rPr>
        <w:t>.</w:t>
      </w:r>
      <w:r w:rsidR="003350CF" w:rsidRPr="006369AA">
        <w:rPr>
          <w:rFonts w:ascii="Palatino Linotype" w:eastAsia="Palatino Linotype" w:hAnsi="Palatino Linotype" w:cs="Palatino Linotype"/>
          <w:bCs/>
          <w:color w:val="000000" w:themeColor="text1"/>
          <w:lang w:val="es-ES_tradnl"/>
        </w:rPr>
        <w:t xml:space="preserve"> ”</w:t>
      </w:r>
    </w:p>
    <w:p w14:paraId="5AA627FB" w14:textId="03E47AF3" w:rsidR="004F2FCF" w:rsidRPr="006369AA" w:rsidRDefault="004F2FCF" w:rsidP="00C613C5">
      <w:pPr>
        <w:spacing w:after="120" w:line="276" w:lineRule="auto"/>
        <w:jc w:val="both"/>
        <w:rPr>
          <w:rFonts w:ascii="Palatino Linotype" w:eastAsia="Palatino Linotype" w:hAnsi="Palatino Linotype" w:cs="Palatino Linotype"/>
          <w:bCs/>
          <w:color w:val="000000" w:themeColor="text1"/>
          <w:lang w:val="es-ES_tradnl"/>
        </w:rPr>
      </w:pPr>
      <w:r w:rsidRPr="006369AA">
        <w:rPr>
          <w:rFonts w:ascii="Palatino Linotype" w:eastAsia="Palatino Linotype" w:hAnsi="Palatino Linotype" w:cs="Palatino Linotype"/>
          <w:b/>
          <w:color w:val="000000" w:themeColor="text1"/>
          <w:lang w:val="es-ES_tradnl"/>
        </w:rPr>
        <w:t xml:space="preserve">Disposición general única.- </w:t>
      </w:r>
      <w:r w:rsidRPr="006369AA">
        <w:rPr>
          <w:rFonts w:ascii="Palatino Linotype" w:eastAsia="Palatino Linotype" w:hAnsi="Palatino Linotype" w:cs="Palatino Linotype"/>
          <w:bCs/>
          <w:color w:val="000000" w:themeColor="text1"/>
          <w:lang w:val="es-ES_tradnl"/>
        </w:rPr>
        <w:t>Encárguese a la Secretaría de Territorio, Hábitat y Vivienda y a la Administración Especial Turística La Mariscal la implementación de la presente ordenanza en los respectivos ámbitos de su competencia.</w:t>
      </w:r>
    </w:p>
    <w:p w14:paraId="13581D75" w14:textId="502C9D94" w:rsidR="00C613C5" w:rsidRPr="006369AA" w:rsidRDefault="00D54306" w:rsidP="00C613C5">
      <w:pPr>
        <w:spacing w:after="120" w:line="276" w:lineRule="auto"/>
        <w:jc w:val="both"/>
        <w:rPr>
          <w:rFonts w:ascii="Palatino Linotype" w:eastAsia="Palatino Linotype" w:hAnsi="Palatino Linotype" w:cs="Palatino Linotype"/>
          <w:color w:val="000000" w:themeColor="text1"/>
          <w:lang w:val="es-ES_tradnl"/>
        </w:rPr>
      </w:pPr>
      <w:r w:rsidRPr="006369AA">
        <w:rPr>
          <w:rFonts w:ascii="Palatino Linotype" w:eastAsia="Palatino Linotype" w:hAnsi="Palatino Linotype" w:cs="Palatino Linotype"/>
          <w:b/>
          <w:color w:val="000000" w:themeColor="text1"/>
          <w:lang w:val="es-ES_tradnl"/>
        </w:rPr>
        <w:t xml:space="preserve">DISPOSICIÓN </w:t>
      </w:r>
      <w:r w:rsidR="00BC227E" w:rsidRPr="006369AA">
        <w:rPr>
          <w:rFonts w:ascii="Palatino Linotype" w:eastAsia="Palatino Linotype" w:hAnsi="Palatino Linotype" w:cs="Palatino Linotype"/>
          <w:b/>
          <w:color w:val="000000" w:themeColor="text1"/>
          <w:lang w:val="es-ES_tradnl"/>
        </w:rPr>
        <w:t>FINAL. -</w:t>
      </w:r>
      <w:r w:rsidRPr="006369AA">
        <w:rPr>
          <w:rFonts w:ascii="Palatino Linotype" w:eastAsia="Palatino Linotype" w:hAnsi="Palatino Linotype" w:cs="Palatino Linotype"/>
          <w:color w:val="000000" w:themeColor="text1"/>
          <w:lang w:val="es-ES_tradnl"/>
        </w:rPr>
        <w:t xml:space="preserve"> </w:t>
      </w:r>
      <w:r w:rsidR="00C613C5" w:rsidRPr="006369AA">
        <w:rPr>
          <w:rFonts w:ascii="Palatino Linotype" w:eastAsia="Palatino Linotype" w:hAnsi="Palatino Linotype" w:cs="Palatino Linotype"/>
          <w:color w:val="000000" w:themeColor="text1"/>
          <w:lang w:val="es-ES_tradnl"/>
        </w:rPr>
        <w:t>La presente Ordenanza Metropolitana entrará en vigencia a partir de la fecha de su sanción, sin perjuicio de su publicación en el Registro Oficial, Gaceta Oficial y página web institucional.</w:t>
      </w:r>
    </w:p>
    <w:p w14:paraId="13581D76" w14:textId="31275702" w:rsidR="00C613C5" w:rsidRPr="006369AA" w:rsidRDefault="00C613C5" w:rsidP="00C613C5">
      <w:pPr>
        <w:spacing w:after="120" w:line="276" w:lineRule="auto"/>
        <w:jc w:val="both"/>
        <w:rPr>
          <w:rFonts w:ascii="Palatino Linotype" w:hAnsi="Palatino Linotype"/>
          <w:iCs/>
          <w:color w:val="000000" w:themeColor="text1"/>
        </w:rPr>
      </w:pPr>
      <w:r w:rsidRPr="006369AA">
        <w:rPr>
          <w:rFonts w:ascii="Palatino Linotype" w:hAnsi="Palatino Linotype"/>
          <w:color w:val="000000" w:themeColor="text1"/>
        </w:rPr>
        <w:t xml:space="preserve">Dada, en la Sala de Sesiones del Concejo Metropolitano de Quito, el </w:t>
      </w:r>
      <w:r w:rsidR="005A712E" w:rsidRPr="006369AA">
        <w:rPr>
          <w:rFonts w:ascii="Palatino Linotype" w:hAnsi="Palatino Linotype"/>
          <w:color w:val="000000" w:themeColor="text1"/>
        </w:rPr>
        <w:t>…</w:t>
      </w:r>
      <w:r w:rsidRPr="006369AA">
        <w:rPr>
          <w:rFonts w:ascii="Palatino Linotype" w:hAnsi="Palatino Linotype"/>
          <w:color w:val="000000" w:themeColor="text1"/>
        </w:rPr>
        <w:t xml:space="preserve"> de </w:t>
      </w:r>
      <w:r w:rsidR="005A712E" w:rsidRPr="006369AA">
        <w:rPr>
          <w:rFonts w:ascii="Palatino Linotype" w:hAnsi="Palatino Linotype"/>
          <w:color w:val="000000" w:themeColor="text1"/>
        </w:rPr>
        <w:t>…</w:t>
      </w:r>
      <w:r w:rsidRPr="006369AA">
        <w:rPr>
          <w:rFonts w:ascii="Palatino Linotype" w:hAnsi="Palatino Linotype"/>
          <w:color w:val="000000" w:themeColor="text1"/>
        </w:rPr>
        <w:t xml:space="preserve"> de </w:t>
      </w:r>
      <w:r w:rsidR="005A712E" w:rsidRPr="006369AA">
        <w:rPr>
          <w:rFonts w:ascii="Palatino Linotype" w:hAnsi="Palatino Linotype"/>
          <w:color w:val="000000" w:themeColor="text1"/>
        </w:rPr>
        <w:t xml:space="preserve"> </w:t>
      </w:r>
      <w:r w:rsidRPr="006369AA">
        <w:rPr>
          <w:rFonts w:ascii="Palatino Linotype" w:hAnsi="Palatino Linotype"/>
          <w:color w:val="000000" w:themeColor="text1"/>
        </w:rPr>
        <w:t>20</w:t>
      </w:r>
      <w:r w:rsidR="005A712E" w:rsidRPr="006369AA">
        <w:rPr>
          <w:rFonts w:ascii="Palatino Linotype" w:hAnsi="Palatino Linotype"/>
          <w:color w:val="000000" w:themeColor="text1"/>
        </w:rPr>
        <w:t>2</w:t>
      </w:r>
      <w:r w:rsidR="00216CAE" w:rsidRPr="006369AA">
        <w:rPr>
          <w:rFonts w:ascii="Palatino Linotype" w:hAnsi="Palatino Linotype"/>
          <w:color w:val="000000" w:themeColor="text1"/>
        </w:rPr>
        <w:t>3</w:t>
      </w:r>
      <w:r w:rsidRPr="006369AA">
        <w:rPr>
          <w:rFonts w:ascii="Palatino Linotype" w:hAnsi="Palatino Linotype"/>
          <w:color w:val="000000" w:themeColor="text1"/>
        </w:rPr>
        <w:t>.</w:t>
      </w:r>
    </w:p>
    <w:p w14:paraId="13581D77" w14:textId="77777777" w:rsidR="00C613C5" w:rsidRPr="006369AA" w:rsidRDefault="00C613C5" w:rsidP="00C613C5">
      <w:pPr>
        <w:spacing w:after="240"/>
        <w:contextualSpacing/>
        <w:jc w:val="both"/>
        <w:rPr>
          <w:rFonts w:ascii="Palatino Linotype" w:hAnsi="Palatino Linotype"/>
          <w:color w:val="000000" w:themeColor="text1"/>
        </w:rPr>
      </w:pPr>
    </w:p>
    <w:p w14:paraId="13581D78" w14:textId="77777777" w:rsidR="00C613C5" w:rsidRPr="006369AA" w:rsidRDefault="00C613C5" w:rsidP="00C613C5">
      <w:pPr>
        <w:spacing w:after="240"/>
        <w:contextualSpacing/>
        <w:jc w:val="both"/>
        <w:rPr>
          <w:rFonts w:ascii="Palatino Linotype" w:hAnsi="Palatino Linotype"/>
          <w:color w:val="000000" w:themeColor="text1"/>
        </w:rPr>
      </w:pPr>
    </w:p>
    <w:p w14:paraId="09E0B194" w14:textId="2EA407EF" w:rsidR="005A712E" w:rsidRPr="006369AA" w:rsidRDefault="00C613C5" w:rsidP="00C613C5">
      <w:pPr>
        <w:pStyle w:val="Textosinformato"/>
        <w:jc w:val="center"/>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xml:space="preserve">Abg. </w:t>
      </w:r>
      <w:r w:rsidR="005A712E" w:rsidRPr="006369AA">
        <w:rPr>
          <w:rFonts w:ascii="Palatino Linotype" w:eastAsia="MS Mincho" w:hAnsi="Palatino Linotype"/>
          <w:color w:val="000000" w:themeColor="text1"/>
          <w:sz w:val="22"/>
          <w:szCs w:val="22"/>
          <w:lang w:val="es-EC"/>
        </w:rPr>
        <w:t>Pablo Antonio Santillán Paredes</w:t>
      </w:r>
    </w:p>
    <w:p w14:paraId="13581D7A" w14:textId="0C0934D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r w:rsidRPr="006369AA">
        <w:rPr>
          <w:rFonts w:ascii="Palatino Linotype" w:eastAsia="MS Mincho" w:hAnsi="Palatino Linotype"/>
          <w:b/>
          <w:bCs/>
          <w:color w:val="000000" w:themeColor="text1"/>
          <w:sz w:val="22"/>
          <w:szCs w:val="22"/>
          <w:lang w:val="es-EC"/>
        </w:rPr>
        <w:t>SECRETARIO GENERAL DEL CONCEJO METROPOLITANO DE QUITO</w:t>
      </w:r>
    </w:p>
    <w:p w14:paraId="13581D7B" w14:textId="77777777" w:rsidR="00C613C5" w:rsidRPr="006369AA" w:rsidRDefault="00C613C5" w:rsidP="00C613C5">
      <w:pPr>
        <w:pStyle w:val="Textopredeterminado"/>
        <w:shd w:val="clear" w:color="auto" w:fill="FFFFFF"/>
        <w:jc w:val="both"/>
        <w:rPr>
          <w:rFonts w:ascii="Palatino Linotype" w:hAnsi="Palatino Linotype"/>
          <w:color w:val="000000" w:themeColor="text1"/>
          <w:sz w:val="22"/>
          <w:szCs w:val="22"/>
          <w:lang w:val="es-ES"/>
        </w:rPr>
      </w:pPr>
    </w:p>
    <w:p w14:paraId="13581D7C" w14:textId="77777777" w:rsidR="00C613C5" w:rsidRPr="006369AA" w:rsidRDefault="00C613C5" w:rsidP="00C613C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sidRPr="006369AA">
        <w:rPr>
          <w:rFonts w:ascii="Palatino Linotype" w:eastAsia="MS Mincho" w:hAnsi="Palatino Linotype"/>
          <w:b/>
          <w:bCs/>
          <w:color w:val="000000" w:themeColor="text1"/>
          <w:sz w:val="22"/>
          <w:szCs w:val="22"/>
        </w:rPr>
        <w:t>CERTIFICADO DE DISCUSIÓN</w:t>
      </w:r>
    </w:p>
    <w:p w14:paraId="13581D7D" w14:textId="77777777" w:rsidR="00C613C5" w:rsidRPr="006369AA" w:rsidRDefault="00C613C5" w:rsidP="00C613C5">
      <w:pPr>
        <w:pStyle w:val="Textosinformato"/>
        <w:jc w:val="both"/>
        <w:rPr>
          <w:rFonts w:ascii="Palatino Linotype" w:eastAsia="MS Mincho" w:hAnsi="Palatino Linotype"/>
          <w:color w:val="000000" w:themeColor="text1"/>
          <w:sz w:val="22"/>
          <w:szCs w:val="22"/>
        </w:rPr>
      </w:pPr>
    </w:p>
    <w:p w14:paraId="13581D7E" w14:textId="65DFBF0B"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xml:space="preserve">El infrascrito Secretario General del Concejo Metropolitano de Quito, certifica que la presente ordenanza fue discutida y aprobada en dos debates, en sesiones de </w:t>
      </w:r>
      <w:r w:rsidR="005A712E" w:rsidRPr="006369AA">
        <w:rPr>
          <w:rFonts w:ascii="Palatino Linotype" w:eastAsia="MS Mincho" w:hAnsi="Palatino Linotype"/>
          <w:color w:val="000000" w:themeColor="text1"/>
          <w:sz w:val="22"/>
          <w:szCs w:val="22"/>
          <w:lang w:val="es-EC"/>
        </w:rPr>
        <w:t>…</w:t>
      </w:r>
      <w:r w:rsidRPr="006369AA">
        <w:rPr>
          <w:rFonts w:ascii="Palatino Linotype" w:eastAsia="MS Mincho" w:hAnsi="Palatino Linotype"/>
          <w:color w:val="000000" w:themeColor="text1"/>
          <w:sz w:val="22"/>
          <w:szCs w:val="22"/>
          <w:lang w:val="es-EC"/>
        </w:rPr>
        <w:t xml:space="preserve"> de </w:t>
      </w:r>
      <w:r w:rsidR="005A712E" w:rsidRPr="006369AA">
        <w:rPr>
          <w:rFonts w:ascii="Palatino Linotype" w:eastAsia="MS Mincho" w:hAnsi="Palatino Linotype"/>
          <w:color w:val="000000" w:themeColor="text1"/>
          <w:sz w:val="22"/>
          <w:szCs w:val="22"/>
          <w:lang w:val="es-EC"/>
        </w:rPr>
        <w:t>…..de 2022.</w:t>
      </w:r>
      <w:r w:rsidRPr="006369AA">
        <w:rPr>
          <w:rFonts w:ascii="Palatino Linotype" w:eastAsia="MS Mincho" w:hAnsi="Palatino Linotype"/>
          <w:color w:val="000000" w:themeColor="text1"/>
          <w:sz w:val="22"/>
          <w:szCs w:val="22"/>
          <w:lang w:val="es-EC"/>
        </w:rPr>
        <w:t>- Quito,</w:t>
      </w:r>
    </w:p>
    <w:p w14:paraId="13581D7F" w14:textId="77777777"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p>
    <w:p w14:paraId="13581D80" w14:textId="77777777"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p>
    <w:p w14:paraId="13581D81" w14:textId="77777777"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p>
    <w:p w14:paraId="13581D82" w14:textId="690B636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xml:space="preserve">Abg. </w:t>
      </w:r>
      <w:r w:rsidR="005A712E" w:rsidRPr="006369AA">
        <w:rPr>
          <w:rFonts w:ascii="Palatino Linotype" w:eastAsia="MS Mincho" w:hAnsi="Palatino Linotype"/>
          <w:color w:val="000000" w:themeColor="text1"/>
          <w:sz w:val="22"/>
          <w:szCs w:val="22"/>
          <w:lang w:val="es-EC"/>
        </w:rPr>
        <w:t>Pablo Antonio Santillán Paredes</w:t>
      </w:r>
    </w:p>
    <w:p w14:paraId="13581D83" w14:textId="7777777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r w:rsidRPr="006369AA">
        <w:rPr>
          <w:rFonts w:ascii="Palatino Linotype" w:eastAsia="MS Mincho" w:hAnsi="Palatino Linotype"/>
          <w:b/>
          <w:bCs/>
          <w:color w:val="000000" w:themeColor="text1"/>
          <w:sz w:val="22"/>
          <w:szCs w:val="22"/>
          <w:lang w:val="es-EC"/>
        </w:rPr>
        <w:lastRenderedPageBreak/>
        <w:t>SECRETARIO GENERAL DEL CONCEJO METROPOLITANO DE QUITO</w:t>
      </w:r>
    </w:p>
    <w:p w14:paraId="13581D84" w14:textId="7777777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5" w14:textId="77777777"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r w:rsidRPr="006369AA">
        <w:rPr>
          <w:rFonts w:ascii="Palatino Linotype" w:eastAsia="MS Mincho" w:hAnsi="Palatino Linotype"/>
          <w:b/>
          <w:bCs/>
          <w:color w:val="000000" w:themeColor="text1"/>
          <w:sz w:val="22"/>
          <w:szCs w:val="22"/>
          <w:lang w:val="es-EC"/>
        </w:rPr>
        <w:t>ALCALDÍA DEL DISTRITO METROPOLITANO DE QUITO.-</w:t>
      </w:r>
      <w:r w:rsidRPr="006369AA">
        <w:rPr>
          <w:rFonts w:ascii="Palatino Linotype" w:eastAsia="MS Mincho" w:hAnsi="Palatino Linotype"/>
          <w:color w:val="000000" w:themeColor="text1"/>
          <w:sz w:val="22"/>
          <w:szCs w:val="22"/>
          <w:lang w:val="es-EC"/>
        </w:rPr>
        <w:t xml:space="preserve"> Distrito Metropolitano de Quito,</w:t>
      </w:r>
    </w:p>
    <w:p w14:paraId="13581D86" w14:textId="77777777" w:rsidR="00C613C5" w:rsidRPr="006369AA" w:rsidRDefault="00C613C5" w:rsidP="00C613C5">
      <w:pPr>
        <w:pStyle w:val="Textosinformato"/>
        <w:jc w:val="center"/>
        <w:rPr>
          <w:rFonts w:ascii="Palatino Linotype" w:eastAsia="MS Mincho" w:hAnsi="Palatino Linotype"/>
          <w:b/>
          <w:color w:val="000000" w:themeColor="text1"/>
          <w:sz w:val="22"/>
          <w:szCs w:val="22"/>
          <w:lang w:val="es-EC"/>
        </w:rPr>
      </w:pPr>
      <w:r w:rsidRPr="006369AA">
        <w:rPr>
          <w:rFonts w:ascii="Palatino Linotype" w:eastAsia="MS Mincho" w:hAnsi="Palatino Linotype"/>
          <w:b/>
          <w:color w:val="000000" w:themeColor="text1"/>
          <w:sz w:val="22"/>
          <w:szCs w:val="22"/>
          <w:lang w:val="es-EC"/>
        </w:rPr>
        <w:t>EJECÚTESE:</w:t>
      </w:r>
    </w:p>
    <w:p w14:paraId="13581D87" w14:textId="77777777" w:rsidR="00C613C5" w:rsidRPr="006369AA" w:rsidRDefault="00C613C5" w:rsidP="00C613C5">
      <w:pPr>
        <w:pStyle w:val="Textosinformato"/>
        <w:tabs>
          <w:tab w:val="left" w:pos="2655"/>
        </w:tabs>
        <w:rPr>
          <w:rFonts w:ascii="Palatino Linotype" w:eastAsia="MS Mincho" w:hAnsi="Palatino Linotype"/>
          <w:color w:val="000000" w:themeColor="text1"/>
          <w:sz w:val="22"/>
          <w:szCs w:val="22"/>
          <w:lang w:val="es-EC"/>
        </w:rPr>
      </w:pPr>
    </w:p>
    <w:p w14:paraId="13581D88" w14:textId="7777777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p>
    <w:p w14:paraId="13581D89" w14:textId="7777777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p>
    <w:p w14:paraId="13581D8A" w14:textId="48309273"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xml:space="preserve">Dr. </w:t>
      </w:r>
      <w:r w:rsidR="005A712E" w:rsidRPr="006369AA">
        <w:rPr>
          <w:rFonts w:ascii="Palatino Linotype" w:eastAsia="MS Mincho" w:hAnsi="Palatino Linotype"/>
          <w:color w:val="000000" w:themeColor="text1"/>
          <w:sz w:val="22"/>
          <w:szCs w:val="22"/>
          <w:lang w:val="es-EC"/>
        </w:rPr>
        <w:t>Santiago Mauricio Guarderas Izquierdo</w:t>
      </w:r>
    </w:p>
    <w:p w14:paraId="13581D8B" w14:textId="7777777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r w:rsidRPr="006369AA">
        <w:rPr>
          <w:rFonts w:ascii="Palatino Linotype" w:eastAsia="MS Mincho" w:hAnsi="Palatino Linotype"/>
          <w:b/>
          <w:bCs/>
          <w:color w:val="000000" w:themeColor="text1"/>
          <w:sz w:val="22"/>
          <w:szCs w:val="22"/>
          <w:lang w:val="es-EC"/>
        </w:rPr>
        <w:t>ALCALDE DEL DISTRITO METROPOLITANO DE QUITO</w:t>
      </w:r>
    </w:p>
    <w:p w14:paraId="13581D8C" w14:textId="7777777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D" w14:textId="77777777" w:rsidR="008E747C" w:rsidRPr="006369AA" w:rsidRDefault="008E747C" w:rsidP="00C613C5">
      <w:pPr>
        <w:pStyle w:val="Textosinformato"/>
        <w:jc w:val="center"/>
        <w:rPr>
          <w:rFonts w:ascii="Palatino Linotype" w:eastAsia="MS Mincho" w:hAnsi="Palatino Linotype"/>
          <w:b/>
          <w:bCs/>
          <w:color w:val="000000" w:themeColor="text1"/>
          <w:sz w:val="22"/>
          <w:szCs w:val="22"/>
          <w:lang w:val="es-EC"/>
        </w:rPr>
      </w:pPr>
    </w:p>
    <w:p w14:paraId="13581D8E" w14:textId="40F104A4" w:rsidR="00C613C5" w:rsidRPr="006369AA" w:rsidRDefault="00C613C5" w:rsidP="00C613C5">
      <w:pPr>
        <w:pStyle w:val="Textosinformato"/>
        <w:jc w:val="both"/>
        <w:rPr>
          <w:rFonts w:ascii="Palatino Linotype" w:eastAsia="MS Mincho" w:hAnsi="Palatino Linotype"/>
          <w:color w:val="000000" w:themeColor="text1"/>
          <w:sz w:val="22"/>
          <w:szCs w:val="22"/>
          <w:lang w:val="es-EC"/>
        </w:rPr>
      </w:pPr>
      <w:r w:rsidRPr="006369AA">
        <w:rPr>
          <w:rFonts w:ascii="Palatino Linotype" w:eastAsia="MS Mincho" w:hAnsi="Palatino Linotype"/>
          <w:b/>
          <w:bCs/>
          <w:color w:val="000000" w:themeColor="text1"/>
          <w:sz w:val="22"/>
          <w:szCs w:val="22"/>
          <w:lang w:val="es-EC"/>
        </w:rPr>
        <w:t>CERTIFICO,</w:t>
      </w:r>
      <w:r w:rsidRPr="006369AA">
        <w:rPr>
          <w:rFonts w:ascii="Palatino Linotype" w:eastAsia="MS Mincho" w:hAnsi="Palatino Linotype"/>
          <w:color w:val="000000" w:themeColor="text1"/>
          <w:sz w:val="22"/>
          <w:szCs w:val="22"/>
          <w:lang w:val="es-EC"/>
        </w:rPr>
        <w:t xml:space="preserve"> que la presente ordenanza fue sancionada por el Dr. </w:t>
      </w:r>
      <w:r w:rsidR="005A712E" w:rsidRPr="006369AA">
        <w:rPr>
          <w:rFonts w:ascii="Palatino Linotype" w:eastAsia="MS Mincho" w:hAnsi="Palatino Linotype"/>
          <w:color w:val="000000" w:themeColor="text1"/>
          <w:sz w:val="22"/>
          <w:szCs w:val="22"/>
          <w:lang w:val="es-EC"/>
        </w:rPr>
        <w:t>Santiago Mauricio Guarderas Izquierdo</w:t>
      </w:r>
      <w:r w:rsidRPr="006369AA">
        <w:rPr>
          <w:rFonts w:ascii="Palatino Linotype" w:eastAsia="MS Mincho" w:hAnsi="Palatino Linotype"/>
          <w:color w:val="000000" w:themeColor="text1"/>
          <w:sz w:val="22"/>
          <w:szCs w:val="22"/>
          <w:lang w:val="es-EC"/>
        </w:rPr>
        <w:t>, Alcalde del Distrito Metropolitano de Quito, el</w:t>
      </w:r>
      <w:r w:rsidR="005A712E" w:rsidRPr="006369AA">
        <w:rPr>
          <w:rFonts w:ascii="Palatino Linotype" w:eastAsia="MS Mincho" w:hAnsi="Palatino Linotype"/>
          <w:color w:val="000000" w:themeColor="text1"/>
          <w:sz w:val="22"/>
          <w:szCs w:val="22"/>
          <w:lang w:val="es-EC"/>
        </w:rPr>
        <w:t xml:space="preserve"> …….</w:t>
      </w:r>
    </w:p>
    <w:p w14:paraId="13581D8F" w14:textId="77777777" w:rsidR="00C613C5" w:rsidRPr="006369AA" w:rsidRDefault="00C613C5" w:rsidP="00C613C5">
      <w:pPr>
        <w:pStyle w:val="Textosinformato"/>
        <w:tabs>
          <w:tab w:val="right" w:pos="8504"/>
        </w:tabs>
        <w:jc w:val="both"/>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Distrito Metropolitano de Quito,</w:t>
      </w:r>
    </w:p>
    <w:p w14:paraId="13581D90" w14:textId="7777777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p>
    <w:p w14:paraId="13581D91" w14:textId="7777777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p>
    <w:p w14:paraId="13581D92" w14:textId="77777777" w:rsidR="008E747C" w:rsidRPr="006369AA" w:rsidRDefault="008E747C" w:rsidP="00C613C5">
      <w:pPr>
        <w:pStyle w:val="Textosinformato"/>
        <w:jc w:val="center"/>
        <w:rPr>
          <w:rFonts w:ascii="Palatino Linotype" w:eastAsia="MS Mincho" w:hAnsi="Palatino Linotype"/>
          <w:color w:val="000000" w:themeColor="text1"/>
          <w:sz w:val="22"/>
          <w:szCs w:val="22"/>
          <w:lang w:val="es-EC"/>
        </w:rPr>
      </w:pPr>
    </w:p>
    <w:p w14:paraId="13581D93" w14:textId="77777777"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p>
    <w:p w14:paraId="13581D94" w14:textId="182C7FEC" w:rsidR="00C613C5" w:rsidRPr="006369AA" w:rsidRDefault="00C613C5" w:rsidP="00C613C5">
      <w:pPr>
        <w:pStyle w:val="Textosinformato"/>
        <w:jc w:val="center"/>
        <w:rPr>
          <w:rFonts w:ascii="Palatino Linotype" w:eastAsia="MS Mincho" w:hAnsi="Palatino Linotype"/>
          <w:color w:val="000000" w:themeColor="text1"/>
          <w:sz w:val="22"/>
          <w:szCs w:val="22"/>
          <w:lang w:val="es-EC"/>
        </w:rPr>
      </w:pPr>
      <w:r w:rsidRPr="006369AA">
        <w:rPr>
          <w:rFonts w:ascii="Palatino Linotype" w:eastAsia="MS Mincho" w:hAnsi="Palatino Linotype"/>
          <w:color w:val="000000" w:themeColor="text1"/>
          <w:sz w:val="22"/>
          <w:szCs w:val="22"/>
          <w:lang w:val="es-EC"/>
        </w:rPr>
        <w:t xml:space="preserve">Abg. </w:t>
      </w:r>
      <w:r w:rsidR="005A712E" w:rsidRPr="006369AA">
        <w:rPr>
          <w:rFonts w:ascii="Palatino Linotype" w:eastAsia="MS Mincho" w:hAnsi="Palatino Linotype"/>
          <w:color w:val="000000" w:themeColor="text1"/>
          <w:sz w:val="22"/>
          <w:szCs w:val="22"/>
          <w:lang w:val="es-EC"/>
        </w:rPr>
        <w:t>Pablo Antonio Santillán Paredes</w:t>
      </w:r>
    </w:p>
    <w:p w14:paraId="13581D95" w14:textId="77777777" w:rsidR="00C613C5" w:rsidRPr="006369AA" w:rsidRDefault="00C613C5" w:rsidP="00C613C5">
      <w:pPr>
        <w:pStyle w:val="Textosinformato"/>
        <w:jc w:val="center"/>
        <w:rPr>
          <w:rFonts w:ascii="Palatino Linotype" w:eastAsia="MS Mincho" w:hAnsi="Palatino Linotype"/>
          <w:b/>
          <w:bCs/>
          <w:color w:val="000000" w:themeColor="text1"/>
          <w:sz w:val="22"/>
          <w:szCs w:val="22"/>
          <w:lang w:val="es-EC"/>
        </w:rPr>
      </w:pPr>
      <w:r w:rsidRPr="006369AA">
        <w:rPr>
          <w:rFonts w:ascii="Palatino Linotype" w:eastAsia="MS Mincho" w:hAnsi="Palatino Linotype"/>
          <w:b/>
          <w:bCs/>
          <w:color w:val="000000" w:themeColor="text1"/>
          <w:sz w:val="22"/>
          <w:szCs w:val="22"/>
          <w:lang w:val="es-EC"/>
        </w:rPr>
        <w:t>SECRETARIO GENERAL DEL CONCEJO METROPOLITANO DE QUITO</w:t>
      </w:r>
    </w:p>
    <w:p w14:paraId="13581D96" w14:textId="6E53FD97" w:rsidR="00536FA3" w:rsidRPr="006369AA" w:rsidRDefault="00536FA3" w:rsidP="009E3C30">
      <w:pPr>
        <w:spacing w:after="120" w:line="276" w:lineRule="auto"/>
        <w:jc w:val="both"/>
        <w:rPr>
          <w:rFonts w:ascii="Palatino Linotype" w:eastAsia="Calibri" w:hAnsi="Palatino Linotype" w:cs="Times New Roman"/>
          <w:color w:val="000000" w:themeColor="text1"/>
          <w:lang w:val="es-ES_tradnl"/>
        </w:rPr>
      </w:pPr>
      <w:bookmarkStart w:id="1" w:name="_GoBack"/>
      <w:bookmarkEnd w:id="1"/>
    </w:p>
    <w:sectPr w:rsidR="00536FA3" w:rsidRPr="006369AA" w:rsidSect="005055BD">
      <w:footerReference w:type="default" r:id="rId15"/>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8C66" w14:textId="77777777" w:rsidR="005C7B30" w:rsidRDefault="005C7B30">
      <w:pPr>
        <w:spacing w:after="0" w:line="240" w:lineRule="auto"/>
      </w:pPr>
      <w:r>
        <w:separator/>
      </w:r>
    </w:p>
  </w:endnote>
  <w:endnote w:type="continuationSeparator" w:id="0">
    <w:p w14:paraId="54F94381" w14:textId="77777777" w:rsidR="005C7B30" w:rsidRDefault="005C7B30">
      <w:pPr>
        <w:spacing w:after="0" w:line="240" w:lineRule="auto"/>
      </w:pPr>
      <w:r>
        <w:continuationSeparator/>
      </w:r>
    </w:p>
  </w:endnote>
  <w:endnote w:type="continuationNotice" w:id="1">
    <w:p w14:paraId="7885944D" w14:textId="77777777" w:rsidR="005C7B30" w:rsidRDefault="005C7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93380"/>
      <w:docPartObj>
        <w:docPartGallery w:val="Page Numbers (Bottom of Page)"/>
        <w:docPartUnique/>
      </w:docPartObj>
    </w:sdtPr>
    <w:sdtEndPr/>
    <w:sdtContent>
      <w:sdt>
        <w:sdtPr>
          <w:id w:val="-1769616900"/>
          <w:docPartObj>
            <w:docPartGallery w:val="Page Numbers (Top of Page)"/>
            <w:docPartUnique/>
          </w:docPartObj>
        </w:sdtPr>
        <w:sdtEndPr/>
        <w:sdtContent>
          <w:p w14:paraId="670F044F" w14:textId="020DF9CF" w:rsidR="006369AA" w:rsidRDefault="006369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038BC">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038BC">
              <w:rPr>
                <w:b/>
                <w:bCs/>
                <w:noProof/>
              </w:rPr>
              <w:t>16</w:t>
            </w:r>
            <w:r>
              <w:rPr>
                <w:b/>
                <w:bCs/>
                <w:sz w:val="24"/>
                <w:szCs w:val="24"/>
              </w:rPr>
              <w:fldChar w:fldCharType="end"/>
            </w:r>
          </w:p>
        </w:sdtContent>
      </w:sdt>
    </w:sdtContent>
  </w:sdt>
  <w:p w14:paraId="13581DAA" w14:textId="77777777" w:rsidR="0056102C" w:rsidRDefault="0056102C">
    <w:pPr>
      <w:pStyle w:val="Piedepgin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7B4A" w14:textId="77777777" w:rsidR="005C7B30" w:rsidRDefault="005C7B30">
      <w:pPr>
        <w:spacing w:after="0" w:line="240" w:lineRule="auto"/>
      </w:pPr>
      <w:r>
        <w:separator/>
      </w:r>
    </w:p>
  </w:footnote>
  <w:footnote w:type="continuationSeparator" w:id="0">
    <w:p w14:paraId="50F7CF6E" w14:textId="77777777" w:rsidR="005C7B30" w:rsidRDefault="005C7B30">
      <w:pPr>
        <w:spacing w:after="0" w:line="240" w:lineRule="auto"/>
      </w:pPr>
      <w:r>
        <w:continuationSeparator/>
      </w:r>
    </w:p>
  </w:footnote>
  <w:footnote w:type="continuationNotice" w:id="1">
    <w:p w14:paraId="486E1FC8" w14:textId="77777777" w:rsidR="005C7B30" w:rsidRDefault="005C7B30">
      <w:pPr>
        <w:spacing w:after="0" w:line="240" w:lineRule="auto"/>
      </w:pPr>
    </w:p>
  </w:footnote>
  <w:footnote w:id="2">
    <w:p w14:paraId="17C94B7B" w14:textId="77777777" w:rsidR="006369AA" w:rsidRDefault="006369AA" w:rsidP="006369AA">
      <w:pPr>
        <w:pStyle w:val="Textonotapie"/>
      </w:pPr>
      <w:r>
        <w:rPr>
          <w:rStyle w:val="Refdenotaalpie"/>
        </w:rPr>
        <w:footnoteRef/>
      </w:r>
      <w:r>
        <w:t xml:space="preserve"> Concepto similar al Producto Interno Bruto (PIB), sin incluir “otros elementos del PIB”- impuestos indirectos.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4340F"/>
    <w:multiLevelType w:val="hybridMultilevel"/>
    <w:tmpl w:val="5448DB66"/>
    <w:lvl w:ilvl="0" w:tplc="3FB21BA2">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7112F"/>
    <w:multiLevelType w:val="hybridMultilevel"/>
    <w:tmpl w:val="A02680E0"/>
    <w:lvl w:ilvl="0" w:tplc="5594925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6E27C2"/>
    <w:multiLevelType w:val="hybridMultilevel"/>
    <w:tmpl w:val="B6CE6EC8"/>
    <w:lvl w:ilvl="0" w:tplc="C3646922">
      <w:numFmt w:val="bullet"/>
      <w:lvlText w:val="-"/>
      <w:lvlJc w:val="left"/>
      <w:pPr>
        <w:ind w:left="1068" w:hanging="360"/>
      </w:pPr>
      <w:rPr>
        <w:rFonts w:ascii="Palatino Linotype" w:eastAsia="Calibri" w:hAnsi="Palatino Linotype" w:cs="Times New Roman"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53521"/>
    <w:multiLevelType w:val="hybridMultilevel"/>
    <w:tmpl w:val="C91E18EA"/>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D7E68A9"/>
    <w:multiLevelType w:val="hybridMultilevel"/>
    <w:tmpl w:val="68E4921C"/>
    <w:lvl w:ilvl="0" w:tplc="E7BC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ED10656"/>
    <w:multiLevelType w:val="hybridMultilevel"/>
    <w:tmpl w:val="474A5666"/>
    <w:lvl w:ilvl="0" w:tplc="99E45C3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2C5495B"/>
    <w:multiLevelType w:val="hybridMultilevel"/>
    <w:tmpl w:val="9F2CFED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3"/>
  </w:num>
  <w:num w:numId="5">
    <w:abstractNumId w:val="10"/>
  </w:num>
  <w:num w:numId="6">
    <w:abstractNumId w:val="4"/>
  </w:num>
  <w:num w:numId="7">
    <w:abstractNumId w:val="15"/>
  </w:num>
  <w:num w:numId="8">
    <w:abstractNumId w:val="17"/>
  </w:num>
  <w:num w:numId="9">
    <w:abstractNumId w:val="7"/>
  </w:num>
  <w:num w:numId="10">
    <w:abstractNumId w:val="5"/>
  </w:num>
  <w:num w:numId="11">
    <w:abstractNumId w:val="0"/>
  </w:num>
  <w:num w:numId="12">
    <w:abstractNumId w:val="12"/>
  </w:num>
  <w:num w:numId="13">
    <w:abstractNumId w:val="16"/>
  </w:num>
  <w:num w:numId="14">
    <w:abstractNumId w:val="11"/>
  </w:num>
  <w:num w:numId="15">
    <w:abstractNumId w:val="6"/>
  </w:num>
  <w:num w:numId="16">
    <w:abstractNumId w:val="20"/>
  </w:num>
  <w:num w:numId="17">
    <w:abstractNumId w:val="19"/>
  </w:num>
  <w:num w:numId="18">
    <w:abstractNumId w:val="13"/>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015B2"/>
    <w:rsid w:val="00006DE6"/>
    <w:rsid w:val="00012396"/>
    <w:rsid w:val="0001300B"/>
    <w:rsid w:val="0001371C"/>
    <w:rsid w:val="00015281"/>
    <w:rsid w:val="000168BA"/>
    <w:rsid w:val="000252B4"/>
    <w:rsid w:val="0002552C"/>
    <w:rsid w:val="000304ED"/>
    <w:rsid w:val="00040558"/>
    <w:rsid w:val="00044835"/>
    <w:rsid w:val="000453B4"/>
    <w:rsid w:val="00047DCE"/>
    <w:rsid w:val="00051CEE"/>
    <w:rsid w:val="00056EE1"/>
    <w:rsid w:val="00056FEA"/>
    <w:rsid w:val="00062CFE"/>
    <w:rsid w:val="00063006"/>
    <w:rsid w:val="00065208"/>
    <w:rsid w:val="00067C5A"/>
    <w:rsid w:val="00071BBD"/>
    <w:rsid w:val="000745E0"/>
    <w:rsid w:val="00083EFC"/>
    <w:rsid w:val="000879AA"/>
    <w:rsid w:val="00087B51"/>
    <w:rsid w:val="000927C4"/>
    <w:rsid w:val="000929F6"/>
    <w:rsid w:val="000969EE"/>
    <w:rsid w:val="000A0119"/>
    <w:rsid w:val="000A3312"/>
    <w:rsid w:val="000A3492"/>
    <w:rsid w:val="000A4087"/>
    <w:rsid w:val="000A6535"/>
    <w:rsid w:val="000A66F3"/>
    <w:rsid w:val="000B1A0D"/>
    <w:rsid w:val="000B1E33"/>
    <w:rsid w:val="000B4718"/>
    <w:rsid w:val="000B7131"/>
    <w:rsid w:val="000C113F"/>
    <w:rsid w:val="000D09E2"/>
    <w:rsid w:val="000D0F0C"/>
    <w:rsid w:val="000D321A"/>
    <w:rsid w:val="000D4A92"/>
    <w:rsid w:val="000D5E02"/>
    <w:rsid w:val="000D6577"/>
    <w:rsid w:val="000E08BC"/>
    <w:rsid w:val="000E3524"/>
    <w:rsid w:val="000E4E90"/>
    <w:rsid w:val="000E51EC"/>
    <w:rsid w:val="000E5B64"/>
    <w:rsid w:val="000E5CED"/>
    <w:rsid w:val="000E6FA8"/>
    <w:rsid w:val="000E752D"/>
    <w:rsid w:val="000F00DC"/>
    <w:rsid w:val="000F07DD"/>
    <w:rsid w:val="000F14EC"/>
    <w:rsid w:val="000F1EA5"/>
    <w:rsid w:val="000F67C3"/>
    <w:rsid w:val="000F765B"/>
    <w:rsid w:val="00100225"/>
    <w:rsid w:val="00100B0B"/>
    <w:rsid w:val="001016C1"/>
    <w:rsid w:val="00107F87"/>
    <w:rsid w:val="00110AE6"/>
    <w:rsid w:val="001116E9"/>
    <w:rsid w:val="00111A57"/>
    <w:rsid w:val="00120B52"/>
    <w:rsid w:val="00122A06"/>
    <w:rsid w:val="00123D16"/>
    <w:rsid w:val="00124983"/>
    <w:rsid w:val="00125650"/>
    <w:rsid w:val="001272B6"/>
    <w:rsid w:val="00131375"/>
    <w:rsid w:val="001323F9"/>
    <w:rsid w:val="00135C3C"/>
    <w:rsid w:val="001367D8"/>
    <w:rsid w:val="00136D7F"/>
    <w:rsid w:val="00137629"/>
    <w:rsid w:val="00140C09"/>
    <w:rsid w:val="00141455"/>
    <w:rsid w:val="00147CCD"/>
    <w:rsid w:val="00151C35"/>
    <w:rsid w:val="00152B1E"/>
    <w:rsid w:val="001546E8"/>
    <w:rsid w:val="00156C40"/>
    <w:rsid w:val="00156E40"/>
    <w:rsid w:val="00156EF1"/>
    <w:rsid w:val="0015749B"/>
    <w:rsid w:val="00157610"/>
    <w:rsid w:val="001576EC"/>
    <w:rsid w:val="00157F78"/>
    <w:rsid w:val="00164C94"/>
    <w:rsid w:val="00171C94"/>
    <w:rsid w:val="001728F3"/>
    <w:rsid w:val="00175955"/>
    <w:rsid w:val="00176493"/>
    <w:rsid w:val="00180479"/>
    <w:rsid w:val="001828EB"/>
    <w:rsid w:val="00182E85"/>
    <w:rsid w:val="00183A44"/>
    <w:rsid w:val="00187158"/>
    <w:rsid w:val="00187E46"/>
    <w:rsid w:val="00187EC3"/>
    <w:rsid w:val="00187EFD"/>
    <w:rsid w:val="0019035D"/>
    <w:rsid w:val="0019177F"/>
    <w:rsid w:val="00192E3B"/>
    <w:rsid w:val="00194BEB"/>
    <w:rsid w:val="001A0BC1"/>
    <w:rsid w:val="001A0DD6"/>
    <w:rsid w:val="001A1854"/>
    <w:rsid w:val="001A1BA0"/>
    <w:rsid w:val="001A227A"/>
    <w:rsid w:val="001A31F3"/>
    <w:rsid w:val="001A4FCD"/>
    <w:rsid w:val="001A5126"/>
    <w:rsid w:val="001A63DE"/>
    <w:rsid w:val="001B3710"/>
    <w:rsid w:val="001B42EF"/>
    <w:rsid w:val="001B4816"/>
    <w:rsid w:val="001B4F6A"/>
    <w:rsid w:val="001B50D6"/>
    <w:rsid w:val="001B552B"/>
    <w:rsid w:val="001B5E52"/>
    <w:rsid w:val="001B6AAA"/>
    <w:rsid w:val="001B74F4"/>
    <w:rsid w:val="001B78A9"/>
    <w:rsid w:val="001C03CD"/>
    <w:rsid w:val="001C2152"/>
    <w:rsid w:val="001C4EF2"/>
    <w:rsid w:val="001C6885"/>
    <w:rsid w:val="001C7A93"/>
    <w:rsid w:val="001D0403"/>
    <w:rsid w:val="001D145D"/>
    <w:rsid w:val="001D1B91"/>
    <w:rsid w:val="001D1EED"/>
    <w:rsid w:val="001D37E0"/>
    <w:rsid w:val="001D4D28"/>
    <w:rsid w:val="001D6034"/>
    <w:rsid w:val="001D67E6"/>
    <w:rsid w:val="001E786B"/>
    <w:rsid w:val="001F4C21"/>
    <w:rsid w:val="001F7778"/>
    <w:rsid w:val="00200217"/>
    <w:rsid w:val="00200F7E"/>
    <w:rsid w:val="0020166A"/>
    <w:rsid w:val="00206DB4"/>
    <w:rsid w:val="0021018A"/>
    <w:rsid w:val="002122A5"/>
    <w:rsid w:val="00212CAA"/>
    <w:rsid w:val="0021533F"/>
    <w:rsid w:val="00216CAE"/>
    <w:rsid w:val="002228BE"/>
    <w:rsid w:val="00223942"/>
    <w:rsid w:val="00224817"/>
    <w:rsid w:val="00224BB5"/>
    <w:rsid w:val="00226F52"/>
    <w:rsid w:val="00227475"/>
    <w:rsid w:val="00236349"/>
    <w:rsid w:val="002424E0"/>
    <w:rsid w:val="0024291A"/>
    <w:rsid w:val="00245DEA"/>
    <w:rsid w:val="0024755A"/>
    <w:rsid w:val="002532D1"/>
    <w:rsid w:val="00253685"/>
    <w:rsid w:val="002537AF"/>
    <w:rsid w:val="00254E88"/>
    <w:rsid w:val="00262450"/>
    <w:rsid w:val="00264933"/>
    <w:rsid w:val="00265101"/>
    <w:rsid w:val="00270559"/>
    <w:rsid w:val="002713D2"/>
    <w:rsid w:val="002716AC"/>
    <w:rsid w:val="002728EC"/>
    <w:rsid w:val="00275702"/>
    <w:rsid w:val="00285436"/>
    <w:rsid w:val="00287F18"/>
    <w:rsid w:val="002906FF"/>
    <w:rsid w:val="00291761"/>
    <w:rsid w:val="00295EF7"/>
    <w:rsid w:val="0029719A"/>
    <w:rsid w:val="002A1C53"/>
    <w:rsid w:val="002A2ACA"/>
    <w:rsid w:val="002A31A6"/>
    <w:rsid w:val="002A4925"/>
    <w:rsid w:val="002A5515"/>
    <w:rsid w:val="002A5ECF"/>
    <w:rsid w:val="002B0AB1"/>
    <w:rsid w:val="002B3461"/>
    <w:rsid w:val="002C022A"/>
    <w:rsid w:val="002C0761"/>
    <w:rsid w:val="002C3E88"/>
    <w:rsid w:val="002C434E"/>
    <w:rsid w:val="002C43B1"/>
    <w:rsid w:val="002C4C04"/>
    <w:rsid w:val="002C6553"/>
    <w:rsid w:val="002D0384"/>
    <w:rsid w:val="002D0C4C"/>
    <w:rsid w:val="002D235A"/>
    <w:rsid w:val="002D4660"/>
    <w:rsid w:val="002D69D9"/>
    <w:rsid w:val="002D7517"/>
    <w:rsid w:val="002E1944"/>
    <w:rsid w:val="002E4DC2"/>
    <w:rsid w:val="002E5545"/>
    <w:rsid w:val="002F1745"/>
    <w:rsid w:val="002F3DF3"/>
    <w:rsid w:val="002F5B7D"/>
    <w:rsid w:val="002F5BCA"/>
    <w:rsid w:val="002F5D17"/>
    <w:rsid w:val="002F5E7C"/>
    <w:rsid w:val="002F6450"/>
    <w:rsid w:val="003030F7"/>
    <w:rsid w:val="00303E6B"/>
    <w:rsid w:val="003059B2"/>
    <w:rsid w:val="003108E2"/>
    <w:rsid w:val="00310A6E"/>
    <w:rsid w:val="0031203E"/>
    <w:rsid w:val="00312D66"/>
    <w:rsid w:val="00316FAA"/>
    <w:rsid w:val="0032648D"/>
    <w:rsid w:val="00327C20"/>
    <w:rsid w:val="00330C70"/>
    <w:rsid w:val="003350CF"/>
    <w:rsid w:val="00335415"/>
    <w:rsid w:val="00341DD1"/>
    <w:rsid w:val="00345B8F"/>
    <w:rsid w:val="003508A4"/>
    <w:rsid w:val="00352A44"/>
    <w:rsid w:val="003532BE"/>
    <w:rsid w:val="00354EDD"/>
    <w:rsid w:val="00357F44"/>
    <w:rsid w:val="00361F45"/>
    <w:rsid w:val="00365236"/>
    <w:rsid w:val="0037330E"/>
    <w:rsid w:val="0037658F"/>
    <w:rsid w:val="00376757"/>
    <w:rsid w:val="00377995"/>
    <w:rsid w:val="003840E5"/>
    <w:rsid w:val="0038469A"/>
    <w:rsid w:val="003852CC"/>
    <w:rsid w:val="00391F50"/>
    <w:rsid w:val="003949BB"/>
    <w:rsid w:val="00395FA1"/>
    <w:rsid w:val="00396707"/>
    <w:rsid w:val="003974B6"/>
    <w:rsid w:val="003A21A3"/>
    <w:rsid w:val="003A3A09"/>
    <w:rsid w:val="003A6C12"/>
    <w:rsid w:val="003A7D8A"/>
    <w:rsid w:val="003B01BD"/>
    <w:rsid w:val="003B034F"/>
    <w:rsid w:val="003B147F"/>
    <w:rsid w:val="003B2454"/>
    <w:rsid w:val="003B2F72"/>
    <w:rsid w:val="003B31D0"/>
    <w:rsid w:val="003B408C"/>
    <w:rsid w:val="003B43A2"/>
    <w:rsid w:val="003B498A"/>
    <w:rsid w:val="003C064C"/>
    <w:rsid w:val="003C0AA9"/>
    <w:rsid w:val="003C3093"/>
    <w:rsid w:val="003C3BBE"/>
    <w:rsid w:val="003C67FB"/>
    <w:rsid w:val="003D45C7"/>
    <w:rsid w:val="003D5ADA"/>
    <w:rsid w:val="003D743C"/>
    <w:rsid w:val="003E3147"/>
    <w:rsid w:val="003E4208"/>
    <w:rsid w:val="003E517A"/>
    <w:rsid w:val="003E57FB"/>
    <w:rsid w:val="003E7D4C"/>
    <w:rsid w:val="003F326F"/>
    <w:rsid w:val="003F3426"/>
    <w:rsid w:val="003F62C2"/>
    <w:rsid w:val="003F6507"/>
    <w:rsid w:val="003F6FF3"/>
    <w:rsid w:val="00400916"/>
    <w:rsid w:val="00402A58"/>
    <w:rsid w:val="00404E3B"/>
    <w:rsid w:val="00405D27"/>
    <w:rsid w:val="00407A55"/>
    <w:rsid w:val="00412283"/>
    <w:rsid w:val="00413363"/>
    <w:rsid w:val="00415CF3"/>
    <w:rsid w:val="0042498F"/>
    <w:rsid w:val="00424CEB"/>
    <w:rsid w:val="00430358"/>
    <w:rsid w:val="0043241F"/>
    <w:rsid w:val="004325DB"/>
    <w:rsid w:val="00433654"/>
    <w:rsid w:val="004362F7"/>
    <w:rsid w:val="00437CFC"/>
    <w:rsid w:val="00441AF9"/>
    <w:rsid w:val="004433B1"/>
    <w:rsid w:val="00444D96"/>
    <w:rsid w:val="0045519B"/>
    <w:rsid w:val="00457166"/>
    <w:rsid w:val="00457C85"/>
    <w:rsid w:val="00457C89"/>
    <w:rsid w:val="004614DA"/>
    <w:rsid w:val="00467DB2"/>
    <w:rsid w:val="00470CC7"/>
    <w:rsid w:val="00475AF3"/>
    <w:rsid w:val="00475DF7"/>
    <w:rsid w:val="0047653D"/>
    <w:rsid w:val="00484335"/>
    <w:rsid w:val="00485A90"/>
    <w:rsid w:val="00486609"/>
    <w:rsid w:val="00487953"/>
    <w:rsid w:val="0049020B"/>
    <w:rsid w:val="004956C3"/>
    <w:rsid w:val="004A0DBF"/>
    <w:rsid w:val="004A2F67"/>
    <w:rsid w:val="004A665F"/>
    <w:rsid w:val="004A7095"/>
    <w:rsid w:val="004B00F2"/>
    <w:rsid w:val="004B0726"/>
    <w:rsid w:val="004B1698"/>
    <w:rsid w:val="004B3B14"/>
    <w:rsid w:val="004B43A1"/>
    <w:rsid w:val="004B44EF"/>
    <w:rsid w:val="004B5C39"/>
    <w:rsid w:val="004B71B5"/>
    <w:rsid w:val="004B71C6"/>
    <w:rsid w:val="004C1111"/>
    <w:rsid w:val="004C193E"/>
    <w:rsid w:val="004C323E"/>
    <w:rsid w:val="004C3348"/>
    <w:rsid w:val="004C450B"/>
    <w:rsid w:val="004C74BD"/>
    <w:rsid w:val="004D336A"/>
    <w:rsid w:val="004D753A"/>
    <w:rsid w:val="004E0AF6"/>
    <w:rsid w:val="004E48C4"/>
    <w:rsid w:val="004F01A1"/>
    <w:rsid w:val="004F2BB8"/>
    <w:rsid w:val="004F2FCF"/>
    <w:rsid w:val="004F77CE"/>
    <w:rsid w:val="005000F7"/>
    <w:rsid w:val="00501503"/>
    <w:rsid w:val="0050467F"/>
    <w:rsid w:val="005055BD"/>
    <w:rsid w:val="00506F81"/>
    <w:rsid w:val="0050702E"/>
    <w:rsid w:val="00507E9E"/>
    <w:rsid w:val="00511723"/>
    <w:rsid w:val="00511C0A"/>
    <w:rsid w:val="0051368C"/>
    <w:rsid w:val="005163EC"/>
    <w:rsid w:val="00520AD9"/>
    <w:rsid w:val="00531606"/>
    <w:rsid w:val="005336EE"/>
    <w:rsid w:val="005349FB"/>
    <w:rsid w:val="0053578D"/>
    <w:rsid w:val="005359D3"/>
    <w:rsid w:val="00535AA5"/>
    <w:rsid w:val="00535FE5"/>
    <w:rsid w:val="005366DD"/>
    <w:rsid w:val="00536FA3"/>
    <w:rsid w:val="00540BC2"/>
    <w:rsid w:val="005423A1"/>
    <w:rsid w:val="00544D53"/>
    <w:rsid w:val="00545D22"/>
    <w:rsid w:val="00550B87"/>
    <w:rsid w:val="00550D36"/>
    <w:rsid w:val="005513E1"/>
    <w:rsid w:val="005526E8"/>
    <w:rsid w:val="00552EB3"/>
    <w:rsid w:val="00553E99"/>
    <w:rsid w:val="00554F87"/>
    <w:rsid w:val="005556E5"/>
    <w:rsid w:val="00556036"/>
    <w:rsid w:val="00557220"/>
    <w:rsid w:val="00557AB2"/>
    <w:rsid w:val="00557EB7"/>
    <w:rsid w:val="00557FE3"/>
    <w:rsid w:val="005604F9"/>
    <w:rsid w:val="0056102C"/>
    <w:rsid w:val="00565766"/>
    <w:rsid w:val="005713BB"/>
    <w:rsid w:val="005718E4"/>
    <w:rsid w:val="00571D0F"/>
    <w:rsid w:val="00573B6E"/>
    <w:rsid w:val="005752D3"/>
    <w:rsid w:val="0057554B"/>
    <w:rsid w:val="00577C64"/>
    <w:rsid w:val="00580321"/>
    <w:rsid w:val="00582B27"/>
    <w:rsid w:val="005830CF"/>
    <w:rsid w:val="00591657"/>
    <w:rsid w:val="00595040"/>
    <w:rsid w:val="00595518"/>
    <w:rsid w:val="005A0DA2"/>
    <w:rsid w:val="005A1FBD"/>
    <w:rsid w:val="005A3352"/>
    <w:rsid w:val="005A3CD9"/>
    <w:rsid w:val="005A6A44"/>
    <w:rsid w:val="005A712E"/>
    <w:rsid w:val="005A7BA5"/>
    <w:rsid w:val="005B0DED"/>
    <w:rsid w:val="005B248F"/>
    <w:rsid w:val="005B2980"/>
    <w:rsid w:val="005B4AC3"/>
    <w:rsid w:val="005B5F7D"/>
    <w:rsid w:val="005B6A88"/>
    <w:rsid w:val="005C0015"/>
    <w:rsid w:val="005C2A9F"/>
    <w:rsid w:val="005C58BD"/>
    <w:rsid w:val="005C5D33"/>
    <w:rsid w:val="005C7B30"/>
    <w:rsid w:val="005D2A96"/>
    <w:rsid w:val="005D39E2"/>
    <w:rsid w:val="005D54AF"/>
    <w:rsid w:val="005D57A9"/>
    <w:rsid w:val="005D7B72"/>
    <w:rsid w:val="005D7BE9"/>
    <w:rsid w:val="005E0ED3"/>
    <w:rsid w:val="005E12A5"/>
    <w:rsid w:val="005E1B35"/>
    <w:rsid w:val="005E22B6"/>
    <w:rsid w:val="005E2A7A"/>
    <w:rsid w:val="005E4059"/>
    <w:rsid w:val="005E6BBB"/>
    <w:rsid w:val="005F06EB"/>
    <w:rsid w:val="005F26D2"/>
    <w:rsid w:val="005F2DBC"/>
    <w:rsid w:val="005F3472"/>
    <w:rsid w:val="005F6034"/>
    <w:rsid w:val="005F675A"/>
    <w:rsid w:val="005F6A88"/>
    <w:rsid w:val="0060346C"/>
    <w:rsid w:val="006038BC"/>
    <w:rsid w:val="00603F02"/>
    <w:rsid w:val="00604351"/>
    <w:rsid w:val="006052AF"/>
    <w:rsid w:val="006052BC"/>
    <w:rsid w:val="00605694"/>
    <w:rsid w:val="0060585A"/>
    <w:rsid w:val="00607EFA"/>
    <w:rsid w:val="006101DC"/>
    <w:rsid w:val="00611597"/>
    <w:rsid w:val="00612DCB"/>
    <w:rsid w:val="00613D00"/>
    <w:rsid w:val="006142F1"/>
    <w:rsid w:val="00616FF3"/>
    <w:rsid w:val="00622377"/>
    <w:rsid w:val="00623C63"/>
    <w:rsid w:val="00624B52"/>
    <w:rsid w:val="00625C6F"/>
    <w:rsid w:val="00626324"/>
    <w:rsid w:val="00627726"/>
    <w:rsid w:val="00631D55"/>
    <w:rsid w:val="00631E55"/>
    <w:rsid w:val="006369AA"/>
    <w:rsid w:val="00640C4E"/>
    <w:rsid w:val="00641FF9"/>
    <w:rsid w:val="00642D87"/>
    <w:rsid w:val="00650448"/>
    <w:rsid w:val="00651A7A"/>
    <w:rsid w:val="0065263F"/>
    <w:rsid w:val="00652F51"/>
    <w:rsid w:val="00653598"/>
    <w:rsid w:val="00653C7E"/>
    <w:rsid w:val="00656CFE"/>
    <w:rsid w:val="00657536"/>
    <w:rsid w:val="006612ED"/>
    <w:rsid w:val="006630F5"/>
    <w:rsid w:val="0066380C"/>
    <w:rsid w:val="0066575E"/>
    <w:rsid w:val="006657CA"/>
    <w:rsid w:val="006659DB"/>
    <w:rsid w:val="00677582"/>
    <w:rsid w:val="006816C6"/>
    <w:rsid w:val="00681918"/>
    <w:rsid w:val="006834C1"/>
    <w:rsid w:val="00684E61"/>
    <w:rsid w:val="00685861"/>
    <w:rsid w:val="00685DA1"/>
    <w:rsid w:val="0068703D"/>
    <w:rsid w:val="0068727C"/>
    <w:rsid w:val="006877F1"/>
    <w:rsid w:val="00690D48"/>
    <w:rsid w:val="006937BD"/>
    <w:rsid w:val="00693CA8"/>
    <w:rsid w:val="00696F04"/>
    <w:rsid w:val="006B12F4"/>
    <w:rsid w:val="006B1B15"/>
    <w:rsid w:val="006B221A"/>
    <w:rsid w:val="006B2931"/>
    <w:rsid w:val="006B4367"/>
    <w:rsid w:val="006C008B"/>
    <w:rsid w:val="006C21A0"/>
    <w:rsid w:val="006C559E"/>
    <w:rsid w:val="006D0BB9"/>
    <w:rsid w:val="006D2F8B"/>
    <w:rsid w:val="006D3B1D"/>
    <w:rsid w:val="006D727A"/>
    <w:rsid w:val="006D7789"/>
    <w:rsid w:val="006D798E"/>
    <w:rsid w:val="006E1833"/>
    <w:rsid w:val="006E21F7"/>
    <w:rsid w:val="006E5ACF"/>
    <w:rsid w:val="006F492E"/>
    <w:rsid w:val="006F6219"/>
    <w:rsid w:val="006F67B0"/>
    <w:rsid w:val="00703978"/>
    <w:rsid w:val="0070442C"/>
    <w:rsid w:val="00705128"/>
    <w:rsid w:val="007073CC"/>
    <w:rsid w:val="00710238"/>
    <w:rsid w:val="00711EA0"/>
    <w:rsid w:val="00714E67"/>
    <w:rsid w:val="00720D5B"/>
    <w:rsid w:val="00722A1B"/>
    <w:rsid w:val="00723B9C"/>
    <w:rsid w:val="00724232"/>
    <w:rsid w:val="00724BE3"/>
    <w:rsid w:val="00725348"/>
    <w:rsid w:val="00733B25"/>
    <w:rsid w:val="0073568A"/>
    <w:rsid w:val="00737843"/>
    <w:rsid w:val="0074236F"/>
    <w:rsid w:val="00744108"/>
    <w:rsid w:val="0074425F"/>
    <w:rsid w:val="00744820"/>
    <w:rsid w:val="00744D47"/>
    <w:rsid w:val="00744EAC"/>
    <w:rsid w:val="007459EB"/>
    <w:rsid w:val="00751254"/>
    <w:rsid w:val="00752139"/>
    <w:rsid w:val="00756142"/>
    <w:rsid w:val="00756C30"/>
    <w:rsid w:val="00756E59"/>
    <w:rsid w:val="00756F2E"/>
    <w:rsid w:val="007639E6"/>
    <w:rsid w:val="00765F89"/>
    <w:rsid w:val="007669CF"/>
    <w:rsid w:val="00767970"/>
    <w:rsid w:val="00772B42"/>
    <w:rsid w:val="00785C05"/>
    <w:rsid w:val="00785FE8"/>
    <w:rsid w:val="0078790A"/>
    <w:rsid w:val="007918AA"/>
    <w:rsid w:val="00792232"/>
    <w:rsid w:val="00794A6B"/>
    <w:rsid w:val="007963D4"/>
    <w:rsid w:val="007A06B8"/>
    <w:rsid w:val="007A083E"/>
    <w:rsid w:val="007A084C"/>
    <w:rsid w:val="007A1226"/>
    <w:rsid w:val="007A2AE5"/>
    <w:rsid w:val="007A34E2"/>
    <w:rsid w:val="007A73A9"/>
    <w:rsid w:val="007A7807"/>
    <w:rsid w:val="007A79D8"/>
    <w:rsid w:val="007B1E72"/>
    <w:rsid w:val="007B469B"/>
    <w:rsid w:val="007B5C2F"/>
    <w:rsid w:val="007B609B"/>
    <w:rsid w:val="007B7694"/>
    <w:rsid w:val="007B7DC9"/>
    <w:rsid w:val="007C001E"/>
    <w:rsid w:val="007C0249"/>
    <w:rsid w:val="007C1BF1"/>
    <w:rsid w:val="007C30DA"/>
    <w:rsid w:val="007C6206"/>
    <w:rsid w:val="007C7C21"/>
    <w:rsid w:val="007D075B"/>
    <w:rsid w:val="007D4594"/>
    <w:rsid w:val="007D59A9"/>
    <w:rsid w:val="007E51F1"/>
    <w:rsid w:val="007E74CE"/>
    <w:rsid w:val="007F64D7"/>
    <w:rsid w:val="00801A4B"/>
    <w:rsid w:val="00803767"/>
    <w:rsid w:val="00807FBB"/>
    <w:rsid w:val="00815D62"/>
    <w:rsid w:val="00821D91"/>
    <w:rsid w:val="00823136"/>
    <w:rsid w:val="00827DDE"/>
    <w:rsid w:val="008312F3"/>
    <w:rsid w:val="0083266F"/>
    <w:rsid w:val="00835900"/>
    <w:rsid w:val="00841B2D"/>
    <w:rsid w:val="00842D91"/>
    <w:rsid w:val="00845B5D"/>
    <w:rsid w:val="00855381"/>
    <w:rsid w:val="00856299"/>
    <w:rsid w:val="00861AA8"/>
    <w:rsid w:val="008622D3"/>
    <w:rsid w:val="00871FAF"/>
    <w:rsid w:val="0087534E"/>
    <w:rsid w:val="00875394"/>
    <w:rsid w:val="00877224"/>
    <w:rsid w:val="008808D6"/>
    <w:rsid w:val="00890362"/>
    <w:rsid w:val="00890A12"/>
    <w:rsid w:val="0089326A"/>
    <w:rsid w:val="00894CAF"/>
    <w:rsid w:val="008A1372"/>
    <w:rsid w:val="008A34E2"/>
    <w:rsid w:val="008B2BFE"/>
    <w:rsid w:val="008B3576"/>
    <w:rsid w:val="008B3B0A"/>
    <w:rsid w:val="008B4B67"/>
    <w:rsid w:val="008B4C98"/>
    <w:rsid w:val="008B4D26"/>
    <w:rsid w:val="008B517F"/>
    <w:rsid w:val="008B5F59"/>
    <w:rsid w:val="008C0588"/>
    <w:rsid w:val="008C0F8F"/>
    <w:rsid w:val="008C20C6"/>
    <w:rsid w:val="008C71D0"/>
    <w:rsid w:val="008C73E5"/>
    <w:rsid w:val="008C7685"/>
    <w:rsid w:val="008C78B9"/>
    <w:rsid w:val="008D1089"/>
    <w:rsid w:val="008D393B"/>
    <w:rsid w:val="008D6E09"/>
    <w:rsid w:val="008E131C"/>
    <w:rsid w:val="008E2BDF"/>
    <w:rsid w:val="008E2CB6"/>
    <w:rsid w:val="008E6EF0"/>
    <w:rsid w:val="008E73D8"/>
    <w:rsid w:val="008E747C"/>
    <w:rsid w:val="008F1527"/>
    <w:rsid w:val="008F3A03"/>
    <w:rsid w:val="008F4389"/>
    <w:rsid w:val="009026B1"/>
    <w:rsid w:val="00903E18"/>
    <w:rsid w:val="00914750"/>
    <w:rsid w:val="00915100"/>
    <w:rsid w:val="00917CD8"/>
    <w:rsid w:val="00920302"/>
    <w:rsid w:val="00932D58"/>
    <w:rsid w:val="0094115E"/>
    <w:rsid w:val="009434AA"/>
    <w:rsid w:val="009436AF"/>
    <w:rsid w:val="00946FF4"/>
    <w:rsid w:val="009501DD"/>
    <w:rsid w:val="00950570"/>
    <w:rsid w:val="0095612E"/>
    <w:rsid w:val="009567A3"/>
    <w:rsid w:val="0095790D"/>
    <w:rsid w:val="00960B1E"/>
    <w:rsid w:val="0096634F"/>
    <w:rsid w:val="0096664D"/>
    <w:rsid w:val="00970735"/>
    <w:rsid w:val="0097345D"/>
    <w:rsid w:val="00980BEE"/>
    <w:rsid w:val="00985450"/>
    <w:rsid w:val="00986A4C"/>
    <w:rsid w:val="00986B34"/>
    <w:rsid w:val="00987E65"/>
    <w:rsid w:val="00987E79"/>
    <w:rsid w:val="00987FD7"/>
    <w:rsid w:val="009908F8"/>
    <w:rsid w:val="009A01D7"/>
    <w:rsid w:val="009A1A0A"/>
    <w:rsid w:val="009A2703"/>
    <w:rsid w:val="009A5B66"/>
    <w:rsid w:val="009A6136"/>
    <w:rsid w:val="009A7C34"/>
    <w:rsid w:val="009B0FC4"/>
    <w:rsid w:val="009B2AFE"/>
    <w:rsid w:val="009B4A94"/>
    <w:rsid w:val="009B57DF"/>
    <w:rsid w:val="009B5E1B"/>
    <w:rsid w:val="009B6043"/>
    <w:rsid w:val="009B6427"/>
    <w:rsid w:val="009B73AA"/>
    <w:rsid w:val="009B7485"/>
    <w:rsid w:val="009C18E8"/>
    <w:rsid w:val="009C431B"/>
    <w:rsid w:val="009C4988"/>
    <w:rsid w:val="009C517C"/>
    <w:rsid w:val="009C6F76"/>
    <w:rsid w:val="009D0C5E"/>
    <w:rsid w:val="009D3B34"/>
    <w:rsid w:val="009D6808"/>
    <w:rsid w:val="009D71E0"/>
    <w:rsid w:val="009E0986"/>
    <w:rsid w:val="009E24E5"/>
    <w:rsid w:val="009E3C30"/>
    <w:rsid w:val="009E42A9"/>
    <w:rsid w:val="009E4573"/>
    <w:rsid w:val="009E5503"/>
    <w:rsid w:val="009E5E55"/>
    <w:rsid w:val="009E66B6"/>
    <w:rsid w:val="009E777F"/>
    <w:rsid w:val="009E7E19"/>
    <w:rsid w:val="009F05E3"/>
    <w:rsid w:val="009F0757"/>
    <w:rsid w:val="009F22A3"/>
    <w:rsid w:val="009F34EB"/>
    <w:rsid w:val="009F415E"/>
    <w:rsid w:val="00A01077"/>
    <w:rsid w:val="00A158A4"/>
    <w:rsid w:val="00A15D02"/>
    <w:rsid w:val="00A17F12"/>
    <w:rsid w:val="00A210A0"/>
    <w:rsid w:val="00A24DC5"/>
    <w:rsid w:val="00A251F9"/>
    <w:rsid w:val="00A37EE5"/>
    <w:rsid w:val="00A40252"/>
    <w:rsid w:val="00A409F2"/>
    <w:rsid w:val="00A4131E"/>
    <w:rsid w:val="00A424DE"/>
    <w:rsid w:val="00A4419E"/>
    <w:rsid w:val="00A45DD0"/>
    <w:rsid w:val="00A47330"/>
    <w:rsid w:val="00A533E1"/>
    <w:rsid w:val="00A61F83"/>
    <w:rsid w:val="00A61FB2"/>
    <w:rsid w:val="00A63214"/>
    <w:rsid w:val="00A6514B"/>
    <w:rsid w:val="00A65443"/>
    <w:rsid w:val="00A66853"/>
    <w:rsid w:val="00A671EB"/>
    <w:rsid w:val="00A7497E"/>
    <w:rsid w:val="00A759E6"/>
    <w:rsid w:val="00A85670"/>
    <w:rsid w:val="00A86923"/>
    <w:rsid w:val="00A928D1"/>
    <w:rsid w:val="00AA0101"/>
    <w:rsid w:val="00AA5BA5"/>
    <w:rsid w:val="00AA5CD5"/>
    <w:rsid w:val="00AB2FB4"/>
    <w:rsid w:val="00AB4C94"/>
    <w:rsid w:val="00AB5047"/>
    <w:rsid w:val="00AC04A2"/>
    <w:rsid w:val="00AC2F33"/>
    <w:rsid w:val="00AC3C55"/>
    <w:rsid w:val="00AC47AF"/>
    <w:rsid w:val="00AC59EE"/>
    <w:rsid w:val="00AD1576"/>
    <w:rsid w:val="00AD33B2"/>
    <w:rsid w:val="00AD390A"/>
    <w:rsid w:val="00AD4736"/>
    <w:rsid w:val="00AE1C14"/>
    <w:rsid w:val="00AE3A85"/>
    <w:rsid w:val="00AE492B"/>
    <w:rsid w:val="00AE55A6"/>
    <w:rsid w:val="00AE5F2A"/>
    <w:rsid w:val="00AF0DC3"/>
    <w:rsid w:val="00AF602A"/>
    <w:rsid w:val="00B01D35"/>
    <w:rsid w:val="00B02910"/>
    <w:rsid w:val="00B0483E"/>
    <w:rsid w:val="00B06806"/>
    <w:rsid w:val="00B11837"/>
    <w:rsid w:val="00B172B7"/>
    <w:rsid w:val="00B20A1D"/>
    <w:rsid w:val="00B26D29"/>
    <w:rsid w:val="00B311BE"/>
    <w:rsid w:val="00B314F7"/>
    <w:rsid w:val="00B322BB"/>
    <w:rsid w:val="00B34C90"/>
    <w:rsid w:val="00B3565B"/>
    <w:rsid w:val="00B36F41"/>
    <w:rsid w:val="00B3704F"/>
    <w:rsid w:val="00B410AE"/>
    <w:rsid w:val="00B4329E"/>
    <w:rsid w:val="00B43AEF"/>
    <w:rsid w:val="00B44B45"/>
    <w:rsid w:val="00B47ED3"/>
    <w:rsid w:val="00B53BBA"/>
    <w:rsid w:val="00B5426D"/>
    <w:rsid w:val="00B56CE4"/>
    <w:rsid w:val="00B570E0"/>
    <w:rsid w:val="00B575BD"/>
    <w:rsid w:val="00B57B84"/>
    <w:rsid w:val="00B60BE6"/>
    <w:rsid w:val="00B62728"/>
    <w:rsid w:val="00B642AB"/>
    <w:rsid w:val="00B64703"/>
    <w:rsid w:val="00B64BEF"/>
    <w:rsid w:val="00B674A8"/>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448"/>
    <w:rsid w:val="00B90714"/>
    <w:rsid w:val="00B90949"/>
    <w:rsid w:val="00B90D45"/>
    <w:rsid w:val="00B93C06"/>
    <w:rsid w:val="00B96664"/>
    <w:rsid w:val="00B97D6F"/>
    <w:rsid w:val="00BA3E75"/>
    <w:rsid w:val="00BA57FF"/>
    <w:rsid w:val="00BA5E32"/>
    <w:rsid w:val="00BA6556"/>
    <w:rsid w:val="00BB2D64"/>
    <w:rsid w:val="00BB43C8"/>
    <w:rsid w:val="00BC0F5B"/>
    <w:rsid w:val="00BC15D0"/>
    <w:rsid w:val="00BC227E"/>
    <w:rsid w:val="00BC3960"/>
    <w:rsid w:val="00BC494A"/>
    <w:rsid w:val="00BC4F72"/>
    <w:rsid w:val="00BC735D"/>
    <w:rsid w:val="00BC7D4E"/>
    <w:rsid w:val="00BD0F77"/>
    <w:rsid w:val="00BD3BA7"/>
    <w:rsid w:val="00BD64DE"/>
    <w:rsid w:val="00BD75E0"/>
    <w:rsid w:val="00BD77F0"/>
    <w:rsid w:val="00BE2287"/>
    <w:rsid w:val="00BE2F3B"/>
    <w:rsid w:val="00BE3F49"/>
    <w:rsid w:val="00BE5B7C"/>
    <w:rsid w:val="00BF4574"/>
    <w:rsid w:val="00BF6CA1"/>
    <w:rsid w:val="00C04ADD"/>
    <w:rsid w:val="00C04CC8"/>
    <w:rsid w:val="00C10561"/>
    <w:rsid w:val="00C11C79"/>
    <w:rsid w:val="00C12DC9"/>
    <w:rsid w:val="00C131FC"/>
    <w:rsid w:val="00C20469"/>
    <w:rsid w:val="00C20C9F"/>
    <w:rsid w:val="00C21100"/>
    <w:rsid w:val="00C22284"/>
    <w:rsid w:val="00C2249B"/>
    <w:rsid w:val="00C22605"/>
    <w:rsid w:val="00C264B5"/>
    <w:rsid w:val="00C2766D"/>
    <w:rsid w:val="00C301BD"/>
    <w:rsid w:val="00C31607"/>
    <w:rsid w:val="00C367C9"/>
    <w:rsid w:val="00C40577"/>
    <w:rsid w:val="00C450C5"/>
    <w:rsid w:val="00C57CB7"/>
    <w:rsid w:val="00C613C5"/>
    <w:rsid w:val="00C6688A"/>
    <w:rsid w:val="00C70AAF"/>
    <w:rsid w:val="00C70CBD"/>
    <w:rsid w:val="00C710FE"/>
    <w:rsid w:val="00C75143"/>
    <w:rsid w:val="00C75A74"/>
    <w:rsid w:val="00C75CA7"/>
    <w:rsid w:val="00C807AF"/>
    <w:rsid w:val="00C825CA"/>
    <w:rsid w:val="00C8373E"/>
    <w:rsid w:val="00C83F43"/>
    <w:rsid w:val="00C85336"/>
    <w:rsid w:val="00C85539"/>
    <w:rsid w:val="00C85854"/>
    <w:rsid w:val="00C9539B"/>
    <w:rsid w:val="00C95411"/>
    <w:rsid w:val="00C97055"/>
    <w:rsid w:val="00CA0014"/>
    <w:rsid w:val="00CA409C"/>
    <w:rsid w:val="00CA5411"/>
    <w:rsid w:val="00CB0358"/>
    <w:rsid w:val="00CB13A3"/>
    <w:rsid w:val="00CB149E"/>
    <w:rsid w:val="00CB291E"/>
    <w:rsid w:val="00CB514F"/>
    <w:rsid w:val="00CB6676"/>
    <w:rsid w:val="00CC16C0"/>
    <w:rsid w:val="00CC17CA"/>
    <w:rsid w:val="00CC285A"/>
    <w:rsid w:val="00CC6C91"/>
    <w:rsid w:val="00CC7580"/>
    <w:rsid w:val="00CD0ABB"/>
    <w:rsid w:val="00CD2A6E"/>
    <w:rsid w:val="00CD3C75"/>
    <w:rsid w:val="00CD4D49"/>
    <w:rsid w:val="00CD5638"/>
    <w:rsid w:val="00CD5715"/>
    <w:rsid w:val="00CD720E"/>
    <w:rsid w:val="00CE36D0"/>
    <w:rsid w:val="00CE5B2C"/>
    <w:rsid w:val="00CE6571"/>
    <w:rsid w:val="00CF25FF"/>
    <w:rsid w:val="00CF5113"/>
    <w:rsid w:val="00D00E3A"/>
    <w:rsid w:val="00D01A48"/>
    <w:rsid w:val="00D01FC9"/>
    <w:rsid w:val="00D02CD9"/>
    <w:rsid w:val="00D033E0"/>
    <w:rsid w:val="00D0355B"/>
    <w:rsid w:val="00D20914"/>
    <w:rsid w:val="00D20E15"/>
    <w:rsid w:val="00D24DE6"/>
    <w:rsid w:val="00D25D7A"/>
    <w:rsid w:val="00D30075"/>
    <w:rsid w:val="00D40F72"/>
    <w:rsid w:val="00D4138A"/>
    <w:rsid w:val="00D4161F"/>
    <w:rsid w:val="00D42564"/>
    <w:rsid w:val="00D47E50"/>
    <w:rsid w:val="00D50232"/>
    <w:rsid w:val="00D50985"/>
    <w:rsid w:val="00D52ECD"/>
    <w:rsid w:val="00D53392"/>
    <w:rsid w:val="00D542C8"/>
    <w:rsid w:val="00D54306"/>
    <w:rsid w:val="00D57041"/>
    <w:rsid w:val="00D57E78"/>
    <w:rsid w:val="00D61822"/>
    <w:rsid w:val="00D66CFB"/>
    <w:rsid w:val="00D67023"/>
    <w:rsid w:val="00D67BE6"/>
    <w:rsid w:val="00D74433"/>
    <w:rsid w:val="00D76C0E"/>
    <w:rsid w:val="00D777DD"/>
    <w:rsid w:val="00D778D7"/>
    <w:rsid w:val="00D8283E"/>
    <w:rsid w:val="00D84160"/>
    <w:rsid w:val="00D90B9D"/>
    <w:rsid w:val="00D93118"/>
    <w:rsid w:val="00D957B4"/>
    <w:rsid w:val="00D96843"/>
    <w:rsid w:val="00D9748D"/>
    <w:rsid w:val="00DA394C"/>
    <w:rsid w:val="00DB0D97"/>
    <w:rsid w:val="00DB129F"/>
    <w:rsid w:val="00DB21C2"/>
    <w:rsid w:val="00DB37BF"/>
    <w:rsid w:val="00DB571B"/>
    <w:rsid w:val="00DC0200"/>
    <w:rsid w:val="00DC3DB9"/>
    <w:rsid w:val="00DD130B"/>
    <w:rsid w:val="00DD30BA"/>
    <w:rsid w:val="00DD34CA"/>
    <w:rsid w:val="00DD5F05"/>
    <w:rsid w:val="00DD6A32"/>
    <w:rsid w:val="00DD72F4"/>
    <w:rsid w:val="00DD7ECC"/>
    <w:rsid w:val="00DE0AF5"/>
    <w:rsid w:val="00DF39F9"/>
    <w:rsid w:val="00DF6C1A"/>
    <w:rsid w:val="00E00F9E"/>
    <w:rsid w:val="00E029F3"/>
    <w:rsid w:val="00E04566"/>
    <w:rsid w:val="00E10197"/>
    <w:rsid w:val="00E10CB9"/>
    <w:rsid w:val="00E1608D"/>
    <w:rsid w:val="00E16DFD"/>
    <w:rsid w:val="00E2271C"/>
    <w:rsid w:val="00E26BE6"/>
    <w:rsid w:val="00E270CA"/>
    <w:rsid w:val="00E2792E"/>
    <w:rsid w:val="00E31ABD"/>
    <w:rsid w:val="00E3297A"/>
    <w:rsid w:val="00E32E11"/>
    <w:rsid w:val="00E333C9"/>
    <w:rsid w:val="00E3362D"/>
    <w:rsid w:val="00E3488A"/>
    <w:rsid w:val="00E36DF4"/>
    <w:rsid w:val="00E41BA7"/>
    <w:rsid w:val="00E44473"/>
    <w:rsid w:val="00E46054"/>
    <w:rsid w:val="00E4696B"/>
    <w:rsid w:val="00E53766"/>
    <w:rsid w:val="00E5571A"/>
    <w:rsid w:val="00E5610F"/>
    <w:rsid w:val="00E569A3"/>
    <w:rsid w:val="00E56ADB"/>
    <w:rsid w:val="00E6057B"/>
    <w:rsid w:val="00E64180"/>
    <w:rsid w:val="00E64FD3"/>
    <w:rsid w:val="00E67E45"/>
    <w:rsid w:val="00E72F99"/>
    <w:rsid w:val="00E776EF"/>
    <w:rsid w:val="00E828ED"/>
    <w:rsid w:val="00E85553"/>
    <w:rsid w:val="00E871F6"/>
    <w:rsid w:val="00E915E2"/>
    <w:rsid w:val="00E940D6"/>
    <w:rsid w:val="00EA077A"/>
    <w:rsid w:val="00EA12B1"/>
    <w:rsid w:val="00EA19A8"/>
    <w:rsid w:val="00EA2AA1"/>
    <w:rsid w:val="00EA2CF4"/>
    <w:rsid w:val="00EA3A03"/>
    <w:rsid w:val="00EA4B1A"/>
    <w:rsid w:val="00EA4BC2"/>
    <w:rsid w:val="00EA5443"/>
    <w:rsid w:val="00EC02D3"/>
    <w:rsid w:val="00EC2E21"/>
    <w:rsid w:val="00EC69A9"/>
    <w:rsid w:val="00EC754E"/>
    <w:rsid w:val="00ED0635"/>
    <w:rsid w:val="00ED2B2E"/>
    <w:rsid w:val="00ED2CE4"/>
    <w:rsid w:val="00ED5010"/>
    <w:rsid w:val="00ED56D0"/>
    <w:rsid w:val="00ED7DB2"/>
    <w:rsid w:val="00EE0062"/>
    <w:rsid w:val="00EE194E"/>
    <w:rsid w:val="00EE215C"/>
    <w:rsid w:val="00EE6D0D"/>
    <w:rsid w:val="00EE70A7"/>
    <w:rsid w:val="00EF4709"/>
    <w:rsid w:val="00EF5481"/>
    <w:rsid w:val="00EF7CEF"/>
    <w:rsid w:val="00F00BA4"/>
    <w:rsid w:val="00F017CC"/>
    <w:rsid w:val="00F04F46"/>
    <w:rsid w:val="00F0560A"/>
    <w:rsid w:val="00F07B4F"/>
    <w:rsid w:val="00F07D93"/>
    <w:rsid w:val="00F10C7F"/>
    <w:rsid w:val="00F135A5"/>
    <w:rsid w:val="00F1364D"/>
    <w:rsid w:val="00F159D3"/>
    <w:rsid w:val="00F23126"/>
    <w:rsid w:val="00F24E30"/>
    <w:rsid w:val="00F3114F"/>
    <w:rsid w:val="00F36A71"/>
    <w:rsid w:val="00F36BD9"/>
    <w:rsid w:val="00F36C6C"/>
    <w:rsid w:val="00F37EA7"/>
    <w:rsid w:val="00F4152B"/>
    <w:rsid w:val="00F42BD8"/>
    <w:rsid w:val="00F436AC"/>
    <w:rsid w:val="00F453B6"/>
    <w:rsid w:val="00F533C8"/>
    <w:rsid w:val="00F5378D"/>
    <w:rsid w:val="00F53E34"/>
    <w:rsid w:val="00F54015"/>
    <w:rsid w:val="00F56667"/>
    <w:rsid w:val="00F627A5"/>
    <w:rsid w:val="00F627DD"/>
    <w:rsid w:val="00F63D5A"/>
    <w:rsid w:val="00F643BC"/>
    <w:rsid w:val="00F64A0E"/>
    <w:rsid w:val="00F64DC8"/>
    <w:rsid w:val="00F67C5F"/>
    <w:rsid w:val="00F72F9D"/>
    <w:rsid w:val="00F73B12"/>
    <w:rsid w:val="00F76F73"/>
    <w:rsid w:val="00F77D0F"/>
    <w:rsid w:val="00F80B7D"/>
    <w:rsid w:val="00F80BAF"/>
    <w:rsid w:val="00F87C84"/>
    <w:rsid w:val="00F92C5D"/>
    <w:rsid w:val="00F95F5B"/>
    <w:rsid w:val="00F96205"/>
    <w:rsid w:val="00FA231C"/>
    <w:rsid w:val="00FA2B17"/>
    <w:rsid w:val="00FA5FFD"/>
    <w:rsid w:val="00FA7121"/>
    <w:rsid w:val="00FB0179"/>
    <w:rsid w:val="00FB2E18"/>
    <w:rsid w:val="00FB50C5"/>
    <w:rsid w:val="00FB50D6"/>
    <w:rsid w:val="00FB5B84"/>
    <w:rsid w:val="00FB5E34"/>
    <w:rsid w:val="00FB6761"/>
    <w:rsid w:val="00FB798F"/>
    <w:rsid w:val="00FC19ED"/>
    <w:rsid w:val="00FC43A5"/>
    <w:rsid w:val="00FD2772"/>
    <w:rsid w:val="00FD48B0"/>
    <w:rsid w:val="00FE1556"/>
    <w:rsid w:val="00FE51AA"/>
    <w:rsid w:val="00FE791D"/>
    <w:rsid w:val="00FF03D7"/>
    <w:rsid w:val="00FF773D"/>
    <w:rsid w:val="00FF7B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81C6F"/>
  <w15:docId w15:val="{25D569ED-ADF4-4538-B50F-0BCA39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Ttul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aliases w:val="Párrafo de lista SUBCAPITULO,Capítulo,TIT 2 IND,Párrafo de lista1"/>
    <w:basedOn w:val="Normal"/>
    <w:link w:val="PrrafodelistaCar"/>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uiPriority w:val="99"/>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5055BD"/>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055BD"/>
  </w:style>
  <w:style w:type="paragraph" w:styleId="Textosinformato">
    <w:name w:val="Plain Text"/>
    <w:basedOn w:val="Normal"/>
    <w:link w:val="TextosinformatoCar"/>
    <w:rsid w:val="00C613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613C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613C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7918AA"/>
    <w:pPr>
      <w:autoSpaceDE w:val="0"/>
      <w:autoSpaceDN w:val="0"/>
      <w:adjustRightInd w:val="0"/>
    </w:pPr>
    <w:rPr>
      <w:rFonts w:ascii="Arial" w:hAnsi="Arial" w:cs="Arial"/>
      <w:color w:val="000000"/>
      <w:sz w:val="24"/>
      <w:szCs w:val="24"/>
      <w:lang w:val="es-ES"/>
    </w:rPr>
  </w:style>
  <w:style w:type="character" w:customStyle="1" w:styleId="PrrafodelistaCar">
    <w:name w:val="Párrafo de lista Car"/>
    <w:aliases w:val="Párrafo de lista SUBCAPITULO Car,Capítulo Car,TIT 2 IND Car,Párrafo de lista1 Car"/>
    <w:basedOn w:val="Fuentedeprrafopredeter"/>
    <w:link w:val="Prrafodelista"/>
    <w:uiPriority w:val="34"/>
    <w:rsid w:val="006369AA"/>
  </w:style>
  <w:style w:type="paragraph" w:styleId="Textonotapie">
    <w:name w:val="footnote text"/>
    <w:basedOn w:val="Normal"/>
    <w:link w:val="TextonotapieCar"/>
    <w:uiPriority w:val="99"/>
    <w:semiHidden/>
    <w:unhideWhenUsed/>
    <w:rsid w:val="006369AA"/>
    <w:pPr>
      <w:spacing w:after="0" w:line="240" w:lineRule="auto"/>
    </w:pPr>
    <w:rPr>
      <w:rFonts w:eastAsiaTheme="minorEastAsia"/>
      <w:sz w:val="20"/>
      <w:szCs w:val="20"/>
      <w:lang w:eastAsia="es-EC"/>
    </w:rPr>
  </w:style>
  <w:style w:type="character" w:customStyle="1" w:styleId="TextonotapieCar">
    <w:name w:val="Texto nota pie Car"/>
    <w:basedOn w:val="Fuentedeprrafopredeter"/>
    <w:link w:val="Textonotapie"/>
    <w:uiPriority w:val="99"/>
    <w:semiHidden/>
    <w:rsid w:val="006369AA"/>
    <w:rPr>
      <w:rFonts w:eastAsiaTheme="minorEastAsia"/>
      <w:sz w:val="20"/>
      <w:szCs w:val="20"/>
      <w:lang w:eastAsia="es-EC"/>
    </w:rPr>
  </w:style>
  <w:style w:type="character" w:styleId="Refdenotaalpie">
    <w:name w:val="footnote reference"/>
    <w:basedOn w:val="Fuentedeprrafopredeter"/>
    <w:uiPriority w:val="99"/>
    <w:semiHidden/>
    <w:unhideWhenUsed/>
    <w:rsid w:val="0063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1910">
      <w:bodyDiv w:val="1"/>
      <w:marLeft w:val="0"/>
      <w:marRight w:val="0"/>
      <w:marTop w:val="0"/>
      <w:marBottom w:val="0"/>
      <w:divBdr>
        <w:top w:val="none" w:sz="0" w:space="0" w:color="auto"/>
        <w:left w:val="none" w:sz="0" w:space="0" w:color="auto"/>
        <w:bottom w:val="none" w:sz="0" w:space="0" w:color="auto"/>
        <w:right w:val="none" w:sz="0" w:space="0" w:color="auto"/>
      </w:divBdr>
      <w:divsChild>
        <w:div w:id="976911670">
          <w:marLeft w:val="0"/>
          <w:marRight w:val="0"/>
          <w:marTop w:val="0"/>
          <w:marBottom w:val="0"/>
          <w:divBdr>
            <w:top w:val="none" w:sz="0" w:space="0" w:color="auto"/>
            <w:left w:val="none" w:sz="0" w:space="0" w:color="auto"/>
            <w:bottom w:val="none" w:sz="0" w:space="0" w:color="auto"/>
            <w:right w:val="none" w:sz="0" w:space="0" w:color="auto"/>
          </w:divBdr>
          <w:divsChild>
            <w:div w:id="2006669389">
              <w:marLeft w:val="0"/>
              <w:marRight w:val="0"/>
              <w:marTop w:val="0"/>
              <w:marBottom w:val="0"/>
              <w:divBdr>
                <w:top w:val="none" w:sz="0" w:space="0" w:color="auto"/>
                <w:left w:val="none" w:sz="0" w:space="0" w:color="auto"/>
                <w:bottom w:val="none" w:sz="0" w:space="0" w:color="auto"/>
                <w:right w:val="none" w:sz="0" w:space="0" w:color="auto"/>
              </w:divBdr>
              <w:divsChild>
                <w:div w:id="599293410">
                  <w:marLeft w:val="0"/>
                  <w:marRight w:val="0"/>
                  <w:marTop w:val="0"/>
                  <w:marBottom w:val="0"/>
                  <w:divBdr>
                    <w:top w:val="none" w:sz="0" w:space="0" w:color="auto"/>
                    <w:left w:val="none" w:sz="0" w:space="0" w:color="auto"/>
                    <w:bottom w:val="none" w:sz="0" w:space="0" w:color="auto"/>
                    <w:right w:val="none" w:sz="0" w:space="0" w:color="auto"/>
                  </w:divBdr>
                </w:div>
              </w:divsChild>
            </w:div>
            <w:div w:id="1475104711">
              <w:marLeft w:val="0"/>
              <w:marRight w:val="0"/>
              <w:marTop w:val="0"/>
              <w:marBottom w:val="0"/>
              <w:divBdr>
                <w:top w:val="none" w:sz="0" w:space="0" w:color="auto"/>
                <w:left w:val="none" w:sz="0" w:space="0" w:color="auto"/>
                <w:bottom w:val="none" w:sz="0" w:space="0" w:color="auto"/>
                <w:right w:val="none" w:sz="0" w:space="0" w:color="auto"/>
              </w:divBdr>
              <w:divsChild>
                <w:div w:id="501623716">
                  <w:marLeft w:val="0"/>
                  <w:marRight w:val="0"/>
                  <w:marTop w:val="0"/>
                  <w:marBottom w:val="0"/>
                  <w:divBdr>
                    <w:top w:val="none" w:sz="0" w:space="0" w:color="auto"/>
                    <w:left w:val="none" w:sz="0" w:space="0" w:color="auto"/>
                    <w:bottom w:val="none" w:sz="0" w:space="0" w:color="auto"/>
                    <w:right w:val="none" w:sz="0" w:space="0" w:color="auto"/>
                  </w:divBdr>
                </w:div>
              </w:divsChild>
            </w:div>
            <w:div w:id="983003399">
              <w:marLeft w:val="0"/>
              <w:marRight w:val="0"/>
              <w:marTop w:val="0"/>
              <w:marBottom w:val="0"/>
              <w:divBdr>
                <w:top w:val="none" w:sz="0" w:space="0" w:color="auto"/>
                <w:left w:val="none" w:sz="0" w:space="0" w:color="auto"/>
                <w:bottom w:val="none" w:sz="0" w:space="0" w:color="auto"/>
                <w:right w:val="none" w:sz="0" w:space="0" w:color="auto"/>
              </w:divBdr>
              <w:divsChild>
                <w:div w:id="327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F:\MUNICIPIO\BASES%20DE%20DATOS\IPC%202021-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MUNICIPIO\CONVENIOS\AEI%20FEDES%202022-002\INFORMES\AEI-FEDES\COMPONENTE%203%20Y%204\EDITABLES\COMPONENTE%203\GRAFICOS%20Y%20TABLAS\Gr&#225;ficos%20y%20tablas%20Agen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MUNICIPIO\CONVENIOS\AEI%20FEDES%202022-002\INFORMES\AEI-FEDES\COMPONENTE%203%20Y%204\EDITABLES\COMPONENTE%203\GRAFICOS%20Y%20TABLAS\Gr&#225;ficos%20y%20tablas%20Agend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MUNICIPIO\CONVENIOS\AEI%20FEDES%202022-002\INFORMES\AEI-FEDES\COMPONENTE%203%20Y%204\EDITABLES\COMPONENTE%203\GRAFICOS%20Y%20TABLAS\Gr&#225;ficos%20y%20tablas%20Agend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'ipc - Quito'!$A$2</c:f>
              <c:strCache>
                <c:ptCount val="1"/>
                <c:pt idx="0">
                  <c:v>IPC</c:v>
                </c:pt>
              </c:strCache>
            </c:strRef>
          </c:tx>
          <c:spPr>
            <a:solidFill>
              <a:schemeClr val="bg1">
                <a:lumMod val="75000"/>
              </a:schemeClr>
            </a:solidFill>
            <a:ln>
              <a:solidFill>
                <a:schemeClr val="bg1">
                  <a:lumMod val="75000"/>
                </a:schemeClr>
              </a:solidFill>
            </a:ln>
            <a:effectLst/>
          </c:spPr>
          <c:invertIfNegative val="0"/>
          <c:cat>
            <c:strRef>
              <c:f>'ipc - Quito'!$B$1:$AX$1</c:f>
              <c:strCache>
                <c:ptCount val="49"/>
                <c:pt idx="0">
                  <c:v>ene-19</c:v>
                </c:pt>
                <c:pt idx="1">
                  <c:v>feb-19</c:v>
                </c:pt>
                <c:pt idx="2">
                  <c:v>mar-19</c:v>
                </c:pt>
                <c:pt idx="3">
                  <c:v>abr-19</c:v>
                </c:pt>
                <c:pt idx="4">
                  <c:v>may-19</c:v>
                </c:pt>
                <c:pt idx="5">
                  <c:v>jun-19</c:v>
                </c:pt>
                <c:pt idx="6">
                  <c:v>jul-19</c:v>
                </c:pt>
                <c:pt idx="7">
                  <c:v>ago-19</c:v>
                </c:pt>
                <c:pt idx="8">
                  <c:v>sep-19</c:v>
                </c:pt>
                <c:pt idx="9">
                  <c:v>oct-19</c:v>
                </c:pt>
                <c:pt idx="10">
                  <c:v>nov-19</c:v>
                </c:pt>
                <c:pt idx="11">
                  <c:v>dic-19</c:v>
                </c:pt>
                <c:pt idx="12">
                  <c:v>ene-20</c:v>
                </c:pt>
                <c:pt idx="13">
                  <c:v>feb-20</c:v>
                </c:pt>
                <c:pt idx="14">
                  <c:v>mar-20</c:v>
                </c:pt>
                <c:pt idx="15">
                  <c:v>abr-20</c:v>
                </c:pt>
                <c:pt idx="16">
                  <c:v>may-20</c:v>
                </c:pt>
                <c:pt idx="17">
                  <c:v>jun-20</c:v>
                </c:pt>
                <c:pt idx="18">
                  <c:v>jul-20</c:v>
                </c:pt>
                <c:pt idx="19">
                  <c:v>ago-20</c:v>
                </c:pt>
                <c:pt idx="20">
                  <c:v>sep-20</c:v>
                </c:pt>
                <c:pt idx="21">
                  <c:v>oct-20</c:v>
                </c:pt>
                <c:pt idx="22">
                  <c:v>nov-20</c:v>
                </c:pt>
                <c:pt idx="23">
                  <c:v>dic-20</c:v>
                </c:pt>
                <c:pt idx="24">
                  <c:v>ene-21</c:v>
                </c:pt>
                <c:pt idx="25">
                  <c:v>feb-21</c:v>
                </c:pt>
                <c:pt idx="26">
                  <c:v>mar-21</c:v>
                </c:pt>
                <c:pt idx="27">
                  <c:v>abr-21</c:v>
                </c:pt>
                <c:pt idx="28">
                  <c:v>may-21</c:v>
                </c:pt>
                <c:pt idx="29">
                  <c:v>jun-21</c:v>
                </c:pt>
                <c:pt idx="30">
                  <c:v>jul-21</c:v>
                </c:pt>
                <c:pt idx="31">
                  <c:v>ago-21</c:v>
                </c:pt>
                <c:pt idx="32">
                  <c:v>sep-21</c:v>
                </c:pt>
                <c:pt idx="33">
                  <c:v>oct-21</c:v>
                </c:pt>
                <c:pt idx="34">
                  <c:v>nov-21</c:v>
                </c:pt>
                <c:pt idx="35">
                  <c:v>dic-21</c:v>
                </c:pt>
                <c:pt idx="36">
                  <c:v>ene-22</c:v>
                </c:pt>
                <c:pt idx="37">
                  <c:v>feb-22</c:v>
                </c:pt>
                <c:pt idx="38">
                  <c:v>mar-22</c:v>
                </c:pt>
                <c:pt idx="39">
                  <c:v>abr-22</c:v>
                </c:pt>
                <c:pt idx="40">
                  <c:v>may-22</c:v>
                </c:pt>
                <c:pt idx="41">
                  <c:v>jun-22</c:v>
                </c:pt>
                <c:pt idx="42">
                  <c:v>jul-22</c:v>
                </c:pt>
                <c:pt idx="43">
                  <c:v>ago-22</c:v>
                </c:pt>
                <c:pt idx="44">
                  <c:v>sep-22</c:v>
                </c:pt>
                <c:pt idx="45">
                  <c:v>oct-22</c:v>
                </c:pt>
                <c:pt idx="46">
                  <c:v>nov-22</c:v>
                </c:pt>
                <c:pt idx="47">
                  <c:v>dic-22</c:v>
                </c:pt>
                <c:pt idx="48">
                  <c:v>ene-23</c:v>
                </c:pt>
              </c:strCache>
            </c:strRef>
          </c:cat>
          <c:val>
            <c:numRef>
              <c:f>'ipc - Quito'!$B$2:$AX$2</c:f>
              <c:numCache>
                <c:formatCode>General</c:formatCode>
                <c:ptCount val="49"/>
                <c:pt idx="0">
                  <c:v>105.84271829400646</c:v>
                </c:pt>
                <c:pt idx="1">
                  <c:v>105.51215459526706</c:v>
                </c:pt>
                <c:pt idx="2">
                  <c:v>105.26850684079916</c:v>
                </c:pt>
                <c:pt idx="3">
                  <c:v>105.38869730240248</c:v>
                </c:pt>
                <c:pt idx="4">
                  <c:v>105.44223903836809</c:v>
                </c:pt>
                <c:pt idx="5">
                  <c:v>105.4789371141738</c:v>
                </c:pt>
                <c:pt idx="6">
                  <c:v>105.7643059683255</c:v>
                </c:pt>
                <c:pt idx="7">
                  <c:v>105.6437756228662</c:v>
                </c:pt>
                <c:pt idx="8">
                  <c:v>105.74656609474818</c:v>
                </c:pt>
                <c:pt idx="9">
                  <c:v>106.12002996978411</c:v>
                </c:pt>
                <c:pt idx="10">
                  <c:v>105.3817217011588</c:v>
                </c:pt>
                <c:pt idx="11">
                  <c:v>105.28013514740714</c:v>
                </c:pt>
                <c:pt idx="12">
                  <c:v>105.47164231968124</c:v>
                </c:pt>
                <c:pt idx="13">
                  <c:v>105.34464627132816</c:v>
                </c:pt>
                <c:pt idx="14">
                  <c:v>105.66010930680228</c:v>
                </c:pt>
                <c:pt idx="15">
                  <c:v>105.46963322391171</c:v>
                </c:pt>
                <c:pt idx="16">
                  <c:v>105.54296318398472</c:v>
                </c:pt>
                <c:pt idx="17">
                  <c:v>105.29479395565971</c:v>
                </c:pt>
                <c:pt idx="18">
                  <c:v>104.6721733925622</c:v>
                </c:pt>
                <c:pt idx="19">
                  <c:v>104.52843428736684</c:v>
                </c:pt>
                <c:pt idx="20">
                  <c:v>104.2961107495809</c:v>
                </c:pt>
                <c:pt idx="21">
                  <c:v>103.95709806266366</c:v>
                </c:pt>
                <c:pt idx="22">
                  <c:v>103.98096721411784</c:v>
                </c:pt>
                <c:pt idx="23">
                  <c:v>103.98096721411784</c:v>
                </c:pt>
                <c:pt idx="24">
                  <c:v>104.05</c:v>
                </c:pt>
                <c:pt idx="25">
                  <c:v>103.99</c:v>
                </c:pt>
                <c:pt idx="26">
                  <c:v>104.21</c:v>
                </c:pt>
                <c:pt idx="27">
                  <c:v>104.42</c:v>
                </c:pt>
                <c:pt idx="28">
                  <c:v>104.36</c:v>
                </c:pt>
                <c:pt idx="29">
                  <c:v>104.39</c:v>
                </c:pt>
                <c:pt idx="30">
                  <c:v>104.82</c:v>
                </c:pt>
                <c:pt idx="31">
                  <c:v>105.06</c:v>
                </c:pt>
                <c:pt idx="32">
                  <c:v>105</c:v>
                </c:pt>
                <c:pt idx="33">
                  <c:v>105.21</c:v>
                </c:pt>
                <c:pt idx="34">
                  <c:v>105.98</c:v>
                </c:pt>
                <c:pt idx="35">
                  <c:v>106.1</c:v>
                </c:pt>
                <c:pt idx="36" formatCode="0.00">
                  <c:v>106.6275862258244</c:v>
                </c:pt>
                <c:pt idx="37" formatCode="0.00">
                  <c:v>106.92250368893606</c:v>
                </c:pt>
                <c:pt idx="38" formatCode="0.00">
                  <c:v>106.94</c:v>
                </c:pt>
                <c:pt idx="39">
                  <c:v>107.36</c:v>
                </c:pt>
                <c:pt idx="40">
                  <c:v>107.81</c:v>
                </c:pt>
                <c:pt idx="41">
                  <c:v>108.36</c:v>
                </c:pt>
                <c:pt idx="42">
                  <c:v>108.83</c:v>
                </c:pt>
                <c:pt idx="43">
                  <c:v>109.15</c:v>
                </c:pt>
                <c:pt idx="44">
                  <c:v>109.81</c:v>
                </c:pt>
                <c:pt idx="45">
                  <c:v>110.05</c:v>
                </c:pt>
                <c:pt idx="46" formatCode="0.00">
                  <c:v>110</c:v>
                </c:pt>
                <c:pt idx="47">
                  <c:v>110.15</c:v>
                </c:pt>
                <c:pt idx="48">
                  <c:v>110.33</c:v>
                </c:pt>
              </c:numCache>
            </c:numRef>
          </c:val>
          <c:extLst>
            <c:ext xmlns:c16="http://schemas.microsoft.com/office/drawing/2014/chart" uri="{C3380CC4-5D6E-409C-BE32-E72D297353CC}">
              <c16:uniqueId val="{00000000-B4FC-4508-9F62-7C7DB3026377}"/>
            </c:ext>
          </c:extLst>
        </c:ser>
        <c:dLbls>
          <c:showLegendKey val="0"/>
          <c:showVal val="0"/>
          <c:showCatName val="0"/>
          <c:showSerName val="0"/>
          <c:showPercent val="0"/>
          <c:showBubbleSize val="0"/>
        </c:dLbls>
        <c:gapWidth val="219"/>
        <c:axId val="383548104"/>
        <c:axId val="383550456"/>
      </c:barChart>
      <c:lineChart>
        <c:grouping val="standard"/>
        <c:varyColors val="0"/>
        <c:ser>
          <c:idx val="1"/>
          <c:order val="1"/>
          <c:tx>
            <c:strRef>
              <c:f>'ipc - Quito'!$A$3</c:f>
              <c:strCache>
                <c:ptCount val="1"/>
                <c:pt idx="0">
                  <c:v>Variación mensual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'ipc - Quito'!$B$1:$AX$1</c:f>
              <c:strCache>
                <c:ptCount val="49"/>
                <c:pt idx="0">
                  <c:v>ene-19</c:v>
                </c:pt>
                <c:pt idx="1">
                  <c:v>feb-19</c:v>
                </c:pt>
                <c:pt idx="2">
                  <c:v>mar-19</c:v>
                </c:pt>
                <c:pt idx="3">
                  <c:v>abr-19</c:v>
                </c:pt>
                <c:pt idx="4">
                  <c:v>may-19</c:v>
                </c:pt>
                <c:pt idx="5">
                  <c:v>jun-19</c:v>
                </c:pt>
                <c:pt idx="6">
                  <c:v>jul-19</c:v>
                </c:pt>
                <c:pt idx="7">
                  <c:v>ago-19</c:v>
                </c:pt>
                <c:pt idx="8">
                  <c:v>sep-19</c:v>
                </c:pt>
                <c:pt idx="9">
                  <c:v>oct-19</c:v>
                </c:pt>
                <c:pt idx="10">
                  <c:v>nov-19</c:v>
                </c:pt>
                <c:pt idx="11">
                  <c:v>dic-19</c:v>
                </c:pt>
                <c:pt idx="12">
                  <c:v>ene-20</c:v>
                </c:pt>
                <c:pt idx="13">
                  <c:v>feb-20</c:v>
                </c:pt>
                <c:pt idx="14">
                  <c:v>mar-20</c:v>
                </c:pt>
                <c:pt idx="15">
                  <c:v>abr-20</c:v>
                </c:pt>
                <c:pt idx="16">
                  <c:v>may-20</c:v>
                </c:pt>
                <c:pt idx="17">
                  <c:v>jun-20</c:v>
                </c:pt>
                <c:pt idx="18">
                  <c:v>jul-20</c:v>
                </c:pt>
                <c:pt idx="19">
                  <c:v>ago-20</c:v>
                </c:pt>
                <c:pt idx="20">
                  <c:v>sep-20</c:v>
                </c:pt>
                <c:pt idx="21">
                  <c:v>oct-20</c:v>
                </c:pt>
                <c:pt idx="22">
                  <c:v>nov-20</c:v>
                </c:pt>
                <c:pt idx="23">
                  <c:v>dic-20</c:v>
                </c:pt>
                <c:pt idx="24">
                  <c:v>ene-21</c:v>
                </c:pt>
                <c:pt idx="25">
                  <c:v>feb-21</c:v>
                </c:pt>
                <c:pt idx="26">
                  <c:v>mar-21</c:v>
                </c:pt>
                <c:pt idx="27">
                  <c:v>abr-21</c:v>
                </c:pt>
                <c:pt idx="28">
                  <c:v>may-21</c:v>
                </c:pt>
                <c:pt idx="29">
                  <c:v>jun-21</c:v>
                </c:pt>
                <c:pt idx="30">
                  <c:v>jul-21</c:v>
                </c:pt>
                <c:pt idx="31">
                  <c:v>ago-21</c:v>
                </c:pt>
                <c:pt idx="32">
                  <c:v>sep-21</c:v>
                </c:pt>
                <c:pt idx="33">
                  <c:v>oct-21</c:v>
                </c:pt>
                <c:pt idx="34">
                  <c:v>nov-21</c:v>
                </c:pt>
                <c:pt idx="35">
                  <c:v>dic-21</c:v>
                </c:pt>
                <c:pt idx="36">
                  <c:v>ene-22</c:v>
                </c:pt>
                <c:pt idx="37">
                  <c:v>feb-22</c:v>
                </c:pt>
                <c:pt idx="38">
                  <c:v>mar-22</c:v>
                </c:pt>
                <c:pt idx="39">
                  <c:v>abr-22</c:v>
                </c:pt>
                <c:pt idx="40">
                  <c:v>may-22</c:v>
                </c:pt>
                <c:pt idx="41">
                  <c:v>jun-22</c:v>
                </c:pt>
                <c:pt idx="42">
                  <c:v>jul-22</c:v>
                </c:pt>
                <c:pt idx="43">
                  <c:v>ago-22</c:v>
                </c:pt>
                <c:pt idx="44">
                  <c:v>sep-22</c:v>
                </c:pt>
                <c:pt idx="45">
                  <c:v>oct-22</c:v>
                </c:pt>
                <c:pt idx="46">
                  <c:v>nov-22</c:v>
                </c:pt>
                <c:pt idx="47">
                  <c:v>dic-22</c:v>
                </c:pt>
                <c:pt idx="48">
                  <c:v>ene-23</c:v>
                </c:pt>
              </c:strCache>
            </c:strRef>
          </c:cat>
          <c:val>
            <c:numRef>
              <c:f>'ipc - Quito'!$B$3:$AX$3</c:f>
              <c:numCache>
                <c:formatCode>0.00%</c:formatCode>
                <c:ptCount val="49"/>
                <c:pt idx="1">
                  <c:v>-3.1231595717445826E-3</c:v>
                </c:pt>
                <c:pt idx="2">
                  <c:v>-2.3091913476935844E-3</c:v>
                </c:pt>
                <c:pt idx="3">
                  <c:v>1.1417513671498902E-3</c:v>
                </c:pt>
                <c:pt idx="4">
                  <c:v>5.0804059008324742E-4</c:v>
                </c:pt>
                <c:pt idx="5">
                  <c:v>3.4803961050533516E-4</c:v>
                </c:pt>
                <c:pt idx="6">
                  <c:v>2.705458188707377E-3</c:v>
                </c:pt>
                <c:pt idx="7">
                  <c:v>-1.1396126921628946E-3</c:v>
                </c:pt>
                <c:pt idx="8">
                  <c:v>9.7299127445915623E-4</c:v>
                </c:pt>
                <c:pt idx="9">
                  <c:v>3.531687967071262E-3</c:v>
                </c:pt>
                <c:pt idx="10">
                  <c:v>-6.9572941963504942E-3</c:v>
                </c:pt>
                <c:pt idx="11">
                  <c:v>-9.6398646854278791E-4</c:v>
                </c:pt>
                <c:pt idx="12">
                  <c:v>1.8190247571963081E-3</c:v>
                </c:pt>
                <c:pt idx="13">
                  <c:v>-1.2040776606868642E-3</c:v>
                </c:pt>
                <c:pt idx="14">
                  <c:v>2.9945806136328912E-3</c:v>
                </c:pt>
                <c:pt idx="15">
                  <c:v>-1.8027246435784461E-3</c:v>
                </c:pt>
                <c:pt idx="16">
                  <c:v>6.9527083608345031E-4</c:v>
                </c:pt>
                <c:pt idx="17">
                  <c:v>-2.3513574078112276E-3</c:v>
                </c:pt>
                <c:pt idx="18">
                  <c:v>-5.9131182056323395E-3</c:v>
                </c:pt>
                <c:pt idx="19">
                  <c:v>-1.3732313043341993E-3</c:v>
                </c:pt>
                <c:pt idx="20">
                  <c:v>-2.2225869866875358E-3</c:v>
                </c:pt>
                <c:pt idx="21">
                  <c:v>-3.250482539384647E-3</c:v>
                </c:pt>
                <c:pt idx="22">
                  <c:v>2.2960578833952638E-4</c:v>
                </c:pt>
                <c:pt idx="23">
                  <c:v>0</c:v>
                </c:pt>
                <c:pt idx="24">
                  <c:v>6.6389828573143461E-4</c:v>
                </c:pt>
                <c:pt idx="25">
                  <c:v>-5.7664584334460312E-4</c:v>
                </c:pt>
                <c:pt idx="26">
                  <c:v>2.1155880373113778E-3</c:v>
                </c:pt>
                <c:pt idx="27">
                  <c:v>2.0151616927359672E-3</c:v>
                </c:pt>
                <c:pt idx="28">
                  <c:v>-5.7460256655816888E-4</c:v>
                </c:pt>
                <c:pt idx="29">
                  <c:v>2.8746646224608874E-4</c:v>
                </c:pt>
                <c:pt idx="30">
                  <c:v>4.1191685027299751E-3</c:v>
                </c:pt>
                <c:pt idx="31">
                  <c:v>2.2896393817974925E-3</c:v>
                </c:pt>
                <c:pt idx="32">
                  <c:v>-5.711022272987254E-4</c:v>
                </c:pt>
                <c:pt idx="33">
                  <c:v>2.0000000000000018E-3</c:v>
                </c:pt>
                <c:pt idx="34">
                  <c:v>7.3186959414506259E-3</c:v>
                </c:pt>
                <c:pt idx="35">
                  <c:v>1.1322891111529287E-3</c:v>
                </c:pt>
                <c:pt idx="36">
                  <c:v>4.9725374724260973E-3</c:v>
                </c:pt>
                <c:pt idx="37">
                  <c:v>2.7658645717352215E-3</c:v>
                </c:pt>
                <c:pt idx="38">
                  <c:v>1.636354411866936E-4</c:v>
                </c:pt>
                <c:pt idx="39">
                  <c:v>3.9274359453900232E-3</c:v>
                </c:pt>
                <c:pt idx="40">
                  <c:v>4.1915052160954591E-3</c:v>
                </c:pt>
                <c:pt idx="41">
                  <c:v>5.1015675725814003E-3</c:v>
                </c:pt>
                <c:pt idx="42">
                  <c:v>4.3373938722774952E-3</c:v>
                </c:pt>
                <c:pt idx="43">
                  <c:v>2.9403657079849488E-3</c:v>
                </c:pt>
                <c:pt idx="44">
                  <c:v>6.0467246907924821E-3</c:v>
                </c:pt>
                <c:pt idx="45">
                  <c:v>2.1855932975138881E-3</c:v>
                </c:pt>
                <c:pt idx="46">
                  <c:v>-4.5433893684687643E-4</c:v>
                </c:pt>
                <c:pt idx="47">
                  <c:v>1.3636363636364557E-3</c:v>
                </c:pt>
                <c:pt idx="48">
                  <c:v>1.6341352700861567E-3</c:v>
                </c:pt>
              </c:numCache>
            </c:numRef>
          </c:val>
          <c:smooth val="0"/>
          <c:extLst>
            <c:ext xmlns:c16="http://schemas.microsoft.com/office/drawing/2014/chart" uri="{C3380CC4-5D6E-409C-BE32-E72D297353CC}">
              <c16:uniqueId val="{00000001-B4FC-4508-9F62-7C7DB3026377}"/>
            </c:ext>
          </c:extLst>
        </c:ser>
        <c:ser>
          <c:idx val="2"/>
          <c:order val="2"/>
          <c:tx>
            <c:strRef>
              <c:f>'ipc - Quito'!$A$4</c:f>
              <c:strCache>
                <c:ptCount val="1"/>
                <c:pt idx="0">
                  <c:v>Variación anual</c:v>
                </c:pt>
              </c:strCache>
            </c:strRef>
          </c:tx>
          <c:spPr>
            <a:ln w="19050" cap="rnd">
              <a:solidFill>
                <a:schemeClr val="accent1"/>
              </a:solidFill>
              <a:round/>
            </a:ln>
            <a:effectLst/>
          </c:spPr>
          <c:marker>
            <c:symbol val="circle"/>
            <c:size val="5"/>
            <c:spPr>
              <a:solidFill>
                <a:schemeClr val="accent3"/>
              </a:solidFill>
              <a:ln w="9525">
                <a:solidFill>
                  <a:schemeClr val="accent3"/>
                </a:solidFill>
              </a:ln>
              <a:effectLst/>
            </c:spPr>
          </c:marker>
          <c:dLbls>
            <c:dLbl>
              <c:idx val="35"/>
              <c:layout>
                <c:manualLayout>
                  <c:x val="-3.4703196347031964E-2"/>
                  <c:y val="-7.2222222222222215E-2"/>
                </c:manualLayout>
              </c:layout>
              <c:spPr>
                <a:noFill/>
                <a:ln>
                  <a:solidFill>
                    <a:schemeClr val="bg2"/>
                  </a:solid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FC-4508-9F62-7C7DB3026377}"/>
                </c:ext>
              </c:extLst>
            </c:dLbl>
            <c:dLbl>
              <c:idx val="47"/>
              <c:layout>
                <c:manualLayout>
                  <c:x val="-2.7397260273972601E-2"/>
                  <c:y val="-7.2222222222222215E-2"/>
                </c:manualLayout>
              </c:layout>
              <c:spPr>
                <a:noFill/>
                <a:ln>
                  <a:solidFill>
                    <a:schemeClr val="bg2"/>
                  </a:solid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FC-4508-9F62-7C7DB302637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'ipc - Quito'!$B$1:$AX$1</c:f>
              <c:strCache>
                <c:ptCount val="49"/>
                <c:pt idx="0">
                  <c:v>ene-19</c:v>
                </c:pt>
                <c:pt idx="1">
                  <c:v>feb-19</c:v>
                </c:pt>
                <c:pt idx="2">
                  <c:v>mar-19</c:v>
                </c:pt>
                <c:pt idx="3">
                  <c:v>abr-19</c:v>
                </c:pt>
                <c:pt idx="4">
                  <c:v>may-19</c:v>
                </c:pt>
                <c:pt idx="5">
                  <c:v>jun-19</c:v>
                </c:pt>
                <c:pt idx="6">
                  <c:v>jul-19</c:v>
                </c:pt>
                <c:pt idx="7">
                  <c:v>ago-19</c:v>
                </c:pt>
                <c:pt idx="8">
                  <c:v>sep-19</c:v>
                </c:pt>
                <c:pt idx="9">
                  <c:v>oct-19</c:v>
                </c:pt>
                <c:pt idx="10">
                  <c:v>nov-19</c:v>
                </c:pt>
                <c:pt idx="11">
                  <c:v>dic-19</c:v>
                </c:pt>
                <c:pt idx="12">
                  <c:v>ene-20</c:v>
                </c:pt>
                <c:pt idx="13">
                  <c:v>feb-20</c:v>
                </c:pt>
                <c:pt idx="14">
                  <c:v>mar-20</c:v>
                </c:pt>
                <c:pt idx="15">
                  <c:v>abr-20</c:v>
                </c:pt>
                <c:pt idx="16">
                  <c:v>may-20</c:v>
                </c:pt>
                <c:pt idx="17">
                  <c:v>jun-20</c:v>
                </c:pt>
                <c:pt idx="18">
                  <c:v>jul-20</c:v>
                </c:pt>
                <c:pt idx="19">
                  <c:v>ago-20</c:v>
                </c:pt>
                <c:pt idx="20">
                  <c:v>sep-20</c:v>
                </c:pt>
                <c:pt idx="21">
                  <c:v>oct-20</c:v>
                </c:pt>
                <c:pt idx="22">
                  <c:v>nov-20</c:v>
                </c:pt>
                <c:pt idx="23">
                  <c:v>dic-20</c:v>
                </c:pt>
                <c:pt idx="24">
                  <c:v>ene-21</c:v>
                </c:pt>
                <c:pt idx="25">
                  <c:v>feb-21</c:v>
                </c:pt>
                <c:pt idx="26">
                  <c:v>mar-21</c:v>
                </c:pt>
                <c:pt idx="27">
                  <c:v>abr-21</c:v>
                </c:pt>
                <c:pt idx="28">
                  <c:v>may-21</c:v>
                </c:pt>
                <c:pt idx="29">
                  <c:v>jun-21</c:v>
                </c:pt>
                <c:pt idx="30">
                  <c:v>jul-21</c:v>
                </c:pt>
                <c:pt idx="31">
                  <c:v>ago-21</c:v>
                </c:pt>
                <c:pt idx="32">
                  <c:v>sep-21</c:v>
                </c:pt>
                <c:pt idx="33">
                  <c:v>oct-21</c:v>
                </c:pt>
                <c:pt idx="34">
                  <c:v>nov-21</c:v>
                </c:pt>
                <c:pt idx="35">
                  <c:v>dic-21</c:v>
                </c:pt>
                <c:pt idx="36">
                  <c:v>ene-22</c:v>
                </c:pt>
                <c:pt idx="37">
                  <c:v>feb-22</c:v>
                </c:pt>
                <c:pt idx="38">
                  <c:v>mar-22</c:v>
                </c:pt>
                <c:pt idx="39">
                  <c:v>abr-22</c:v>
                </c:pt>
                <c:pt idx="40">
                  <c:v>may-22</c:v>
                </c:pt>
                <c:pt idx="41">
                  <c:v>jun-22</c:v>
                </c:pt>
                <c:pt idx="42">
                  <c:v>jul-22</c:v>
                </c:pt>
                <c:pt idx="43">
                  <c:v>ago-22</c:v>
                </c:pt>
                <c:pt idx="44">
                  <c:v>sep-22</c:v>
                </c:pt>
                <c:pt idx="45">
                  <c:v>oct-22</c:v>
                </c:pt>
                <c:pt idx="46">
                  <c:v>nov-22</c:v>
                </c:pt>
                <c:pt idx="47">
                  <c:v>dic-22</c:v>
                </c:pt>
                <c:pt idx="48">
                  <c:v>ene-23</c:v>
                </c:pt>
              </c:strCache>
            </c:strRef>
          </c:cat>
          <c:val>
            <c:numRef>
              <c:f>'ipc - Quito'!$B$4:$AX$4</c:f>
              <c:numCache>
                <c:formatCode>General</c:formatCode>
                <c:ptCount val="49"/>
                <c:pt idx="12" formatCode="0.00%">
                  <c:v>-3.505918785026485E-3</c:v>
                </c:pt>
                <c:pt idx="13" formatCode="0.00%">
                  <c:v>-1.5875737215437224E-3</c:v>
                </c:pt>
                <c:pt idx="14" formatCode="0.00%">
                  <c:v>3.7200343935281932E-3</c:v>
                </c:pt>
                <c:pt idx="15" formatCode="0.00%">
                  <c:v>7.6797534821970714E-4</c:v>
                </c:pt>
                <c:pt idx="16" formatCode="0.00%">
                  <c:v>9.5525423715625557E-4</c:v>
                </c:pt>
                <c:pt idx="17" formatCode="0.00%">
                  <c:v>-1.745781324235085E-3</c:v>
                </c:pt>
                <c:pt idx="18" formatCode="0.00%">
                  <c:v>-1.0326097881173446E-2</c:v>
                </c:pt>
                <c:pt idx="19" formatCode="0.00%">
                  <c:v>-1.0557567910872256E-2</c:v>
                </c:pt>
                <c:pt idx="20" formatCode="0.00%">
                  <c:v>-1.3716335184517203E-2</c:v>
                </c:pt>
                <c:pt idx="21" formatCode="0.00%">
                  <c:v>-2.038193833658275E-2</c:v>
                </c:pt>
                <c:pt idx="22" formatCode="0.00%">
                  <c:v>-1.3292195880166169E-2</c:v>
                </c:pt>
                <c:pt idx="23" formatCode="0.00%">
                  <c:v>-1.2340105105965837E-2</c:v>
                </c:pt>
                <c:pt idx="24" formatCode="0.00%">
                  <c:v>-1.3478905688908194E-2</c:v>
                </c:pt>
                <c:pt idx="25" formatCode="0.00%">
                  <c:v>-1.2859184773748256E-2</c:v>
                </c:pt>
                <c:pt idx="26" formatCode="0.00%">
                  <c:v>-1.3724283613900545E-2</c:v>
                </c:pt>
                <c:pt idx="27" formatCode="0.00%">
                  <c:v>-9.9519946341649623E-3</c:v>
                </c:pt>
                <c:pt idx="28" formatCode="0.00%">
                  <c:v>-1.1208356751577608E-2</c:v>
                </c:pt>
                <c:pt idx="29" formatCode="0.00%">
                  <c:v>-8.5929600284010421E-3</c:v>
                </c:pt>
                <c:pt idx="30" formatCode="0.00%">
                  <c:v>1.4122818190025477E-3</c:v>
                </c:pt>
                <c:pt idx="31" formatCode="0.00%">
                  <c:v>5.0853695098100893E-3</c:v>
                </c:pt>
                <c:pt idx="32" formatCode="0.00%">
                  <c:v>6.748950132082765E-3</c:v>
                </c:pt>
                <c:pt idx="33" formatCode="0.00%">
                  <c:v>1.2052105730972817E-2</c:v>
                </c:pt>
                <c:pt idx="34" formatCode="0.00%">
                  <c:v>1.9224987412992167E-2</c:v>
                </c:pt>
                <c:pt idx="35" formatCode="0.00%">
                  <c:v>2.0379044768054966E-2</c:v>
                </c:pt>
                <c:pt idx="36" formatCode="0.00%">
                  <c:v>2.4772573049729907E-2</c:v>
                </c:pt>
                <c:pt idx="37" formatCode="0.00%">
                  <c:v>2.8199862380383411E-2</c:v>
                </c:pt>
                <c:pt idx="38" formatCode="0.00%">
                  <c:v>2.6197102005565798E-2</c:v>
                </c:pt>
                <c:pt idx="39" formatCode="0.00%">
                  <c:v>2.8155525761348388E-2</c:v>
                </c:pt>
                <c:pt idx="40" formatCode="0.00%">
                  <c:v>3.3058643158298207E-2</c:v>
                </c:pt>
                <c:pt idx="41" formatCode="0.00%">
                  <c:v>3.8030462687996813E-2</c:v>
                </c:pt>
                <c:pt idx="42" formatCode="0.00%">
                  <c:v>3.8256058004197735E-2</c:v>
                </c:pt>
                <c:pt idx="43" formatCode="0.00%">
                  <c:v>3.8930135160860413E-2</c:v>
                </c:pt>
                <c:pt idx="44" formatCode="0.00%">
                  <c:v>4.5809523809523744E-2</c:v>
                </c:pt>
                <c:pt idx="45" formatCode="0.00%">
                  <c:v>4.6003231631974284E-2</c:v>
                </c:pt>
                <c:pt idx="46" formatCode="0.00%">
                  <c:v>3.793168522362711E-2</c:v>
                </c:pt>
                <c:pt idx="47" formatCode="0.00%">
                  <c:v>3.8171536286522256E-2</c:v>
                </c:pt>
                <c:pt idx="48" formatCode="0.00%">
                  <c:v>3.4722850860886334E-2</c:v>
                </c:pt>
              </c:numCache>
            </c:numRef>
          </c:val>
          <c:smooth val="0"/>
          <c:extLst>
            <c:ext xmlns:c16="http://schemas.microsoft.com/office/drawing/2014/chart" uri="{C3380CC4-5D6E-409C-BE32-E72D297353CC}">
              <c16:uniqueId val="{00000004-B4FC-4508-9F62-7C7DB3026377}"/>
            </c:ext>
          </c:extLst>
        </c:ser>
        <c:dLbls>
          <c:showLegendKey val="0"/>
          <c:showVal val="0"/>
          <c:showCatName val="0"/>
          <c:showSerName val="0"/>
          <c:showPercent val="0"/>
          <c:showBubbleSize val="0"/>
        </c:dLbls>
        <c:marker val="1"/>
        <c:smooth val="0"/>
        <c:axId val="449167000"/>
        <c:axId val="383550848"/>
      </c:lineChart>
      <c:catAx>
        <c:axId val="383548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50456"/>
        <c:crosses val="autoZero"/>
        <c:auto val="1"/>
        <c:lblAlgn val="ctr"/>
        <c:lblOffset val="100"/>
        <c:noMultiLvlLbl val="0"/>
      </c:catAx>
      <c:valAx>
        <c:axId val="38355045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8104"/>
        <c:crosses val="autoZero"/>
        <c:crossBetween val="between"/>
      </c:valAx>
      <c:valAx>
        <c:axId val="383550848"/>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9167000"/>
        <c:crosses val="max"/>
        <c:crossBetween val="between"/>
      </c:valAx>
      <c:catAx>
        <c:axId val="449167000"/>
        <c:scaling>
          <c:orientation val="minMax"/>
        </c:scaling>
        <c:delete val="1"/>
        <c:axPos val="b"/>
        <c:numFmt formatCode="General" sourceLinked="1"/>
        <c:majorTickMark val="out"/>
        <c:minorTickMark val="none"/>
        <c:tickLblPos val="nextTo"/>
        <c:crossAx val="383550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6181102362205"/>
          <c:y val="2.7777777777777776E-2"/>
          <c:w val="0.82434208223972005"/>
          <c:h val="0.58477981918926802"/>
        </c:manualLayout>
      </c:layout>
      <c:barChart>
        <c:barDir val="col"/>
        <c:grouping val="clustered"/>
        <c:varyColors val="0"/>
        <c:ser>
          <c:idx val="0"/>
          <c:order val="0"/>
          <c:tx>
            <c:strRef>
              <c:f>'G:\Mi unidad\Profitas\clientes\AEI\[Gráficos economía post pandemia (1).xlsx]Gráfico 12'!$C$9</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'G:\Mi unidad\Profitas\clientes\AEI\[Gráficos economía post pandemia (1).xlsx]Gráfico 12'!$D$8:$Q$8</c:f>
              <c:strCache>
                <c:ptCount val="14"/>
                <c:pt idx="0">
                  <c:v>Agricultura, ganadería</c:v>
                </c:pt>
                <c:pt idx="1">
                  <c:v>Minas y canteras</c:v>
                </c:pt>
                <c:pt idx="2">
                  <c:v>Manufactura</c:v>
                </c:pt>
                <c:pt idx="3">
                  <c:v>Electricidad y agua</c:v>
                </c:pt>
                <c:pt idx="4">
                  <c:v>Construcción</c:v>
                </c:pt>
                <c:pt idx="5">
                  <c:v>Comercio</c:v>
                </c:pt>
                <c:pt idx="6">
                  <c:v>Alojamiento y comida</c:v>
                </c:pt>
                <c:pt idx="7">
                  <c:v>Transporte y comunic.</c:v>
                </c:pt>
                <c:pt idx="8">
                  <c:v>Actividades financieras
</c:v>
                </c:pt>
                <c:pt idx="9">
                  <c:v>Actividades profesionales</c:v>
                </c:pt>
                <c:pt idx="10">
                  <c:v>Administración pública 
</c:v>
                </c:pt>
                <c:pt idx="11">
                  <c:v>Enseñanza</c:v>
                </c:pt>
                <c:pt idx="12">
                  <c:v>Salud</c:v>
                </c:pt>
                <c:pt idx="13">
                  <c:v>Otros servicios</c:v>
                </c:pt>
              </c:strCache>
            </c:strRef>
          </c:cat>
          <c:val>
            <c:numRef>
              <c:f>'G:\Mi unidad\Profitas\clientes\AEI\[Gráficos economía post pandemia (1).xlsx]Gráfico 12'!$D$9:$Q$9</c:f>
              <c:numCache>
                <c:formatCode>General</c:formatCode>
                <c:ptCount val="14"/>
                <c:pt idx="0">
                  <c:v>1.8416699906311593E-2</c:v>
                </c:pt>
                <c:pt idx="1">
                  <c:v>3.7002477453930184E-3</c:v>
                </c:pt>
                <c:pt idx="2">
                  <c:v>0.17830539353963754</c:v>
                </c:pt>
                <c:pt idx="3">
                  <c:v>1.5375949558759221E-2</c:v>
                </c:pt>
                <c:pt idx="4">
                  <c:v>9.1110586985526432E-2</c:v>
                </c:pt>
                <c:pt idx="5">
                  <c:v>6.6037508324076732E-2</c:v>
                </c:pt>
                <c:pt idx="6">
                  <c:v>2.1902942794398379E-2</c:v>
                </c:pt>
                <c:pt idx="7">
                  <c:v>7.972315027343807E-2</c:v>
                </c:pt>
                <c:pt idx="8">
                  <c:v>6.7120032518496145E-2</c:v>
                </c:pt>
                <c:pt idx="9">
                  <c:v>0.22907020842622774</c:v>
                </c:pt>
                <c:pt idx="10">
                  <c:v>0.12594932857199281</c:v>
                </c:pt>
                <c:pt idx="11">
                  <c:v>3.7414638815999171E-2</c:v>
                </c:pt>
                <c:pt idx="12">
                  <c:v>3.210586567201925E-2</c:v>
                </c:pt>
                <c:pt idx="13">
                  <c:v>3.3767446867723851E-2</c:v>
                </c:pt>
              </c:numCache>
            </c:numRef>
          </c:val>
          <c:extLst>
            <c:ext xmlns:c16="http://schemas.microsoft.com/office/drawing/2014/chart" uri="{C3380CC4-5D6E-409C-BE32-E72D297353CC}">
              <c16:uniqueId val="{00000000-F73D-4D90-A3AC-090436DD88D8}"/>
            </c:ext>
          </c:extLst>
        </c:ser>
        <c:ser>
          <c:idx val="1"/>
          <c:order val="1"/>
          <c:tx>
            <c:strRef>
              <c:f>'G:\Mi unidad\Profitas\clientes\AEI\[Gráficos economía post pandemia (1).xlsx]Gráfico 12'!$C$10</c:f>
              <c:strCache>
                <c:ptCount val="1"/>
                <c:pt idx="0">
                  <c:v>2020</c:v>
                </c:pt>
              </c:strCache>
            </c:strRef>
          </c:tx>
          <c:spPr>
            <a:solidFill>
              <a:schemeClr val="tx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'G:\Mi unidad\Profitas\clientes\AEI\[Gráficos economía post pandemia (1).xlsx]Gráfico 12'!$D$8:$Q$8</c:f>
              <c:strCache>
                <c:ptCount val="14"/>
                <c:pt idx="0">
                  <c:v>Agricultura, ganadería</c:v>
                </c:pt>
                <c:pt idx="1">
                  <c:v>Minas y canteras</c:v>
                </c:pt>
                <c:pt idx="2">
                  <c:v>Manufactura</c:v>
                </c:pt>
                <c:pt idx="3">
                  <c:v>Electricidad y agua</c:v>
                </c:pt>
                <c:pt idx="4">
                  <c:v>Construcción</c:v>
                </c:pt>
                <c:pt idx="5">
                  <c:v>Comercio</c:v>
                </c:pt>
                <c:pt idx="6">
                  <c:v>Alojamiento y comida</c:v>
                </c:pt>
                <c:pt idx="7">
                  <c:v>Transporte y comunic.</c:v>
                </c:pt>
                <c:pt idx="8">
                  <c:v>Actividades financieras
</c:v>
                </c:pt>
                <c:pt idx="9">
                  <c:v>Actividades profesionales</c:v>
                </c:pt>
                <c:pt idx="10">
                  <c:v>Administración pública 
</c:v>
                </c:pt>
                <c:pt idx="11">
                  <c:v>Enseñanza</c:v>
                </c:pt>
                <c:pt idx="12">
                  <c:v>Salud</c:v>
                </c:pt>
                <c:pt idx="13">
                  <c:v>Otros servicios</c:v>
                </c:pt>
              </c:strCache>
            </c:strRef>
          </c:cat>
          <c:val>
            <c:numRef>
              <c:f>'G:\Mi unidad\Profitas\clientes\AEI\[Gráficos economía post pandemia (1).xlsx]Gráfico 12'!$D$10:$Q$10</c:f>
              <c:numCache>
                <c:formatCode>General</c:formatCode>
                <c:ptCount val="14"/>
                <c:pt idx="0">
                  <c:v>1.7439057303971918E-2</c:v>
                </c:pt>
                <c:pt idx="1">
                  <c:v>4.0101763531303156E-3</c:v>
                </c:pt>
                <c:pt idx="2">
                  <c:v>0.18216130072729506</c:v>
                </c:pt>
                <c:pt idx="3">
                  <c:v>1.5724553236957751E-2</c:v>
                </c:pt>
                <c:pt idx="4">
                  <c:v>7.1521851876342232E-2</c:v>
                </c:pt>
                <c:pt idx="5">
                  <c:v>6.1575229319127227E-2</c:v>
                </c:pt>
                <c:pt idx="6">
                  <c:v>1.8719729465144722E-2</c:v>
                </c:pt>
                <c:pt idx="7">
                  <c:v>7.7135465061803743E-2</c:v>
                </c:pt>
                <c:pt idx="8">
                  <c:v>7.082545450597752E-2</c:v>
                </c:pt>
                <c:pt idx="9">
                  <c:v>0.20489719347254043</c:v>
                </c:pt>
                <c:pt idx="10">
                  <c:v>0.16907795591083141</c:v>
                </c:pt>
                <c:pt idx="11">
                  <c:v>3.8252294320363228E-2</c:v>
                </c:pt>
                <c:pt idx="12">
                  <c:v>3.9841535527086476E-2</c:v>
                </c:pt>
                <c:pt idx="13">
                  <c:v>2.8818202919427952E-2</c:v>
                </c:pt>
              </c:numCache>
            </c:numRef>
          </c:val>
          <c:extLst>
            <c:ext xmlns:c16="http://schemas.microsoft.com/office/drawing/2014/chart" uri="{C3380CC4-5D6E-409C-BE32-E72D297353CC}">
              <c16:uniqueId val="{00000001-F73D-4D90-A3AC-090436DD88D8}"/>
            </c:ext>
          </c:extLst>
        </c:ser>
        <c:dLbls>
          <c:dLblPos val="outEnd"/>
          <c:showLegendKey val="0"/>
          <c:showVal val="1"/>
          <c:showCatName val="0"/>
          <c:showSerName val="0"/>
          <c:showPercent val="0"/>
          <c:showBubbleSize val="0"/>
        </c:dLbls>
        <c:gapWidth val="100"/>
        <c:overlap val="-27"/>
        <c:axId val="46682847"/>
        <c:axId val="46677023"/>
      </c:barChart>
      <c:catAx>
        <c:axId val="4668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77023"/>
        <c:crosses val="autoZero"/>
        <c:auto val="1"/>
        <c:lblAlgn val="ctr"/>
        <c:lblOffset val="100"/>
        <c:noMultiLvlLbl val="0"/>
      </c:catAx>
      <c:valAx>
        <c:axId val="46677023"/>
        <c:scaling>
          <c:orientation val="minMax"/>
          <c:max val="0.3000000000000000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Peso en el VAB cantonal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82847"/>
        <c:crosses val="autoZero"/>
        <c:crossBetween val="between"/>
      </c:valAx>
      <c:spPr>
        <a:noFill/>
        <a:ln>
          <a:noFill/>
        </a:ln>
        <a:effectLst/>
      </c:spPr>
    </c:plotArea>
    <c:legend>
      <c:legendPos val="r"/>
      <c:layout>
        <c:manualLayout>
          <c:xMode val="edge"/>
          <c:yMode val="edge"/>
          <c:x val="0.41075962379702541"/>
          <c:y val="6.076334208223972E-2"/>
          <c:w val="0.19201815398075239"/>
          <c:h val="9.60659084281131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'g38'!$B$1</c:f>
              <c:strCache>
                <c:ptCount val="1"/>
                <c:pt idx="0">
                  <c:v>Ventas</c:v>
                </c:pt>
              </c:strCache>
            </c:strRef>
          </c:tx>
          <c:spPr>
            <a:solidFill>
              <a:schemeClr val="accent1"/>
            </a:solidFill>
            <a:ln>
              <a:noFill/>
            </a:ln>
            <a:effectLst/>
          </c:spPr>
          <c:invertIfNegative val="0"/>
          <c:dPt>
            <c:idx val="2"/>
            <c:invertIfNegative val="0"/>
            <c:bubble3D val="0"/>
            <c:spPr>
              <a:solidFill>
                <a:schemeClr val="tx1"/>
              </a:solidFill>
              <a:ln>
                <a:noFill/>
              </a:ln>
              <a:effectLst/>
            </c:spPr>
            <c:extLst>
              <c:ext xmlns:c16="http://schemas.microsoft.com/office/drawing/2014/chart" uri="{C3380CC4-5D6E-409C-BE32-E72D297353CC}">
                <c16:uniqueId val="{00000001-19F4-41D9-805F-23052FF5CD4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'g38'!$A$2:$A$14</c:f>
              <c:strCache>
                <c:ptCount val="13"/>
                <c:pt idx="0">
                  <c:v>turismo</c:v>
                </c:pt>
                <c:pt idx="1">
                  <c:v>construcción</c:v>
                </c:pt>
                <c:pt idx="2">
                  <c:v>total</c:v>
                </c:pt>
                <c:pt idx="3">
                  <c:v>sustancias y productos químicos</c:v>
                </c:pt>
                <c:pt idx="4">
                  <c:v>floricultura </c:v>
                </c:pt>
                <c:pt idx="5">
                  <c:v>servicios financieros</c:v>
                </c:pt>
                <c:pt idx="6">
                  <c:v>productos alimenticios</c:v>
                </c:pt>
                <c:pt idx="7">
                  <c:v>servicios tecnológicos</c:v>
                </c:pt>
                <c:pt idx="8">
                  <c:v>productos de caucho y plástico</c:v>
                </c:pt>
                <c:pt idx="9">
                  <c:v>salud</c:v>
                </c:pt>
                <c:pt idx="10">
                  <c:v>industria forestal</c:v>
                </c:pt>
                <c:pt idx="11">
                  <c:v>productos farmacéuticos</c:v>
                </c:pt>
                <c:pt idx="12">
                  <c:v>comercio electrónico</c:v>
                </c:pt>
              </c:strCache>
            </c:strRef>
          </c:cat>
          <c:val>
            <c:numRef>
              <c:f>'g38'!$B$2:$B$14</c:f>
              <c:numCache>
                <c:formatCode>General</c:formatCode>
                <c:ptCount val="13"/>
                <c:pt idx="0">
                  <c:v>-0.54857472434649579</c:v>
                </c:pt>
                <c:pt idx="1">
                  <c:v>-0.34453322965304045</c:v>
                </c:pt>
                <c:pt idx="2">
                  <c:v>-0.22861972807790665</c:v>
                </c:pt>
                <c:pt idx="3">
                  <c:v>-0.14427873119445356</c:v>
                </c:pt>
                <c:pt idx="4">
                  <c:v>-8.5974918612641171E-2</c:v>
                </c:pt>
                <c:pt idx="5">
                  <c:v>-7.4040466643160441E-2</c:v>
                </c:pt>
                <c:pt idx="6">
                  <c:v>-6.30630169492985E-2</c:v>
                </c:pt>
                <c:pt idx="7">
                  <c:v>-5.0572986739350179E-2</c:v>
                </c:pt>
                <c:pt idx="8">
                  <c:v>-5.0408860391520927E-2</c:v>
                </c:pt>
                <c:pt idx="9">
                  <c:v>-4.5126613171048824E-2</c:v>
                </c:pt>
                <c:pt idx="10">
                  <c:v>3.5000000000000003E-2</c:v>
                </c:pt>
                <c:pt idx="11">
                  <c:v>5.9354738570585042E-2</c:v>
                </c:pt>
                <c:pt idx="12">
                  <c:v>8.5032007631334228E-2</c:v>
                </c:pt>
              </c:numCache>
            </c:numRef>
          </c:val>
          <c:extLst>
            <c:ext xmlns:c16="http://schemas.microsoft.com/office/drawing/2014/chart" uri="{C3380CC4-5D6E-409C-BE32-E72D297353CC}">
              <c16:uniqueId val="{00000002-19F4-41D9-805F-23052FF5CD4D}"/>
            </c:ext>
          </c:extLst>
        </c:ser>
        <c:dLbls>
          <c:dLblPos val="outEnd"/>
          <c:showLegendKey val="0"/>
          <c:showVal val="1"/>
          <c:showCatName val="0"/>
          <c:showSerName val="0"/>
          <c:showPercent val="0"/>
          <c:showBubbleSize val="0"/>
        </c:dLbls>
        <c:gapWidth val="100"/>
        <c:axId val="288457744"/>
        <c:axId val="288459824"/>
      </c:barChart>
      <c:catAx>
        <c:axId val="28845774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459824"/>
        <c:crosses val="autoZero"/>
        <c:auto val="1"/>
        <c:lblAlgn val="ctr"/>
        <c:lblOffset val="100"/>
        <c:noMultiLvlLbl val="0"/>
      </c:catAx>
      <c:valAx>
        <c:axId val="288459824"/>
        <c:scaling>
          <c:orientation val="minMax"/>
          <c:min val="-0.70000000000000007"/>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4577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'g39'!$B$1</c:f>
              <c:strCache>
                <c:ptCount val="1"/>
                <c:pt idx="0">
                  <c:v>IHH</c:v>
                </c:pt>
              </c:strCache>
            </c:strRef>
          </c:tx>
          <c:spPr>
            <a:solidFill>
              <a:schemeClr val="accent5"/>
            </a:solidFill>
            <a:ln>
              <a:noFill/>
            </a:ln>
            <a:effectLst/>
          </c:spPr>
          <c:invertIfNegative val="0"/>
          <c:dPt>
            <c:idx val="1"/>
            <c:invertIfNegative val="0"/>
            <c:bubble3D val="0"/>
            <c:spPr>
              <a:solidFill>
                <a:schemeClr val="tx1"/>
              </a:solidFill>
              <a:ln>
                <a:noFill/>
              </a:ln>
              <a:effectLst/>
            </c:spPr>
            <c:extLst>
              <c:ext xmlns:c16="http://schemas.microsoft.com/office/drawing/2014/chart" uri="{C3380CC4-5D6E-409C-BE32-E72D297353CC}">
                <c16:uniqueId val="{00000001-82D1-41A9-9EF0-212C2F83BE1A}"/>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3-82D1-41A9-9EF0-212C2F83BE1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'g39'!$A$2:$A$10</c:f>
              <c:strCache>
                <c:ptCount val="9"/>
                <c:pt idx="0">
                  <c:v>servicios empresariales</c:v>
                </c:pt>
                <c:pt idx="1">
                  <c:v>total</c:v>
                </c:pt>
                <c:pt idx="2">
                  <c:v>salud</c:v>
                </c:pt>
                <c:pt idx="3">
                  <c:v>construcción</c:v>
                </c:pt>
                <c:pt idx="4">
                  <c:v>transporte y logística</c:v>
                </c:pt>
                <c:pt idx="5">
                  <c:v>industria textil</c:v>
                </c:pt>
                <c:pt idx="6">
                  <c:v>turismo</c:v>
                </c:pt>
                <c:pt idx="7">
                  <c:v>educación</c:v>
                </c:pt>
                <c:pt idx="8">
                  <c:v>floricultura </c:v>
                </c:pt>
              </c:strCache>
            </c:strRef>
          </c:cat>
          <c:val>
            <c:numRef>
              <c:f>'g39'!$B$2:$B$10</c:f>
              <c:numCache>
                <c:formatCode>General</c:formatCode>
                <c:ptCount val="9"/>
                <c:pt idx="0">
                  <c:v>39.523492701844134</c:v>
                </c:pt>
                <c:pt idx="1">
                  <c:v>137.13963530804978</c:v>
                </c:pt>
                <c:pt idx="2">
                  <c:v>204</c:v>
                </c:pt>
                <c:pt idx="3">
                  <c:v>210.10065824808396</c:v>
                </c:pt>
                <c:pt idx="4">
                  <c:v>218.00849914550699</c:v>
                </c:pt>
                <c:pt idx="5">
                  <c:v>253.50405086100625</c:v>
                </c:pt>
                <c:pt idx="6">
                  <c:v>391.34831643716609</c:v>
                </c:pt>
                <c:pt idx="7">
                  <c:v>398.42687042694655</c:v>
                </c:pt>
                <c:pt idx="8">
                  <c:v>442.19508640978751</c:v>
                </c:pt>
              </c:numCache>
            </c:numRef>
          </c:val>
          <c:extLst>
            <c:ext xmlns:c16="http://schemas.microsoft.com/office/drawing/2014/chart" uri="{C3380CC4-5D6E-409C-BE32-E72D297353CC}">
              <c16:uniqueId val="{00000004-82D1-41A9-9EF0-212C2F83BE1A}"/>
            </c:ext>
          </c:extLst>
        </c:ser>
        <c:dLbls>
          <c:dLblPos val="outEnd"/>
          <c:showLegendKey val="0"/>
          <c:showVal val="1"/>
          <c:showCatName val="0"/>
          <c:showSerName val="0"/>
          <c:showPercent val="0"/>
          <c:showBubbleSize val="0"/>
        </c:dLbls>
        <c:gapWidth val="100"/>
        <c:axId val="288457744"/>
        <c:axId val="288459824"/>
      </c:barChart>
      <c:catAx>
        <c:axId val="28845774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459824"/>
        <c:crosses val="autoZero"/>
        <c:auto val="1"/>
        <c:lblAlgn val="ctr"/>
        <c:lblOffset val="100"/>
        <c:noMultiLvlLbl val="0"/>
      </c:catAx>
      <c:valAx>
        <c:axId val="288459824"/>
        <c:scaling>
          <c:orientation val="minMax"/>
          <c:max val="210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457744"/>
        <c:crosses val="autoZero"/>
        <c:crossBetween val="between"/>
        <c:majorUnit val="30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0.60833</cdr:x>
      <cdr:y>0.05676</cdr:y>
    </cdr:from>
    <cdr:to>
      <cdr:x>0.60833</cdr:x>
      <cdr:y>0.89482</cdr:y>
    </cdr:to>
    <cdr:cxnSp macro="">
      <cdr:nvCxnSpPr>
        <cdr:cNvPr id="3" name="Conector recto 2">
          <a:extLst xmlns:a="http://schemas.openxmlformats.org/drawingml/2006/main">
            <a:ext uri="{FF2B5EF4-FFF2-40B4-BE49-F238E27FC236}">
              <a16:creationId xmlns:a16="http://schemas.microsoft.com/office/drawing/2014/main" id="{A4E43E25-2219-5ADB-9C43-3FCE43D35E72}"/>
            </a:ext>
          </a:extLst>
        </cdr:cNvPr>
        <cdr:cNvCxnSpPr/>
      </cdr:nvCxnSpPr>
      <cdr:spPr>
        <a:xfrm xmlns:a="http://schemas.openxmlformats.org/drawingml/2006/main" flipV="1">
          <a:off x="2781300" y="161925"/>
          <a:ext cx="0" cy="23907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0.42083</cdr:x>
      <cdr:y>0.57763</cdr:y>
    </cdr:from>
    <cdr:to>
      <cdr:x>0.60417</cdr:x>
      <cdr:y>0.7379</cdr:y>
    </cdr:to>
    <cdr:sp macro="" textlink="">
      <cdr:nvSpPr>
        <cdr:cNvPr id="4" name="CuadroTexto 3">
          <a:extLst xmlns:a="http://schemas.openxmlformats.org/drawingml/2006/main">
            <a:ext uri="{FF2B5EF4-FFF2-40B4-BE49-F238E27FC236}">
              <a16:creationId xmlns:a16="http://schemas.microsoft.com/office/drawing/2014/main" id="{0E38D1FA-8D24-F972-E482-01004B2DDBC0}"/>
            </a:ext>
          </a:extLst>
        </cdr:cNvPr>
        <cdr:cNvSpPr txBox="1"/>
      </cdr:nvSpPr>
      <cdr:spPr>
        <a:xfrm xmlns:a="http://schemas.openxmlformats.org/drawingml/2006/main">
          <a:off x="1924050" y="1647825"/>
          <a:ext cx="838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C" sz="700"/>
            <a:t>Mercado competitivo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392A-CC89-499F-96B2-2D58762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4222</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user</cp:lastModifiedBy>
  <cp:revision>4</cp:revision>
  <cp:lastPrinted>2019-05-09T22:33:00Z</cp:lastPrinted>
  <dcterms:created xsi:type="dcterms:W3CDTF">2023-03-16T18:34:00Z</dcterms:created>
  <dcterms:modified xsi:type="dcterms:W3CDTF">2023-03-21T16:52:00Z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