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7C11C" w14:textId="02322A2B" w:rsidR="00451D3F" w:rsidRPr="00872261" w:rsidRDefault="00451D3F" w:rsidP="00E814B7">
      <w:pPr>
        <w:spacing w:after="80"/>
        <w:jc w:val="center"/>
        <w:rPr>
          <w:rFonts w:cs="Calibri"/>
          <w:b/>
        </w:rPr>
      </w:pPr>
      <w:r w:rsidRPr="00872261">
        <w:rPr>
          <w:rFonts w:cs="Calibri"/>
          <w:b/>
        </w:rPr>
        <w:t>EXPOSICIÓN DE MOTIVOS</w:t>
      </w:r>
    </w:p>
    <w:p w14:paraId="5988557D" w14:textId="41F88515" w:rsidR="00547FF5" w:rsidRPr="00872261" w:rsidRDefault="00547FF5" w:rsidP="00E814B7">
      <w:pPr>
        <w:spacing w:after="80"/>
        <w:jc w:val="center"/>
        <w:rPr>
          <w:rFonts w:cs="Calibri"/>
          <w:b/>
        </w:rPr>
      </w:pPr>
    </w:p>
    <w:p w14:paraId="26B18BB7" w14:textId="77777777" w:rsidR="00103FA1" w:rsidRPr="00872261" w:rsidRDefault="00103FA1" w:rsidP="00103FA1">
      <w:pPr>
        <w:jc w:val="both"/>
      </w:pPr>
      <w:r w:rsidRPr="00872261">
        <w:t>La Empresa Pública Metropolitana de Gestión de Destino Turístico -Quito Turismo-, en el año 2019, emitió el informe técnico legal para la reforma del Código Municipal en lo referente a la eliminación de inspección previa en el componente de turismo de la Licencia Metropolitana Única para el Ejercicio de Actividades Económicas (LUAE) en el trámite ordinario de licenciamiento.</w:t>
      </w:r>
    </w:p>
    <w:p w14:paraId="0449ABFF" w14:textId="77777777" w:rsidR="00103FA1" w:rsidRPr="00872261" w:rsidRDefault="00103FA1" w:rsidP="00103FA1">
      <w:pPr>
        <w:jc w:val="both"/>
        <w:rPr>
          <w:rFonts w:cs="Calibri"/>
        </w:rPr>
      </w:pPr>
      <w:r w:rsidRPr="00872261">
        <w:rPr>
          <w:rFonts w:cs="Calibri"/>
        </w:rPr>
        <w:t>De conformidad con los convenios de transferencia de las competencias en materia turística desde el Gobierno Central, le corresponde al Municipio de Quito, regular y controlar las actividades turísticas que se ejerzan dentro de la circunscripción territorial del Distrito Metropolitano de Quito.</w:t>
      </w:r>
    </w:p>
    <w:p w14:paraId="1958182D" w14:textId="463CCA51" w:rsidR="00103FA1" w:rsidRPr="00872261" w:rsidRDefault="00103FA1" w:rsidP="00103FA1">
      <w:pPr>
        <w:jc w:val="both"/>
        <w:rPr>
          <w:rFonts w:cs="Calibri"/>
        </w:rPr>
      </w:pPr>
      <w:r w:rsidRPr="00872261">
        <w:rPr>
          <w:rFonts w:cs="Calibri"/>
        </w:rPr>
        <w:t>Mediante Decreto Ejecutivo No. 1340, de 13 de mayo de 2021</w:t>
      </w:r>
      <w:r w:rsidRPr="00872261">
        <w:rPr>
          <w:rFonts w:cs="Calibri"/>
          <w:lang w:val="es-ES"/>
        </w:rPr>
        <w:t xml:space="preserve">, publicado el 26 de mayo de 2021 en el Sexto Suplemento No. 2459 del Registro Oficial, el presidente constitucional de la República a la época, derogó el mencionado Reglamento General de Actividades Turísticas. Cuerpo legal con el que se determinaba </w:t>
      </w:r>
      <w:proofErr w:type="gramStart"/>
      <w:r w:rsidRPr="00872261">
        <w:rPr>
          <w:rFonts w:cs="Calibri"/>
        </w:rPr>
        <w:t>que</w:t>
      </w:r>
      <w:proofErr w:type="gramEnd"/>
      <w:r w:rsidRPr="00872261">
        <w:rPr>
          <w:rFonts w:cs="Calibri"/>
        </w:rPr>
        <w:t xml:space="preserve"> una vez recibida la solicitud para la obtención de Registro Turístico, se realizaría la visita de inspección previa para la determinación de la clasificación y categoría turística de los establecimientos y prestadores de servicios turísticos.</w:t>
      </w:r>
    </w:p>
    <w:p w14:paraId="63A43536" w14:textId="77777777" w:rsidR="00103FA1" w:rsidRPr="00872261" w:rsidRDefault="00103FA1" w:rsidP="00103FA1">
      <w:pPr>
        <w:jc w:val="both"/>
        <w:rPr>
          <w:rFonts w:eastAsia="SimSun" w:cs="Calibri"/>
        </w:rPr>
      </w:pPr>
      <w:r w:rsidRPr="00872261">
        <w:rPr>
          <w:rFonts w:cs="Calibri"/>
        </w:rPr>
        <w:t xml:space="preserve">De conformidad con lo establecido en el Código Municipal </w:t>
      </w:r>
      <w:r w:rsidRPr="00872261">
        <w:rPr>
          <w:rFonts w:eastAsia="SimSun" w:cs="Calibri"/>
        </w:rPr>
        <w:t>para el Distrito Metropolitano de Quito la Licencia Metropolitana Única para el Ejercicio de Actividades Económicas- LUAE, es el acto administrativo único con el que el Municipio del Distrito Metropolitano de Quito autoriza el desarrollo de actividades económicas en un establecimiento ubicado en la circunscripción territorial del Distrito Metropolitano de Quito. Las autorizaciones administrativas que se integran a la LUAE son: (i) Uso y ocupación de suelo (compatibilidad de uso de suelo); (ii) Prevención de incendios; (iii) Publicidad Exterior; (iv) Turismo; (v) Movilidad; y, cualquier otra autorización que se integre a la LUAE en materias bajo la competencia del MDMQ, según corresponda.</w:t>
      </w:r>
    </w:p>
    <w:p w14:paraId="2D9A41AB" w14:textId="77777777" w:rsidR="00103FA1" w:rsidRPr="00872261" w:rsidRDefault="00103FA1" w:rsidP="00103FA1">
      <w:pPr>
        <w:jc w:val="both"/>
        <w:rPr>
          <w:rFonts w:cs="Calibri"/>
        </w:rPr>
      </w:pPr>
      <w:r w:rsidRPr="00872261">
        <w:t xml:space="preserve">Por lo cual,  en el Código Municipal se establece que la Empresa Pública Metropolitana de Gestión de Destino Turístico -Quito Turismo-, forma parte de los componentes de la Licencia Metropolitana Única para el Ejercicio de Actividades Económicas (LUAE), entidad que </w:t>
      </w:r>
      <w:r w:rsidRPr="00872261">
        <w:rPr>
          <w:rFonts w:cs="Calibri"/>
        </w:rPr>
        <w:t>es la encargada de la ejecución de las inspecciones a establecimientos turísticos, en las que se verificará el cumplimiento de la normativa nacional y metropolitana vigente, esto con el fin de que los establecimientos cumplan con estándares de calidad y así obtengan las autorizaciones administrativas que permitan el ejercicio de su actividad.</w:t>
      </w:r>
    </w:p>
    <w:p w14:paraId="11D609ED" w14:textId="77777777" w:rsidR="00103FA1" w:rsidRPr="00872261" w:rsidRDefault="00103FA1" w:rsidP="00103FA1">
      <w:pPr>
        <w:jc w:val="both"/>
        <w:rPr>
          <w:rFonts w:cs="Calibri"/>
        </w:rPr>
      </w:pPr>
      <w:r w:rsidRPr="00872261">
        <w:rPr>
          <w:rFonts w:eastAsia="SimSun" w:cs="Calibri"/>
        </w:rPr>
        <w:t>El ordenamiento jurídico metropolitano establece tres categorías de licenciamiento que se encuentran detalladas en el CIIU utilizado por el Municipio del Distrito Metropolitano de Quito, que son: Procedimiento simplificado; procedimiento ordinario; y, procedimiento especial.</w:t>
      </w:r>
    </w:p>
    <w:p w14:paraId="5B47838A" w14:textId="77777777" w:rsidR="00103FA1" w:rsidRPr="00872261" w:rsidRDefault="00103FA1" w:rsidP="00103FA1">
      <w:pPr>
        <w:jc w:val="both"/>
        <w:rPr>
          <w:rFonts w:eastAsia="SimSun" w:cs="Calibri"/>
        </w:rPr>
      </w:pPr>
      <w:r w:rsidRPr="00872261">
        <w:rPr>
          <w:rFonts w:eastAsia="SimSun" w:cs="Calibri"/>
        </w:rPr>
        <w:t>La normativa turística vigente determina que, previo al ejercicio de actividades turísticas deberá obtener el correspondiente Registro Turístico y la Licencia Anual de Funcionamiento (LUAF), que en el caso del Distrito Metropolitano de Quito es la Licencia Metropolitana Única para el Ejercicio de Actividades Económicas (LUAE).</w:t>
      </w:r>
    </w:p>
    <w:p w14:paraId="618E390C" w14:textId="77777777" w:rsidR="00103FA1" w:rsidRPr="00872261" w:rsidRDefault="00103FA1" w:rsidP="00103FA1">
      <w:pPr>
        <w:jc w:val="both"/>
        <w:rPr>
          <w:rFonts w:eastAsia="SimSun" w:cs="Calibri"/>
        </w:rPr>
      </w:pPr>
      <w:r w:rsidRPr="00872261">
        <w:rPr>
          <w:rFonts w:eastAsia="SimSun" w:cs="Calibri"/>
        </w:rPr>
        <w:t xml:space="preserve">Tanto la obtención del Registro Turístico como la Licencia Metropolitana Única para el Ejercicio de Actividades Económicas (LUAE), se encuentran condicionados al procedimiento de regulación turística que determina la obligatoriedad de la realización de una inspección previa, facultad que es ejercida de conformidad con la normativa metropolitana, tanto en trámites de licenciamiento ordinarios o trámites especiales. </w:t>
      </w:r>
    </w:p>
    <w:p w14:paraId="53059509" w14:textId="77777777" w:rsidR="00B83E5A" w:rsidRPr="00872261" w:rsidRDefault="00B83E5A" w:rsidP="00B83E5A">
      <w:pPr>
        <w:jc w:val="both"/>
        <w:rPr>
          <w:rFonts w:eastAsia="SimSun" w:cs="Calibri"/>
          <w:lang w:val="es-ES"/>
        </w:rPr>
      </w:pPr>
      <w:r w:rsidRPr="00872261">
        <w:rPr>
          <w:rFonts w:eastAsia="SimSun" w:cs="Calibri"/>
          <w:lang w:val="es-ES"/>
        </w:rPr>
        <w:t>Las actividades turísticas contempladas en los trámites con procedimiento ordinario son:</w:t>
      </w:r>
    </w:p>
    <w:p w14:paraId="42CA953B" w14:textId="77777777" w:rsidR="00B83E5A" w:rsidRPr="00872261" w:rsidRDefault="00B83E5A" w:rsidP="00B83E5A">
      <w:pPr>
        <w:jc w:val="both"/>
        <w:rPr>
          <w:rFonts w:eastAsia="SimSun" w:cs="Calibri"/>
          <w:lang w:val="es-ES"/>
        </w:rPr>
      </w:pPr>
      <w:r w:rsidRPr="00872261">
        <w:rPr>
          <w:rFonts w:eastAsia="SimSun" w:cs="Calibri"/>
          <w:b/>
          <w:bCs/>
          <w:lang w:val="es-ES"/>
        </w:rPr>
        <w:lastRenderedPageBreak/>
        <w:t xml:space="preserve">Alojamiento: </w:t>
      </w:r>
      <w:r w:rsidRPr="00872261">
        <w:rPr>
          <w:rFonts w:eastAsia="SimSun" w:cs="Calibri"/>
          <w:lang w:val="es-ES"/>
        </w:rPr>
        <w:t xml:space="preserve">Hotel, Hostal, Hostería, Hacienda Turística, </w:t>
      </w:r>
      <w:proofErr w:type="spellStart"/>
      <w:r w:rsidRPr="00872261">
        <w:rPr>
          <w:rFonts w:eastAsia="SimSun" w:cs="Calibri"/>
          <w:lang w:val="es-ES"/>
        </w:rPr>
        <w:t>Lodge</w:t>
      </w:r>
      <w:proofErr w:type="spellEnd"/>
      <w:r w:rsidRPr="00872261">
        <w:rPr>
          <w:rFonts w:eastAsia="SimSun" w:cs="Calibri"/>
          <w:lang w:val="es-ES"/>
        </w:rPr>
        <w:t>, Resort, Refugio, Campamento Turístico, Casa de Huéspedes.</w:t>
      </w:r>
    </w:p>
    <w:p w14:paraId="259E88AC" w14:textId="70CBC289" w:rsidR="00B83E5A" w:rsidRPr="00872261" w:rsidRDefault="00B83E5A" w:rsidP="00B83E5A">
      <w:pPr>
        <w:jc w:val="both"/>
        <w:rPr>
          <w:rFonts w:eastAsia="SimSun" w:cs="Calibri"/>
          <w:lang w:val="es-ES"/>
        </w:rPr>
      </w:pPr>
      <w:r w:rsidRPr="00872261">
        <w:rPr>
          <w:rFonts w:eastAsia="SimSun" w:cs="Calibri"/>
          <w:b/>
          <w:bCs/>
          <w:lang w:val="es-ES"/>
        </w:rPr>
        <w:t xml:space="preserve">Servicio de alimentos y bebidas: </w:t>
      </w:r>
      <w:r w:rsidRPr="00872261">
        <w:rPr>
          <w:rFonts w:eastAsia="SimSun" w:cs="Calibri"/>
          <w:lang w:val="es-ES"/>
        </w:rPr>
        <w:t>Restaurantes, Cafeterías.</w:t>
      </w:r>
    </w:p>
    <w:p w14:paraId="4DEE0434" w14:textId="77777777" w:rsidR="00B83E5A" w:rsidRPr="00872261" w:rsidRDefault="00B83E5A" w:rsidP="00B83E5A">
      <w:pPr>
        <w:jc w:val="both"/>
        <w:rPr>
          <w:rFonts w:eastAsia="SimSun" w:cs="Calibri"/>
          <w:lang w:val="es-ES"/>
        </w:rPr>
      </w:pPr>
      <w:r w:rsidRPr="00872261">
        <w:rPr>
          <w:rFonts w:eastAsia="SimSun" w:cs="Calibri"/>
          <w:b/>
          <w:bCs/>
          <w:lang w:val="es-ES"/>
        </w:rPr>
        <w:t xml:space="preserve">Transportación: </w:t>
      </w:r>
      <w:r w:rsidRPr="00872261">
        <w:rPr>
          <w:rFonts w:eastAsia="SimSun" w:cs="Calibri"/>
          <w:lang w:val="es-ES"/>
        </w:rPr>
        <w:t>Transporte turístico aéreo y terrestre.</w:t>
      </w:r>
    </w:p>
    <w:p w14:paraId="65AA9D0E" w14:textId="4ADC2427" w:rsidR="00B83E5A" w:rsidRPr="00872261" w:rsidRDefault="00B83E5A" w:rsidP="00B83E5A">
      <w:pPr>
        <w:jc w:val="both"/>
        <w:rPr>
          <w:rFonts w:eastAsia="SimSun" w:cs="Calibri"/>
          <w:lang w:val="es-ES"/>
        </w:rPr>
      </w:pPr>
      <w:r w:rsidRPr="00872261">
        <w:rPr>
          <w:rFonts w:eastAsia="SimSun" w:cs="Calibri"/>
          <w:b/>
          <w:bCs/>
          <w:lang w:val="es-ES"/>
        </w:rPr>
        <w:t xml:space="preserve">Operación e intermediación: </w:t>
      </w:r>
      <w:r w:rsidRPr="00872261">
        <w:rPr>
          <w:rFonts w:eastAsia="SimSun" w:cs="Calibri"/>
          <w:lang w:val="es-ES"/>
        </w:rPr>
        <w:t>Agencias de Viajes, organizadoras de eventos, congresos y convenciones.</w:t>
      </w:r>
    </w:p>
    <w:p w14:paraId="631A41F4" w14:textId="7141B132" w:rsidR="00B83E5A" w:rsidRPr="00872261" w:rsidRDefault="00B83E5A" w:rsidP="00B83E5A">
      <w:pPr>
        <w:jc w:val="both"/>
        <w:rPr>
          <w:rFonts w:eastAsia="SimSun" w:cs="Calibri"/>
          <w:lang w:val="es-ES"/>
        </w:rPr>
      </w:pPr>
      <w:r w:rsidRPr="00872261">
        <w:rPr>
          <w:rFonts w:eastAsia="SimSun" w:cs="Calibri"/>
          <w:b/>
          <w:bCs/>
          <w:lang w:val="es-ES"/>
        </w:rPr>
        <w:t xml:space="preserve">Recreación Diversión y Esparcimiento: </w:t>
      </w:r>
      <w:r w:rsidRPr="00872261">
        <w:rPr>
          <w:rFonts w:eastAsia="SimSun" w:cs="Calibri"/>
          <w:lang w:val="es-ES"/>
        </w:rPr>
        <w:t>Centros de convenciones, Boleras, Pistas de patinaje, Centros de recreación turística, Termas y balnearios; Salas de baile; Peñas.</w:t>
      </w:r>
    </w:p>
    <w:p w14:paraId="7F91340F" w14:textId="5B7F5CE8" w:rsidR="00B83E5A" w:rsidRPr="00872261" w:rsidRDefault="00B83E5A" w:rsidP="00B83E5A">
      <w:pPr>
        <w:jc w:val="both"/>
        <w:rPr>
          <w:rFonts w:eastAsia="SimSun" w:cs="Calibri"/>
          <w:lang w:val="es-ES"/>
        </w:rPr>
      </w:pPr>
      <w:r w:rsidRPr="00872261">
        <w:rPr>
          <w:rFonts w:eastAsia="SimSun" w:cs="Calibri"/>
          <w:lang w:val="es-ES"/>
        </w:rPr>
        <w:t>Mientras que las actividades turísticas contempladas en los trámites con procedimiento especial (CZ1A) son:</w:t>
      </w:r>
    </w:p>
    <w:p w14:paraId="00872215" w14:textId="77777777" w:rsidR="00B83E5A" w:rsidRPr="00872261" w:rsidRDefault="00B83E5A" w:rsidP="00B83E5A">
      <w:pPr>
        <w:jc w:val="both"/>
        <w:rPr>
          <w:rFonts w:eastAsia="SimSun" w:cs="Calibri"/>
          <w:lang w:val="es-ES"/>
        </w:rPr>
      </w:pPr>
      <w:r w:rsidRPr="00872261">
        <w:rPr>
          <w:rFonts w:eastAsia="SimSun" w:cs="Calibri"/>
          <w:lang w:val="es-ES"/>
        </w:rPr>
        <w:t>Servicio de alimentos y bebidas: Bares, Discotecas.</w:t>
      </w:r>
    </w:p>
    <w:p w14:paraId="736B55F8" w14:textId="5B333234" w:rsidR="00B83E5A" w:rsidRPr="00872261" w:rsidRDefault="00B83E5A" w:rsidP="00B83E5A">
      <w:pPr>
        <w:jc w:val="both"/>
        <w:rPr>
          <w:rFonts w:eastAsia="SimSun" w:cs="Calibri"/>
          <w:lang w:val="es-ES"/>
        </w:rPr>
      </w:pPr>
      <w:r w:rsidRPr="00872261">
        <w:rPr>
          <w:rFonts w:eastAsia="SimSun" w:cs="Calibri"/>
          <w:lang w:val="es-ES"/>
        </w:rPr>
        <w:t>Recreación Diversión y Esparcimiento: Salas de Recepciones y Banquetes.</w:t>
      </w:r>
    </w:p>
    <w:p w14:paraId="282F5B20" w14:textId="77777777" w:rsidR="00103FA1" w:rsidRPr="00872261" w:rsidRDefault="00103FA1" w:rsidP="00103FA1">
      <w:pPr>
        <w:jc w:val="both"/>
        <w:rPr>
          <w:rFonts w:cs="Calibri"/>
        </w:rPr>
      </w:pPr>
      <w:r w:rsidRPr="00872261">
        <w:rPr>
          <w:rFonts w:cs="Calibri"/>
        </w:rPr>
        <w:t>La Ley Orgánica para la Optimización y Eficiencia de Trámites Administrativos, establece que la administración pública debe propender a la simplificación de trámites administrativos, eliminando todos los obstáculos que entorpezcan los procesos, buscando además la automatización de los mismo, en este sentido, se deben generar mecanismos que permitan la realización de los preceptos establecidos en este cuerpo legal.</w:t>
      </w:r>
    </w:p>
    <w:p w14:paraId="3BC7A554" w14:textId="77777777" w:rsidR="00103FA1" w:rsidRPr="00872261" w:rsidRDefault="00103FA1" w:rsidP="00103FA1">
      <w:pPr>
        <w:jc w:val="both"/>
        <w:rPr>
          <w:rFonts w:eastAsia="SimSun" w:cs="Calibri"/>
        </w:rPr>
      </w:pPr>
      <w:r w:rsidRPr="00872261">
        <w:rPr>
          <w:rFonts w:eastAsia="SimSun" w:cs="Calibri"/>
        </w:rPr>
        <w:t xml:space="preserve">Con la derogatoria del Reglamento General de Actividades Turísticas, se eliminó uno de los mayores obstáculos a nivel nacional para la consolidación de trámites. Siendo que, al momento es imprescindible trabajar intensamente en la eliminación de la inspección previa en el trámite ordinario con componente turístico, prescrito en el </w:t>
      </w:r>
      <w:r w:rsidRPr="00872261">
        <w:rPr>
          <w:rFonts w:cs="Calibri"/>
        </w:rPr>
        <w:t xml:space="preserve">Código Municipal </w:t>
      </w:r>
      <w:r w:rsidRPr="00872261">
        <w:rPr>
          <w:rFonts w:eastAsia="SimSun" w:cs="Calibri"/>
        </w:rPr>
        <w:t>para el Distrito Metropolitano de Quito.</w:t>
      </w:r>
    </w:p>
    <w:p w14:paraId="53F2F442" w14:textId="352AEF38" w:rsidR="00B83E5A" w:rsidRPr="00872261" w:rsidRDefault="00B83E5A" w:rsidP="00B83E5A">
      <w:pPr>
        <w:jc w:val="both"/>
        <w:rPr>
          <w:rFonts w:eastAsia="SimSun" w:cs="Calibri"/>
        </w:rPr>
      </w:pPr>
      <w:r w:rsidRPr="00872261">
        <w:rPr>
          <w:rFonts w:eastAsia="SimSun" w:cs="Calibri"/>
        </w:rPr>
        <w:t>Con base en el referido antecedente y en ejercicio de la facultad privativa del alcalde establecida en la letra d) del artículo 90 del COOTAD, en concordancia con los artículos 12 y 13 de la resolución C074 de 8 de marzo de 2016; el Alcalde Metropolitano de Quito asumió la iniciativa legislativa de la "Ordenanza Metropolitana Reformatoria al Capítulo IV, del Título V, del Libro III.6 del Código Municipal para el Distrito Metropolitano de Quito, De los procedimientos administrativos para el Otorgamiento de la LUAE".</w:t>
      </w:r>
    </w:p>
    <w:p w14:paraId="0E3CC754" w14:textId="77777777" w:rsidR="00451D3F" w:rsidRPr="00872261" w:rsidRDefault="00451D3F" w:rsidP="00E814B7">
      <w:pPr>
        <w:spacing w:after="80"/>
        <w:jc w:val="center"/>
        <w:rPr>
          <w:rFonts w:cs="Calibri"/>
          <w:b/>
        </w:rPr>
      </w:pPr>
    </w:p>
    <w:p w14:paraId="4BBE635F" w14:textId="6D37BC39" w:rsidR="00B93905" w:rsidRPr="00872261" w:rsidRDefault="00B93905" w:rsidP="00E814B7">
      <w:pPr>
        <w:spacing w:after="80"/>
        <w:jc w:val="center"/>
        <w:rPr>
          <w:rFonts w:cs="Calibri"/>
          <w:b/>
        </w:rPr>
      </w:pPr>
      <w:r w:rsidRPr="00872261">
        <w:rPr>
          <w:rFonts w:cs="Calibri"/>
          <w:b/>
        </w:rPr>
        <w:t>CONSIDERANDO:</w:t>
      </w:r>
    </w:p>
    <w:p w14:paraId="61F70B07" w14:textId="77777777" w:rsidR="00B93905" w:rsidRPr="00872261" w:rsidRDefault="00B93905" w:rsidP="00E814B7">
      <w:pPr>
        <w:spacing w:after="80"/>
        <w:ind w:left="567" w:hanging="567"/>
        <w:jc w:val="both"/>
        <w:rPr>
          <w:rFonts w:cs="Calibri"/>
        </w:rPr>
      </w:pPr>
    </w:p>
    <w:p w14:paraId="5D6EEB60" w14:textId="77777777" w:rsidR="00B93905" w:rsidRPr="00872261" w:rsidRDefault="00B93905" w:rsidP="00E814B7">
      <w:pPr>
        <w:spacing w:after="80"/>
        <w:ind w:left="567" w:hanging="567"/>
        <w:jc w:val="both"/>
        <w:rPr>
          <w:rFonts w:cs="Calibri"/>
        </w:rPr>
      </w:pPr>
    </w:p>
    <w:p w14:paraId="0348A7EE" w14:textId="0A3A8783" w:rsidR="00B93905" w:rsidRPr="00872261" w:rsidRDefault="00B93905" w:rsidP="00E814B7">
      <w:pPr>
        <w:autoSpaceDE w:val="0"/>
        <w:autoSpaceDN w:val="0"/>
        <w:adjustRightInd w:val="0"/>
        <w:spacing w:after="0"/>
        <w:ind w:left="840" w:hanging="840"/>
        <w:jc w:val="both"/>
        <w:rPr>
          <w:rFonts w:cs="Calibri"/>
          <w:i/>
          <w:lang w:eastAsia="es-ES"/>
        </w:rPr>
      </w:pPr>
      <w:r w:rsidRPr="00872261">
        <w:rPr>
          <w:rFonts w:cs="Calibri"/>
          <w:b/>
          <w:lang w:eastAsia="es-ES"/>
        </w:rPr>
        <w:t>Que,</w:t>
      </w:r>
      <w:r w:rsidRPr="00872261">
        <w:rPr>
          <w:rFonts w:cs="Calibri"/>
          <w:lang w:eastAsia="es-ES"/>
        </w:rPr>
        <w:t xml:space="preserve"> </w:t>
      </w:r>
      <w:r w:rsidRPr="00872261">
        <w:rPr>
          <w:rFonts w:cs="Calibri"/>
          <w:lang w:eastAsia="es-ES"/>
        </w:rPr>
        <w:tab/>
        <w:t xml:space="preserve">el artículo 82 de la Constitución de la República del Ecuador, preceptúa el derecho a la seguridad jurídica, el cual </w:t>
      </w:r>
      <w:r w:rsidR="008C4000" w:rsidRPr="00872261">
        <w:rPr>
          <w:rFonts w:cs="Calibri"/>
          <w:i/>
          <w:lang w:eastAsia="es-ES"/>
        </w:rPr>
        <w:t>“</w:t>
      </w:r>
      <w:r w:rsidRPr="00872261">
        <w:rPr>
          <w:rFonts w:cs="Calibri"/>
          <w:i/>
          <w:lang w:eastAsia="es-ES"/>
        </w:rPr>
        <w:t>se fundamenta en el respeto a la Constitución y en la existencia de normas jurídicas previas, claras, públicas y aplicadas por las autoridades competentes</w:t>
      </w:r>
      <w:r w:rsidR="008C4000" w:rsidRPr="00872261">
        <w:rPr>
          <w:rFonts w:cs="Calibri"/>
          <w:i/>
          <w:lang w:eastAsia="es-ES"/>
        </w:rPr>
        <w:t>”;</w:t>
      </w:r>
    </w:p>
    <w:p w14:paraId="155F1813" w14:textId="77777777" w:rsidR="00B93905" w:rsidRPr="00872261" w:rsidRDefault="00B93905" w:rsidP="00E814B7">
      <w:pPr>
        <w:autoSpaceDE w:val="0"/>
        <w:autoSpaceDN w:val="0"/>
        <w:adjustRightInd w:val="0"/>
        <w:spacing w:after="0"/>
        <w:ind w:left="840" w:hanging="840"/>
        <w:jc w:val="both"/>
        <w:rPr>
          <w:rFonts w:cs="Calibri"/>
          <w:lang w:eastAsia="es-ES"/>
        </w:rPr>
      </w:pPr>
    </w:p>
    <w:p w14:paraId="7C2B56BC" w14:textId="6E6BB19E" w:rsidR="00B93905" w:rsidRPr="00872261" w:rsidRDefault="00B93905" w:rsidP="00E814B7">
      <w:pPr>
        <w:autoSpaceDE w:val="0"/>
        <w:autoSpaceDN w:val="0"/>
        <w:adjustRightInd w:val="0"/>
        <w:spacing w:after="0"/>
        <w:ind w:left="840" w:hanging="840"/>
        <w:jc w:val="both"/>
        <w:rPr>
          <w:rFonts w:cs="Calibri"/>
          <w:lang w:eastAsia="es-ES"/>
        </w:rPr>
      </w:pPr>
      <w:r w:rsidRPr="00872261">
        <w:rPr>
          <w:rFonts w:cs="Calibri"/>
          <w:b/>
          <w:bCs/>
          <w:lang w:eastAsia="es-ES"/>
        </w:rPr>
        <w:t>Que</w:t>
      </w:r>
      <w:r w:rsidRPr="00872261">
        <w:rPr>
          <w:rFonts w:cs="Calibri"/>
          <w:bCs/>
          <w:lang w:eastAsia="es-ES"/>
        </w:rPr>
        <w:t xml:space="preserve">, </w:t>
      </w:r>
      <w:r w:rsidRPr="00872261">
        <w:rPr>
          <w:rFonts w:cs="Calibri"/>
          <w:bCs/>
          <w:lang w:eastAsia="es-ES"/>
        </w:rPr>
        <w:tab/>
        <w:t>el artículo 226</w:t>
      </w:r>
      <w:r w:rsidRPr="00872261">
        <w:rPr>
          <w:rFonts w:cs="Calibri"/>
          <w:lang w:eastAsia="es-ES"/>
        </w:rPr>
        <w:t xml:space="preserve"> de la Constitución de la </w:t>
      </w:r>
      <w:r w:rsidR="00721ED7" w:rsidRPr="00872261">
        <w:rPr>
          <w:rFonts w:cs="Calibri"/>
          <w:lang w:eastAsia="es-ES"/>
        </w:rPr>
        <w:t>República manda</w:t>
      </w:r>
      <w:r w:rsidR="008C4000" w:rsidRPr="00872261">
        <w:rPr>
          <w:rFonts w:cs="Calibri"/>
          <w:lang w:eastAsia="es-ES"/>
        </w:rPr>
        <w:t xml:space="preserve"> </w:t>
      </w:r>
      <w:r w:rsidRPr="00872261">
        <w:rPr>
          <w:rFonts w:cs="Calibri"/>
          <w:lang w:eastAsia="es-ES"/>
        </w:rPr>
        <w:t xml:space="preserve">que </w:t>
      </w:r>
      <w:r w:rsidR="008C4000" w:rsidRPr="00872261">
        <w:rPr>
          <w:rFonts w:cs="Calibri"/>
          <w:i/>
          <w:lang w:eastAsia="es-ES"/>
        </w:rPr>
        <w:t>“</w:t>
      </w:r>
      <w:r w:rsidRPr="00872261">
        <w:rPr>
          <w:rFonts w:cs="Calibri"/>
          <w:i/>
          <w:lang w:eastAsia="es-ES"/>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008C4000" w:rsidRPr="00872261">
        <w:rPr>
          <w:rFonts w:cs="Calibri"/>
          <w:i/>
          <w:lang w:eastAsia="es-ES"/>
        </w:rPr>
        <w:t>”</w:t>
      </w:r>
      <w:r w:rsidRPr="00872261">
        <w:rPr>
          <w:rFonts w:cs="Calibri"/>
          <w:i/>
          <w:lang w:eastAsia="es-ES"/>
        </w:rPr>
        <w:t>;</w:t>
      </w:r>
    </w:p>
    <w:p w14:paraId="25AB663B" w14:textId="77777777" w:rsidR="00B93905" w:rsidRPr="00872261" w:rsidRDefault="00B93905" w:rsidP="00E814B7">
      <w:pPr>
        <w:autoSpaceDE w:val="0"/>
        <w:autoSpaceDN w:val="0"/>
        <w:adjustRightInd w:val="0"/>
        <w:spacing w:after="0"/>
        <w:ind w:left="840" w:hanging="840"/>
        <w:jc w:val="both"/>
        <w:rPr>
          <w:rFonts w:cs="Calibri"/>
          <w:lang w:eastAsia="es-ES"/>
        </w:rPr>
      </w:pPr>
    </w:p>
    <w:p w14:paraId="3B7DA9B2" w14:textId="026D629E" w:rsidR="00A40CD2" w:rsidRPr="00872261" w:rsidRDefault="00A40CD2" w:rsidP="00E814B7">
      <w:pPr>
        <w:autoSpaceDE w:val="0"/>
        <w:autoSpaceDN w:val="0"/>
        <w:adjustRightInd w:val="0"/>
        <w:spacing w:after="0"/>
        <w:ind w:left="840" w:hanging="840"/>
        <w:jc w:val="both"/>
        <w:rPr>
          <w:rFonts w:cs="Calibri"/>
          <w:lang w:eastAsia="es-ES"/>
        </w:rPr>
      </w:pPr>
      <w:r w:rsidRPr="00872261">
        <w:rPr>
          <w:rFonts w:cs="Calibri"/>
          <w:b/>
          <w:lang w:eastAsia="es-ES"/>
        </w:rPr>
        <w:lastRenderedPageBreak/>
        <w:t>Que,</w:t>
      </w:r>
      <w:r w:rsidRPr="00872261">
        <w:rPr>
          <w:rFonts w:cs="Calibri"/>
          <w:lang w:eastAsia="es-ES"/>
        </w:rPr>
        <w:tab/>
        <w:t xml:space="preserve">el artículo 238 de la Constitución de la República </w:t>
      </w:r>
      <w:r w:rsidR="008C4000" w:rsidRPr="00872261">
        <w:rPr>
          <w:rFonts w:cs="Calibri"/>
          <w:lang w:eastAsia="es-ES"/>
        </w:rPr>
        <w:t xml:space="preserve">manda </w:t>
      </w:r>
      <w:r w:rsidRPr="00872261">
        <w:rPr>
          <w:rFonts w:cs="Calibri"/>
          <w:i/>
          <w:lang w:eastAsia="es-ES"/>
        </w:rPr>
        <w:t xml:space="preserve">que </w:t>
      </w:r>
      <w:r w:rsidR="008C4000" w:rsidRPr="00872261">
        <w:rPr>
          <w:rFonts w:cs="Calibri"/>
          <w:i/>
          <w:lang w:eastAsia="es-ES"/>
        </w:rPr>
        <w:t>“l</w:t>
      </w:r>
      <w:r w:rsidRPr="00872261">
        <w:rPr>
          <w:rFonts w:cs="Calibri"/>
          <w:i/>
          <w:lang w:eastAsia="es-ES"/>
        </w:rPr>
        <w:t>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008C4000" w:rsidRPr="00872261">
        <w:rPr>
          <w:rFonts w:cs="Calibri"/>
          <w:i/>
          <w:lang w:eastAsia="es-ES"/>
        </w:rPr>
        <w:t>”</w:t>
      </w:r>
      <w:r w:rsidRPr="00872261">
        <w:rPr>
          <w:rFonts w:cs="Calibri"/>
          <w:i/>
          <w:lang w:eastAsia="es-ES"/>
        </w:rPr>
        <w:t>;</w:t>
      </w:r>
    </w:p>
    <w:p w14:paraId="5EE3D759" w14:textId="77777777" w:rsidR="00A40CD2" w:rsidRPr="00872261" w:rsidRDefault="00A40CD2" w:rsidP="00E814B7">
      <w:pPr>
        <w:autoSpaceDE w:val="0"/>
        <w:autoSpaceDN w:val="0"/>
        <w:adjustRightInd w:val="0"/>
        <w:spacing w:after="0"/>
        <w:ind w:left="840" w:hanging="840"/>
        <w:jc w:val="both"/>
        <w:rPr>
          <w:rFonts w:cs="Calibri"/>
          <w:lang w:eastAsia="es-ES"/>
        </w:rPr>
      </w:pPr>
    </w:p>
    <w:p w14:paraId="65C94852" w14:textId="70D80B3E" w:rsidR="00A40CD2" w:rsidRPr="00872261" w:rsidRDefault="00A40CD2" w:rsidP="00E814B7">
      <w:pPr>
        <w:spacing w:after="80"/>
        <w:ind w:left="840" w:hanging="840"/>
        <w:jc w:val="both"/>
        <w:rPr>
          <w:rFonts w:cs="Calibri"/>
          <w:i/>
        </w:rPr>
      </w:pPr>
      <w:r w:rsidRPr="00872261">
        <w:rPr>
          <w:rFonts w:cs="Calibri"/>
          <w:b/>
        </w:rPr>
        <w:t>Que</w:t>
      </w:r>
      <w:r w:rsidRPr="00872261">
        <w:rPr>
          <w:rFonts w:cs="Calibri"/>
        </w:rPr>
        <w:t xml:space="preserve">, </w:t>
      </w:r>
      <w:r w:rsidRPr="00872261">
        <w:rPr>
          <w:rFonts w:cs="Calibri"/>
        </w:rPr>
        <w:tab/>
        <w:t xml:space="preserve">el artículo 240 de la Constitución de la República </w:t>
      </w:r>
      <w:r w:rsidR="008C4000" w:rsidRPr="00872261">
        <w:rPr>
          <w:rFonts w:cs="Calibri"/>
        </w:rPr>
        <w:t>manda</w:t>
      </w:r>
      <w:r w:rsidRPr="00872261">
        <w:rPr>
          <w:rFonts w:cs="Calibri"/>
        </w:rPr>
        <w:t xml:space="preserve"> que</w:t>
      </w:r>
      <w:r w:rsidR="008C4000" w:rsidRPr="00872261">
        <w:rPr>
          <w:rFonts w:cs="Calibri"/>
        </w:rPr>
        <w:t>:</w:t>
      </w:r>
      <w:r w:rsidRPr="00872261">
        <w:rPr>
          <w:rFonts w:cs="Calibri"/>
        </w:rPr>
        <w:t xml:space="preserve"> </w:t>
      </w:r>
      <w:r w:rsidR="008C4000" w:rsidRPr="00872261">
        <w:rPr>
          <w:rFonts w:cs="Calibri"/>
          <w:i/>
        </w:rPr>
        <w:t>“</w:t>
      </w:r>
      <w:r w:rsidRPr="00872261">
        <w:rPr>
          <w:rFonts w:cs="Calibri"/>
          <w:i/>
        </w:rPr>
        <w:t>los Gobiernos Autónomos Descentralizados de los Distritos Metropolitanos tienen facultades legislativas en el ámbito de sus competencias y jurisdicciones territoriales</w:t>
      </w:r>
      <w:r w:rsidR="008C4000" w:rsidRPr="00872261">
        <w:rPr>
          <w:rFonts w:cs="Calibri"/>
          <w:i/>
        </w:rPr>
        <w:t>”</w:t>
      </w:r>
      <w:r w:rsidRPr="00872261">
        <w:rPr>
          <w:rFonts w:cs="Calibri"/>
          <w:i/>
        </w:rPr>
        <w:t>;</w:t>
      </w:r>
    </w:p>
    <w:p w14:paraId="75E86D91" w14:textId="77777777" w:rsidR="00A40CD2" w:rsidRPr="00872261" w:rsidRDefault="00A40CD2" w:rsidP="00E814B7">
      <w:pPr>
        <w:spacing w:after="80"/>
        <w:ind w:left="840" w:hanging="840"/>
        <w:jc w:val="both"/>
        <w:rPr>
          <w:rFonts w:cs="Calibri"/>
        </w:rPr>
      </w:pPr>
    </w:p>
    <w:p w14:paraId="568C498B" w14:textId="5F1022A6" w:rsidR="00A40CD2" w:rsidRPr="00872261" w:rsidRDefault="00A40CD2" w:rsidP="00E814B7">
      <w:pPr>
        <w:spacing w:after="80"/>
        <w:ind w:left="851" w:hanging="851"/>
        <w:jc w:val="both"/>
        <w:rPr>
          <w:rFonts w:cs="Calibri"/>
          <w:i/>
        </w:rPr>
      </w:pPr>
      <w:r w:rsidRPr="00872261">
        <w:rPr>
          <w:rFonts w:cs="Calibri"/>
          <w:b/>
          <w:bCs/>
          <w:lang w:eastAsia="es-ES"/>
        </w:rPr>
        <w:t>Que,</w:t>
      </w:r>
      <w:r w:rsidRPr="00872261">
        <w:rPr>
          <w:rFonts w:cs="Calibri"/>
          <w:bCs/>
          <w:lang w:eastAsia="es-ES"/>
        </w:rPr>
        <w:tab/>
      </w:r>
      <w:r w:rsidRPr="00872261">
        <w:rPr>
          <w:rFonts w:cs="Calibri"/>
        </w:rPr>
        <w:t>el artículo 266 de la Constitución de la República</w:t>
      </w:r>
      <w:r w:rsidR="008C4000" w:rsidRPr="00872261">
        <w:rPr>
          <w:rFonts w:cs="Calibri"/>
        </w:rPr>
        <w:t xml:space="preserve"> manda</w:t>
      </w:r>
      <w:r w:rsidRPr="00872261">
        <w:rPr>
          <w:rFonts w:cs="Calibri"/>
        </w:rPr>
        <w:t xml:space="preserve"> que</w:t>
      </w:r>
      <w:r w:rsidR="008C4000" w:rsidRPr="00872261">
        <w:rPr>
          <w:rFonts w:cs="Calibri"/>
        </w:rPr>
        <w:t>:</w:t>
      </w:r>
      <w:r w:rsidRPr="00872261">
        <w:rPr>
          <w:rFonts w:cs="Calibri"/>
        </w:rPr>
        <w:t xml:space="preserve"> </w:t>
      </w:r>
      <w:r w:rsidR="008C4000" w:rsidRPr="00872261">
        <w:rPr>
          <w:rFonts w:cs="Calibri"/>
        </w:rPr>
        <w:t>“</w:t>
      </w:r>
      <w:r w:rsidRPr="00872261">
        <w:rPr>
          <w:rFonts w:cs="Calibri"/>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y en el ámbito de sus competencias y territorio, y en uso de sus facultades, expedirán ordenanzas distritales</w:t>
      </w:r>
      <w:r w:rsidR="008C4000" w:rsidRPr="00872261">
        <w:rPr>
          <w:rFonts w:cs="Calibri"/>
          <w:i/>
        </w:rPr>
        <w:t>”</w:t>
      </w:r>
      <w:r w:rsidRPr="00872261">
        <w:rPr>
          <w:rFonts w:cs="Calibri"/>
          <w:i/>
        </w:rPr>
        <w:t>;</w:t>
      </w:r>
    </w:p>
    <w:p w14:paraId="5EEE380E" w14:textId="77777777" w:rsidR="00A40CD2" w:rsidRPr="00872261" w:rsidRDefault="00A40CD2" w:rsidP="00E814B7">
      <w:pPr>
        <w:spacing w:after="80"/>
        <w:ind w:left="840" w:hanging="840"/>
        <w:jc w:val="both"/>
        <w:rPr>
          <w:rFonts w:cs="Calibri"/>
        </w:rPr>
      </w:pPr>
    </w:p>
    <w:p w14:paraId="73E953C3" w14:textId="26D240DA" w:rsidR="00A40CD2" w:rsidRPr="00872261" w:rsidRDefault="00A40CD2" w:rsidP="00E814B7">
      <w:pPr>
        <w:spacing w:after="80"/>
        <w:ind w:left="840" w:hanging="840"/>
        <w:jc w:val="both"/>
        <w:rPr>
          <w:rFonts w:cs="Calibri"/>
        </w:rPr>
      </w:pPr>
      <w:r w:rsidRPr="00872261">
        <w:rPr>
          <w:rFonts w:cs="Calibri"/>
          <w:b/>
        </w:rPr>
        <w:t xml:space="preserve">Que, </w:t>
      </w:r>
      <w:r w:rsidRPr="00872261">
        <w:rPr>
          <w:rFonts w:cs="Calibri"/>
          <w:b/>
        </w:rPr>
        <w:tab/>
      </w:r>
      <w:r w:rsidRPr="00872261">
        <w:rPr>
          <w:rFonts w:cs="Calibri"/>
        </w:rPr>
        <w:t xml:space="preserve">el artículo 84, literal g) del Código Orgánico de Organización Territorial Autonomía y Descentralización establece como función del gobierno del distrito autónomo   metropolitano: </w:t>
      </w:r>
      <w:r w:rsidR="008C4000" w:rsidRPr="00872261">
        <w:rPr>
          <w:rFonts w:cs="Calibri"/>
          <w:i/>
        </w:rPr>
        <w:t>“</w:t>
      </w:r>
      <w:r w:rsidRPr="00872261">
        <w:rPr>
          <w:rFonts w:cs="Calibri"/>
          <w:i/>
        </w:rPr>
        <w:t>regular, controlar y promover el desarrollo de la actividad turística en el distrito metropolitano</w:t>
      </w:r>
      <w:r w:rsidR="008C4000" w:rsidRPr="00872261">
        <w:rPr>
          <w:rFonts w:cs="Calibri"/>
          <w:i/>
        </w:rPr>
        <w:t>”</w:t>
      </w:r>
      <w:r w:rsidRPr="00872261">
        <w:rPr>
          <w:rFonts w:cs="Calibri"/>
          <w:i/>
        </w:rPr>
        <w:t>;</w:t>
      </w:r>
    </w:p>
    <w:p w14:paraId="593F6882" w14:textId="77777777" w:rsidR="00A40CD2" w:rsidRPr="00872261" w:rsidRDefault="00A40CD2" w:rsidP="00E814B7">
      <w:pPr>
        <w:autoSpaceDE w:val="0"/>
        <w:autoSpaceDN w:val="0"/>
        <w:adjustRightInd w:val="0"/>
        <w:spacing w:after="0"/>
        <w:ind w:left="840" w:hanging="840"/>
        <w:jc w:val="both"/>
        <w:rPr>
          <w:rFonts w:cs="Calibri"/>
          <w:lang w:eastAsia="es-ES"/>
        </w:rPr>
      </w:pPr>
    </w:p>
    <w:p w14:paraId="7099290D" w14:textId="785D73F8" w:rsidR="00A40CD2" w:rsidRPr="00872261" w:rsidRDefault="00A40CD2" w:rsidP="00E814B7">
      <w:pPr>
        <w:spacing w:after="80"/>
        <w:ind w:left="840" w:hanging="840"/>
        <w:jc w:val="both"/>
        <w:rPr>
          <w:rFonts w:cs="Calibri"/>
        </w:rPr>
      </w:pPr>
      <w:r w:rsidRPr="00872261">
        <w:rPr>
          <w:rFonts w:cs="Calibri"/>
          <w:b/>
        </w:rPr>
        <w:t>Que</w:t>
      </w:r>
      <w:r w:rsidRPr="00872261">
        <w:rPr>
          <w:rFonts w:cs="Calibri"/>
        </w:rPr>
        <w:t xml:space="preserve">, </w:t>
      </w:r>
      <w:r w:rsidRPr="00872261">
        <w:rPr>
          <w:rFonts w:cs="Calibri"/>
        </w:rPr>
        <w:tab/>
        <w:t>el artículo 135, inciso final del Código Orgánico de Organización Territorial, Autonomía y Descentralización, dispone que</w:t>
      </w:r>
      <w:r w:rsidR="00311CDD" w:rsidRPr="00872261">
        <w:rPr>
          <w:rFonts w:cs="Calibri"/>
        </w:rPr>
        <w:t>:</w:t>
      </w:r>
      <w:r w:rsidRPr="00872261">
        <w:rPr>
          <w:rFonts w:cs="Calibri"/>
        </w:rPr>
        <w:t xml:space="preserve"> </w:t>
      </w:r>
      <w:r w:rsidR="00311CDD" w:rsidRPr="00872261">
        <w:rPr>
          <w:rFonts w:cs="Calibri"/>
          <w:i/>
        </w:rPr>
        <w:t>“</w:t>
      </w:r>
      <w:r w:rsidRPr="00872261">
        <w:rPr>
          <w:rFonts w:cs="Calibri"/>
          <w:i/>
        </w:rPr>
        <w:t>el turismo es una actividad productiva que puede ser gestionada concurrentemente por todos los niveles de gobierno</w:t>
      </w:r>
      <w:r w:rsidR="00311CDD" w:rsidRPr="00872261">
        <w:rPr>
          <w:rFonts w:cs="Calibri"/>
          <w:i/>
        </w:rPr>
        <w:t>”</w:t>
      </w:r>
      <w:r w:rsidRPr="00872261">
        <w:rPr>
          <w:rFonts w:cs="Calibri"/>
          <w:i/>
        </w:rPr>
        <w:t>;</w:t>
      </w:r>
    </w:p>
    <w:p w14:paraId="65D2ADB2" w14:textId="77777777" w:rsidR="007E1461" w:rsidRPr="00872261" w:rsidRDefault="007E1461" w:rsidP="00E814B7">
      <w:pPr>
        <w:spacing w:after="80"/>
        <w:ind w:left="840" w:hanging="840"/>
        <w:jc w:val="both"/>
        <w:rPr>
          <w:rFonts w:cs="Calibri"/>
          <w:b/>
          <w:bCs/>
        </w:rPr>
      </w:pPr>
    </w:p>
    <w:p w14:paraId="3EC8D228" w14:textId="0BA777D3" w:rsidR="00A40CD2" w:rsidRPr="00872261" w:rsidRDefault="007E1461" w:rsidP="00816D59">
      <w:pPr>
        <w:tabs>
          <w:tab w:val="left" w:pos="1010"/>
        </w:tabs>
        <w:spacing w:after="80"/>
        <w:ind w:left="840" w:hanging="840"/>
        <w:jc w:val="both"/>
        <w:rPr>
          <w:rFonts w:cs="Calibri"/>
          <w:b/>
          <w:bCs/>
        </w:rPr>
      </w:pPr>
      <w:r w:rsidRPr="00872261">
        <w:rPr>
          <w:rFonts w:cs="Calibri"/>
          <w:b/>
          <w:bCs/>
        </w:rPr>
        <w:t xml:space="preserve">Que, </w:t>
      </w:r>
      <w:r w:rsidR="00816D59" w:rsidRPr="00872261">
        <w:rPr>
          <w:rFonts w:cs="Calibri"/>
          <w:b/>
          <w:bCs/>
        </w:rPr>
        <w:tab/>
        <w:t xml:space="preserve"> </w:t>
      </w:r>
      <w:r w:rsidR="00816D59" w:rsidRPr="00872261">
        <w:rPr>
          <w:rFonts w:cs="Calibri"/>
          <w:bCs/>
        </w:rPr>
        <w:t xml:space="preserve">el artículo 60, literal d) del </w:t>
      </w:r>
      <w:r w:rsidR="00816D59" w:rsidRPr="00872261">
        <w:rPr>
          <w:rFonts w:cs="Calibri"/>
        </w:rPr>
        <w:t>Orgánico de Organización Territorial Autonomía y Descentralización establece como atribución del alcalde el presentar proyectos de ordenanzas al concejo Municipal en el ámbito de competencias del gobierno autónomo descentralizado.</w:t>
      </w:r>
    </w:p>
    <w:p w14:paraId="4617E1F8" w14:textId="77777777" w:rsidR="007E1461" w:rsidRPr="00872261" w:rsidRDefault="007E1461" w:rsidP="00E814B7">
      <w:pPr>
        <w:spacing w:after="80"/>
        <w:ind w:left="840" w:hanging="840"/>
        <w:jc w:val="both"/>
        <w:rPr>
          <w:rFonts w:cs="Calibri"/>
          <w:b/>
          <w:bCs/>
        </w:rPr>
      </w:pPr>
    </w:p>
    <w:p w14:paraId="789AF51D" w14:textId="710BB72F" w:rsidR="00A40CD2" w:rsidRPr="00872261" w:rsidRDefault="00A40CD2" w:rsidP="00E814B7">
      <w:pPr>
        <w:autoSpaceDE w:val="0"/>
        <w:autoSpaceDN w:val="0"/>
        <w:adjustRightInd w:val="0"/>
        <w:spacing w:after="0"/>
        <w:ind w:left="840" w:hanging="840"/>
        <w:jc w:val="both"/>
        <w:rPr>
          <w:rFonts w:cs="Calibri"/>
          <w:i/>
        </w:rPr>
      </w:pPr>
      <w:r w:rsidRPr="00872261">
        <w:rPr>
          <w:rFonts w:cs="Calibri"/>
          <w:b/>
        </w:rPr>
        <w:t>Que</w:t>
      </w:r>
      <w:r w:rsidRPr="00872261">
        <w:rPr>
          <w:rFonts w:cs="Calibri"/>
        </w:rPr>
        <w:t xml:space="preserve">, </w:t>
      </w:r>
      <w:r w:rsidRPr="00872261">
        <w:rPr>
          <w:rFonts w:cs="Calibri"/>
        </w:rPr>
        <w:tab/>
        <w:t xml:space="preserve">el artículo 5 de la Ley de Turismo </w:t>
      </w:r>
      <w:r w:rsidR="00C82B09" w:rsidRPr="00872261">
        <w:rPr>
          <w:rFonts w:cs="Calibri"/>
        </w:rPr>
        <w:t>describe</w:t>
      </w:r>
      <w:r w:rsidRPr="00872261">
        <w:rPr>
          <w:rFonts w:cs="Calibri"/>
        </w:rPr>
        <w:t xml:space="preserve"> como actividades turísticas</w:t>
      </w:r>
      <w:r w:rsidR="00311CDD" w:rsidRPr="00872261">
        <w:rPr>
          <w:rFonts w:cs="Calibri"/>
        </w:rPr>
        <w:t>:</w:t>
      </w:r>
      <w:r w:rsidRPr="00872261">
        <w:rPr>
          <w:rFonts w:cs="Calibri"/>
        </w:rPr>
        <w:t xml:space="preserve"> </w:t>
      </w:r>
      <w:r w:rsidR="00311CDD" w:rsidRPr="00872261">
        <w:rPr>
          <w:rFonts w:cs="Calibri"/>
        </w:rPr>
        <w:t>“</w:t>
      </w:r>
      <w:r w:rsidRPr="00872261">
        <w:rPr>
          <w:rFonts w:cs="Calibri"/>
          <w:i/>
        </w:rPr>
        <w:t>Alojamiento; Servicio de alimentos y bebidas; Transportación, cuando se dedica principalmente al turismo; inclusive el transporte aéreo, marítimo, fluvial, terrestre y el alquiler de vehículos para este propósito; Operación, cuando las agencias de viajes provean su propio transporte, esa actividad se considerará parte del agenciamiento</w:t>
      </w:r>
      <w:r w:rsidR="00311CDD" w:rsidRPr="00872261">
        <w:rPr>
          <w:rFonts w:cs="Calibri"/>
          <w:i/>
        </w:rPr>
        <w:t>”</w:t>
      </w:r>
      <w:r w:rsidRPr="00872261">
        <w:rPr>
          <w:rFonts w:cs="Calibri"/>
        </w:rPr>
        <w:t>; entre otros;</w:t>
      </w:r>
    </w:p>
    <w:p w14:paraId="6BBA4F65" w14:textId="77777777" w:rsidR="00A40CD2" w:rsidRPr="00872261" w:rsidRDefault="00A40CD2" w:rsidP="00E814B7">
      <w:pPr>
        <w:autoSpaceDE w:val="0"/>
        <w:autoSpaceDN w:val="0"/>
        <w:adjustRightInd w:val="0"/>
        <w:spacing w:after="0"/>
        <w:ind w:left="840" w:hanging="840"/>
        <w:jc w:val="both"/>
        <w:rPr>
          <w:rFonts w:cs="Calibri"/>
        </w:rPr>
      </w:pPr>
    </w:p>
    <w:p w14:paraId="4316EBE0" w14:textId="5838D29D" w:rsidR="0069748A" w:rsidRPr="00872261" w:rsidRDefault="00237743" w:rsidP="00E814B7">
      <w:pPr>
        <w:spacing w:after="80"/>
        <w:ind w:left="840" w:hanging="840"/>
        <w:jc w:val="both"/>
        <w:rPr>
          <w:rFonts w:cs="Calibri"/>
          <w:b/>
          <w:i/>
        </w:rPr>
      </w:pPr>
      <w:r w:rsidRPr="00872261">
        <w:rPr>
          <w:rFonts w:cs="Calibri"/>
          <w:b/>
        </w:rPr>
        <w:t>Que,</w:t>
      </w:r>
      <w:r w:rsidRPr="00872261">
        <w:rPr>
          <w:rFonts w:cs="Calibri"/>
          <w:b/>
        </w:rPr>
        <w:tab/>
      </w:r>
      <w:r w:rsidR="0069748A" w:rsidRPr="00872261">
        <w:rPr>
          <w:rFonts w:cs="Calibri"/>
        </w:rPr>
        <w:t xml:space="preserve">el artículo 8 de la Ley de Turismo manda: </w:t>
      </w:r>
      <w:r w:rsidR="0069748A" w:rsidRPr="00872261">
        <w:rPr>
          <w:rFonts w:cs="Calibri"/>
          <w:i/>
        </w:rPr>
        <w:t>“Para el ejercicio de actividades turísticas se requiere obtener el registro de turismo y la licencia anual de funcionamiento, que acredite idoneidad del servicio que ofrece y se sujeten a las normas técnicas y de calidad vigentes</w:t>
      </w:r>
      <w:r w:rsidR="0069748A" w:rsidRPr="00872261">
        <w:rPr>
          <w:rFonts w:cs="Calibri"/>
          <w:b/>
          <w:i/>
        </w:rPr>
        <w:t>”;</w:t>
      </w:r>
    </w:p>
    <w:p w14:paraId="26A8CCB7" w14:textId="77777777" w:rsidR="0069748A" w:rsidRPr="00872261" w:rsidRDefault="0069748A" w:rsidP="00E814B7">
      <w:pPr>
        <w:spacing w:after="80"/>
        <w:ind w:left="840" w:hanging="840"/>
        <w:jc w:val="both"/>
        <w:rPr>
          <w:rFonts w:cs="Calibri"/>
          <w:b/>
          <w:i/>
        </w:rPr>
      </w:pPr>
    </w:p>
    <w:p w14:paraId="34C25CC7" w14:textId="44DBB312" w:rsidR="0069748A" w:rsidRPr="00872261" w:rsidRDefault="00237743" w:rsidP="00E814B7">
      <w:pPr>
        <w:spacing w:after="80"/>
        <w:ind w:left="840" w:hanging="840"/>
        <w:jc w:val="both"/>
        <w:rPr>
          <w:rFonts w:cs="Calibri"/>
        </w:rPr>
      </w:pPr>
      <w:r w:rsidRPr="00872261">
        <w:rPr>
          <w:rFonts w:cs="Calibri"/>
          <w:b/>
        </w:rPr>
        <w:t>Que,</w:t>
      </w:r>
      <w:r w:rsidRPr="00872261">
        <w:rPr>
          <w:rFonts w:cs="Calibri"/>
        </w:rPr>
        <w:t xml:space="preserve"> </w:t>
      </w:r>
      <w:r w:rsidRPr="00872261">
        <w:rPr>
          <w:rFonts w:cs="Calibri"/>
        </w:rPr>
        <w:tab/>
      </w:r>
      <w:r w:rsidR="00B11B4B" w:rsidRPr="00872261">
        <w:rPr>
          <w:rFonts w:cs="Calibri"/>
        </w:rPr>
        <w:t xml:space="preserve">el artículo 55 del Reglamento a la Ley de Turismo, manda: </w:t>
      </w:r>
      <w:r w:rsidR="00B11B4B" w:rsidRPr="00872261">
        <w:rPr>
          <w:rFonts w:cs="Calibri"/>
          <w:i/>
        </w:rPr>
        <w:t xml:space="preserve">“Para el inicio y ejercicio de las actividades turísticas se requiere además del registro de turismo, la licencia única anual de funcionamiento, la misma que constituye la autorización legal a los establecimientos dedicados </w:t>
      </w:r>
      <w:r w:rsidR="00B11B4B" w:rsidRPr="00872261">
        <w:rPr>
          <w:rFonts w:cs="Calibri"/>
          <w:i/>
        </w:rPr>
        <w:lastRenderedPageBreak/>
        <w:t>a la prestación de los servicios turísticos, sin la cual no podrán operar, y tendrá vigencia durante el año en que se la otorgue y los sesenta días calendario del año siguiente”</w:t>
      </w:r>
      <w:r w:rsidR="00B11B4B" w:rsidRPr="00872261">
        <w:rPr>
          <w:rFonts w:cs="Calibri"/>
        </w:rPr>
        <w:t>;</w:t>
      </w:r>
    </w:p>
    <w:p w14:paraId="3276564E" w14:textId="77777777" w:rsidR="00AB0719" w:rsidRPr="00872261" w:rsidRDefault="00AB0719" w:rsidP="00E814B7">
      <w:pPr>
        <w:spacing w:after="80"/>
        <w:ind w:left="840" w:hanging="840"/>
        <w:jc w:val="both"/>
        <w:rPr>
          <w:rFonts w:cs="Calibri"/>
        </w:rPr>
      </w:pPr>
    </w:p>
    <w:p w14:paraId="00D9B213" w14:textId="5C7AC611" w:rsidR="00AB0719" w:rsidRPr="00872261" w:rsidRDefault="00AB0719" w:rsidP="00E814B7">
      <w:pPr>
        <w:spacing w:after="80"/>
        <w:ind w:left="840" w:hanging="840"/>
        <w:jc w:val="both"/>
        <w:rPr>
          <w:rFonts w:cs="Calibri"/>
        </w:rPr>
      </w:pPr>
      <w:r w:rsidRPr="00872261">
        <w:rPr>
          <w:rFonts w:cs="Calibri"/>
          <w:b/>
        </w:rPr>
        <w:t>Que,</w:t>
      </w:r>
      <w:r w:rsidRPr="00872261">
        <w:rPr>
          <w:rFonts w:cs="Calibri"/>
        </w:rPr>
        <w:tab/>
        <w:t xml:space="preserve">el artículo 1 de la Ley para la Optimización y Eficiencia de Trámites Administrativos determina su objeto a través de la optimización de trámites administrativos, </w:t>
      </w:r>
      <w:r w:rsidR="00A270AB" w:rsidRPr="00872261">
        <w:rPr>
          <w:rFonts w:cs="Calibri"/>
        </w:rPr>
        <w:t>“</w:t>
      </w:r>
      <w:r w:rsidRPr="00872261">
        <w:rPr>
          <w:rFonts w:cs="Calibri"/>
          <w:i/>
        </w:rPr>
        <w:t>regular su simplificación y reducir sus costos de gestión, con el fin de facilitar la relación entre las y los administrados y la Administración Pública y entre las entidades que la componen</w:t>
      </w:r>
      <w:r w:rsidR="00A270AB" w:rsidRPr="00872261">
        <w:rPr>
          <w:rFonts w:cs="Calibri"/>
          <w:i/>
        </w:rPr>
        <w:t>”</w:t>
      </w:r>
      <w:r w:rsidRPr="00872261">
        <w:rPr>
          <w:rFonts w:cs="Calibri"/>
        </w:rPr>
        <w:t xml:space="preserve">; </w:t>
      </w:r>
    </w:p>
    <w:p w14:paraId="3A913E2C" w14:textId="77777777" w:rsidR="00AB0719" w:rsidRPr="00872261" w:rsidRDefault="00AB0719" w:rsidP="00E814B7">
      <w:pPr>
        <w:spacing w:after="80"/>
        <w:ind w:left="840" w:hanging="840"/>
        <w:jc w:val="both"/>
        <w:rPr>
          <w:rFonts w:cs="Calibri"/>
        </w:rPr>
      </w:pPr>
    </w:p>
    <w:p w14:paraId="710AEB75" w14:textId="1E4CE2B7" w:rsidR="00AB0719" w:rsidRPr="00872261" w:rsidRDefault="00AB0719" w:rsidP="00E814B7">
      <w:pPr>
        <w:spacing w:after="80"/>
        <w:ind w:left="840" w:hanging="840"/>
        <w:jc w:val="both"/>
        <w:rPr>
          <w:rFonts w:cs="Calibri"/>
        </w:rPr>
      </w:pPr>
      <w:r w:rsidRPr="00872261">
        <w:rPr>
          <w:rFonts w:cs="Calibri"/>
          <w:b/>
        </w:rPr>
        <w:t>Que,</w:t>
      </w:r>
      <w:r w:rsidRPr="00872261">
        <w:rPr>
          <w:rFonts w:cs="Calibri"/>
        </w:rPr>
        <w:tab/>
        <w:t xml:space="preserve">el artículo 15 de la Ley para la Optimización y Eficiencia de Trámites Administrativos preceptúa que en el caso que las entidades </w:t>
      </w:r>
      <w:r w:rsidR="00A270AB" w:rsidRPr="00872261">
        <w:rPr>
          <w:rFonts w:cs="Calibri"/>
          <w:i/>
        </w:rPr>
        <w:t>“</w:t>
      </w:r>
      <w:r w:rsidRPr="00872261">
        <w:rPr>
          <w:rFonts w:cs="Calibri"/>
          <w:i/>
        </w:rPr>
        <w:t>cuenten con trámites administrativos que se puedan gestionar en línea, estas entidades deben garantizar que el trámite, se pueda realizar en línea, y de esta manera no exigir la presencia física de la o el interesado</w:t>
      </w:r>
      <w:r w:rsidR="00A270AB" w:rsidRPr="00872261">
        <w:rPr>
          <w:rFonts w:cs="Calibri"/>
          <w:i/>
        </w:rPr>
        <w:t>”</w:t>
      </w:r>
      <w:r w:rsidRPr="00872261">
        <w:rPr>
          <w:rFonts w:cs="Calibri"/>
          <w:i/>
        </w:rPr>
        <w:t>;</w:t>
      </w:r>
    </w:p>
    <w:p w14:paraId="4AF7EC20" w14:textId="77777777" w:rsidR="00A40CD2" w:rsidRPr="00872261" w:rsidRDefault="00A40CD2" w:rsidP="00E814B7">
      <w:pPr>
        <w:autoSpaceDE w:val="0"/>
        <w:autoSpaceDN w:val="0"/>
        <w:adjustRightInd w:val="0"/>
        <w:spacing w:after="0"/>
        <w:ind w:left="840" w:hanging="840"/>
        <w:jc w:val="both"/>
        <w:rPr>
          <w:rFonts w:cs="Calibri"/>
          <w:lang w:eastAsia="es-ES"/>
        </w:rPr>
      </w:pPr>
    </w:p>
    <w:p w14:paraId="2FFB31E8" w14:textId="77777777" w:rsidR="00141DCB" w:rsidRPr="00872261" w:rsidRDefault="00A40CD2" w:rsidP="00E814B7">
      <w:pPr>
        <w:spacing w:after="80"/>
        <w:ind w:left="840" w:hanging="840"/>
        <w:jc w:val="both"/>
        <w:rPr>
          <w:rFonts w:cs="Calibri"/>
        </w:rPr>
      </w:pPr>
      <w:r w:rsidRPr="00872261">
        <w:rPr>
          <w:rFonts w:cs="Calibri"/>
          <w:b/>
        </w:rPr>
        <w:t>Que</w:t>
      </w:r>
      <w:r w:rsidRPr="00872261">
        <w:rPr>
          <w:rFonts w:cs="Calibri"/>
        </w:rPr>
        <w:t xml:space="preserve">, </w:t>
      </w:r>
      <w:r w:rsidRPr="00872261">
        <w:rPr>
          <w:rFonts w:cs="Calibri"/>
        </w:rPr>
        <w:tab/>
        <w:t xml:space="preserve">de conformidad con el régimen jurídico vigente en la época, mediante los convenios correspondientes suscritos el 31 de agosto de 2001 y el 9 de abril de 2008, el Gobierno Central de la República del Ecuador transfirió a favor de la Municipalidad del Distrito Metropolitano de Quito todas las competencias públicas relacionadas con la actividad turística; </w:t>
      </w:r>
    </w:p>
    <w:p w14:paraId="3A388172" w14:textId="77777777" w:rsidR="00141DCB" w:rsidRPr="00872261" w:rsidRDefault="00141DCB" w:rsidP="00E814B7">
      <w:pPr>
        <w:spacing w:after="80"/>
        <w:ind w:left="840" w:hanging="840"/>
        <w:jc w:val="both"/>
        <w:rPr>
          <w:rFonts w:cs="Calibri"/>
        </w:rPr>
      </w:pPr>
    </w:p>
    <w:p w14:paraId="242A74F3" w14:textId="53C6E40A" w:rsidR="00A40CD2" w:rsidRPr="00872261" w:rsidRDefault="00141DCB" w:rsidP="00E814B7">
      <w:pPr>
        <w:tabs>
          <w:tab w:val="left" w:pos="709"/>
        </w:tabs>
        <w:spacing w:after="80"/>
        <w:ind w:left="840" w:hanging="840"/>
        <w:jc w:val="both"/>
        <w:rPr>
          <w:rFonts w:cs="Calibri"/>
        </w:rPr>
      </w:pPr>
      <w:r w:rsidRPr="00872261">
        <w:rPr>
          <w:rFonts w:cs="Calibri"/>
          <w:b/>
        </w:rPr>
        <w:t>Que,</w:t>
      </w:r>
      <w:r w:rsidRPr="00872261">
        <w:rPr>
          <w:rFonts w:cs="Calibri"/>
        </w:rPr>
        <w:t xml:space="preserve">     </w:t>
      </w:r>
      <w:r w:rsidR="00B54BB4" w:rsidRPr="00872261">
        <w:rPr>
          <w:rFonts w:cs="Calibri"/>
        </w:rPr>
        <w:tab/>
      </w:r>
      <w:r w:rsidR="00B54BB4" w:rsidRPr="00872261">
        <w:rPr>
          <w:rFonts w:cs="Calibri"/>
        </w:rPr>
        <w:tab/>
        <w:t>e</w:t>
      </w:r>
      <w:r w:rsidR="00A40CD2" w:rsidRPr="00872261">
        <w:rPr>
          <w:rFonts w:cs="Calibri"/>
        </w:rPr>
        <w:t xml:space="preserve">l Convenio de Transferencia de Competencias entre Ministerio de Turismo del 31 de agosto del 2001,  trasladó hacia el Municipio del Distrito Metropolitano de Quito, las atribuciones de planificar, capacitar, realizar estadísticas locales, fomentar, incentivar y facilitar la organización, funcionamiento y competitividad de la actividad turística de su jurisdicción, así como la concesión y renovación de  la Licencia Única Anual de Funcionamiento, de los establecimientos turísticos localizados en la jurisdicción </w:t>
      </w:r>
      <w:r w:rsidR="00237743" w:rsidRPr="00872261">
        <w:rPr>
          <w:rFonts w:cs="Calibri"/>
        </w:rPr>
        <w:t xml:space="preserve">territorial </w:t>
      </w:r>
      <w:r w:rsidR="00A40CD2" w:rsidRPr="00872261">
        <w:rPr>
          <w:rFonts w:cs="Calibri"/>
        </w:rPr>
        <w:t xml:space="preserve">del Distrito Metropolitano de Quito, </w:t>
      </w:r>
      <w:r w:rsidR="00237743" w:rsidRPr="00872261">
        <w:rPr>
          <w:rFonts w:cs="Calibri"/>
        </w:rPr>
        <w:t>así como</w:t>
      </w:r>
      <w:r w:rsidRPr="00872261">
        <w:rPr>
          <w:rFonts w:cs="Calibri"/>
        </w:rPr>
        <w:t xml:space="preserve"> </w:t>
      </w:r>
      <w:r w:rsidR="00A40CD2" w:rsidRPr="00872261">
        <w:rPr>
          <w:rFonts w:cs="Calibri"/>
        </w:rPr>
        <w:t>la atribución de expedir las ordenanzas y resoluciones de carácter local que contribuyan al fortalecimiento y desarrollo del turismo de conformidad con la Ley Orgánica de Régimen Municipal, y otras normas aplicables;</w:t>
      </w:r>
    </w:p>
    <w:p w14:paraId="0BD54248" w14:textId="77777777" w:rsidR="00AB0719" w:rsidRPr="00872261" w:rsidRDefault="00AB0719" w:rsidP="00E814B7">
      <w:pPr>
        <w:spacing w:after="0"/>
        <w:ind w:left="840" w:hanging="840"/>
        <w:jc w:val="both"/>
        <w:rPr>
          <w:rFonts w:cs="Calibri"/>
          <w:bCs/>
        </w:rPr>
      </w:pPr>
    </w:p>
    <w:p w14:paraId="0F5C79E2" w14:textId="116DD98B" w:rsidR="00AB0719" w:rsidRPr="00872261" w:rsidRDefault="00AB0719" w:rsidP="00E814B7">
      <w:pPr>
        <w:spacing w:after="0"/>
        <w:ind w:left="840" w:hanging="840"/>
        <w:jc w:val="both"/>
        <w:rPr>
          <w:rFonts w:cs="Calibri"/>
          <w:bCs/>
        </w:rPr>
      </w:pPr>
      <w:r w:rsidRPr="00872261">
        <w:rPr>
          <w:rFonts w:cs="Calibri"/>
          <w:b/>
          <w:bCs/>
          <w:spacing w:val="-2"/>
          <w:lang w:eastAsia="es-ES"/>
        </w:rPr>
        <w:t>Que,</w:t>
      </w:r>
      <w:r w:rsidRPr="00872261">
        <w:rPr>
          <w:rFonts w:cs="Calibri"/>
          <w:b/>
          <w:bCs/>
          <w:spacing w:val="-2"/>
          <w:lang w:eastAsia="es-ES"/>
        </w:rPr>
        <w:tab/>
      </w:r>
      <w:r w:rsidRPr="00872261">
        <w:rPr>
          <w:rFonts w:cs="Calibri"/>
          <w:bCs/>
          <w:spacing w:val="-2"/>
          <w:lang w:eastAsia="es-ES"/>
        </w:rPr>
        <w:t>e</w:t>
      </w:r>
      <w:r w:rsidR="00C82B09" w:rsidRPr="00872261">
        <w:rPr>
          <w:rFonts w:cs="Calibri"/>
          <w:bCs/>
          <w:spacing w:val="-2"/>
          <w:lang w:eastAsia="es-ES"/>
        </w:rPr>
        <w:t>n e</w:t>
      </w:r>
      <w:r w:rsidRPr="00872261">
        <w:rPr>
          <w:rFonts w:cs="Calibri"/>
          <w:bCs/>
          <w:spacing w:val="-2"/>
          <w:lang w:eastAsia="es-ES"/>
        </w:rPr>
        <w:t>l</w:t>
      </w:r>
      <w:r w:rsidRPr="00872261">
        <w:rPr>
          <w:rFonts w:cs="Calibri"/>
        </w:rPr>
        <w:t xml:space="preserve"> </w:t>
      </w:r>
      <w:r w:rsidRPr="00872261">
        <w:rPr>
          <w:rFonts w:cs="Calibri"/>
          <w:bCs/>
        </w:rPr>
        <w:t>Capítulo VI</w:t>
      </w:r>
      <w:r w:rsidR="000036E1" w:rsidRPr="00872261">
        <w:rPr>
          <w:rFonts w:cs="Calibri"/>
          <w:bCs/>
        </w:rPr>
        <w:t>, Título V</w:t>
      </w:r>
      <w:r w:rsidR="00D14CB6" w:rsidRPr="00872261">
        <w:rPr>
          <w:rFonts w:cs="Calibri"/>
          <w:bCs/>
        </w:rPr>
        <w:t>, Libro I.2.</w:t>
      </w:r>
      <w:r w:rsidRPr="00872261">
        <w:rPr>
          <w:rFonts w:cs="Calibri"/>
          <w:bCs/>
        </w:rPr>
        <w:t xml:space="preserve"> del </w:t>
      </w:r>
      <w:r w:rsidRPr="00872261">
        <w:rPr>
          <w:rFonts w:cs="Calibri"/>
        </w:rPr>
        <w:t>Código Municipal para el Distrito Metropolitano de Quito</w:t>
      </w:r>
      <w:r w:rsidRPr="00872261">
        <w:rPr>
          <w:rFonts w:cs="Calibri"/>
          <w:bCs/>
        </w:rPr>
        <w:t xml:space="preserve">, </w:t>
      </w:r>
      <w:r w:rsidR="00C82B09" w:rsidRPr="00872261">
        <w:rPr>
          <w:rFonts w:cs="Calibri"/>
          <w:bCs/>
        </w:rPr>
        <w:t xml:space="preserve">consta la creación de </w:t>
      </w:r>
      <w:r w:rsidRPr="00872261">
        <w:rPr>
          <w:rFonts w:cs="Calibri"/>
          <w:bCs/>
        </w:rPr>
        <w:t xml:space="preserve">la Empresa Pública Metropolitana de Gestión de Destino Turístico, la cual es una persona jurídica de derecho público, sujeta a las disposiciones de la Ley Orgánica de Empresas Públicas; cuyo objeto principal es: </w:t>
      </w:r>
      <w:r w:rsidR="00A270AB" w:rsidRPr="00872261">
        <w:rPr>
          <w:rFonts w:cs="Calibri"/>
          <w:bCs/>
        </w:rPr>
        <w:t>“</w:t>
      </w:r>
      <w:r w:rsidR="00A270AB" w:rsidRPr="00872261">
        <w:rPr>
          <w:rFonts w:cs="Calibri"/>
          <w:bCs/>
          <w:i/>
        </w:rPr>
        <w:t>(…)</w:t>
      </w:r>
      <w:r w:rsidR="00237743" w:rsidRPr="00872261">
        <w:rPr>
          <w:rFonts w:cs="Calibri"/>
          <w:bCs/>
          <w:i/>
          <w:lang w:val="es-ES"/>
        </w:rPr>
        <w:t xml:space="preserve">tales como la generación y reconversión de nuevos productos turísticos, adecuación de la infraestructura turística, capacitación, formación y profesionalización en el sector turístico, entre otras </w:t>
      </w:r>
      <w:r w:rsidR="00A270AB" w:rsidRPr="00872261">
        <w:rPr>
          <w:rFonts w:cs="Calibri"/>
          <w:bCs/>
          <w:i/>
          <w:lang w:val="es-ES"/>
        </w:rPr>
        <w:t>(…</w:t>
      </w:r>
      <w:r w:rsidR="00237743" w:rsidRPr="00872261">
        <w:rPr>
          <w:rFonts w:cs="Calibri"/>
          <w:bCs/>
          <w:i/>
          <w:lang w:val="es-ES"/>
        </w:rPr>
        <w:t>).-Las demás actividades operativas relativas a las competencias que en el ámbito turístico corresponden al Municipio del Distrito Metropolitano de Quito, de conformidad con la ley, y las que en esta materia le han sido transferidas por el Gobierno Nacional</w:t>
      </w:r>
      <w:r w:rsidR="00A270AB" w:rsidRPr="00872261">
        <w:rPr>
          <w:rFonts w:cs="Calibri"/>
          <w:bCs/>
          <w:i/>
          <w:lang w:val="es-ES"/>
        </w:rPr>
        <w:t>”;</w:t>
      </w:r>
    </w:p>
    <w:p w14:paraId="69BC8FA4" w14:textId="77777777" w:rsidR="00AB0719" w:rsidRPr="00872261" w:rsidRDefault="00AB0719" w:rsidP="00E814B7">
      <w:pPr>
        <w:spacing w:after="0"/>
        <w:ind w:left="840" w:hanging="840"/>
        <w:jc w:val="both"/>
        <w:rPr>
          <w:rFonts w:cs="Calibri"/>
          <w:bCs/>
        </w:rPr>
      </w:pPr>
    </w:p>
    <w:p w14:paraId="01DF7DCB" w14:textId="089BEA7C" w:rsidR="00AB0719" w:rsidRPr="00872261" w:rsidRDefault="00AB0719" w:rsidP="00E814B7">
      <w:pPr>
        <w:spacing w:after="0"/>
        <w:ind w:left="840" w:hanging="840"/>
        <w:jc w:val="both"/>
        <w:rPr>
          <w:rFonts w:cs="Calibri"/>
          <w:bCs/>
        </w:rPr>
      </w:pPr>
      <w:r w:rsidRPr="00872261">
        <w:rPr>
          <w:rFonts w:cs="Calibri"/>
          <w:b/>
          <w:bCs/>
          <w:spacing w:val="-2"/>
          <w:lang w:eastAsia="es-ES"/>
        </w:rPr>
        <w:t>Que,</w:t>
      </w:r>
      <w:r w:rsidRPr="00872261">
        <w:rPr>
          <w:rFonts w:cs="Calibri"/>
          <w:b/>
          <w:bCs/>
          <w:spacing w:val="-2"/>
          <w:lang w:eastAsia="es-ES"/>
        </w:rPr>
        <w:tab/>
      </w:r>
      <w:r w:rsidRPr="00872261">
        <w:rPr>
          <w:rFonts w:cs="Calibri"/>
          <w:bCs/>
          <w:spacing w:val="-2"/>
          <w:lang w:eastAsia="es-ES"/>
        </w:rPr>
        <w:t>el</w:t>
      </w:r>
      <w:r w:rsidRPr="00872261">
        <w:rPr>
          <w:rFonts w:cs="Calibri"/>
        </w:rPr>
        <w:t xml:space="preserve"> </w:t>
      </w:r>
      <w:r w:rsidRPr="00872261">
        <w:rPr>
          <w:rFonts w:cs="Calibri"/>
          <w:bCs/>
        </w:rPr>
        <w:t xml:space="preserve">Libro III.4, Título I del </w:t>
      </w:r>
      <w:r w:rsidRPr="00872261">
        <w:rPr>
          <w:rFonts w:cs="Calibri"/>
        </w:rPr>
        <w:t>Código Municipal para el Distrito Metropolitano de Quito</w:t>
      </w:r>
      <w:r w:rsidRPr="00872261">
        <w:rPr>
          <w:rFonts w:cs="Calibri"/>
          <w:bCs/>
        </w:rPr>
        <w:t xml:space="preserve">, establece el Régimen Administrativo del Turismo en el Distrito Metropolitano de Quito, cuyo objetivo está enmarcado </w:t>
      </w:r>
      <w:r w:rsidR="003A2774" w:rsidRPr="00872261">
        <w:rPr>
          <w:rFonts w:cs="Calibri"/>
          <w:bCs/>
        </w:rPr>
        <w:t>a</w:t>
      </w:r>
      <w:r w:rsidRPr="00872261">
        <w:rPr>
          <w:rFonts w:cs="Calibri"/>
          <w:bCs/>
        </w:rPr>
        <w:t xml:space="preserve"> la regulación y control de las actividades turísticas que se desarrollan en el Distrito Metropolitano de Quito;</w:t>
      </w:r>
    </w:p>
    <w:p w14:paraId="75E987D8" w14:textId="77777777" w:rsidR="00AB0719" w:rsidRPr="00872261" w:rsidRDefault="00AB0719" w:rsidP="00E814B7">
      <w:pPr>
        <w:spacing w:after="0"/>
        <w:ind w:left="840" w:hanging="840"/>
        <w:jc w:val="both"/>
        <w:rPr>
          <w:rFonts w:cs="Calibri"/>
          <w:bCs/>
        </w:rPr>
      </w:pPr>
    </w:p>
    <w:p w14:paraId="1B0D6508" w14:textId="40BC086C" w:rsidR="00AB0719" w:rsidRPr="00872261" w:rsidRDefault="00AB0719" w:rsidP="00E814B7">
      <w:pPr>
        <w:spacing w:after="0"/>
        <w:ind w:left="840" w:hanging="840"/>
        <w:jc w:val="both"/>
        <w:rPr>
          <w:rFonts w:cs="Calibri"/>
          <w:bCs/>
        </w:rPr>
      </w:pPr>
      <w:r w:rsidRPr="00872261">
        <w:rPr>
          <w:rFonts w:cs="Calibri"/>
          <w:b/>
          <w:bCs/>
          <w:spacing w:val="-2"/>
          <w:lang w:eastAsia="es-ES"/>
        </w:rPr>
        <w:t>Que,</w:t>
      </w:r>
      <w:r w:rsidRPr="00872261">
        <w:rPr>
          <w:rFonts w:cs="Calibri"/>
          <w:b/>
          <w:bCs/>
          <w:spacing w:val="-2"/>
          <w:lang w:eastAsia="es-ES"/>
        </w:rPr>
        <w:tab/>
      </w:r>
      <w:r w:rsidRPr="00872261">
        <w:rPr>
          <w:rFonts w:cs="Calibri"/>
          <w:bCs/>
          <w:spacing w:val="-2"/>
          <w:lang w:eastAsia="es-ES"/>
        </w:rPr>
        <w:t>el</w:t>
      </w:r>
      <w:r w:rsidRPr="00872261">
        <w:rPr>
          <w:rFonts w:cs="Calibri"/>
          <w:bCs/>
        </w:rPr>
        <w:t xml:space="preserve"> Libro III.6, Título V del </w:t>
      </w:r>
      <w:r w:rsidRPr="00872261">
        <w:rPr>
          <w:rFonts w:cs="Calibri"/>
        </w:rPr>
        <w:t>Código Municipal para el Distrito Metropolitano de Quito</w:t>
      </w:r>
      <w:r w:rsidRPr="00872261">
        <w:rPr>
          <w:rFonts w:cs="Calibri"/>
          <w:bCs/>
        </w:rPr>
        <w:t xml:space="preserve">, determina el régimen administrativo para la obtención de la Licencia Metropolitana Única para el Ejercicio de Actividades Económicas, título que </w:t>
      </w:r>
      <w:r w:rsidR="003A2774" w:rsidRPr="00872261">
        <w:rPr>
          <w:rFonts w:cs="Calibri"/>
          <w:bCs/>
        </w:rPr>
        <w:t>señala</w:t>
      </w:r>
      <w:r w:rsidRPr="00872261">
        <w:rPr>
          <w:rFonts w:cs="Calibri"/>
          <w:bCs/>
        </w:rPr>
        <w:t xml:space="preserve"> al Turismo como componente de la LUAE, tanto en el procedimiento simplificado, procedimiento ordinario y procedimiento especial;</w:t>
      </w:r>
    </w:p>
    <w:p w14:paraId="6BE99C2D" w14:textId="77777777" w:rsidR="00AB0719" w:rsidRPr="00872261" w:rsidRDefault="00AB0719" w:rsidP="00E814B7">
      <w:pPr>
        <w:spacing w:after="0"/>
        <w:ind w:left="840" w:hanging="840"/>
        <w:jc w:val="both"/>
        <w:rPr>
          <w:rFonts w:cs="Calibri"/>
          <w:bCs/>
        </w:rPr>
      </w:pPr>
    </w:p>
    <w:p w14:paraId="7C1953FE" w14:textId="3BBF47C7" w:rsidR="00AB0719" w:rsidRPr="00872261" w:rsidRDefault="00AB0719" w:rsidP="00E814B7">
      <w:pPr>
        <w:spacing w:after="0"/>
        <w:ind w:left="840" w:hanging="840"/>
        <w:jc w:val="both"/>
        <w:rPr>
          <w:rFonts w:cs="Calibri"/>
          <w:bCs/>
        </w:rPr>
      </w:pPr>
      <w:r w:rsidRPr="00872261">
        <w:rPr>
          <w:rFonts w:cs="Calibri"/>
          <w:b/>
          <w:bCs/>
          <w:spacing w:val="-2"/>
          <w:lang w:eastAsia="es-ES"/>
        </w:rPr>
        <w:t>Que,</w:t>
      </w:r>
      <w:r w:rsidRPr="00872261">
        <w:rPr>
          <w:rFonts w:cs="Calibri"/>
          <w:b/>
          <w:bCs/>
          <w:spacing w:val="-2"/>
          <w:lang w:eastAsia="es-ES"/>
        </w:rPr>
        <w:tab/>
      </w:r>
      <w:r w:rsidRPr="00872261">
        <w:rPr>
          <w:rFonts w:cs="Calibri"/>
          <w:bCs/>
          <w:spacing w:val="-2"/>
          <w:lang w:eastAsia="es-ES"/>
        </w:rPr>
        <w:t>el</w:t>
      </w:r>
      <w:r w:rsidRPr="00872261">
        <w:rPr>
          <w:rFonts w:cs="Calibri"/>
          <w:bCs/>
        </w:rPr>
        <w:t xml:space="preserve"> artículo </w:t>
      </w:r>
      <w:r w:rsidR="00D9746A" w:rsidRPr="00872261">
        <w:rPr>
          <w:rFonts w:cs="Calibri"/>
          <w:bCs/>
        </w:rPr>
        <w:t>1790</w:t>
      </w:r>
      <w:r w:rsidRPr="00872261">
        <w:rPr>
          <w:rFonts w:cs="Calibri"/>
          <w:bCs/>
        </w:rPr>
        <w:t xml:space="preserve">, establece que el </w:t>
      </w:r>
      <w:r w:rsidR="00B95B68" w:rsidRPr="00872261">
        <w:rPr>
          <w:rFonts w:cs="Calibri"/>
          <w:bCs/>
          <w:i/>
        </w:rPr>
        <w:t>“</w:t>
      </w:r>
      <w:r w:rsidRPr="00872261">
        <w:rPr>
          <w:rFonts w:cs="Calibri"/>
          <w:bCs/>
          <w:i/>
        </w:rPr>
        <w:t xml:space="preserve">procedimiento administrativo ordinario estará sujeto al régimen común (general) establecido en el Título Primero del </w:t>
      </w:r>
      <w:r w:rsidR="003A2774" w:rsidRPr="00872261">
        <w:rPr>
          <w:rFonts w:cs="Calibri"/>
          <w:bCs/>
          <w:i/>
        </w:rPr>
        <w:t>R</w:t>
      </w:r>
      <w:r w:rsidRPr="00872261">
        <w:rPr>
          <w:rFonts w:cs="Calibri"/>
          <w:bCs/>
          <w:i/>
        </w:rPr>
        <w:t>égimen</w:t>
      </w:r>
      <w:r w:rsidR="00D14CB6" w:rsidRPr="00872261">
        <w:rPr>
          <w:rFonts w:cs="Calibri"/>
          <w:bCs/>
          <w:i/>
        </w:rPr>
        <w:t xml:space="preserve"> de Licencias </w:t>
      </w:r>
      <w:r w:rsidR="00D9746A" w:rsidRPr="00872261">
        <w:rPr>
          <w:rFonts w:cs="Calibri"/>
          <w:bCs/>
          <w:i/>
        </w:rPr>
        <w:t>Metropolitanas, únicamente</w:t>
      </w:r>
      <w:r w:rsidRPr="00872261">
        <w:rPr>
          <w:rFonts w:cs="Calibri"/>
          <w:bCs/>
          <w:i/>
        </w:rPr>
        <w:t xml:space="preserve"> con las variaciones previstas en esta sección e instrucciones contenidas en la correspondiente Resolución Administrativa. En estos casos, la verificación de cumplimiento de las normas técnicas y administrativas, posterior al otorgamiento de la LUAE, será obligatoria por parte de los Componentes o Entidades Colaboradoras. La verificación previa se efectuará en los casos en que la actividad económica a licenciar esté inmersa en la categoría turística</w:t>
      </w:r>
      <w:r w:rsidR="00B95B68" w:rsidRPr="00872261">
        <w:rPr>
          <w:rFonts w:cs="Calibri"/>
          <w:bCs/>
          <w:i/>
        </w:rPr>
        <w:t>”</w:t>
      </w:r>
      <w:r w:rsidRPr="00872261">
        <w:rPr>
          <w:rFonts w:cs="Calibri"/>
          <w:bCs/>
          <w:i/>
        </w:rPr>
        <w:t>;</w:t>
      </w:r>
    </w:p>
    <w:p w14:paraId="72B83BF8" w14:textId="77777777" w:rsidR="00AB0719" w:rsidRPr="00872261" w:rsidRDefault="00AB0719" w:rsidP="00E814B7">
      <w:pPr>
        <w:spacing w:after="0"/>
        <w:ind w:left="840" w:hanging="840"/>
        <w:jc w:val="both"/>
        <w:rPr>
          <w:rFonts w:cs="Calibri"/>
          <w:bCs/>
        </w:rPr>
      </w:pPr>
    </w:p>
    <w:p w14:paraId="20E18D4F" w14:textId="77777777" w:rsidR="00AB0719" w:rsidRPr="00872261" w:rsidRDefault="00BA3E38" w:rsidP="00E814B7">
      <w:pPr>
        <w:spacing w:after="0"/>
        <w:ind w:left="840" w:hanging="840"/>
        <w:jc w:val="both"/>
        <w:rPr>
          <w:rFonts w:cs="Calibri"/>
          <w:bCs/>
        </w:rPr>
      </w:pPr>
      <w:r w:rsidRPr="00872261">
        <w:rPr>
          <w:rFonts w:cs="Calibri"/>
          <w:b/>
          <w:bCs/>
          <w:spacing w:val="-2"/>
          <w:lang w:eastAsia="es-ES"/>
        </w:rPr>
        <w:t>Que,</w:t>
      </w:r>
      <w:r w:rsidRPr="00872261">
        <w:rPr>
          <w:rFonts w:cs="Calibri"/>
          <w:b/>
          <w:bCs/>
          <w:spacing w:val="-2"/>
          <w:lang w:eastAsia="es-ES"/>
        </w:rPr>
        <w:tab/>
      </w:r>
      <w:r w:rsidRPr="00872261">
        <w:rPr>
          <w:rFonts w:cs="Calibri"/>
          <w:bCs/>
        </w:rPr>
        <w:t>la normativa turística determina que, previo al ejercicio de actividades turísticas se deberá obtener el correspondiente Registro Turístico y la Licencia Anual de Funcionamiento (LUAF), que en el caso del Distrito Metropolitano de Quito es la Licencia Metropolitana Única para el Ejercicio de Actividades Económicas (LUAE);</w:t>
      </w:r>
    </w:p>
    <w:p w14:paraId="07F6DF0D" w14:textId="77777777" w:rsidR="00BA3E38" w:rsidRPr="00872261" w:rsidRDefault="00BA3E38" w:rsidP="00E814B7">
      <w:pPr>
        <w:spacing w:after="0"/>
        <w:ind w:left="840" w:hanging="840"/>
        <w:jc w:val="both"/>
        <w:rPr>
          <w:rFonts w:cs="Calibri"/>
          <w:bCs/>
        </w:rPr>
      </w:pPr>
    </w:p>
    <w:p w14:paraId="0290E389" w14:textId="4F677ECF" w:rsidR="00BA3E38" w:rsidRPr="00872261" w:rsidRDefault="00BA3E38" w:rsidP="007E1461">
      <w:pPr>
        <w:spacing w:after="0"/>
        <w:ind w:left="840" w:hanging="840"/>
        <w:jc w:val="both"/>
        <w:rPr>
          <w:rFonts w:cs="Calibri"/>
          <w:bCs/>
        </w:rPr>
      </w:pPr>
      <w:r w:rsidRPr="00872261">
        <w:rPr>
          <w:rFonts w:cs="Calibri"/>
          <w:b/>
          <w:bCs/>
          <w:spacing w:val="-2"/>
          <w:lang w:eastAsia="es-ES"/>
        </w:rPr>
        <w:t>Que,</w:t>
      </w:r>
      <w:r w:rsidRPr="00872261">
        <w:rPr>
          <w:rFonts w:cs="Calibri"/>
          <w:b/>
          <w:bCs/>
          <w:spacing w:val="-2"/>
          <w:lang w:eastAsia="es-ES"/>
        </w:rPr>
        <w:tab/>
      </w:r>
      <w:r w:rsidRPr="00872261">
        <w:rPr>
          <w:rFonts w:cs="Calibri"/>
          <w:bCs/>
        </w:rPr>
        <w:t>la normativa metropolitana vigente, preceptúa la realización sin excepción de la inspección previa al establecimiento turístico, visita en la que se verificará el cumplimiento de los parámetros técnicos y legales a los que deben sujetarse los prestadores de servicios turísticos de acuerdo a la actividad que se constate para determinar la clasificación, categoría y tipo que le correspondería al local;</w:t>
      </w:r>
    </w:p>
    <w:p w14:paraId="2ACEF99C" w14:textId="77777777" w:rsidR="007E1461" w:rsidRPr="00872261" w:rsidRDefault="007E1461" w:rsidP="00E814B7">
      <w:pPr>
        <w:spacing w:after="0"/>
        <w:ind w:left="840" w:hanging="840"/>
        <w:jc w:val="both"/>
        <w:rPr>
          <w:rFonts w:cs="Calibri"/>
          <w:bCs/>
        </w:rPr>
      </w:pPr>
    </w:p>
    <w:p w14:paraId="0B75BEE9" w14:textId="49FD3721" w:rsidR="00BA3E38" w:rsidRPr="00872261" w:rsidRDefault="00BA3E38" w:rsidP="00E814B7">
      <w:pPr>
        <w:spacing w:after="80"/>
        <w:jc w:val="both"/>
        <w:rPr>
          <w:rFonts w:cs="Calibri"/>
        </w:rPr>
      </w:pPr>
      <w:r w:rsidRPr="00872261">
        <w:rPr>
          <w:rFonts w:cs="Calibri"/>
        </w:rPr>
        <w:t>En ejercicio de sus atribuciones legales constantes en los artículos 57 literal a)</w:t>
      </w:r>
      <w:r w:rsidR="00EC5F4B" w:rsidRPr="00872261">
        <w:rPr>
          <w:rFonts w:cs="Calibri"/>
        </w:rPr>
        <w:t xml:space="preserve"> </w:t>
      </w:r>
      <w:r w:rsidRPr="00872261">
        <w:rPr>
          <w:rFonts w:cs="Calibri"/>
        </w:rPr>
        <w:t xml:space="preserve">del Código Orgánico de Organización Territorial, Autonomía y Descentralización, </w:t>
      </w:r>
      <w:r w:rsidR="00EC5F4B" w:rsidRPr="00872261">
        <w:rPr>
          <w:rFonts w:cs="Calibri"/>
        </w:rPr>
        <w:t>(</w:t>
      </w:r>
      <w:r w:rsidRPr="00872261">
        <w:rPr>
          <w:rFonts w:cs="Calibri"/>
        </w:rPr>
        <w:t>COOTAD</w:t>
      </w:r>
      <w:r w:rsidR="00EC5F4B" w:rsidRPr="00872261">
        <w:rPr>
          <w:rFonts w:cs="Calibri"/>
        </w:rPr>
        <w:t>)</w:t>
      </w:r>
      <w:r w:rsidRPr="00872261">
        <w:rPr>
          <w:rFonts w:cs="Calibri"/>
        </w:rPr>
        <w:t>; y, el artículo 8 numeral 1 de la Ley Orgánica de Régimen para el Distrito Metropolitano de Quito.</w:t>
      </w:r>
    </w:p>
    <w:p w14:paraId="3F29B6B5" w14:textId="77777777" w:rsidR="00BA3E38" w:rsidRPr="00872261" w:rsidRDefault="00BA3E38" w:rsidP="00E814B7">
      <w:pPr>
        <w:spacing w:after="80"/>
        <w:jc w:val="both"/>
        <w:rPr>
          <w:rFonts w:cs="Calibri"/>
        </w:rPr>
      </w:pPr>
    </w:p>
    <w:p w14:paraId="3E5301DB" w14:textId="77777777" w:rsidR="00BA3E38" w:rsidRPr="00872261" w:rsidRDefault="00BA3E38" w:rsidP="00E814B7">
      <w:pPr>
        <w:spacing w:after="80"/>
        <w:jc w:val="center"/>
        <w:rPr>
          <w:rFonts w:cs="Calibri"/>
          <w:b/>
        </w:rPr>
      </w:pPr>
      <w:r w:rsidRPr="00872261">
        <w:rPr>
          <w:rFonts w:cs="Calibri"/>
          <w:b/>
        </w:rPr>
        <w:t>EXPIDE:</w:t>
      </w:r>
    </w:p>
    <w:p w14:paraId="117AFD63" w14:textId="77777777" w:rsidR="00BA3E38" w:rsidRPr="00872261" w:rsidRDefault="00BA3E38" w:rsidP="00E814B7">
      <w:pPr>
        <w:spacing w:after="80"/>
        <w:jc w:val="center"/>
        <w:rPr>
          <w:rFonts w:cs="Calibri"/>
          <w:b/>
        </w:rPr>
      </w:pPr>
    </w:p>
    <w:p w14:paraId="365775BD" w14:textId="77777777" w:rsidR="00BA3E38" w:rsidRPr="00872261" w:rsidRDefault="00BA3E38" w:rsidP="00E814B7">
      <w:pPr>
        <w:spacing w:after="80"/>
        <w:jc w:val="center"/>
        <w:rPr>
          <w:rFonts w:cs="Calibri"/>
          <w:b/>
        </w:rPr>
      </w:pPr>
      <w:r w:rsidRPr="00872261">
        <w:rPr>
          <w:rFonts w:cs="Calibri"/>
          <w:b/>
        </w:rPr>
        <w:t>ORDENANZA METROPOLITANA REFORMATORIA AL CAPÍTULO IV DEL TÍTULO V DEL LIBRO III.6 DEL CÓDIGO MUNICIPAL PARA EL DISTRITO METROPOLITANO DE QUITO, “</w:t>
      </w:r>
      <w:r w:rsidR="002604C2" w:rsidRPr="00872261">
        <w:rPr>
          <w:rFonts w:cs="Calibri"/>
          <w:b/>
        </w:rPr>
        <w:t>DE LOS PROCEDIMIENTOS ADMINISTRATIVOS PARA EL OTORGAMIENTO DE LA LUAE”</w:t>
      </w:r>
    </w:p>
    <w:p w14:paraId="65398067" w14:textId="77777777" w:rsidR="00EC5F4B" w:rsidRPr="00872261" w:rsidRDefault="00EC5F4B" w:rsidP="00E814B7">
      <w:pPr>
        <w:spacing w:after="80"/>
        <w:jc w:val="both"/>
        <w:rPr>
          <w:rFonts w:cs="Calibri"/>
          <w:b/>
        </w:rPr>
      </w:pPr>
    </w:p>
    <w:p w14:paraId="1723B5DC" w14:textId="7B4E8B4A" w:rsidR="00411066" w:rsidRPr="00872261" w:rsidRDefault="00411066" w:rsidP="00CA0704">
      <w:pPr>
        <w:spacing w:after="80"/>
        <w:jc w:val="both"/>
        <w:rPr>
          <w:rFonts w:cs="Calibri"/>
          <w:b/>
          <w:lang w:val="es-ES"/>
        </w:rPr>
      </w:pPr>
      <w:r w:rsidRPr="00872261">
        <w:rPr>
          <w:rFonts w:cs="Calibri"/>
          <w:b/>
        </w:rPr>
        <w:t xml:space="preserve">Artículo 1.- </w:t>
      </w:r>
      <w:r w:rsidR="004168B0" w:rsidRPr="00872261">
        <w:rPr>
          <w:rFonts w:cs="Calibri"/>
          <w:b/>
        </w:rPr>
        <w:t xml:space="preserve"> </w:t>
      </w:r>
      <w:r w:rsidRPr="00872261">
        <w:rPr>
          <w:rFonts w:cs="Calibri"/>
          <w:lang w:val="es-ES"/>
        </w:rPr>
        <w:t>I</w:t>
      </w:r>
      <w:r w:rsidR="003C3FB3" w:rsidRPr="00872261">
        <w:rPr>
          <w:rFonts w:cs="Calibri"/>
          <w:lang w:val="es-ES"/>
        </w:rPr>
        <w:t xml:space="preserve">ncorpórese </w:t>
      </w:r>
      <w:r w:rsidRPr="00872261">
        <w:rPr>
          <w:rFonts w:cs="Calibri"/>
          <w:lang w:val="es-ES"/>
        </w:rPr>
        <w:t xml:space="preserve">siguiente texto </w:t>
      </w:r>
      <w:r w:rsidR="00872261" w:rsidRPr="00872261">
        <w:rPr>
          <w:rFonts w:cs="Calibri"/>
          <w:lang w:val="es-ES"/>
        </w:rPr>
        <w:t>al final</w:t>
      </w:r>
      <w:r w:rsidR="003C3FB3" w:rsidRPr="00872261">
        <w:rPr>
          <w:rFonts w:cs="Calibri"/>
          <w:lang w:val="es-ES"/>
        </w:rPr>
        <w:t xml:space="preserve"> del </w:t>
      </w:r>
      <w:r w:rsidRPr="00872261">
        <w:rPr>
          <w:rFonts w:cs="Calibri"/>
          <w:lang w:val="es-ES"/>
        </w:rPr>
        <w:t xml:space="preserve">artículo </w:t>
      </w:r>
      <w:r w:rsidR="003C3FB3" w:rsidRPr="00872261">
        <w:rPr>
          <w:rFonts w:cs="Calibri"/>
          <w:lang w:val="es-ES"/>
        </w:rPr>
        <w:t>1811</w:t>
      </w:r>
      <w:r w:rsidRPr="00872261">
        <w:rPr>
          <w:rFonts w:cs="Calibri"/>
          <w:lang w:val="es-ES"/>
        </w:rPr>
        <w:t>:</w:t>
      </w:r>
    </w:p>
    <w:p w14:paraId="1FA06C4A" w14:textId="4E91AACD" w:rsidR="004168B0" w:rsidRPr="00872261" w:rsidRDefault="00411066" w:rsidP="00CA0704">
      <w:pPr>
        <w:spacing w:after="80"/>
        <w:ind w:left="708"/>
        <w:jc w:val="both"/>
        <w:rPr>
          <w:rFonts w:cs="Calibri"/>
          <w:bCs/>
          <w:i/>
        </w:rPr>
      </w:pPr>
      <w:r w:rsidRPr="00872261">
        <w:rPr>
          <w:rFonts w:cs="Calibri"/>
          <w:b/>
          <w:lang w:val="es-ES"/>
        </w:rPr>
        <w:br/>
      </w:r>
      <w:r w:rsidRPr="00872261">
        <w:rPr>
          <w:rFonts w:cs="Calibri"/>
          <w:i/>
          <w:lang w:val="es-ES"/>
        </w:rPr>
        <w:t xml:space="preserve">“Las actividades económicas inmersas en las categorías turísticas se sujetarán al procedimiento administrativo simplificado, con excepción de las tipologías CZ1A y CZ1B.” </w:t>
      </w:r>
    </w:p>
    <w:p w14:paraId="366AC4C1" w14:textId="19AC52EE" w:rsidR="00613DC4" w:rsidRPr="00872261" w:rsidRDefault="00613DC4" w:rsidP="00CA0704">
      <w:pPr>
        <w:autoSpaceDE w:val="0"/>
        <w:autoSpaceDN w:val="0"/>
        <w:adjustRightInd w:val="0"/>
        <w:jc w:val="both"/>
        <w:rPr>
          <w:rFonts w:cs="Calibri"/>
          <w:lang w:eastAsia="es-ES"/>
        </w:rPr>
      </w:pPr>
    </w:p>
    <w:p w14:paraId="4FCED138" w14:textId="2F808876" w:rsidR="00411066" w:rsidRPr="00872261" w:rsidRDefault="009D1CC3" w:rsidP="00EA227E">
      <w:pPr>
        <w:spacing w:after="80"/>
        <w:jc w:val="both"/>
        <w:rPr>
          <w:rFonts w:cs="Calibri"/>
          <w:bCs/>
        </w:rPr>
      </w:pPr>
      <w:r w:rsidRPr="00872261">
        <w:rPr>
          <w:rFonts w:cs="Calibri"/>
          <w:b/>
          <w:bCs/>
        </w:rPr>
        <w:t xml:space="preserve">Artículo </w:t>
      </w:r>
      <w:r w:rsidR="0057125D" w:rsidRPr="00872261">
        <w:rPr>
          <w:rFonts w:cs="Calibri"/>
          <w:b/>
          <w:bCs/>
        </w:rPr>
        <w:t>2</w:t>
      </w:r>
      <w:r w:rsidRPr="00872261">
        <w:rPr>
          <w:rFonts w:cs="Calibri"/>
          <w:b/>
          <w:bCs/>
        </w:rPr>
        <w:t xml:space="preserve">. - </w:t>
      </w:r>
      <w:r w:rsidR="00411066" w:rsidRPr="00872261">
        <w:rPr>
          <w:rFonts w:cs="Calibri"/>
          <w:bCs/>
        </w:rPr>
        <w:t xml:space="preserve">Incorpórese </w:t>
      </w:r>
      <w:r w:rsidR="00326DB6" w:rsidRPr="00872261">
        <w:rPr>
          <w:rFonts w:cs="Calibri"/>
          <w:bCs/>
        </w:rPr>
        <w:t xml:space="preserve">en el </w:t>
      </w:r>
      <w:r w:rsidR="00411066" w:rsidRPr="00872261">
        <w:rPr>
          <w:rFonts w:cs="Calibri"/>
          <w:bCs/>
        </w:rPr>
        <w:t xml:space="preserve">artículo </w:t>
      </w:r>
      <w:r w:rsidR="003C3FB3" w:rsidRPr="00872261">
        <w:rPr>
          <w:rFonts w:cs="Calibri"/>
          <w:bCs/>
        </w:rPr>
        <w:t>1814</w:t>
      </w:r>
      <w:r w:rsidR="00411066" w:rsidRPr="00872261">
        <w:rPr>
          <w:rFonts w:cs="Calibri"/>
          <w:bCs/>
        </w:rPr>
        <w:t xml:space="preserve"> del Código Municipal para el Distrito Metropolitano de Quito, </w:t>
      </w:r>
      <w:r w:rsidR="00326DB6" w:rsidRPr="00872261">
        <w:rPr>
          <w:rFonts w:cs="Calibri"/>
          <w:bCs/>
        </w:rPr>
        <w:t xml:space="preserve">después de numeral 04 un numeral </w:t>
      </w:r>
      <w:r w:rsidR="00401B26" w:rsidRPr="00872261">
        <w:rPr>
          <w:rFonts w:cs="Calibri"/>
          <w:bCs/>
        </w:rPr>
        <w:t xml:space="preserve"> </w:t>
      </w:r>
      <w:r w:rsidR="001A1CF1">
        <w:rPr>
          <w:rFonts w:cs="Calibri"/>
          <w:bCs/>
        </w:rPr>
        <w:t xml:space="preserve">y dos incisos </w:t>
      </w:r>
      <w:r w:rsidR="00401B26" w:rsidRPr="00872261">
        <w:rPr>
          <w:rFonts w:cs="Calibri"/>
          <w:bCs/>
        </w:rPr>
        <w:t xml:space="preserve">al tenor del </w:t>
      </w:r>
      <w:r w:rsidR="00411066" w:rsidRPr="00872261">
        <w:rPr>
          <w:rFonts w:cs="Calibri"/>
          <w:bCs/>
        </w:rPr>
        <w:t>siguiente texto:</w:t>
      </w:r>
    </w:p>
    <w:p w14:paraId="4C3D226A" w14:textId="77777777" w:rsidR="00411066" w:rsidRPr="00872261" w:rsidRDefault="00411066" w:rsidP="00EA227E">
      <w:pPr>
        <w:spacing w:after="80"/>
        <w:jc w:val="both"/>
        <w:rPr>
          <w:rFonts w:cs="Calibri"/>
          <w:bCs/>
        </w:rPr>
      </w:pPr>
    </w:p>
    <w:p w14:paraId="605E2AE0" w14:textId="1A468A15" w:rsidR="00411066" w:rsidRPr="00872261" w:rsidRDefault="00411066" w:rsidP="00EA227E">
      <w:pPr>
        <w:spacing w:after="80"/>
        <w:ind w:left="708"/>
        <w:jc w:val="both"/>
        <w:rPr>
          <w:rFonts w:cs="Calibri"/>
          <w:bCs/>
          <w:i/>
        </w:rPr>
      </w:pPr>
      <w:r w:rsidRPr="00872261">
        <w:rPr>
          <w:rFonts w:cs="Calibri"/>
          <w:bCs/>
          <w:i/>
        </w:rPr>
        <w:t xml:space="preserve">“El interesado deberá finalizar la declaración responsable de cumplimiento de las normas administrativas y/o </w:t>
      </w:r>
      <w:r w:rsidR="004F5BDF" w:rsidRPr="00872261">
        <w:rPr>
          <w:rFonts w:cs="Calibri"/>
          <w:bCs/>
          <w:i/>
        </w:rPr>
        <w:t>r</w:t>
      </w:r>
      <w:r w:rsidRPr="00872261">
        <w:rPr>
          <w:rFonts w:cs="Calibri"/>
          <w:bCs/>
          <w:i/>
        </w:rPr>
        <w:t xml:space="preserve">eglas </w:t>
      </w:r>
      <w:r w:rsidR="004F5BDF" w:rsidRPr="00872261">
        <w:rPr>
          <w:rFonts w:cs="Calibri"/>
          <w:bCs/>
          <w:i/>
        </w:rPr>
        <w:t>t</w:t>
      </w:r>
      <w:r w:rsidRPr="00872261">
        <w:rPr>
          <w:rFonts w:cs="Calibri"/>
          <w:bCs/>
          <w:i/>
        </w:rPr>
        <w:t xml:space="preserve">écnicas vigentes aplicables </w:t>
      </w:r>
      <w:r w:rsidR="003C3FB3" w:rsidRPr="00872261">
        <w:rPr>
          <w:rFonts w:cs="Calibri"/>
          <w:bCs/>
          <w:i/>
        </w:rPr>
        <w:t xml:space="preserve">de manera digital en el Sistema de Catastro de Establecimientos Turísticos </w:t>
      </w:r>
      <w:r w:rsidRPr="00872261">
        <w:rPr>
          <w:rFonts w:cs="Calibri"/>
          <w:bCs/>
          <w:i/>
        </w:rPr>
        <w:t>en el máximo de 10 días término</w:t>
      </w:r>
      <w:r w:rsidR="004F5BDF" w:rsidRPr="00872261">
        <w:rPr>
          <w:rFonts w:cs="Calibri"/>
          <w:bCs/>
          <w:i/>
        </w:rPr>
        <w:t xml:space="preserve"> contados a partir </w:t>
      </w:r>
      <w:r w:rsidRPr="00872261">
        <w:rPr>
          <w:rFonts w:cs="Calibri"/>
          <w:bCs/>
          <w:i/>
        </w:rPr>
        <w:t>de</w:t>
      </w:r>
      <w:r w:rsidR="004F5BDF" w:rsidRPr="00872261">
        <w:rPr>
          <w:rFonts w:cs="Calibri"/>
          <w:bCs/>
          <w:i/>
        </w:rPr>
        <w:t>l</w:t>
      </w:r>
      <w:r w:rsidR="00EA227E" w:rsidRPr="00872261">
        <w:rPr>
          <w:rFonts w:cs="Calibri"/>
          <w:bCs/>
          <w:i/>
        </w:rPr>
        <w:t xml:space="preserve"> ingreso del</w:t>
      </w:r>
      <w:r w:rsidRPr="00872261">
        <w:rPr>
          <w:rFonts w:cs="Calibri"/>
          <w:bCs/>
          <w:i/>
        </w:rPr>
        <w:t xml:space="preserve"> trámite de licenciamiento. </w:t>
      </w:r>
    </w:p>
    <w:p w14:paraId="179FC292" w14:textId="77777777" w:rsidR="00411066" w:rsidRPr="00872261" w:rsidRDefault="00411066" w:rsidP="00EA227E">
      <w:pPr>
        <w:spacing w:after="80"/>
        <w:ind w:left="708"/>
        <w:jc w:val="both"/>
        <w:rPr>
          <w:rFonts w:cs="Calibri"/>
          <w:bCs/>
          <w:i/>
        </w:rPr>
      </w:pPr>
    </w:p>
    <w:p w14:paraId="66F823CB" w14:textId="77777777" w:rsidR="00411066" w:rsidRPr="00872261" w:rsidRDefault="00411066" w:rsidP="00EA227E">
      <w:pPr>
        <w:spacing w:after="80"/>
        <w:ind w:left="708"/>
        <w:jc w:val="both"/>
        <w:rPr>
          <w:rFonts w:cs="Calibri"/>
          <w:bCs/>
          <w:i/>
        </w:rPr>
      </w:pPr>
      <w:r w:rsidRPr="00872261">
        <w:rPr>
          <w:rFonts w:cs="Calibri"/>
          <w:bCs/>
          <w:i/>
        </w:rPr>
        <w:lastRenderedPageBreak/>
        <w:t>En caso de que el administrado no finalice la declaración responsable de cumplimiento en el término establecido en el presente artículo, se entenderá como desistimiento y se procederá archivar el trámite.</w:t>
      </w:r>
    </w:p>
    <w:p w14:paraId="58820AE5" w14:textId="77777777" w:rsidR="00411066" w:rsidRPr="00872261" w:rsidRDefault="00411066" w:rsidP="00EA227E">
      <w:pPr>
        <w:spacing w:after="80"/>
        <w:ind w:left="708"/>
        <w:jc w:val="both"/>
        <w:rPr>
          <w:rFonts w:cs="Calibri"/>
          <w:bCs/>
          <w:i/>
        </w:rPr>
      </w:pPr>
    </w:p>
    <w:p w14:paraId="71577FFD" w14:textId="7485234E" w:rsidR="0057125D" w:rsidRPr="00872261" w:rsidRDefault="00411066" w:rsidP="00EA227E">
      <w:pPr>
        <w:spacing w:after="80"/>
        <w:ind w:left="708"/>
        <w:jc w:val="both"/>
        <w:rPr>
          <w:rFonts w:cs="Calibri"/>
          <w:bCs/>
          <w:i/>
        </w:rPr>
      </w:pPr>
      <w:r w:rsidRPr="00872261">
        <w:rPr>
          <w:rFonts w:cs="Calibri"/>
          <w:bCs/>
          <w:i/>
        </w:rPr>
        <w:t xml:space="preserve">Para los casos de actividades turísticas; sí en la inspección posterior realizada por el componente de </w:t>
      </w:r>
      <w:r w:rsidR="00A374DD" w:rsidRPr="00872261">
        <w:rPr>
          <w:rFonts w:cs="Calibri"/>
          <w:bCs/>
          <w:i/>
        </w:rPr>
        <w:t xml:space="preserve">la </w:t>
      </w:r>
      <w:r w:rsidR="00E814B7" w:rsidRPr="00872261">
        <w:rPr>
          <w:rFonts w:cs="Calibri"/>
          <w:bCs/>
          <w:i/>
        </w:rPr>
        <w:t>materia se</w:t>
      </w:r>
      <w:r w:rsidRPr="00872261">
        <w:rPr>
          <w:rFonts w:cs="Calibri"/>
          <w:bCs/>
          <w:i/>
        </w:rPr>
        <w:t xml:space="preserve"> verifi</w:t>
      </w:r>
      <w:r w:rsidR="004F5BDF" w:rsidRPr="00872261">
        <w:rPr>
          <w:rFonts w:cs="Calibri"/>
          <w:bCs/>
          <w:i/>
        </w:rPr>
        <w:t>care</w:t>
      </w:r>
      <w:r w:rsidRPr="00872261">
        <w:rPr>
          <w:rFonts w:cs="Calibri"/>
          <w:bCs/>
          <w:i/>
        </w:rPr>
        <w:t xml:space="preserve"> que la declaración responsable de cumplimiento realizada por el interesado es falsa, la falta de veracidad constituirá una infracción muy grave de conformidad con lo previsto en la normativa turística nacional vigente y de acuerdo a la tipología de las sanciones </w:t>
      </w:r>
      <w:r w:rsidR="00C258CB" w:rsidRPr="00872261">
        <w:rPr>
          <w:rFonts w:cs="Calibri"/>
          <w:bCs/>
          <w:i/>
        </w:rPr>
        <w:t>por infracciones graves</w:t>
      </w:r>
      <w:r w:rsidR="00A841E4">
        <w:rPr>
          <w:rFonts w:cs="Calibri"/>
          <w:bCs/>
          <w:i/>
        </w:rPr>
        <w:t xml:space="preserve"> y muy graves</w:t>
      </w:r>
      <w:r w:rsidR="00C258CB" w:rsidRPr="00872261">
        <w:rPr>
          <w:rFonts w:cs="Calibri"/>
          <w:bCs/>
          <w:i/>
        </w:rPr>
        <w:t xml:space="preserve"> </w:t>
      </w:r>
      <w:r w:rsidRPr="00872261">
        <w:rPr>
          <w:rFonts w:cs="Calibri"/>
          <w:bCs/>
          <w:i/>
        </w:rPr>
        <w:t>en materia de turismo establecida en el Código Municipal para el Distrito Metropolitano de Quito. “</w:t>
      </w:r>
    </w:p>
    <w:p w14:paraId="6135E88A" w14:textId="77777777" w:rsidR="00150629" w:rsidRPr="00872261" w:rsidRDefault="00150629" w:rsidP="00613DC4">
      <w:pPr>
        <w:spacing w:after="80"/>
        <w:jc w:val="both"/>
        <w:rPr>
          <w:rFonts w:cs="Calibri"/>
          <w:i/>
          <w:iCs/>
          <w:lang w:val="es-ES_tradnl"/>
        </w:rPr>
      </w:pPr>
    </w:p>
    <w:p w14:paraId="1A11491B" w14:textId="3641C806" w:rsidR="0057125D" w:rsidRPr="00872261" w:rsidRDefault="0057125D" w:rsidP="00CA0704">
      <w:pPr>
        <w:spacing w:after="80"/>
        <w:jc w:val="both"/>
        <w:rPr>
          <w:rFonts w:cs="Calibri"/>
          <w:u w:val="single"/>
        </w:rPr>
      </w:pPr>
      <w:r w:rsidRPr="00872261">
        <w:rPr>
          <w:rFonts w:cs="Calibri"/>
          <w:b/>
        </w:rPr>
        <w:t>Artículo 3.</w:t>
      </w:r>
      <w:r w:rsidR="007B642E" w:rsidRPr="00872261">
        <w:rPr>
          <w:rFonts w:cs="Calibri"/>
          <w:b/>
        </w:rPr>
        <w:t xml:space="preserve"> -</w:t>
      </w:r>
      <w:r w:rsidRPr="00872261">
        <w:rPr>
          <w:rFonts w:cs="Calibri"/>
          <w:b/>
        </w:rPr>
        <w:t xml:space="preserve"> </w:t>
      </w:r>
      <w:r w:rsidRPr="00872261">
        <w:rPr>
          <w:rFonts w:cs="Calibri"/>
          <w:bCs/>
        </w:rPr>
        <w:t xml:space="preserve">En </w:t>
      </w:r>
      <w:r w:rsidRPr="00872261">
        <w:rPr>
          <w:rFonts w:cs="Calibri"/>
        </w:rPr>
        <w:t xml:space="preserve">el segundo inciso del artículo </w:t>
      </w:r>
      <w:r w:rsidR="003C3FB3" w:rsidRPr="00872261">
        <w:rPr>
          <w:rFonts w:cs="Calibri"/>
        </w:rPr>
        <w:t xml:space="preserve">1816 </w:t>
      </w:r>
      <w:r w:rsidRPr="00872261">
        <w:rPr>
          <w:rFonts w:cs="Calibri"/>
        </w:rPr>
        <w:t xml:space="preserve">del Código Municipal para el Distrito metropolitano de Quito, </w:t>
      </w:r>
      <w:r w:rsidRPr="00872261">
        <w:rPr>
          <w:rFonts w:cs="Calibri"/>
          <w:bCs/>
        </w:rPr>
        <w:t>elimínese</w:t>
      </w:r>
      <w:r w:rsidRPr="00872261">
        <w:rPr>
          <w:rFonts w:cs="Calibri"/>
        </w:rPr>
        <w:t xml:space="preserve"> la siguiente frase: </w:t>
      </w:r>
    </w:p>
    <w:p w14:paraId="242E5991" w14:textId="77777777" w:rsidR="0057125D" w:rsidRPr="00872261" w:rsidRDefault="0057125D" w:rsidP="00CA0704">
      <w:pPr>
        <w:spacing w:after="80"/>
        <w:jc w:val="both"/>
        <w:rPr>
          <w:rFonts w:cs="Calibri"/>
        </w:rPr>
      </w:pPr>
    </w:p>
    <w:p w14:paraId="3B232EFF" w14:textId="5BA4CFFF" w:rsidR="00984F7C" w:rsidRPr="00872261" w:rsidRDefault="0057125D" w:rsidP="007200D7">
      <w:pPr>
        <w:spacing w:after="80"/>
        <w:ind w:left="705"/>
        <w:jc w:val="both"/>
        <w:rPr>
          <w:rFonts w:cs="Calibri"/>
          <w:bCs/>
        </w:rPr>
      </w:pPr>
      <w:r w:rsidRPr="00872261">
        <w:rPr>
          <w:rFonts w:cs="Calibri"/>
          <w:i/>
          <w:iCs/>
        </w:rPr>
        <w:t>“La verificación previa se efectuará en los casos en que la actividad económica a licenciar esté inmersa en la categoría turística.”</w:t>
      </w:r>
    </w:p>
    <w:p w14:paraId="4D60F5D3" w14:textId="77777777" w:rsidR="00C360C1" w:rsidRPr="00872261" w:rsidRDefault="00C360C1" w:rsidP="00CA0704">
      <w:pPr>
        <w:spacing w:after="80"/>
        <w:jc w:val="both"/>
        <w:rPr>
          <w:rFonts w:cs="Calibri"/>
          <w:b/>
        </w:rPr>
      </w:pPr>
    </w:p>
    <w:p w14:paraId="4C33815A" w14:textId="6EB57693" w:rsidR="00984F7C" w:rsidRPr="00872261" w:rsidRDefault="00E8287F" w:rsidP="00E814B7">
      <w:pPr>
        <w:jc w:val="both"/>
        <w:rPr>
          <w:rFonts w:cs="Calibri"/>
        </w:rPr>
      </w:pPr>
      <w:r w:rsidRPr="00872261">
        <w:rPr>
          <w:b/>
          <w:bCs/>
        </w:rPr>
        <w:t>DISPOSICI</w:t>
      </w:r>
      <w:r w:rsidR="003E3B5A" w:rsidRPr="00872261">
        <w:rPr>
          <w:b/>
          <w:bCs/>
        </w:rPr>
        <w:t>O</w:t>
      </w:r>
      <w:r w:rsidRPr="00872261">
        <w:rPr>
          <w:b/>
          <w:bCs/>
        </w:rPr>
        <w:t>N</w:t>
      </w:r>
      <w:r w:rsidR="003E3B5A" w:rsidRPr="00872261">
        <w:rPr>
          <w:b/>
          <w:bCs/>
        </w:rPr>
        <w:t>ES</w:t>
      </w:r>
      <w:r w:rsidRPr="00872261">
        <w:rPr>
          <w:b/>
          <w:bCs/>
        </w:rPr>
        <w:t xml:space="preserve"> TRANSITORIA</w:t>
      </w:r>
      <w:r w:rsidR="003E3B5A" w:rsidRPr="00872261">
        <w:rPr>
          <w:b/>
          <w:bCs/>
        </w:rPr>
        <w:t>S</w:t>
      </w:r>
      <w:r w:rsidRPr="00872261">
        <w:rPr>
          <w:b/>
          <w:bCs/>
        </w:rPr>
        <w:t xml:space="preserve"> </w:t>
      </w:r>
    </w:p>
    <w:p w14:paraId="47DC4055" w14:textId="77AF4B61" w:rsidR="00C31920" w:rsidRPr="00872261" w:rsidRDefault="002039C9" w:rsidP="00CA0704">
      <w:pPr>
        <w:jc w:val="both"/>
        <w:rPr>
          <w:rFonts w:cs="Calibri"/>
          <w:bCs/>
        </w:rPr>
      </w:pPr>
      <w:r w:rsidRPr="00872261">
        <w:t>DISPOSICIÓN TRANSITORIA PRIMERA. - “En el plazo de 6 meses, contados a partir de la sanción de la presente ordenanza, la Empresa Metropolitana de Gestión de Destino Turístico – Quito Turismo en conjunto con la Dirección Metropolitana de Servicios Ciudadanos y el ente municipal encargado de las Tecnologías de la Información y Comunicación, reestructurarán la plataforma tecnológica del Sistema de Catastro de Establecimientos Turísticos y a la plataforma de licenciamiento municipal para la implementación del marco normativo aprobado en la presente ordenanza</w:t>
      </w:r>
      <w:r w:rsidR="004C60B4" w:rsidRPr="00872261">
        <w:rPr>
          <w:rFonts w:cs="Calibri"/>
          <w:bCs/>
        </w:rPr>
        <w:t>.</w:t>
      </w:r>
    </w:p>
    <w:p w14:paraId="629941C8" w14:textId="5D84237D" w:rsidR="0073726D" w:rsidRPr="00872261" w:rsidRDefault="0073726D" w:rsidP="00E814B7">
      <w:pPr>
        <w:pStyle w:val="Estilopredeterminado"/>
        <w:spacing w:after="0"/>
        <w:jc w:val="both"/>
        <w:rPr>
          <w:rFonts w:eastAsia="Times New Roman"/>
          <w:bCs/>
          <w:color w:val="auto"/>
          <w:sz w:val="20"/>
          <w:szCs w:val="20"/>
          <w:lang w:eastAsia="zh-CN"/>
        </w:rPr>
      </w:pPr>
      <w:r w:rsidRPr="00872261">
        <w:rPr>
          <w:rFonts w:eastAsia="Times New Roman"/>
          <w:bCs/>
          <w:color w:val="auto"/>
          <w:sz w:val="20"/>
          <w:szCs w:val="20"/>
          <w:lang w:eastAsia="zh-CN"/>
        </w:rPr>
        <w:t>Mientras se cumple el plazo determinado en el primer inciso de la presente disposición transitoria</w:t>
      </w:r>
      <w:r w:rsidR="00CA0704" w:rsidRPr="00872261">
        <w:rPr>
          <w:rFonts w:eastAsia="Times New Roman"/>
          <w:bCs/>
          <w:color w:val="auto"/>
          <w:sz w:val="20"/>
          <w:szCs w:val="20"/>
          <w:lang w:eastAsia="zh-CN"/>
        </w:rPr>
        <w:t>,</w:t>
      </w:r>
      <w:r w:rsidRPr="00872261">
        <w:rPr>
          <w:rFonts w:eastAsia="Times New Roman"/>
          <w:bCs/>
          <w:color w:val="auto"/>
          <w:sz w:val="20"/>
          <w:szCs w:val="20"/>
          <w:lang w:eastAsia="zh-CN"/>
        </w:rPr>
        <w:t xml:space="preserve"> el proceso de otorgamiento de la Licencia Metropolitana Única para el Ejercicio de Actividades Económicas (LUAE) con componente turístico, se mantendrá en las condiciones determinadas para el proceso administrativo ordinario; con excepción de las actividades económicas inmersas en las tipologías CZ1A y CZ1B.</w:t>
      </w:r>
      <w:r w:rsidR="004C60B4" w:rsidRPr="00872261">
        <w:rPr>
          <w:color w:val="auto"/>
        </w:rPr>
        <w:t xml:space="preserve"> “</w:t>
      </w:r>
    </w:p>
    <w:p w14:paraId="163881D0" w14:textId="77777777" w:rsidR="0073726D" w:rsidRPr="00872261" w:rsidRDefault="0073726D" w:rsidP="00E814B7">
      <w:pPr>
        <w:pStyle w:val="Estilopredeterminado"/>
        <w:spacing w:after="0"/>
        <w:jc w:val="both"/>
        <w:rPr>
          <w:color w:val="auto"/>
        </w:rPr>
      </w:pPr>
    </w:p>
    <w:p w14:paraId="736FBF92" w14:textId="569AE36E" w:rsidR="005807B8" w:rsidRPr="00872261" w:rsidRDefault="00C744E8" w:rsidP="00E814B7">
      <w:pPr>
        <w:spacing w:after="80"/>
        <w:jc w:val="both"/>
        <w:rPr>
          <w:rFonts w:cs="Calibri"/>
        </w:rPr>
      </w:pPr>
      <w:r w:rsidRPr="00872261">
        <w:rPr>
          <w:rFonts w:cs="Calibri"/>
          <w:b/>
        </w:rPr>
        <w:t xml:space="preserve">DISPOSICIÓN TRANSITORIA </w:t>
      </w:r>
      <w:r w:rsidRPr="00872261">
        <w:rPr>
          <w:rFonts w:cs="Calibri"/>
          <w:b/>
          <w:bCs/>
        </w:rPr>
        <w:t>SEGUNDA</w:t>
      </w:r>
      <w:r w:rsidR="00A711F6" w:rsidRPr="00872261">
        <w:rPr>
          <w:rFonts w:cs="Calibri"/>
          <w:b/>
        </w:rPr>
        <w:t>.-</w:t>
      </w:r>
      <w:r w:rsidR="00A711F6" w:rsidRPr="00872261">
        <w:rPr>
          <w:rFonts w:cs="Calibri"/>
        </w:rPr>
        <w:t xml:space="preserve"> </w:t>
      </w:r>
      <w:r w:rsidR="004C60B4" w:rsidRPr="00872261">
        <w:rPr>
          <w:rFonts w:cs="Calibri"/>
        </w:rPr>
        <w:t>“</w:t>
      </w:r>
      <w:r w:rsidRPr="00872261">
        <w:rPr>
          <w:rFonts w:cs="Calibri"/>
          <w:bCs/>
        </w:rPr>
        <w:t xml:space="preserve">En el término de 60 días, contados a partir de la sanción de la presente ordenanza, la Empresa Metropolitana de Gestión de Destino Turístico – Quito Turismo, emitirá el </w:t>
      </w:r>
      <w:r w:rsidR="00872261" w:rsidRPr="00872261">
        <w:rPr>
          <w:rFonts w:cs="Calibri"/>
          <w:bCs/>
        </w:rPr>
        <w:t>protocolo</w:t>
      </w:r>
      <w:r w:rsidRPr="00872261">
        <w:rPr>
          <w:rFonts w:cs="Calibri"/>
          <w:bCs/>
        </w:rPr>
        <w:t xml:space="preserve"> en el que se determinará el proceso de verificación de cumplimiento de las normas administrativas y/o Reglas Técnicas, posterior al otorgamiento de la LUAE</w:t>
      </w:r>
      <w:r w:rsidR="005807B8" w:rsidRPr="00872261">
        <w:rPr>
          <w:rFonts w:cs="Calibri"/>
          <w:bCs/>
        </w:rPr>
        <w:t>.</w:t>
      </w:r>
      <w:r w:rsidR="004C60B4" w:rsidRPr="00872261">
        <w:rPr>
          <w:rFonts w:cs="Calibri"/>
        </w:rPr>
        <w:t xml:space="preserve"> “</w:t>
      </w:r>
    </w:p>
    <w:p w14:paraId="1B0C4A9F" w14:textId="77777777" w:rsidR="005807B8" w:rsidRPr="00872261" w:rsidRDefault="005807B8" w:rsidP="00CA0704">
      <w:pPr>
        <w:spacing w:after="80"/>
        <w:jc w:val="both"/>
        <w:rPr>
          <w:rFonts w:cs="Calibri"/>
          <w:b/>
          <w:highlight w:val="yellow"/>
        </w:rPr>
      </w:pPr>
    </w:p>
    <w:p w14:paraId="2FF4C24F" w14:textId="7FCFBF0D" w:rsidR="00FB5F32" w:rsidRPr="00872261" w:rsidRDefault="00C744E8" w:rsidP="00CA0704">
      <w:pPr>
        <w:spacing w:after="80"/>
        <w:jc w:val="both"/>
        <w:rPr>
          <w:rFonts w:cs="Calibri"/>
        </w:rPr>
      </w:pPr>
      <w:r w:rsidRPr="00872261">
        <w:rPr>
          <w:rFonts w:cs="Calibri"/>
          <w:b/>
        </w:rPr>
        <w:t xml:space="preserve">DISPOSICIÓN TRANSITORIA </w:t>
      </w:r>
      <w:r w:rsidR="00A374DD" w:rsidRPr="00872261">
        <w:rPr>
          <w:rFonts w:cs="Calibri"/>
          <w:b/>
          <w:bCs/>
        </w:rPr>
        <w:t>TERCERA</w:t>
      </w:r>
      <w:r w:rsidR="00A374DD" w:rsidRPr="00872261">
        <w:rPr>
          <w:rFonts w:cs="Calibri"/>
          <w:b/>
        </w:rPr>
        <w:t>.-</w:t>
      </w:r>
      <w:r w:rsidR="00A374DD" w:rsidRPr="00872261">
        <w:rPr>
          <w:rFonts w:cs="Calibri"/>
        </w:rPr>
        <w:t xml:space="preserve"> “</w:t>
      </w:r>
      <w:r w:rsidRPr="00872261">
        <w:rPr>
          <w:rFonts w:cs="Calibri"/>
          <w:bCs/>
        </w:rPr>
        <w:t xml:space="preserve">En el término de </w:t>
      </w:r>
      <w:r w:rsidR="00CA0704" w:rsidRPr="00872261">
        <w:rPr>
          <w:rFonts w:cs="Calibri"/>
          <w:bCs/>
        </w:rPr>
        <w:t>3</w:t>
      </w:r>
      <w:r w:rsidRPr="00872261">
        <w:rPr>
          <w:rFonts w:cs="Calibri"/>
          <w:bCs/>
        </w:rPr>
        <w:t xml:space="preserve">0 días, contados a partir de la sanción de la presente ordenanza, la Secretaría de Desarrollo Productivo y Competitividad realizará </w:t>
      </w:r>
      <w:r w:rsidR="003E54B9" w:rsidRPr="00872261">
        <w:rPr>
          <w:rFonts w:cs="Calibri"/>
          <w:bCs/>
        </w:rPr>
        <w:t xml:space="preserve">la </w:t>
      </w:r>
      <w:r w:rsidRPr="00872261">
        <w:rPr>
          <w:rFonts w:cs="Calibri"/>
          <w:bCs/>
        </w:rPr>
        <w:t>actualización a la categorización de actividades económicas conforme a lo establecido en el marco normativo aprobado en la presente ordenanza.</w:t>
      </w:r>
      <w:r w:rsidR="004C60B4" w:rsidRPr="00872261">
        <w:rPr>
          <w:rFonts w:cs="Calibri"/>
        </w:rPr>
        <w:t xml:space="preserve"> “</w:t>
      </w:r>
    </w:p>
    <w:p w14:paraId="12180D83" w14:textId="77777777" w:rsidR="00C744E8" w:rsidRPr="00872261" w:rsidRDefault="00C744E8" w:rsidP="00CA0704">
      <w:pPr>
        <w:spacing w:after="80"/>
        <w:jc w:val="both"/>
        <w:rPr>
          <w:rFonts w:cs="Calibri"/>
        </w:rPr>
      </w:pPr>
    </w:p>
    <w:p w14:paraId="536AACE2" w14:textId="5FE15E9D" w:rsidR="00C744E8" w:rsidRPr="00872261" w:rsidRDefault="00C744E8" w:rsidP="00CA0704">
      <w:pPr>
        <w:spacing w:after="80"/>
        <w:jc w:val="both"/>
        <w:rPr>
          <w:rFonts w:cs="Calibri"/>
        </w:rPr>
      </w:pPr>
      <w:r w:rsidRPr="00872261">
        <w:rPr>
          <w:rFonts w:cs="Calibri"/>
          <w:b/>
        </w:rPr>
        <w:t xml:space="preserve">DISPOSICIÓN TRANSITORIA </w:t>
      </w:r>
      <w:r w:rsidR="00A374DD" w:rsidRPr="00872261">
        <w:rPr>
          <w:rFonts w:cs="Calibri"/>
          <w:b/>
          <w:bCs/>
        </w:rPr>
        <w:t>CUARTA</w:t>
      </w:r>
      <w:r w:rsidR="00A374DD" w:rsidRPr="00872261">
        <w:rPr>
          <w:rFonts w:cs="Calibri"/>
          <w:b/>
        </w:rPr>
        <w:t>.-</w:t>
      </w:r>
      <w:r w:rsidRPr="00872261">
        <w:rPr>
          <w:rFonts w:cs="Calibri"/>
        </w:rPr>
        <w:t xml:space="preserve"> </w:t>
      </w:r>
      <w:r w:rsidR="004C60B4" w:rsidRPr="00872261">
        <w:rPr>
          <w:rFonts w:cs="Calibri"/>
        </w:rPr>
        <w:t>“</w:t>
      </w:r>
      <w:r w:rsidR="000979DB" w:rsidRPr="00872261">
        <w:rPr>
          <w:rFonts w:cs="Calibri"/>
          <w:bCs/>
        </w:rPr>
        <w:t>En</w:t>
      </w:r>
      <w:r w:rsidR="00F8637F" w:rsidRPr="00872261">
        <w:rPr>
          <w:rFonts w:cs="Calibri"/>
          <w:bCs/>
        </w:rPr>
        <w:t xml:space="preserve"> </w:t>
      </w:r>
      <w:r w:rsidRPr="00872261">
        <w:rPr>
          <w:rFonts w:cs="Calibri"/>
          <w:bCs/>
        </w:rPr>
        <w:t xml:space="preserve">el término de 15 días </w:t>
      </w:r>
      <w:r w:rsidR="00E8044A" w:rsidRPr="00872261">
        <w:rPr>
          <w:rFonts w:cs="Calibri"/>
          <w:bCs/>
        </w:rPr>
        <w:t xml:space="preserve">contados a partir de la sanción de la presente ordenanza, </w:t>
      </w:r>
      <w:r w:rsidRPr="00872261">
        <w:rPr>
          <w:rFonts w:cs="Calibri"/>
          <w:bCs/>
        </w:rPr>
        <w:t xml:space="preserve">la Agencia Metropolitana de Control, </w:t>
      </w:r>
      <w:r w:rsidR="00F8637F" w:rsidRPr="00872261">
        <w:rPr>
          <w:rFonts w:cs="Calibri"/>
          <w:bCs/>
        </w:rPr>
        <w:t>deberá presentar</w:t>
      </w:r>
      <w:r w:rsidRPr="00872261">
        <w:rPr>
          <w:rFonts w:cs="Calibri"/>
          <w:bCs/>
        </w:rPr>
        <w:t xml:space="preserve">, al Concejo Metropolitano, </w:t>
      </w:r>
      <w:r w:rsidR="003E54B9" w:rsidRPr="00872261">
        <w:rPr>
          <w:rFonts w:cs="Calibri"/>
          <w:bCs/>
        </w:rPr>
        <w:t xml:space="preserve">el </w:t>
      </w:r>
      <w:r w:rsidR="005738C6" w:rsidRPr="00872261">
        <w:rPr>
          <w:rFonts w:cs="Calibri"/>
          <w:bCs/>
        </w:rPr>
        <w:t>protocolo de intervención</w:t>
      </w:r>
      <w:r w:rsidRPr="00872261">
        <w:rPr>
          <w:rFonts w:cs="Calibri"/>
          <w:bCs/>
        </w:rPr>
        <w:t xml:space="preserve"> que aplicará la citada Entidad, para realizar los respectivos operativos de control, a los distintos establecimientos.</w:t>
      </w:r>
      <w:r w:rsidR="004C60B4" w:rsidRPr="00872261">
        <w:rPr>
          <w:rFonts w:cs="Calibri"/>
        </w:rPr>
        <w:t xml:space="preserve"> “</w:t>
      </w:r>
    </w:p>
    <w:p w14:paraId="40A34A6A" w14:textId="77777777" w:rsidR="00C744E8" w:rsidRPr="00872261" w:rsidRDefault="00C744E8" w:rsidP="00CA0704">
      <w:pPr>
        <w:spacing w:after="80"/>
        <w:jc w:val="both"/>
        <w:rPr>
          <w:rFonts w:cs="Calibri"/>
        </w:rPr>
      </w:pPr>
    </w:p>
    <w:p w14:paraId="319B0C82" w14:textId="68C5678E" w:rsidR="00E8044A" w:rsidRPr="00872261" w:rsidRDefault="00E8044A" w:rsidP="00CA0704">
      <w:pPr>
        <w:spacing w:after="80"/>
        <w:jc w:val="both"/>
        <w:rPr>
          <w:rFonts w:cs="Calibri"/>
          <w:strike/>
        </w:rPr>
      </w:pPr>
      <w:r w:rsidRPr="00872261">
        <w:rPr>
          <w:rFonts w:cs="Calibri"/>
          <w:b/>
        </w:rPr>
        <w:t xml:space="preserve">DISPOSICIÓN TRANSITORIA </w:t>
      </w:r>
      <w:r w:rsidR="00E814B7" w:rsidRPr="00872261">
        <w:rPr>
          <w:rFonts w:cs="Calibri"/>
          <w:b/>
          <w:bCs/>
        </w:rPr>
        <w:t>QUINTA</w:t>
      </w:r>
      <w:r w:rsidR="00E814B7" w:rsidRPr="00872261">
        <w:rPr>
          <w:rFonts w:cs="Calibri"/>
          <w:b/>
        </w:rPr>
        <w:t>.-</w:t>
      </w:r>
      <w:r w:rsidR="00A711F6" w:rsidRPr="00872261">
        <w:rPr>
          <w:rFonts w:cs="Calibri"/>
          <w:b/>
        </w:rPr>
        <w:t xml:space="preserve"> </w:t>
      </w:r>
      <w:r w:rsidRPr="00872261">
        <w:rPr>
          <w:rFonts w:cs="Calibri"/>
          <w:bCs/>
        </w:rPr>
        <w:t>En el plazo de 6 meses contados a partir de la sanción de la presente ordenanza, la Empresa Metropolitana de Gestión de Destino Turístico – Quito Turismo en cooperación de otras entidades Municipales</w:t>
      </w:r>
      <w:r w:rsidR="008E0B21" w:rsidRPr="00872261">
        <w:rPr>
          <w:rFonts w:cs="Calibri"/>
          <w:bCs/>
        </w:rPr>
        <w:t xml:space="preserve"> del Distrito Metropolitano de Quito</w:t>
      </w:r>
      <w:r w:rsidRPr="00872261">
        <w:rPr>
          <w:rFonts w:cs="Calibri"/>
          <w:bCs/>
        </w:rPr>
        <w:t xml:space="preserve">, analizarán la factibilidad </w:t>
      </w:r>
      <w:r w:rsidR="00E814B7" w:rsidRPr="00872261">
        <w:rPr>
          <w:rFonts w:cs="Calibri"/>
          <w:bCs/>
        </w:rPr>
        <w:t>de crear</w:t>
      </w:r>
      <w:r w:rsidRPr="00872261">
        <w:rPr>
          <w:rFonts w:cs="Calibri"/>
          <w:bCs/>
        </w:rPr>
        <w:t xml:space="preserve"> posibles </w:t>
      </w:r>
      <w:r w:rsidR="00872261">
        <w:rPr>
          <w:rFonts w:cs="Calibri"/>
          <w:bCs/>
        </w:rPr>
        <w:t>beneficios</w:t>
      </w:r>
      <w:r w:rsidRPr="00872261">
        <w:rPr>
          <w:rFonts w:cs="Calibri"/>
          <w:bCs/>
        </w:rPr>
        <w:t xml:space="preserve"> a los </w:t>
      </w:r>
      <w:r w:rsidR="00961F69" w:rsidRPr="00872261">
        <w:rPr>
          <w:rFonts w:cs="Calibri"/>
          <w:bCs/>
        </w:rPr>
        <w:t>establecimientos turísticos</w:t>
      </w:r>
      <w:r w:rsidRPr="00872261">
        <w:rPr>
          <w:rFonts w:cs="Calibri"/>
          <w:bCs/>
        </w:rPr>
        <w:t xml:space="preserve"> que </w:t>
      </w:r>
      <w:r w:rsidR="001D6DCD" w:rsidRPr="00872261">
        <w:rPr>
          <w:rFonts w:cs="Calibri"/>
          <w:bCs/>
        </w:rPr>
        <w:t>implementen</w:t>
      </w:r>
      <w:r w:rsidRPr="00872261">
        <w:rPr>
          <w:rFonts w:cs="Calibri"/>
          <w:bCs/>
        </w:rPr>
        <w:t xml:space="preserve"> en sus locales buenas prácticas de calidad, r</w:t>
      </w:r>
      <w:r w:rsidR="001D6DCD" w:rsidRPr="00872261">
        <w:rPr>
          <w:rFonts w:cs="Calibri"/>
          <w:bCs/>
        </w:rPr>
        <w:t>esponsabilidad y sostenibilidad.</w:t>
      </w:r>
    </w:p>
    <w:p w14:paraId="188519D6" w14:textId="77777777" w:rsidR="008C0287" w:rsidRPr="00872261" w:rsidRDefault="008C0287" w:rsidP="00CA0704">
      <w:pPr>
        <w:spacing w:after="80"/>
        <w:jc w:val="both"/>
        <w:rPr>
          <w:rFonts w:cs="Calibri"/>
          <w:lang w:val="es-ES"/>
        </w:rPr>
      </w:pPr>
    </w:p>
    <w:p w14:paraId="6EE158F0" w14:textId="41DA429C" w:rsidR="00C744E8" w:rsidRPr="00872261" w:rsidRDefault="00C744E8" w:rsidP="00CA0704">
      <w:pPr>
        <w:spacing w:after="80"/>
        <w:jc w:val="both"/>
        <w:rPr>
          <w:rFonts w:cs="Calibri"/>
          <w:lang w:val="es-ES"/>
        </w:rPr>
      </w:pPr>
      <w:r w:rsidRPr="00872261">
        <w:rPr>
          <w:rFonts w:cs="Calibri"/>
          <w:lang w:val="es-ES"/>
        </w:rPr>
        <w:t>Esta ordenanza entrará en vigor a partir de la fecha de su sanción y se publicará en los medios de comunicación institucionales.</w:t>
      </w:r>
    </w:p>
    <w:p w14:paraId="453CD786" w14:textId="77777777" w:rsidR="008C0287" w:rsidRPr="00872261" w:rsidRDefault="008C0287" w:rsidP="00E814B7">
      <w:pPr>
        <w:spacing w:after="80"/>
        <w:jc w:val="both"/>
        <w:rPr>
          <w:rFonts w:cs="Calibri"/>
        </w:rPr>
      </w:pPr>
    </w:p>
    <w:p w14:paraId="3527073D" w14:textId="4AC12DD6" w:rsidR="00FB5F32" w:rsidRPr="00872261" w:rsidRDefault="00FB5F32" w:rsidP="00E814B7">
      <w:pPr>
        <w:spacing w:after="80"/>
        <w:jc w:val="both"/>
        <w:rPr>
          <w:rFonts w:cs="Calibri"/>
        </w:rPr>
      </w:pPr>
      <w:r w:rsidRPr="00872261">
        <w:rPr>
          <w:rFonts w:cs="Calibri"/>
        </w:rPr>
        <w:t>Dada en la sesión modalidad virtual del Concejo Metropolitano de Quito, el -- de -- de 2021.</w:t>
      </w:r>
    </w:p>
    <w:p w14:paraId="354D75D2" w14:textId="77777777" w:rsidR="00B93905" w:rsidRPr="00872261" w:rsidRDefault="00B93905" w:rsidP="00E814B7">
      <w:pPr>
        <w:jc w:val="both"/>
      </w:pPr>
    </w:p>
    <w:sectPr w:rsidR="00B93905" w:rsidRPr="00872261" w:rsidSect="00AA735F">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905"/>
    <w:rsid w:val="000036E1"/>
    <w:rsid w:val="00044EF5"/>
    <w:rsid w:val="00070FE2"/>
    <w:rsid w:val="000979DB"/>
    <w:rsid w:val="000B520D"/>
    <w:rsid w:val="000F4336"/>
    <w:rsid w:val="00103FA1"/>
    <w:rsid w:val="00141DCB"/>
    <w:rsid w:val="00150629"/>
    <w:rsid w:val="00166AF5"/>
    <w:rsid w:val="001752B5"/>
    <w:rsid w:val="001A1CF1"/>
    <w:rsid w:val="001B4B3D"/>
    <w:rsid w:val="001B5FCB"/>
    <w:rsid w:val="001D2E32"/>
    <w:rsid w:val="001D6DCD"/>
    <w:rsid w:val="00200895"/>
    <w:rsid w:val="002039C9"/>
    <w:rsid w:val="002043B6"/>
    <w:rsid w:val="002304A5"/>
    <w:rsid w:val="00237743"/>
    <w:rsid w:val="00255C25"/>
    <w:rsid w:val="002604C2"/>
    <w:rsid w:val="00277CE6"/>
    <w:rsid w:val="00291ADE"/>
    <w:rsid w:val="00295BF5"/>
    <w:rsid w:val="002B025F"/>
    <w:rsid w:val="002D0B6B"/>
    <w:rsid w:val="002D4722"/>
    <w:rsid w:val="002F633B"/>
    <w:rsid w:val="00300178"/>
    <w:rsid w:val="003061BF"/>
    <w:rsid w:val="00310E87"/>
    <w:rsid w:val="00311CDD"/>
    <w:rsid w:val="00326A90"/>
    <w:rsid w:val="00326DB6"/>
    <w:rsid w:val="003A2774"/>
    <w:rsid w:val="003C3FB3"/>
    <w:rsid w:val="003E11D2"/>
    <w:rsid w:val="003E2D22"/>
    <w:rsid w:val="003E3B5A"/>
    <w:rsid w:val="003E54B9"/>
    <w:rsid w:val="003F15AB"/>
    <w:rsid w:val="00401B26"/>
    <w:rsid w:val="00406D27"/>
    <w:rsid w:val="00411066"/>
    <w:rsid w:val="004168B0"/>
    <w:rsid w:val="004310E8"/>
    <w:rsid w:val="00435BB6"/>
    <w:rsid w:val="00451D3F"/>
    <w:rsid w:val="00483B00"/>
    <w:rsid w:val="004A1B38"/>
    <w:rsid w:val="004A1CA8"/>
    <w:rsid w:val="004C60B4"/>
    <w:rsid w:val="004F0694"/>
    <w:rsid w:val="004F5BDF"/>
    <w:rsid w:val="0050593C"/>
    <w:rsid w:val="00547DF5"/>
    <w:rsid w:val="00547FF5"/>
    <w:rsid w:val="005500CD"/>
    <w:rsid w:val="0057125D"/>
    <w:rsid w:val="005738C6"/>
    <w:rsid w:val="00576843"/>
    <w:rsid w:val="005807B8"/>
    <w:rsid w:val="005A716D"/>
    <w:rsid w:val="00602144"/>
    <w:rsid w:val="006128D3"/>
    <w:rsid w:val="00613DC4"/>
    <w:rsid w:val="00641BAD"/>
    <w:rsid w:val="00683442"/>
    <w:rsid w:val="00691D03"/>
    <w:rsid w:val="0069748A"/>
    <w:rsid w:val="006F796F"/>
    <w:rsid w:val="007115A9"/>
    <w:rsid w:val="007200D7"/>
    <w:rsid w:val="00721ED7"/>
    <w:rsid w:val="0073726D"/>
    <w:rsid w:val="007A05FE"/>
    <w:rsid w:val="007B026B"/>
    <w:rsid w:val="007B642E"/>
    <w:rsid w:val="007D6AD2"/>
    <w:rsid w:val="007E1461"/>
    <w:rsid w:val="007E2C45"/>
    <w:rsid w:val="00805DE3"/>
    <w:rsid w:val="00816D59"/>
    <w:rsid w:val="00831C91"/>
    <w:rsid w:val="008405ED"/>
    <w:rsid w:val="00840D08"/>
    <w:rsid w:val="00843F95"/>
    <w:rsid w:val="00872261"/>
    <w:rsid w:val="008B417C"/>
    <w:rsid w:val="008C0287"/>
    <w:rsid w:val="008C4000"/>
    <w:rsid w:val="008E0B21"/>
    <w:rsid w:val="00961F69"/>
    <w:rsid w:val="00984F7C"/>
    <w:rsid w:val="009D1CC3"/>
    <w:rsid w:val="00A055A4"/>
    <w:rsid w:val="00A270AB"/>
    <w:rsid w:val="00A374DD"/>
    <w:rsid w:val="00A40CD2"/>
    <w:rsid w:val="00A711F6"/>
    <w:rsid w:val="00A841E4"/>
    <w:rsid w:val="00AA735F"/>
    <w:rsid w:val="00AB0719"/>
    <w:rsid w:val="00B0123C"/>
    <w:rsid w:val="00B04240"/>
    <w:rsid w:val="00B11B4B"/>
    <w:rsid w:val="00B1286B"/>
    <w:rsid w:val="00B264C7"/>
    <w:rsid w:val="00B27F1F"/>
    <w:rsid w:val="00B40809"/>
    <w:rsid w:val="00B43966"/>
    <w:rsid w:val="00B54BB4"/>
    <w:rsid w:val="00B64EDA"/>
    <w:rsid w:val="00B70420"/>
    <w:rsid w:val="00B83E5A"/>
    <w:rsid w:val="00B93905"/>
    <w:rsid w:val="00B9452E"/>
    <w:rsid w:val="00B95B68"/>
    <w:rsid w:val="00BA3E38"/>
    <w:rsid w:val="00BA6029"/>
    <w:rsid w:val="00BA7A2C"/>
    <w:rsid w:val="00BB4CC0"/>
    <w:rsid w:val="00BC1BCD"/>
    <w:rsid w:val="00BC5B86"/>
    <w:rsid w:val="00BD0876"/>
    <w:rsid w:val="00BF2B41"/>
    <w:rsid w:val="00C258CB"/>
    <w:rsid w:val="00C31920"/>
    <w:rsid w:val="00C360C1"/>
    <w:rsid w:val="00C54D83"/>
    <w:rsid w:val="00C744E8"/>
    <w:rsid w:val="00C75FE5"/>
    <w:rsid w:val="00C82B09"/>
    <w:rsid w:val="00CA0704"/>
    <w:rsid w:val="00CA6183"/>
    <w:rsid w:val="00CB1EED"/>
    <w:rsid w:val="00CD74BB"/>
    <w:rsid w:val="00CE5C6D"/>
    <w:rsid w:val="00D14CB6"/>
    <w:rsid w:val="00D1738F"/>
    <w:rsid w:val="00D63D6D"/>
    <w:rsid w:val="00D71637"/>
    <w:rsid w:val="00D75E39"/>
    <w:rsid w:val="00D82D32"/>
    <w:rsid w:val="00D95C32"/>
    <w:rsid w:val="00D9709D"/>
    <w:rsid w:val="00D9746A"/>
    <w:rsid w:val="00DC2C0E"/>
    <w:rsid w:val="00DE747B"/>
    <w:rsid w:val="00E058EE"/>
    <w:rsid w:val="00E12A2C"/>
    <w:rsid w:val="00E14FB2"/>
    <w:rsid w:val="00E351D5"/>
    <w:rsid w:val="00E8044A"/>
    <w:rsid w:val="00E814B7"/>
    <w:rsid w:val="00E82097"/>
    <w:rsid w:val="00E8287F"/>
    <w:rsid w:val="00E94EE2"/>
    <w:rsid w:val="00EA227E"/>
    <w:rsid w:val="00EA4031"/>
    <w:rsid w:val="00EA7C59"/>
    <w:rsid w:val="00EC5F4B"/>
    <w:rsid w:val="00EE50B8"/>
    <w:rsid w:val="00EF0978"/>
    <w:rsid w:val="00F5503D"/>
    <w:rsid w:val="00F72176"/>
    <w:rsid w:val="00F8637F"/>
    <w:rsid w:val="00F92F0F"/>
    <w:rsid w:val="00F9685F"/>
    <w:rsid w:val="00FB5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039DD"/>
  <w15:chartTrackingRefBased/>
  <w15:docId w15:val="{CE7A11AB-577D-4F68-ACB3-8348A407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905"/>
    <w:pPr>
      <w:spacing w:after="200" w:line="276" w:lineRule="auto"/>
    </w:pPr>
    <w:rPr>
      <w:rFonts w:ascii="Calibri" w:eastAsia="Times New Roman" w:hAnsi="Calibri" w:cs="Times New Roman"/>
      <w:sz w:val="20"/>
      <w:szCs w:val="20"/>
      <w:lang w:val="es-EC"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036E1"/>
    <w:rPr>
      <w:sz w:val="16"/>
      <w:szCs w:val="16"/>
    </w:rPr>
  </w:style>
  <w:style w:type="paragraph" w:styleId="Textocomentario">
    <w:name w:val="annotation text"/>
    <w:basedOn w:val="Normal"/>
    <w:link w:val="TextocomentarioCar"/>
    <w:uiPriority w:val="99"/>
    <w:unhideWhenUsed/>
    <w:rsid w:val="000036E1"/>
    <w:pPr>
      <w:spacing w:line="240" w:lineRule="auto"/>
    </w:pPr>
  </w:style>
  <w:style w:type="character" w:customStyle="1" w:styleId="TextocomentarioCar">
    <w:name w:val="Texto comentario Car"/>
    <w:basedOn w:val="Fuentedeprrafopredeter"/>
    <w:link w:val="Textocomentario"/>
    <w:uiPriority w:val="99"/>
    <w:rsid w:val="000036E1"/>
    <w:rPr>
      <w:rFonts w:ascii="Calibri" w:eastAsia="Times New Roman" w:hAnsi="Calibri" w:cs="Times New Roman"/>
      <w:sz w:val="20"/>
      <w:szCs w:val="20"/>
      <w:lang w:val="es-EC" w:eastAsia="zh-CN"/>
    </w:rPr>
  </w:style>
  <w:style w:type="paragraph" w:styleId="Asuntodelcomentario">
    <w:name w:val="annotation subject"/>
    <w:basedOn w:val="Textocomentario"/>
    <w:next w:val="Textocomentario"/>
    <w:link w:val="AsuntodelcomentarioCar"/>
    <w:uiPriority w:val="99"/>
    <w:semiHidden/>
    <w:unhideWhenUsed/>
    <w:rsid w:val="000036E1"/>
    <w:rPr>
      <w:b/>
      <w:bCs/>
    </w:rPr>
  </w:style>
  <w:style w:type="character" w:customStyle="1" w:styleId="AsuntodelcomentarioCar">
    <w:name w:val="Asunto del comentario Car"/>
    <w:basedOn w:val="TextocomentarioCar"/>
    <w:link w:val="Asuntodelcomentario"/>
    <w:uiPriority w:val="99"/>
    <w:semiHidden/>
    <w:rsid w:val="000036E1"/>
    <w:rPr>
      <w:rFonts w:ascii="Calibri" w:eastAsia="Times New Roman" w:hAnsi="Calibri" w:cs="Times New Roman"/>
      <w:b/>
      <w:bCs/>
      <w:sz w:val="20"/>
      <w:szCs w:val="20"/>
      <w:lang w:val="es-EC" w:eastAsia="zh-CN"/>
    </w:rPr>
  </w:style>
  <w:style w:type="paragraph" w:styleId="Revisin">
    <w:name w:val="Revision"/>
    <w:hidden/>
    <w:uiPriority w:val="99"/>
    <w:semiHidden/>
    <w:rsid w:val="00C82B09"/>
    <w:pPr>
      <w:spacing w:after="0" w:line="240" w:lineRule="auto"/>
    </w:pPr>
    <w:rPr>
      <w:rFonts w:ascii="Calibri" w:eastAsia="Times New Roman" w:hAnsi="Calibri" w:cs="Times New Roman"/>
      <w:sz w:val="20"/>
      <w:szCs w:val="20"/>
      <w:lang w:val="es-EC" w:eastAsia="zh-CN"/>
    </w:rPr>
  </w:style>
  <w:style w:type="paragraph" w:styleId="Textodeglobo">
    <w:name w:val="Balloon Text"/>
    <w:basedOn w:val="Normal"/>
    <w:link w:val="TextodegloboCar"/>
    <w:uiPriority w:val="99"/>
    <w:semiHidden/>
    <w:unhideWhenUsed/>
    <w:rsid w:val="00C82B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2B09"/>
    <w:rPr>
      <w:rFonts w:ascii="Segoe UI" w:eastAsia="Times New Roman" w:hAnsi="Segoe UI" w:cs="Segoe UI"/>
      <w:sz w:val="18"/>
      <w:szCs w:val="18"/>
      <w:lang w:val="es-EC" w:eastAsia="zh-CN"/>
    </w:rPr>
  </w:style>
  <w:style w:type="paragraph" w:customStyle="1" w:styleId="Estilopredeterminado">
    <w:name w:val="Estilo predeterminado"/>
    <w:rsid w:val="00984F7C"/>
    <w:pPr>
      <w:suppressAutoHyphens/>
      <w:spacing w:after="200" w:line="276" w:lineRule="auto"/>
    </w:pPr>
    <w:rPr>
      <w:rFonts w:ascii="Calibri" w:eastAsia="SimSun" w:hAnsi="Calibri" w:cs="Calibri"/>
      <w:color w:val="00000A"/>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5573721">
      <w:bodyDiv w:val="1"/>
      <w:marLeft w:val="0"/>
      <w:marRight w:val="0"/>
      <w:marTop w:val="0"/>
      <w:marBottom w:val="0"/>
      <w:divBdr>
        <w:top w:val="none" w:sz="0" w:space="0" w:color="auto"/>
        <w:left w:val="none" w:sz="0" w:space="0" w:color="auto"/>
        <w:bottom w:val="none" w:sz="0" w:space="0" w:color="auto"/>
        <w:right w:val="none" w:sz="0" w:space="0" w:color="auto"/>
      </w:divBdr>
      <w:divsChild>
        <w:div w:id="1890914941">
          <w:marLeft w:val="0"/>
          <w:marRight w:val="0"/>
          <w:marTop w:val="0"/>
          <w:marBottom w:val="0"/>
          <w:divBdr>
            <w:top w:val="none" w:sz="0" w:space="0" w:color="auto"/>
            <w:left w:val="none" w:sz="0" w:space="0" w:color="auto"/>
            <w:bottom w:val="none" w:sz="0" w:space="0" w:color="auto"/>
            <w:right w:val="none" w:sz="0" w:space="0" w:color="auto"/>
          </w:divBdr>
        </w:div>
        <w:div w:id="1150899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568F7-B402-4B39-AF3D-3FBC06606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3026</Words>
  <Characters>16645</Characters>
  <Application>Microsoft Office Word</Application>
  <DocSecurity>0</DocSecurity>
  <Lines>138</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Rosero</dc:creator>
  <cp:keywords/>
  <dc:description/>
  <cp:lastModifiedBy>Microsoft Office User</cp:lastModifiedBy>
  <cp:revision>2</cp:revision>
  <cp:lastPrinted>2022-09-26T13:52:00Z</cp:lastPrinted>
  <dcterms:created xsi:type="dcterms:W3CDTF">2022-10-01T15:34:00Z</dcterms:created>
  <dcterms:modified xsi:type="dcterms:W3CDTF">2022-10-01T15:34:00Z</dcterms:modified>
</cp:coreProperties>
</file>