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EE" w:rsidRDefault="006165EE" w:rsidP="006165EE">
      <w:pPr>
        <w:pStyle w:val="Cuerpo"/>
        <w:shd w:val="clear" w:color="auto" w:fill="FFFFFF"/>
        <w:spacing w:line="240" w:lineRule="atLeast"/>
        <w:jc w:val="center"/>
        <w:rPr>
          <w:rStyle w:val="Ninguno"/>
          <w:b/>
          <w:bCs/>
        </w:rPr>
      </w:pPr>
      <w:r>
        <w:rPr>
          <w:rStyle w:val="Ninguno"/>
          <w:b/>
          <w:bCs/>
        </w:rPr>
        <w:t>EXPOSICIÓN DE MOTIVOS</w:t>
      </w:r>
    </w:p>
    <w:p w:rsidR="006165EE" w:rsidRDefault="006165EE" w:rsidP="006165EE">
      <w:pPr>
        <w:pStyle w:val="Cuerpo"/>
        <w:shd w:val="clear" w:color="auto" w:fill="FFFFFF"/>
        <w:spacing w:line="240" w:lineRule="atLeast"/>
        <w:jc w:val="both"/>
        <w:rPr>
          <w:rStyle w:val="Ninguno"/>
          <w:b/>
          <w:bCs/>
        </w:rPr>
      </w:pPr>
    </w:p>
    <w:p w:rsidR="006165EE" w:rsidRDefault="006165EE" w:rsidP="006165EE">
      <w:pPr>
        <w:pStyle w:val="Cuerpo"/>
        <w:shd w:val="clear" w:color="auto" w:fill="FFFFFF"/>
        <w:spacing w:line="240" w:lineRule="atLeast"/>
        <w:jc w:val="both"/>
      </w:pPr>
      <w:r>
        <w:rPr>
          <w:rStyle w:val="Ninguno"/>
        </w:rPr>
        <w:t>La Constitución de la República del Ecuador establece que los Gobiernos Autónomos Descentralizados Municipales tienen la competencia exclusiva para planificar el desarrollo cantonal, así como para ejercer el control del uso de suelo y ocupación del suelo en el cantón (artículo 264 numeral 1 y 2).</w:t>
      </w:r>
    </w:p>
    <w:p w:rsidR="006165EE" w:rsidRDefault="006165EE" w:rsidP="006165EE">
      <w:pPr>
        <w:pStyle w:val="Cuerpo"/>
        <w:shd w:val="clear" w:color="auto" w:fill="FFFFFF"/>
        <w:spacing w:line="240" w:lineRule="atLeast"/>
        <w:jc w:val="both"/>
      </w:pPr>
    </w:p>
    <w:p w:rsidR="006165EE" w:rsidRDefault="006165EE" w:rsidP="006165EE">
      <w:pPr>
        <w:pStyle w:val="Cuerpo"/>
        <w:shd w:val="clear" w:color="auto" w:fill="FFFFFF"/>
        <w:spacing w:line="240" w:lineRule="atLeast"/>
        <w:jc w:val="both"/>
      </w:pPr>
      <w:r>
        <w:rPr>
          <w:rStyle w:val="Ninguno"/>
        </w:rPr>
        <w:t>Siendo la Agencia de Coordinación Distrital del Comercio el órgano competente para regular el sistema de comercio en los Mercados, Ferias y Plataformas se ha tomado la iniciativa de crear una ordenanza que regule con mayor facilidad la operatividad de la Agencia de Coordinación Distrital del Comercio dentro del Distrito Metropolitano de Quito.</w:t>
      </w:r>
    </w:p>
    <w:p w:rsidR="006165EE" w:rsidRDefault="006165EE" w:rsidP="006165EE">
      <w:pPr>
        <w:pStyle w:val="Cuerpo"/>
        <w:shd w:val="clear" w:color="auto" w:fill="FFFFFF"/>
        <w:spacing w:line="240" w:lineRule="atLeast"/>
        <w:jc w:val="both"/>
      </w:pPr>
    </w:p>
    <w:p w:rsidR="006165EE" w:rsidRDefault="006165EE" w:rsidP="006165EE">
      <w:pPr>
        <w:pStyle w:val="Cuerpo"/>
        <w:shd w:val="clear" w:color="auto" w:fill="FFFFFF"/>
        <w:spacing w:line="240" w:lineRule="atLeast"/>
        <w:jc w:val="both"/>
      </w:pPr>
      <w:r>
        <w:rPr>
          <w:rStyle w:val="Ninguno"/>
        </w:rPr>
        <w:t xml:space="preserve">Los Mercados, Ferias y Plataformas son espacios públicos que han sido construidos, establecidos y financiados por el Distrito Metropolitano de Quito, los cuales conceden a los comerciantes y vendedores la utilización de puestos, cubículos y/o locales para el ejercicio del comerciante minorista, mediante el pago de una regalía previamente establecida, que la Municipalidad cobra para financiar los gastos de administración, operación y mantenimiento, para lo cual es necesario una nueva norma </w:t>
      </w:r>
      <w:r w:rsidR="002F47F1">
        <w:rPr>
          <w:rStyle w:val="Ninguno"/>
        </w:rPr>
        <w:t xml:space="preserve">administrativa </w:t>
      </w:r>
      <w:r>
        <w:rPr>
          <w:rStyle w:val="Ninguno"/>
        </w:rPr>
        <w:t>que se apegue a las necesidades de la actualidad.</w:t>
      </w:r>
    </w:p>
    <w:p w:rsidR="006165EE" w:rsidRDefault="006165EE" w:rsidP="006165EE">
      <w:pPr>
        <w:pStyle w:val="Cuerpo"/>
        <w:shd w:val="clear" w:color="auto" w:fill="FFFFFF"/>
        <w:spacing w:line="240" w:lineRule="atLeast"/>
        <w:jc w:val="both"/>
      </w:pPr>
    </w:p>
    <w:p w:rsidR="006165EE" w:rsidRDefault="006165EE" w:rsidP="006165EE">
      <w:pPr>
        <w:pStyle w:val="Cuerpo"/>
        <w:shd w:val="clear" w:color="auto" w:fill="FFFFFF"/>
        <w:spacing w:line="240" w:lineRule="atLeast"/>
        <w:jc w:val="both"/>
        <w:rPr>
          <w:rStyle w:val="Ninguno"/>
          <w:b/>
          <w:bCs/>
        </w:rPr>
      </w:pPr>
      <w:r>
        <w:rPr>
          <w:rStyle w:val="Ninguno"/>
          <w:bCs/>
        </w:rPr>
        <w:t xml:space="preserve">Mediante </w:t>
      </w:r>
      <w:r w:rsidRPr="00502752">
        <w:rPr>
          <w:rStyle w:val="Ninguno"/>
          <w:bCs/>
        </w:rPr>
        <w:t>Memorando Nro. GADDMQ-ACDC-DMFP-2021-0654-M</w:t>
      </w:r>
      <w:r>
        <w:rPr>
          <w:rStyle w:val="Ninguno"/>
          <w:bCs/>
        </w:rPr>
        <w:t>, de fecha</w:t>
      </w:r>
      <w:r w:rsidRPr="00502752">
        <w:rPr>
          <w:rStyle w:val="Ninguno"/>
          <w:bCs/>
        </w:rPr>
        <w:t xml:space="preserve"> 29 de abril de 2021</w:t>
      </w:r>
      <w:r>
        <w:rPr>
          <w:rStyle w:val="Ninguno"/>
          <w:bCs/>
        </w:rPr>
        <w:t xml:space="preserve">, el Lcdo. Milton Portilla, Director de Mercados, Ferias y Plataformas de la ACDC, remite el estudio </w:t>
      </w:r>
      <w:r w:rsidR="002F47F1">
        <w:rPr>
          <w:rStyle w:val="Ninguno"/>
          <w:bCs/>
        </w:rPr>
        <w:t xml:space="preserve">técnico </w:t>
      </w:r>
      <w:r>
        <w:rPr>
          <w:rStyle w:val="Ninguno"/>
          <w:bCs/>
        </w:rPr>
        <w:t>para el cobro de la tarifa de ocupación de los puesto de los Mercados, Ferias y Plataformas de la ACDC, de acuerdo a lo que señala el Art. III.3.14 de la Ordenanza Metropolitana No. 001-2019 (Código Municipal).</w:t>
      </w:r>
      <w:r>
        <w:rPr>
          <w:rStyle w:val="Ninguno"/>
          <w:b/>
          <w:bCs/>
        </w:rPr>
        <w:t xml:space="preserve"> </w:t>
      </w:r>
    </w:p>
    <w:p w:rsidR="006165EE" w:rsidRDefault="006165EE" w:rsidP="006165EE">
      <w:pPr>
        <w:pStyle w:val="Cuerpo"/>
        <w:shd w:val="clear" w:color="auto" w:fill="FFFFFF"/>
        <w:spacing w:line="240" w:lineRule="atLeast"/>
        <w:jc w:val="both"/>
        <w:rPr>
          <w:rStyle w:val="Ninguno"/>
          <w:b/>
          <w:bCs/>
        </w:rPr>
      </w:pPr>
    </w:p>
    <w:p w:rsidR="006165EE" w:rsidRDefault="006165EE" w:rsidP="006165EE">
      <w:pPr>
        <w:pStyle w:val="Cuerpo"/>
        <w:shd w:val="clear" w:color="auto" w:fill="FFFFFF"/>
        <w:spacing w:line="240" w:lineRule="atLeast"/>
        <w:jc w:val="center"/>
        <w:rPr>
          <w:rStyle w:val="Ninguno"/>
          <w:b/>
          <w:bCs/>
        </w:rPr>
      </w:pPr>
      <w:r>
        <w:rPr>
          <w:rStyle w:val="Ninguno"/>
          <w:b/>
          <w:bCs/>
        </w:rPr>
        <w:t>CONSIDERANDO:</w:t>
      </w:r>
    </w:p>
    <w:p w:rsidR="006165EE" w:rsidRDefault="006165EE" w:rsidP="006165EE">
      <w:pPr>
        <w:pStyle w:val="Cuerpo"/>
        <w:shd w:val="clear" w:color="auto" w:fill="FFFFFF"/>
        <w:spacing w:line="240" w:lineRule="atLeast"/>
        <w:jc w:val="both"/>
        <w:rPr>
          <w:rStyle w:val="Ninguno"/>
          <w:b/>
          <w:bCs/>
        </w:rPr>
      </w:pPr>
    </w:p>
    <w:p w:rsidR="006165EE" w:rsidRDefault="006165EE" w:rsidP="006165EE">
      <w:pPr>
        <w:pStyle w:val="Cuerpo"/>
        <w:shd w:val="clear" w:color="auto" w:fill="FFFFFF"/>
        <w:spacing w:line="240" w:lineRule="atLeast"/>
        <w:jc w:val="both"/>
      </w:pPr>
      <w:r>
        <w:rPr>
          <w:rStyle w:val="Ninguno"/>
          <w:b/>
          <w:bCs/>
        </w:rPr>
        <w:t xml:space="preserve">Que, </w:t>
      </w:r>
      <w:r>
        <w:rPr>
          <w:rStyle w:val="Ninguno"/>
        </w:rPr>
        <w:t>la Constitución de la República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rsidR="006165EE" w:rsidRDefault="006165EE" w:rsidP="006165EE">
      <w:pPr>
        <w:pStyle w:val="Cuerpo"/>
        <w:shd w:val="clear" w:color="auto" w:fill="FFFFFF"/>
        <w:spacing w:line="240" w:lineRule="atLeast"/>
        <w:jc w:val="both"/>
      </w:pPr>
    </w:p>
    <w:p w:rsidR="006165EE" w:rsidRDefault="006165EE" w:rsidP="006165EE">
      <w:pPr>
        <w:pStyle w:val="Cuerpo"/>
        <w:shd w:val="clear" w:color="auto" w:fill="FFFFFF"/>
        <w:spacing w:line="240" w:lineRule="atLeast"/>
        <w:jc w:val="both"/>
        <w:rPr>
          <w:rStyle w:val="Ninguno"/>
          <w:b/>
          <w:bCs/>
        </w:rPr>
      </w:pPr>
      <w:r>
        <w:rPr>
          <w:rStyle w:val="Ninguno"/>
        </w:rPr>
        <w:t xml:space="preserve">Que, el artículo 240 de la Constitución, señala: </w:t>
      </w:r>
      <w:r>
        <w:rPr>
          <w:rStyle w:val="Ninguno"/>
          <w:i/>
          <w:iCs/>
        </w:rPr>
        <w:t>“Los gobiernos autónomos descentralizados de las regiones, distritos metropolitanos, provincias y cantones tendrán facultades legislativas en el ámbito de sus competencias y jurisdicciones territoriales…”;</w:t>
      </w:r>
    </w:p>
    <w:p w:rsidR="006165EE" w:rsidRDefault="006165EE" w:rsidP="006165EE">
      <w:pPr>
        <w:pStyle w:val="Cuerpo"/>
        <w:shd w:val="clear" w:color="auto" w:fill="FFFFFF"/>
        <w:spacing w:line="240" w:lineRule="atLeast"/>
        <w:jc w:val="both"/>
      </w:pPr>
    </w:p>
    <w:p w:rsidR="006165EE" w:rsidRDefault="006165EE" w:rsidP="006165EE">
      <w:pPr>
        <w:pStyle w:val="Cuerpo"/>
        <w:shd w:val="clear" w:color="auto" w:fill="FFFFFF"/>
        <w:spacing w:after="324" w:line="240" w:lineRule="atLeast"/>
        <w:jc w:val="both"/>
      </w:pPr>
      <w:r>
        <w:rPr>
          <w:rStyle w:val="Ninguno"/>
          <w:b/>
          <w:bCs/>
        </w:rPr>
        <w:t>Que,</w:t>
      </w:r>
      <w:r>
        <w:rPr>
          <w:rStyle w:val="Ninguno"/>
        </w:rPr>
        <w:t> el artículo 238 y 266 de la Constitución de la República establece que los gobiernos, autónomos descentralizados gozarán de autonomía, administrativa y financiera; y, de los Distritos Metropolitanos Autónomos ejercen las competencias que corresponden a los gobiernos cantonales y todas las que sean aplicables de los gobiernos provinciales y regionales. </w:t>
      </w:r>
    </w:p>
    <w:p w:rsidR="006165EE" w:rsidRDefault="006165EE" w:rsidP="006165EE">
      <w:pPr>
        <w:pStyle w:val="Cuerpo"/>
        <w:shd w:val="clear" w:color="auto" w:fill="FFFFFF"/>
        <w:spacing w:after="324" w:line="240" w:lineRule="atLeast"/>
        <w:jc w:val="both"/>
      </w:pPr>
      <w:r>
        <w:rPr>
          <w:rStyle w:val="Ninguno"/>
          <w:b/>
          <w:bCs/>
        </w:rPr>
        <w:t>Que,</w:t>
      </w:r>
      <w:r>
        <w:rPr>
          <w:rStyle w:val="Ninguno"/>
        </w:rPr>
        <w:t> de conformidad con los artículos 253 y 254 de la Constitución de la República del Ecuador, los artículos 89 y 90 del COOATD y el artículo 10 de la Ley de Régimen Municipal para el Distrito Metropolitano de Quito, el Alcalde Metropolitano es la máxima autoridad administrativa del Municipio del Distrito Metropolitano de Quito.</w:t>
      </w:r>
    </w:p>
    <w:p w:rsidR="006165EE" w:rsidRDefault="006165EE" w:rsidP="006165EE">
      <w:pPr>
        <w:pStyle w:val="Cuerpo"/>
        <w:shd w:val="clear" w:color="auto" w:fill="FFFFFF"/>
        <w:spacing w:after="324" w:line="240" w:lineRule="atLeast"/>
        <w:jc w:val="both"/>
      </w:pPr>
      <w:r>
        <w:rPr>
          <w:rStyle w:val="Ninguno"/>
          <w:b/>
          <w:bCs/>
        </w:rPr>
        <w:t>Que,</w:t>
      </w:r>
      <w:r>
        <w:rPr>
          <w:rStyle w:val="Ninguno"/>
        </w:rPr>
        <w:t xml:space="preserve"> de conformidad al Artículo 31 de la Constitución de la República del Ecuador, establece que: “</w:t>
      </w:r>
      <w:r>
        <w:rPr>
          <w:rStyle w:val="Ninguno"/>
          <w:i/>
          <w:iCs/>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w:t>
      </w:r>
      <w:r>
        <w:rPr>
          <w:rStyle w:val="Ninguno"/>
          <w:i/>
          <w:iCs/>
        </w:rPr>
        <w:lastRenderedPageBreak/>
        <w:t>ésta, en la función social y ambiental de la propiedad y de la ciudad, y en el ejercicio pleno de la ciudadanía”.</w:t>
      </w:r>
    </w:p>
    <w:p w:rsidR="006165EE" w:rsidRDefault="006165EE" w:rsidP="006165EE">
      <w:pPr>
        <w:pStyle w:val="Cuerpo"/>
        <w:shd w:val="clear" w:color="auto" w:fill="FFFFFF"/>
        <w:spacing w:after="324" w:line="240" w:lineRule="atLeast"/>
        <w:jc w:val="both"/>
        <w:rPr>
          <w:rStyle w:val="Ninguno"/>
          <w:i/>
          <w:iCs/>
        </w:rPr>
      </w:pPr>
      <w:r>
        <w:rPr>
          <w:rStyle w:val="Ninguno"/>
          <w:b/>
          <w:bCs/>
        </w:rPr>
        <w:t>Que,</w:t>
      </w:r>
      <w:r>
        <w:rPr>
          <w:rStyle w:val="Ninguno"/>
        </w:rPr>
        <w:t xml:space="preserve"> el artículo 33 de la Constitución establece: </w:t>
      </w:r>
      <w:r>
        <w:rPr>
          <w:rStyle w:val="Ninguno"/>
          <w:i/>
          <w:iCs/>
        </w:rPr>
        <w:t>“El trabajo es un derecho y un deber social, y un derecho económico, fuente de realización personal y base de la economía…”;</w:t>
      </w:r>
    </w:p>
    <w:p w:rsidR="006165EE" w:rsidRDefault="006165EE" w:rsidP="006165EE">
      <w:pPr>
        <w:pStyle w:val="Cuerpo"/>
        <w:shd w:val="clear" w:color="auto" w:fill="FFFFFF"/>
        <w:spacing w:after="324" w:line="240" w:lineRule="atLeast"/>
        <w:jc w:val="both"/>
      </w:pPr>
      <w:r>
        <w:rPr>
          <w:rStyle w:val="Ninguno"/>
          <w:b/>
          <w:bCs/>
        </w:rPr>
        <w:t xml:space="preserve">Que, </w:t>
      </w:r>
      <w:r>
        <w:rPr>
          <w:rStyle w:val="Ninguno"/>
        </w:rPr>
        <w:t>según el artículo 35 de la Constitución de la República del Ecuador, señala que: “</w:t>
      </w:r>
      <w:r>
        <w:rPr>
          <w:rStyle w:val="Ninguno"/>
          <w:i/>
          <w:iCs/>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Pr>
          <w:rStyle w:val="Ninguno"/>
        </w:rPr>
        <w:t>”.</w:t>
      </w:r>
    </w:p>
    <w:p w:rsidR="006165EE" w:rsidRDefault="006165EE" w:rsidP="006165EE">
      <w:pPr>
        <w:pStyle w:val="Cuerpo"/>
        <w:shd w:val="clear" w:color="auto" w:fill="FFFFFF"/>
        <w:spacing w:after="324"/>
        <w:jc w:val="both"/>
      </w:pPr>
      <w:r>
        <w:rPr>
          <w:rStyle w:val="Ninguno"/>
          <w:b/>
          <w:bCs/>
        </w:rPr>
        <w:t>Que,</w:t>
      </w:r>
      <w:r>
        <w:rPr>
          <w:rStyle w:val="Ninguno"/>
        </w:rPr>
        <w:t> según lo previsto en el artículo 5 del Código Orgánico de Organización Territorial, Autonomía y Descentralización – COOTAD, la autonomía política, administrativa y financiera de los gobiernos descentralizados autónomos y regímenes especiales prevista en la Constitución comprende el derecho y la capacidad efectiva de estos niveles de gobierno para regirse mediante normas y órganos de gobierno propios.</w:t>
      </w:r>
    </w:p>
    <w:p w:rsidR="006165EE" w:rsidRDefault="006165EE" w:rsidP="006165EE">
      <w:pPr>
        <w:pStyle w:val="Cuerpo"/>
        <w:shd w:val="clear" w:color="auto" w:fill="FFFFFF"/>
        <w:spacing w:after="324"/>
        <w:jc w:val="both"/>
        <w:rPr>
          <w:rStyle w:val="Ninguno"/>
          <w:i/>
          <w:iCs/>
        </w:rPr>
      </w:pPr>
      <w:r>
        <w:rPr>
          <w:rStyle w:val="Ninguno"/>
          <w:b/>
          <w:bCs/>
        </w:rPr>
        <w:t xml:space="preserve">Que, </w:t>
      </w:r>
      <w:r>
        <w:rPr>
          <w:rStyle w:val="Ninguno"/>
        </w:rPr>
        <w:t>de conformidad con lo señalado en el artículo 7 del COOTAD, manifiesta que: “</w:t>
      </w:r>
      <w:r>
        <w:rPr>
          <w:rStyle w:val="Ninguno"/>
          <w:i/>
          <w:iCs/>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w:t>
      </w:r>
    </w:p>
    <w:p w:rsidR="006165EE" w:rsidRDefault="006165EE" w:rsidP="006165EE">
      <w:pPr>
        <w:pStyle w:val="Cuerpo"/>
        <w:shd w:val="clear" w:color="auto" w:fill="FFFFFF"/>
        <w:spacing w:after="324" w:line="240" w:lineRule="atLeast"/>
        <w:jc w:val="both"/>
      </w:pPr>
      <w:r>
        <w:rPr>
          <w:rStyle w:val="Ninguno"/>
          <w:b/>
          <w:bCs/>
        </w:rPr>
        <w:t>Que, </w:t>
      </w:r>
      <w:r>
        <w:rPr>
          <w:rStyle w:val="Ninguno"/>
        </w:rPr>
        <w:t xml:space="preserve">el artículo 338 del COOTAD establece en su segundo inciso: </w:t>
      </w:r>
      <w:r>
        <w:rPr>
          <w:rStyle w:val="Ninguno"/>
          <w:i/>
          <w:iCs/>
        </w:rPr>
        <w:t>“Cada gobierno autónomo descentralizado elaborará normativa pertinente según las condiciones específicas de su circunscripción, en el marco de la Constitución y la Ley”.</w:t>
      </w:r>
    </w:p>
    <w:p w:rsidR="006165EE" w:rsidRDefault="006165EE" w:rsidP="006165EE">
      <w:pPr>
        <w:pStyle w:val="Cuerpo"/>
        <w:shd w:val="clear" w:color="auto" w:fill="FFFFFF"/>
        <w:spacing w:after="324" w:line="240" w:lineRule="atLeast"/>
        <w:jc w:val="both"/>
      </w:pPr>
      <w:r>
        <w:rPr>
          <w:rStyle w:val="Ninguno"/>
          <w:b/>
          <w:bCs/>
        </w:rPr>
        <w:t>Que</w:t>
      </w:r>
      <w:r>
        <w:rPr>
          <w:rStyle w:val="Ninguno"/>
        </w:rPr>
        <w:t>, los artículos 414, 415, 417 del COOTAD determinan el patrimonio de los gobiernos autónomos descentralizados, en el que se encuentran los mercados.</w:t>
      </w:r>
    </w:p>
    <w:p w:rsidR="006165EE" w:rsidRDefault="006165EE" w:rsidP="006165EE">
      <w:pPr>
        <w:pStyle w:val="Cuerpo"/>
        <w:shd w:val="clear" w:color="auto" w:fill="FFFFFF"/>
        <w:spacing w:after="324" w:line="240" w:lineRule="atLeast"/>
        <w:jc w:val="both"/>
        <w:rPr>
          <w:rStyle w:val="Ninguno"/>
          <w:i/>
          <w:iCs/>
        </w:rPr>
      </w:pPr>
      <w:r>
        <w:rPr>
          <w:rStyle w:val="Ninguno"/>
          <w:b/>
          <w:bCs/>
        </w:rPr>
        <w:t xml:space="preserve">Que, </w:t>
      </w:r>
      <w:r>
        <w:rPr>
          <w:rStyle w:val="Ninguno"/>
        </w:rPr>
        <w:t xml:space="preserve">de acuerdo al artículo 1 de la Ley </w:t>
      </w:r>
      <w:r w:rsidR="002F47F1">
        <w:rPr>
          <w:rStyle w:val="Ninguno"/>
        </w:rPr>
        <w:t>Orgánica de las Personas Adultas Mayores</w:t>
      </w:r>
      <w:r>
        <w:rPr>
          <w:rStyle w:val="Ninguno"/>
        </w:rPr>
        <w:t xml:space="preserve"> establece que: “</w:t>
      </w:r>
      <w:r>
        <w:rPr>
          <w:rStyle w:val="Ninguno"/>
          <w:i/>
          <w:iCs/>
        </w:rPr>
        <w:t>Son beneficiarias de esta ley las personas naturales que hayan cumplido sesenta y cinco años de edad, sean estas nacionales o extranjeras, que se encuentren legalmente establecidas en el país. Para acceder a las exoneraciones o rebajas en los servicios públicos o privados estipulados en esta Ley, justificarán su condición ú</w:t>
      </w:r>
      <w:r>
        <w:rPr>
          <w:rStyle w:val="Ninguno"/>
          <w:i/>
          <w:iCs/>
          <w:lang w:val="it-IT"/>
        </w:rPr>
        <w:t>nicamente con la c</w:t>
      </w:r>
      <w:r>
        <w:rPr>
          <w:rStyle w:val="Ninguno"/>
          <w:i/>
          <w:iCs/>
          <w:lang w:val="fr-FR"/>
        </w:rPr>
        <w:t>é</w:t>
      </w:r>
      <w:r>
        <w:rPr>
          <w:rStyle w:val="Ninguno"/>
          <w:i/>
          <w:iCs/>
        </w:rPr>
        <w:t>dula de identidad y ciudadanía o con el documento legal que les acredite a los extranjeros”.</w:t>
      </w:r>
    </w:p>
    <w:p w:rsidR="006165EE" w:rsidRDefault="006165EE" w:rsidP="006165EE">
      <w:pPr>
        <w:pStyle w:val="Cuerpo"/>
        <w:shd w:val="clear" w:color="auto" w:fill="FFFFFF"/>
        <w:spacing w:after="324" w:line="240" w:lineRule="atLeast"/>
        <w:jc w:val="both"/>
      </w:pPr>
      <w:r>
        <w:rPr>
          <w:rStyle w:val="Ninguno"/>
          <w:b/>
          <w:bCs/>
          <w:lang w:val="pt-PT"/>
        </w:rPr>
        <w:t xml:space="preserve">Que, </w:t>
      </w:r>
      <w:r>
        <w:t>el artículo 1 de la Ley Orgánica de Discapacidades manifiesta que: “</w:t>
      </w:r>
      <w:r>
        <w:rPr>
          <w:rStyle w:val="Ninguno"/>
          <w:i/>
          <w:iCs/>
        </w:rPr>
        <w:t>Objeto.- La presente Ley tiene por objeto asegurar la prevención, detección oportuna, habilitación y rehabilitación de la discapacidad y garantizar la plena vigencia, difusión y ejercicio de los derechos de las personas con discapacidad, establecidos en la Constitución de la República, los tratados e instrumentos internacionales; así como, aquellos que se derivaren de leyes conexas, con enfoque de g</w:t>
      </w:r>
      <w:r>
        <w:rPr>
          <w:rStyle w:val="Ninguno"/>
          <w:i/>
          <w:iCs/>
          <w:lang w:val="fr-FR"/>
        </w:rPr>
        <w:t>é</w:t>
      </w:r>
      <w:r>
        <w:rPr>
          <w:rStyle w:val="Ninguno"/>
          <w:i/>
          <w:iCs/>
          <w:lang w:val="pt-PT"/>
        </w:rPr>
        <w:t>nero, generacional e intercultural</w:t>
      </w:r>
      <w:r>
        <w:rPr>
          <w:rStyle w:val="Ninguno"/>
          <w:i/>
          <w:iCs/>
        </w:rPr>
        <w:t>”</w:t>
      </w:r>
      <w:r>
        <w:t>.</w:t>
      </w:r>
    </w:p>
    <w:p w:rsidR="006165EE" w:rsidRDefault="006165EE" w:rsidP="006165EE">
      <w:pPr>
        <w:pStyle w:val="Cuerpo"/>
        <w:shd w:val="clear" w:color="auto" w:fill="FFFFFF"/>
        <w:spacing w:after="324" w:line="240" w:lineRule="atLeast"/>
        <w:jc w:val="both"/>
      </w:pPr>
      <w:r>
        <w:rPr>
          <w:rStyle w:val="Ninguno"/>
          <w:b/>
          <w:bCs/>
        </w:rPr>
        <w:t xml:space="preserve">Que, </w:t>
      </w:r>
      <w:r>
        <w:rPr>
          <w:rStyle w:val="Ninguno"/>
        </w:rPr>
        <w:t xml:space="preserve">mediante Ordenanza Metropolitana No. 001-2019, el Art. 1239, </w:t>
      </w:r>
      <w:r w:rsidRPr="006165EE">
        <w:rPr>
          <w:rStyle w:val="Ninguno"/>
        </w:rPr>
        <w:t>establece que: “</w:t>
      </w:r>
      <w:r w:rsidRPr="006165EE">
        <w:rPr>
          <w:rStyle w:val="Ninguno"/>
          <w:i/>
        </w:rPr>
        <w:t xml:space="preserve">Fijación de tarifas.- Para la fijación de las tarifas se tomarán en cuenta los diferentes servicios, todos los costos directos e indirectos que se relacionen con el funcionamiento del Mercado y que se identifiquen como tales en el estudio propuesto por la Dirección Metropolitana de Comercialización, mismo que será </w:t>
      </w:r>
      <w:r w:rsidRPr="006165EE">
        <w:rPr>
          <w:rStyle w:val="Ninguno"/>
          <w:i/>
        </w:rPr>
        <w:lastRenderedPageBreak/>
        <w:t>aprobada por el Concejo Metropolitano, previo informe de la Comisión de Comercialización. Las tarifas por ocupación de espacios se cobrarán en función del área ocupada en metros cuadrados, del giro y de las características de la construcción</w:t>
      </w:r>
      <w:r w:rsidRPr="006165EE">
        <w:rPr>
          <w:rStyle w:val="Ninguno"/>
        </w:rPr>
        <w:t>”</w:t>
      </w:r>
      <w:r>
        <w:rPr>
          <w:rStyle w:val="Ninguno"/>
        </w:rPr>
        <w:t xml:space="preserve">. </w:t>
      </w:r>
    </w:p>
    <w:p w:rsidR="006165EE" w:rsidRDefault="006165EE" w:rsidP="006165EE">
      <w:pPr>
        <w:pStyle w:val="Cuerpo"/>
        <w:shd w:val="clear" w:color="auto" w:fill="FFFFFF"/>
        <w:spacing w:after="324" w:line="240" w:lineRule="atLeast"/>
        <w:jc w:val="both"/>
      </w:pPr>
      <w:r>
        <w:rPr>
          <w:rStyle w:val="Ninguno"/>
          <w:b/>
          <w:bCs/>
        </w:rPr>
        <w:t>Que,  </w:t>
      </w:r>
      <w:r>
        <w:rPr>
          <w:rStyle w:val="Ninguno"/>
        </w:rPr>
        <w:t>mediante Resolución de Alcaldía No. A 0002 de 09 de marzo de 2012, el señor Alcalde Metropolitano, crea y agrega dentro de la estructura orgánica del Municipio del Distritito Metropolitano de Quito, la unidad especial denominada  “Agencia de Coordinación Distrital del Comercio – ACDC”; entidad dotada de  autonomía económica, financiera,  administrativa y de gestión; y, de conformidad a los establecido en el artículo 2, 3, 5, para que se encargue de la coordinación y ejecución de las políticas y todas las competencias en la gestión de comercio dentro del Distrito Metropolitano de Quito; para tal efecto, articulará las acciones que permitan el desarrollo equitativo, incluyente, solidario, armónico y ordenado del Comercio; determinará, en coordinación con los órganos y organismos competentes de la Municipalidad, el flujo de los procedimientos que se organizaran mediante instrucciones contenidas en la presente Resolución Administrativa; y actuará en el ejercicio de sus competencias en forma desconcentrada, a través de tres áreas de gestión que se desarrollaran mediante sus respectivo Directores: Mercados Ferias y Plataformas Municipales.</w:t>
      </w:r>
    </w:p>
    <w:p w:rsidR="006165EE" w:rsidRDefault="006165EE" w:rsidP="006165EE">
      <w:pPr>
        <w:pStyle w:val="Cuerpo"/>
        <w:shd w:val="clear" w:color="auto" w:fill="FFFFFF"/>
        <w:spacing w:after="324" w:line="240" w:lineRule="atLeast"/>
        <w:jc w:val="both"/>
      </w:pPr>
      <w:r>
        <w:rPr>
          <w:rStyle w:val="Ninguno"/>
        </w:rPr>
        <w:t>En ejercicio de las atribuciones constitucionales y legales;  </w:t>
      </w:r>
    </w:p>
    <w:p w:rsidR="006165EE" w:rsidRPr="005D3EFA" w:rsidRDefault="006165EE" w:rsidP="006165EE">
      <w:pPr>
        <w:pStyle w:val="Cuerpo"/>
        <w:shd w:val="clear" w:color="auto" w:fill="FFFFFF"/>
        <w:spacing w:after="324" w:line="240" w:lineRule="atLeast"/>
        <w:jc w:val="center"/>
        <w:rPr>
          <w:b/>
        </w:rPr>
      </w:pPr>
      <w:r w:rsidRPr="005D3EFA">
        <w:rPr>
          <w:rStyle w:val="Ninguno"/>
          <w:b/>
        </w:rPr>
        <w:t>EXPIDE</w:t>
      </w:r>
    </w:p>
    <w:p w:rsidR="006165EE" w:rsidRDefault="006165EE" w:rsidP="006165EE">
      <w:pPr>
        <w:pStyle w:val="Cuerpo"/>
        <w:shd w:val="clear" w:color="auto" w:fill="FFFFFF"/>
        <w:spacing w:after="324" w:line="240" w:lineRule="atLeast"/>
        <w:jc w:val="both"/>
        <w:rPr>
          <w:rStyle w:val="Ninguno"/>
          <w:b/>
          <w:bCs/>
        </w:rPr>
      </w:pPr>
      <w:r>
        <w:rPr>
          <w:rStyle w:val="Ninguno"/>
          <w:b/>
          <w:bCs/>
        </w:rPr>
        <w:t>LA ORDENANZA DE FIJACIÓN DE TARIFAS POR LA OCUPACIÓN DE PUESTOS Y LOCALES Y PARQUEADEROS EN LOS DIFERENTES MERCADOS, FERIAS Y PLATAFORMAS DEL DMQ.</w:t>
      </w:r>
    </w:p>
    <w:p w:rsidR="006165EE" w:rsidRDefault="006165EE" w:rsidP="006165EE">
      <w:pPr>
        <w:pStyle w:val="CuerpoA"/>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CAPITULO I</w:t>
      </w:r>
    </w:p>
    <w:p w:rsidR="006165EE" w:rsidRDefault="006165EE" w:rsidP="006165EE">
      <w:pPr>
        <w:pStyle w:val="CuerpoA"/>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OBJETO Y ÁMBITO</w:t>
      </w:r>
    </w:p>
    <w:p w:rsidR="006165EE" w:rsidRPr="006165EE" w:rsidRDefault="006165EE" w:rsidP="006165EE">
      <w:pPr>
        <w:pStyle w:val="CuerpoA"/>
        <w:jc w:val="both"/>
        <w:rPr>
          <w:rStyle w:val="Ninguno"/>
          <w:rFonts w:ascii="Times New Roman" w:eastAsia="Times New Roman" w:hAnsi="Times New Roman" w:cs="Times New Roman"/>
          <w:sz w:val="24"/>
          <w:szCs w:val="24"/>
        </w:rPr>
      </w:pPr>
    </w:p>
    <w:p w:rsidR="006165EE" w:rsidRPr="006165EE" w:rsidRDefault="006165EE" w:rsidP="006165EE">
      <w:pPr>
        <w:pStyle w:val="CuerpoB"/>
        <w:shd w:val="clear" w:color="auto" w:fill="FFFFFF"/>
        <w:spacing w:line="240" w:lineRule="atLeast"/>
        <w:jc w:val="both"/>
        <w:rPr>
          <w:rStyle w:val="Ninguno"/>
          <w:color w:val="auto"/>
        </w:rPr>
      </w:pPr>
      <w:r w:rsidRPr="006165EE">
        <w:rPr>
          <w:rStyle w:val="Ninguno"/>
          <w:b/>
          <w:bCs/>
          <w:color w:val="auto"/>
        </w:rPr>
        <w:t>Art. 1.- ÁMBITO.-</w:t>
      </w:r>
      <w:r w:rsidRPr="006165EE">
        <w:rPr>
          <w:rStyle w:val="Ninguno"/>
          <w:color w:val="auto"/>
        </w:rPr>
        <w:t> Los funcionarios y servidores municipales, así como los comerciantes que laboran en los Mercados, Ferias y Plataformas de propiedad del Municipio del Distrito Metropolitano de Quito, en calidad de adjudicados u ocupantes de puestos o locales, deberán dar cumplimiento a los procedimientos y demás obligaciones contenidas en el presente instrumento.</w:t>
      </w:r>
    </w:p>
    <w:p w:rsidR="006165EE" w:rsidRPr="006165EE" w:rsidRDefault="006165EE" w:rsidP="006165EE">
      <w:pPr>
        <w:pStyle w:val="CuerpoB"/>
        <w:shd w:val="clear" w:color="auto" w:fill="FFFFFF"/>
        <w:spacing w:line="240" w:lineRule="atLeast"/>
        <w:jc w:val="both"/>
      </w:pPr>
    </w:p>
    <w:p w:rsidR="006165EE" w:rsidRPr="006165EE" w:rsidRDefault="006165EE" w:rsidP="006165EE">
      <w:pPr>
        <w:pStyle w:val="CuerpoB"/>
        <w:shd w:val="clear" w:color="auto" w:fill="FFFFFF"/>
        <w:spacing w:after="324" w:line="240" w:lineRule="atLeast"/>
        <w:jc w:val="both"/>
        <w:rPr>
          <w:rStyle w:val="Ninguno"/>
        </w:rPr>
      </w:pPr>
      <w:r>
        <w:rPr>
          <w:rStyle w:val="Ninguno"/>
          <w:b/>
          <w:bCs/>
        </w:rPr>
        <w:t>Art</w:t>
      </w:r>
      <w:r w:rsidRPr="006165EE">
        <w:rPr>
          <w:rStyle w:val="Ninguno"/>
          <w:b/>
          <w:bCs/>
        </w:rPr>
        <w:t>. 2.- OBJETO.-</w:t>
      </w:r>
      <w:r w:rsidRPr="006165EE">
        <w:rPr>
          <w:rStyle w:val="Ninguno"/>
        </w:rPr>
        <w:t xml:space="preserve"> El objeto del presente instrumento es fijar el valor correspondiente a la </w:t>
      </w:r>
      <w:r w:rsidRPr="006165EE">
        <w:rPr>
          <w:rStyle w:val="Ninguno"/>
          <w:u w:color="FF0000"/>
        </w:rPr>
        <w:t xml:space="preserve">tarifa </w:t>
      </w:r>
      <w:r w:rsidRPr="006165EE">
        <w:rPr>
          <w:rStyle w:val="Ninguno"/>
        </w:rPr>
        <w:t>por concepto de la ocupación del espacio público en los Mercados, Ferias y Plataformas Metropolitanos, enmarcados en principios de equidad, legalidad, transparencia</w:t>
      </w:r>
      <w:r w:rsidR="002F47F1">
        <w:rPr>
          <w:rStyle w:val="Ninguno"/>
        </w:rPr>
        <w:t>, proporcionalidad</w:t>
      </w:r>
      <w:r w:rsidRPr="006165EE">
        <w:rPr>
          <w:rStyle w:val="Ninguno"/>
        </w:rPr>
        <w:t xml:space="preserve"> y justicia. </w:t>
      </w:r>
    </w:p>
    <w:p w:rsidR="006165EE" w:rsidRPr="006165EE" w:rsidRDefault="006165EE" w:rsidP="006165EE">
      <w:pPr>
        <w:pStyle w:val="CuerpoB"/>
        <w:shd w:val="clear" w:color="auto" w:fill="FFFFFF"/>
        <w:spacing w:after="324" w:line="240" w:lineRule="atLeast"/>
        <w:jc w:val="both"/>
        <w:rPr>
          <w:rStyle w:val="Ninguno"/>
        </w:rPr>
      </w:pPr>
      <w:r w:rsidRPr="006165EE">
        <w:rPr>
          <w:rStyle w:val="Ninguno"/>
          <w:b/>
          <w:bCs/>
        </w:rPr>
        <w:t>Ar</w:t>
      </w:r>
      <w:r>
        <w:rPr>
          <w:rStyle w:val="Ninguno"/>
          <w:b/>
          <w:bCs/>
        </w:rPr>
        <w:t>t.</w:t>
      </w:r>
      <w:r w:rsidRPr="006165EE">
        <w:rPr>
          <w:rStyle w:val="Ninguno"/>
          <w:b/>
          <w:bCs/>
        </w:rPr>
        <w:t xml:space="preserve"> 3.- COMPETENCIA.- </w:t>
      </w:r>
      <w:r w:rsidRPr="006165EE">
        <w:rPr>
          <w:rStyle w:val="Ninguno"/>
        </w:rPr>
        <w:t>Son competencias de la Agencia de Coord</w:t>
      </w:r>
      <w:r>
        <w:rPr>
          <w:rStyle w:val="Ninguno"/>
        </w:rPr>
        <w:t>inación Distrital del Comercio:</w:t>
      </w:r>
    </w:p>
    <w:p w:rsidR="006165EE" w:rsidRPr="006165EE" w:rsidRDefault="006165EE" w:rsidP="006165EE">
      <w:pPr>
        <w:pStyle w:val="CuerpoB"/>
        <w:numPr>
          <w:ilvl w:val="0"/>
          <w:numId w:val="30"/>
        </w:numPr>
        <w:shd w:val="clear" w:color="auto" w:fill="FFFFFF"/>
        <w:spacing w:after="324" w:line="240" w:lineRule="atLeast"/>
        <w:jc w:val="both"/>
      </w:pPr>
      <w:r w:rsidRPr="006165EE">
        <w:rPr>
          <w:rStyle w:val="Ninguno"/>
          <w:u w:color="B758D6"/>
        </w:rPr>
        <w:t>La determinación del valor de la tarifa que pagarán los comerciantes, por concepto de la ocupación del espacio público dentro de los Mercados, Ferias y Plataformas Metropolitanos, en base al procedimiento de calculo que establece el presente instrumento;</w:t>
      </w:r>
    </w:p>
    <w:p w:rsidR="006165EE" w:rsidRPr="006165EE" w:rsidRDefault="006165EE" w:rsidP="006165EE">
      <w:pPr>
        <w:pStyle w:val="CuerpoB"/>
        <w:numPr>
          <w:ilvl w:val="0"/>
          <w:numId w:val="30"/>
        </w:numPr>
        <w:shd w:val="clear" w:color="auto" w:fill="FFFFFF"/>
        <w:spacing w:after="324" w:line="240" w:lineRule="atLeast"/>
        <w:jc w:val="both"/>
      </w:pPr>
      <w:r w:rsidRPr="006165EE">
        <w:rPr>
          <w:rStyle w:val="Ninguno"/>
          <w:u w:color="B758D6"/>
        </w:rPr>
        <w:t>La generación, a través de la Dirección de Mercados, Ferias y Plataformas del catastro de comerciantes de Mercados, Ferias y Plataformas;</w:t>
      </w:r>
    </w:p>
    <w:p w:rsidR="006165EE" w:rsidRPr="006165EE" w:rsidRDefault="006165EE" w:rsidP="006165EE">
      <w:pPr>
        <w:pStyle w:val="CuerpoB"/>
        <w:numPr>
          <w:ilvl w:val="0"/>
          <w:numId w:val="30"/>
        </w:numPr>
        <w:shd w:val="clear" w:color="auto" w:fill="FFFFFF"/>
        <w:spacing w:after="324" w:line="240" w:lineRule="atLeast"/>
        <w:jc w:val="both"/>
      </w:pPr>
      <w:r w:rsidRPr="006165EE">
        <w:rPr>
          <w:rStyle w:val="Ninguno"/>
          <w:u w:color="B758D6"/>
        </w:rPr>
        <w:t>La generación de las órdenes de pago correspondientes a cada comerciante, en coordinación con la Dirección Metropolitana de Informática; y,</w:t>
      </w:r>
    </w:p>
    <w:p w:rsidR="006165EE" w:rsidRPr="006165EE" w:rsidRDefault="006165EE" w:rsidP="006165EE">
      <w:pPr>
        <w:pStyle w:val="CuerpoB"/>
        <w:numPr>
          <w:ilvl w:val="0"/>
          <w:numId w:val="30"/>
        </w:numPr>
        <w:shd w:val="clear" w:color="auto" w:fill="FFFFFF"/>
        <w:spacing w:after="324" w:line="240" w:lineRule="atLeast"/>
        <w:jc w:val="both"/>
      </w:pPr>
      <w:r w:rsidRPr="006165EE">
        <w:rPr>
          <w:rStyle w:val="Ninguno"/>
          <w:u w:color="B758D6"/>
        </w:rPr>
        <w:t xml:space="preserve">La notificación y control de los pagos. </w:t>
      </w:r>
    </w:p>
    <w:p w:rsidR="006165EE" w:rsidRPr="006165EE" w:rsidRDefault="006165EE" w:rsidP="006165EE">
      <w:pPr>
        <w:pStyle w:val="CuerpoB"/>
        <w:jc w:val="both"/>
        <w:rPr>
          <w:rStyle w:val="Ninguno"/>
          <w:u w:color="B758D6"/>
        </w:rPr>
      </w:pPr>
      <w:r>
        <w:rPr>
          <w:rStyle w:val="Ninguno"/>
          <w:b/>
          <w:bCs/>
          <w:u w:color="B758D6"/>
        </w:rPr>
        <w:lastRenderedPageBreak/>
        <w:t>Art.</w:t>
      </w:r>
      <w:r w:rsidRPr="006165EE">
        <w:rPr>
          <w:rStyle w:val="Ninguno"/>
          <w:b/>
          <w:bCs/>
          <w:u w:color="B758D6"/>
        </w:rPr>
        <w:t xml:space="preserve"> 4.- ALCANCE/ OBLIGATORIEDAD.-</w:t>
      </w:r>
      <w:r w:rsidRPr="006165EE">
        <w:rPr>
          <w:rStyle w:val="Ninguno"/>
          <w:u w:color="B758D6"/>
        </w:rPr>
        <w:t xml:space="preserve"> El cobro de la tarifa por concepto de la ocupación del espacio público en los Mercados, Ferias y Plataformas Metropolitanos, se aplicará a los comerciantes que los ocupen.</w:t>
      </w:r>
    </w:p>
    <w:p w:rsidR="006165EE" w:rsidRDefault="006165EE" w:rsidP="006165EE">
      <w:pPr>
        <w:pStyle w:val="CuerpoA"/>
        <w:jc w:val="both"/>
        <w:rPr>
          <w:rStyle w:val="Ninguno"/>
          <w:rFonts w:ascii="Times New Roman" w:eastAsia="Times New Roman" w:hAnsi="Times New Roman" w:cs="Times New Roman"/>
          <w:sz w:val="24"/>
          <w:szCs w:val="24"/>
        </w:rPr>
      </w:pPr>
    </w:p>
    <w:p w:rsidR="006165EE" w:rsidRDefault="006165EE" w:rsidP="006165E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CAPÍTULO II</w:t>
      </w:r>
    </w:p>
    <w:p w:rsidR="006165EE" w:rsidRDefault="006165EE" w:rsidP="006165E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DE LA TARIFA</w:t>
      </w:r>
    </w:p>
    <w:p w:rsidR="006165EE" w:rsidRDefault="006165EE" w:rsidP="006165E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rPr>
          <w:rStyle w:val="Ninguno"/>
          <w:rFonts w:ascii="Times New Roman" w:eastAsia="Times New Roman" w:hAnsi="Times New Roman" w:cs="Times New Roman"/>
          <w:sz w:val="24"/>
          <w:szCs w:val="24"/>
          <w:lang w:val="it-IT"/>
        </w:rPr>
      </w:pPr>
    </w:p>
    <w:p w:rsidR="006165EE" w:rsidRPr="009A0B5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Pr>
          <w:rStyle w:val="Ninguno"/>
          <w:b/>
          <w:bCs/>
        </w:rPr>
        <w:t xml:space="preserve">Art. 5.- </w:t>
      </w:r>
      <w:r w:rsidRPr="004F6AEA">
        <w:rPr>
          <w:rFonts w:eastAsia="Times New Roman"/>
          <w:b/>
          <w:sz w:val="22"/>
          <w:szCs w:val="22"/>
          <w:lang w:val="es-EC" w:eastAsia="es-ES"/>
        </w:rPr>
        <w:t xml:space="preserve">PAGO DE LA TARIFA.- </w:t>
      </w:r>
      <w:r>
        <w:rPr>
          <w:rStyle w:val="Ninguno"/>
          <w:rFonts w:eastAsia="Helvetica Neue" w:cs="Helvetica Neue"/>
          <w:color w:val="000000"/>
          <w:u w:color="000000"/>
          <w:lang w:eastAsia="es-EC"/>
        </w:rPr>
        <w:t>Será obligación de lo</w:t>
      </w:r>
      <w:r w:rsidRPr="009A0B50">
        <w:rPr>
          <w:rStyle w:val="Ninguno"/>
          <w:rFonts w:eastAsia="Helvetica Neue" w:cs="Helvetica Neue"/>
          <w:color w:val="000000"/>
          <w:u w:color="000000"/>
          <w:lang w:eastAsia="es-EC"/>
        </w:rPr>
        <w:t xml:space="preserve">s comerciantes que realicen su actividad comercial en cualquiera de los diferentes Mercados, Ferias y Plataformas propiedad del Municipio del Distrito Metropolitano de Quito, realizar el pago de la tarifa establecida </w:t>
      </w:r>
      <w:r>
        <w:rPr>
          <w:rStyle w:val="Ninguno"/>
          <w:rFonts w:eastAsia="Helvetica Neue" w:cs="Helvetica Neue"/>
          <w:color w:val="000000"/>
          <w:u w:color="000000"/>
          <w:lang w:eastAsia="es-EC"/>
        </w:rPr>
        <w:t xml:space="preserve">en la </w:t>
      </w:r>
      <w:r w:rsidRPr="009A0B50">
        <w:rPr>
          <w:rStyle w:val="Ninguno"/>
          <w:rFonts w:eastAsia="Helvetica Neue" w:cs="Helvetica Neue"/>
          <w:color w:val="000000"/>
          <w:u w:color="000000"/>
          <w:lang w:eastAsia="es-EC"/>
        </w:rPr>
        <w:t xml:space="preserve">presente </w:t>
      </w:r>
      <w:r>
        <w:rPr>
          <w:rStyle w:val="Ninguno"/>
          <w:rFonts w:eastAsia="Helvetica Neue" w:cs="Helvetica Neue"/>
          <w:color w:val="000000"/>
          <w:u w:color="000000"/>
          <w:lang w:eastAsia="es-EC"/>
        </w:rPr>
        <w:t>Ordenanza</w:t>
      </w:r>
      <w:r w:rsidRPr="009A0B50">
        <w:rPr>
          <w:rStyle w:val="Ninguno"/>
          <w:rFonts w:eastAsia="Helvetica Neue" w:cs="Helvetica Neue"/>
          <w:color w:val="000000"/>
          <w:u w:color="000000"/>
          <w:lang w:eastAsia="es-EC"/>
        </w:rPr>
        <w:t xml:space="preserve">. El cálculo del monto a pagar por este concepto se efectuará en función de los siguientes parámetros: </w:t>
      </w:r>
    </w:p>
    <w:p w:rsidR="006165EE" w:rsidRPr="004F6AEA"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sz w:val="22"/>
          <w:szCs w:val="22"/>
          <w:lang w:val="es-EC" w:eastAsia="es-ES"/>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b/>
          <w:color w:val="000000"/>
          <w:u w:color="000000"/>
          <w:lang w:eastAsia="es-EC"/>
        </w:rPr>
      </w:pPr>
      <w:r w:rsidRPr="006737A5">
        <w:rPr>
          <w:rStyle w:val="Ninguno"/>
          <w:rFonts w:eastAsia="Helvetica Neue" w:cs="Helvetica Neue"/>
          <w:b/>
          <w:color w:val="000000"/>
          <w:u w:color="000000"/>
          <w:lang w:eastAsia="es-EC"/>
        </w:rPr>
        <w:t>ACCESO A LOS DIFERENTES SERVICIOS:</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1. Diferentes servicios</w:t>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2. Costos directos e indirectos</w:t>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3. Área ocupada en metros cuadrados</w:t>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4. Giro</w:t>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p>
    <w:p w:rsidR="006165EE"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5. Característica de construcción</w:t>
      </w:r>
      <w:r w:rsidRPr="006737A5">
        <w:rPr>
          <w:rStyle w:val="Ninguno"/>
          <w:rFonts w:eastAsia="Helvetica Neue" w:cs="Helvetica Neue"/>
          <w:color w:val="000000"/>
          <w:u w:color="000000"/>
          <w:lang w:eastAsia="es-EC"/>
        </w:rPr>
        <w:tab/>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 xml:space="preserve"> De acuerdo a las variables anteriormente detalladas se establece lo siguiente:</w:t>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r w:rsidRPr="006737A5">
        <w:rPr>
          <w:rStyle w:val="Ninguno"/>
          <w:rFonts w:eastAsia="Helvetica Neue" w:cs="Helvetica Neue"/>
          <w:color w:val="000000"/>
          <w:u w:color="000000"/>
          <w:lang w:eastAsia="es-EC"/>
        </w:rPr>
        <w:tab/>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b/>
          <w:color w:val="000000"/>
          <w:u w:color="000000"/>
          <w:lang w:eastAsia="es-EC"/>
        </w:rPr>
        <w:t xml:space="preserve">Art. </w:t>
      </w:r>
      <w:r>
        <w:rPr>
          <w:rStyle w:val="Ninguno"/>
          <w:rFonts w:eastAsia="Helvetica Neue" w:cs="Helvetica Neue"/>
          <w:b/>
          <w:color w:val="000000"/>
          <w:u w:color="000000"/>
          <w:lang w:eastAsia="es-EC"/>
        </w:rPr>
        <w:t>6</w:t>
      </w:r>
      <w:r w:rsidRPr="006737A5">
        <w:rPr>
          <w:rStyle w:val="Ninguno"/>
          <w:rFonts w:eastAsia="Helvetica Neue" w:cs="Helvetica Neue"/>
          <w:b/>
          <w:color w:val="000000"/>
          <w:u w:color="000000"/>
          <w:lang w:eastAsia="es-EC"/>
        </w:rPr>
        <w:t>.-</w:t>
      </w:r>
      <w:r w:rsidRPr="006737A5">
        <w:rPr>
          <w:rStyle w:val="Ninguno"/>
          <w:rFonts w:eastAsia="Helvetica Neue" w:cs="Helvetica Neue"/>
          <w:color w:val="000000"/>
          <w:u w:color="000000"/>
          <w:lang w:eastAsia="es-EC"/>
        </w:rPr>
        <w:t xml:space="preserve"> </w:t>
      </w:r>
      <w:r w:rsidR="002F47F1">
        <w:rPr>
          <w:rStyle w:val="Ninguno"/>
          <w:rFonts w:eastAsia="Helvetica Neue" w:cs="Helvetica Neue"/>
          <w:b/>
          <w:color w:val="000000"/>
          <w:u w:color="000000"/>
          <w:lang w:eastAsia="es-EC"/>
        </w:rPr>
        <w:t>FOR</w:t>
      </w:r>
      <w:bookmarkStart w:id="0" w:name="_GoBack"/>
      <w:bookmarkEnd w:id="0"/>
      <w:r>
        <w:rPr>
          <w:rStyle w:val="Ninguno"/>
          <w:rFonts w:eastAsia="Helvetica Neue" w:cs="Helvetica Neue"/>
          <w:b/>
          <w:color w:val="000000"/>
          <w:u w:color="000000"/>
          <w:lang w:eastAsia="es-EC"/>
        </w:rPr>
        <w:t xml:space="preserve">MULA PARA ESTABLECER EL CALCULO DE LA TARÍFA.- </w:t>
      </w:r>
      <w:r w:rsidRPr="006737A5">
        <w:rPr>
          <w:rStyle w:val="Ninguno"/>
          <w:rFonts w:eastAsia="Helvetica Neue" w:cs="Helvetica Neue"/>
          <w:color w:val="000000"/>
          <w:u w:color="000000"/>
          <w:lang w:eastAsia="es-EC"/>
        </w:rPr>
        <w:t>Para realizar el cálculo del monto a ser cancelado por los comerciantes de los diferentes Mercados, Ferias y Plataformas Metropolitanas se establece el siguiente procedimiento:</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 xml:space="preserve">1.- Se establece un “Costo Base” (C.B.) que se obtiene de calcular el cinco por ciento (5%) del valor por metro cuadrado del suelo del mercado en donde se encuentra </w:t>
      </w:r>
      <w:r w:rsidR="002F47F1">
        <w:rPr>
          <w:rStyle w:val="Ninguno"/>
          <w:rFonts w:eastAsia="Helvetica Neue" w:cs="Helvetica Neue"/>
          <w:color w:val="000000"/>
          <w:u w:color="000000"/>
          <w:lang w:eastAsia="es-EC"/>
        </w:rPr>
        <w:t xml:space="preserve">ubicado </w:t>
      </w:r>
      <w:r w:rsidRPr="006737A5">
        <w:rPr>
          <w:rStyle w:val="Ninguno"/>
          <w:rFonts w:eastAsia="Helvetica Neue" w:cs="Helvetica Neue"/>
          <w:color w:val="000000"/>
          <w:u w:color="000000"/>
          <w:lang w:eastAsia="es-EC"/>
        </w:rPr>
        <w:t>el puesto; el resultado se lo multiplica por el número de metros que ocupa el puesto del comerciante en el Mercado, Feria o Plataforma Metropolitana; el valor del suelo se lo obtendrá de la Ordenanza Metropolitana que contenga el “Área de Intervención Valorativa (AIVA)”, el “Área de Intervención Valorativa Urbana (AIVAU)”, o el “Área de Intervención Rural (AIVAR)” vigente según sea el caso.</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 xml:space="preserve">2.- El valor que se obtiene del cálculo realizado en el número anterior corresponde al cincuenta por ciento (50%) del valor total de la tarifa a ser cancelada por los comerciantes de los distintos Mercados, Ferias y Plataformas Metropolitanas del Distrito Metropolitano de Quito. El cincuenta por ciento (50%) restante se obtendrá de la valoración realizada a los parámetros 1, </w:t>
      </w:r>
      <w:r>
        <w:rPr>
          <w:rStyle w:val="Ninguno"/>
          <w:rFonts w:eastAsia="Helvetica Neue" w:cs="Helvetica Neue"/>
          <w:color w:val="000000"/>
          <w:u w:color="000000"/>
          <w:lang w:eastAsia="es-EC"/>
        </w:rPr>
        <w:t>2, 4 y 5 constantes en el Art. 26</w:t>
      </w:r>
      <w:r w:rsidRPr="006737A5">
        <w:rPr>
          <w:rStyle w:val="Ninguno"/>
          <w:rFonts w:eastAsia="Helvetica Neue" w:cs="Helvetica Neue"/>
          <w:color w:val="000000"/>
          <w:u w:color="000000"/>
          <w:lang w:eastAsia="es-EC"/>
        </w:rPr>
        <w:t xml:space="preserve"> del presente instructivo.</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3.- El Parámetro “Diferentes Servicios” establecerá como resultado máximo la fracción del costo de la tarifa equivalente a multiplicar el coeficiente cero punto veinte y cinco (0.25) por el</w:t>
      </w:r>
      <w:r>
        <w:rPr>
          <w:rStyle w:val="Ninguno"/>
          <w:rFonts w:eastAsia="Helvetica Neue" w:cs="Helvetica Neue"/>
          <w:color w:val="000000"/>
          <w:u w:color="000000"/>
          <w:lang w:eastAsia="es-EC"/>
        </w:rPr>
        <w:t xml:space="preserve"> valor del costo base</w:t>
      </w:r>
      <w:r w:rsidRPr="006737A5">
        <w:rPr>
          <w:rStyle w:val="Ninguno"/>
          <w:rFonts w:eastAsia="Helvetica Neue" w:cs="Helvetica Neue"/>
          <w:color w:val="000000"/>
          <w:u w:color="000000"/>
          <w:lang w:eastAsia="es-EC"/>
        </w:rPr>
        <w:t xml:space="preserve"> del mercado (0.25x C.B.).</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Para la valoración del parámetro “Diferentes Servicios”, se establecerá la totalidad de los servicios de los que se benefician la totalidad de los mercados, ferias o plataformas metropolitanos del Distrito Metropolitano de Quito. Una vez establecidos los servicios, la Dirección de Mercados, Ferias y Plataformas de la ACDC, procederá a determinar qué servicios están disponibles en cada uno de los Mercados, Ferias o Plataformas Metropolitanos, para lo cual realizará una tabla valorativa</w:t>
      </w:r>
      <w:r>
        <w:rPr>
          <w:rStyle w:val="Ninguno"/>
          <w:rFonts w:eastAsia="Helvetica Neue" w:cs="Helvetica Neue"/>
          <w:color w:val="000000"/>
          <w:u w:color="000000"/>
          <w:lang w:eastAsia="es-EC"/>
        </w:rPr>
        <w:t xml:space="preserve"> anual</w:t>
      </w:r>
      <w:r w:rsidRPr="006737A5">
        <w:rPr>
          <w:rStyle w:val="Ninguno"/>
          <w:rFonts w:eastAsia="Helvetica Neue" w:cs="Helvetica Neue"/>
          <w:color w:val="000000"/>
          <w:u w:color="000000"/>
          <w:lang w:eastAsia="es-EC"/>
        </w:rPr>
        <w:t>.</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En la tabla valorativa la Dirección de Mercados, Ferias y Plataformas de la ACDC, otorgarán un punto por cada uno de los servicios que cuenta cada mercado, cero puntos sino cuenta con este.</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lastRenderedPageBreak/>
        <w:t>El total de servicios (puntos) con que cuenta cada mercado se dividirá para el total de servicios disponibles en los mercados, dando como resultado el porcentaje de servicios con que cuenta cada uno de los Mercados, Ferias o Plataformas Metropolitanas.</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6737A5">
        <w:rPr>
          <w:rStyle w:val="Ninguno"/>
          <w:rFonts w:eastAsia="Helvetica Neue" w:cs="Helvetica Neue"/>
          <w:color w:val="000000"/>
          <w:u w:color="000000"/>
          <w:lang w:eastAsia="es-EC"/>
        </w:rPr>
        <w:t xml:space="preserve">Este porcentaje se aplicará al valor correspondiente al “resultado máximo” del parámetro; el valor </w:t>
      </w:r>
      <w:r>
        <w:rPr>
          <w:rStyle w:val="Ninguno"/>
          <w:rFonts w:eastAsia="Helvetica Neue" w:cs="Helvetica Neue"/>
          <w:color w:val="000000"/>
          <w:u w:color="000000"/>
          <w:lang w:eastAsia="es-EC"/>
        </w:rPr>
        <w:t>resultante es la cifra monetaria</w:t>
      </w:r>
      <w:r w:rsidRPr="006737A5">
        <w:rPr>
          <w:rStyle w:val="Ninguno"/>
          <w:rFonts w:eastAsia="Helvetica Neue" w:cs="Helvetica Neue"/>
          <w:color w:val="000000"/>
          <w:u w:color="000000"/>
          <w:lang w:eastAsia="es-EC"/>
        </w:rPr>
        <w:t xml:space="preserve"> que el parámetro “Diferentes Servicios” adicionará al cálculo total de la tarifa.</w:t>
      </w:r>
    </w:p>
    <w:p w:rsidR="006165EE" w:rsidRPr="006737A5"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2D28F0">
        <w:rPr>
          <w:rStyle w:val="Ninguno"/>
          <w:rFonts w:eastAsia="Helvetica Neue" w:cs="Helvetica Neue"/>
          <w:color w:val="000000"/>
          <w:u w:color="000000"/>
          <w:lang w:eastAsia="es-EC"/>
        </w:rPr>
        <w:t>4.- El Parámetro “Costos Directos e Indirectos” establecerá como resultado máximo la fracción del costo de la tarifa equivalente a multiplicar el coeficiente cero punto veinte (0.25) por el</w:t>
      </w:r>
      <w:r>
        <w:rPr>
          <w:rStyle w:val="Ninguno"/>
          <w:rFonts w:eastAsia="Helvetica Neue" w:cs="Helvetica Neue"/>
          <w:color w:val="000000"/>
          <w:u w:color="000000"/>
          <w:lang w:eastAsia="es-EC"/>
        </w:rPr>
        <w:t xml:space="preserve"> valor del costo base</w:t>
      </w:r>
      <w:r w:rsidRPr="002D28F0">
        <w:rPr>
          <w:rStyle w:val="Ninguno"/>
          <w:rFonts w:eastAsia="Helvetica Neue" w:cs="Helvetica Neue"/>
          <w:color w:val="000000"/>
          <w:u w:color="000000"/>
          <w:lang w:eastAsia="es-EC"/>
        </w:rPr>
        <w:t xml:space="preserve"> del mercado (0.25x C.B.). </w:t>
      </w: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2D28F0">
        <w:rPr>
          <w:rStyle w:val="Ninguno"/>
          <w:rFonts w:eastAsia="Helvetica Neue" w:cs="Helvetica Neue"/>
          <w:color w:val="000000"/>
          <w:u w:color="000000"/>
          <w:lang w:eastAsia="es-EC"/>
        </w:rPr>
        <w:t>Para la valoración del parámetro “Costos Directos e Indirectos”, se establecerá la totalidad de los servicios de los que se benefician la totalidad de los Mercados, Ferias o Plataformas Metropolitanos del Distrito Metropolitano de Quito. Una vez establecidos los servicios, la Dirección de Mercados, Ferias y Plataformas de la ACDC, procederá a determinar qué servicios están disponibles en cada uno de los Mercados, Ferias o Plataformas Metropolitanos, para lo cual realizará una tabla valorativa</w:t>
      </w:r>
      <w:r>
        <w:rPr>
          <w:rStyle w:val="Ninguno"/>
          <w:rFonts w:eastAsia="Helvetica Neue" w:cs="Helvetica Neue"/>
          <w:color w:val="000000"/>
          <w:u w:color="000000"/>
          <w:lang w:eastAsia="es-EC"/>
        </w:rPr>
        <w:t xml:space="preserve"> anual</w:t>
      </w:r>
      <w:r w:rsidRPr="002D28F0">
        <w:rPr>
          <w:rStyle w:val="Ninguno"/>
          <w:rFonts w:eastAsia="Helvetica Neue" w:cs="Helvetica Neue"/>
          <w:color w:val="000000"/>
          <w:u w:color="000000"/>
          <w:lang w:eastAsia="es-EC"/>
        </w:rPr>
        <w:t>.</w:t>
      </w: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2D28F0">
        <w:rPr>
          <w:rStyle w:val="Ninguno"/>
          <w:rFonts w:eastAsia="Helvetica Neue" w:cs="Helvetica Neue"/>
          <w:color w:val="000000"/>
          <w:u w:color="000000"/>
          <w:lang w:eastAsia="es-EC"/>
        </w:rPr>
        <w:t>En la tabla valorativa la Dirección de Mercados, Ferias y Plataformas de la ACDC, otorgarán un punto por cada uno de los servicios que cuenta cada mercado, cero puntos sino cuenta con este.</w:t>
      </w: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2D28F0">
        <w:rPr>
          <w:rStyle w:val="Ninguno"/>
          <w:rFonts w:eastAsia="Helvetica Neue" w:cs="Helvetica Neue"/>
          <w:color w:val="000000"/>
          <w:u w:color="000000"/>
          <w:lang w:eastAsia="es-EC"/>
        </w:rPr>
        <w:t>El total de servicios (puntos) con que cuenta cada mercado se dividirá para el total de servicios disponibles en los mercados, dando como resultado el porcentaje de servicios con que cuenta cada uno de los Mercados, Ferias o Plataformas Metropolitanas.</w:t>
      </w: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p>
    <w:p w:rsidR="006165EE" w:rsidRPr="002D28F0" w:rsidRDefault="006165EE" w:rsidP="006165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Fonts w:eastAsia="Helvetica Neue" w:cs="Helvetica Neue"/>
          <w:color w:val="000000"/>
          <w:u w:color="000000"/>
          <w:lang w:eastAsia="es-EC"/>
        </w:rPr>
      </w:pPr>
      <w:r w:rsidRPr="002D28F0">
        <w:rPr>
          <w:rStyle w:val="Ninguno"/>
          <w:rFonts w:eastAsia="Helvetica Neue" w:cs="Helvetica Neue"/>
          <w:color w:val="000000"/>
          <w:u w:color="000000"/>
          <w:lang w:eastAsia="es-EC"/>
        </w:rPr>
        <w:t>Este porcentaje se aplicará al valor correspondiente al “resultado máximo” del parámetro; el valor resultante es la cifra monetario que el parámetro “Costos Directos e Indirectos” adicionará al cálculo total de la tarifa.</w:t>
      </w:r>
    </w:p>
    <w:p w:rsidR="006165EE" w:rsidRPr="002D28F0" w:rsidRDefault="006165EE" w:rsidP="006165EE">
      <w:pPr>
        <w:pStyle w:val="Cuerpo"/>
        <w:jc w:val="both"/>
        <w:rPr>
          <w:rStyle w:val="Ninguno"/>
          <w:rFonts w:eastAsia="Helvetica Neue" w:cs="Helvetica Neue"/>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5.- El Parámetro “Giro” establecerá como resultado máximo la fracción del costo de la tarifa equivalente a multiplicar el coeficiente cero punto veinte y cinco (0.25) por el</w:t>
      </w:r>
      <w:r>
        <w:rPr>
          <w:rFonts w:eastAsia="Times New Roman" w:cs="Times New Roman"/>
          <w:lang w:val="es-EC"/>
        </w:rPr>
        <w:t xml:space="preserve"> valor del costo base</w:t>
      </w:r>
      <w:r w:rsidRPr="004F6AEA">
        <w:rPr>
          <w:rFonts w:eastAsia="Times New Roman" w:cs="Times New Roman"/>
          <w:lang w:val="es-EC"/>
        </w:rPr>
        <w:t xml:space="preserve"> del mercado (0.25x C.B.).</w:t>
      </w:r>
    </w:p>
    <w:p w:rsidR="006165EE" w:rsidRPr="004F6AEA" w:rsidRDefault="006165EE" w:rsidP="006165EE">
      <w:pPr>
        <w:pStyle w:val="Cuerpo"/>
        <w:jc w:val="both"/>
        <w:rPr>
          <w:rFonts w:eastAsia="Times New Roman" w:cs="Times New Roman"/>
          <w:lang w:val="es-EC"/>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Para la valoración del parámetro “giro”, la Dirección de Mercados, Ferias y Plataformas de la ACDC, realizará cada bienio un estudio en que se determine los giros existentes en todos los mercados propiedad del Municipio del Distrito Metropolitano de Quito y los clasificará de conformidad  a su volumen de ventas, de esta manera se agrupará los giros existentes bajo el criterio antes descrito.</w:t>
      </w:r>
    </w:p>
    <w:p w:rsidR="006165EE" w:rsidRPr="004F6AEA" w:rsidRDefault="006165EE" w:rsidP="006165EE">
      <w:pPr>
        <w:pStyle w:val="Cuerpo"/>
        <w:jc w:val="both"/>
        <w:rPr>
          <w:rFonts w:eastAsia="Times New Roman" w:cs="Times New Roman"/>
          <w:lang w:val="es-EC"/>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Utilizando como fundamento el estudio antes citado, se establecerá que los giros agrupados dentro de la categoría de mayor volumen  de ventas generarán el valor establecido para el “resultado máximo” del parámetro “giro”, bajo el mismo criterio se establecerá de manera proporcional el valor que el resto de giros generará con respecto al total del valor de la tarifa.</w:t>
      </w:r>
    </w:p>
    <w:p w:rsidR="006165EE" w:rsidRPr="004F6AEA" w:rsidRDefault="006165EE" w:rsidP="006165EE">
      <w:pPr>
        <w:pStyle w:val="Cuerpo"/>
        <w:jc w:val="both"/>
        <w:rPr>
          <w:rFonts w:eastAsia="Times New Roman" w:cs="Times New Roman"/>
          <w:lang w:val="es-EC"/>
        </w:rPr>
      </w:pPr>
    </w:p>
    <w:p w:rsidR="006165EE" w:rsidRPr="002D28F0" w:rsidRDefault="006165EE" w:rsidP="006165EE">
      <w:pPr>
        <w:pStyle w:val="Cuerpo"/>
        <w:jc w:val="both"/>
        <w:rPr>
          <w:rFonts w:eastAsia="Times New Roman" w:cs="Times New Roman"/>
          <w:lang w:val="es-EC"/>
        </w:rPr>
      </w:pPr>
      <w:r w:rsidRPr="002D28F0">
        <w:rPr>
          <w:rFonts w:eastAsia="Times New Roman" w:cs="Times New Roman"/>
          <w:lang w:val="es-EC"/>
        </w:rPr>
        <w:t>6.- El Parámetro “Características de Construcción” establecerá como resultado máximo la fracción del costo de la tarifa equivalente a multiplicar el coeficiente cero punto veinte (0.25) por el valor del costo base del mercado (0.25x C.B.).</w:t>
      </w:r>
    </w:p>
    <w:p w:rsidR="006165EE" w:rsidRPr="002D28F0" w:rsidRDefault="006165EE" w:rsidP="006165EE">
      <w:pPr>
        <w:pStyle w:val="Cuerpo"/>
        <w:jc w:val="both"/>
        <w:rPr>
          <w:rFonts w:eastAsia="Times New Roman" w:cs="Times New Roman"/>
          <w:lang w:val="es-EC"/>
        </w:rPr>
      </w:pPr>
    </w:p>
    <w:p w:rsidR="006165EE" w:rsidRPr="002D28F0" w:rsidRDefault="006165EE" w:rsidP="006165EE">
      <w:pPr>
        <w:pStyle w:val="Cuerpo"/>
        <w:jc w:val="both"/>
        <w:rPr>
          <w:rFonts w:eastAsia="Times New Roman" w:cs="Times New Roman"/>
          <w:lang w:val="es-EC"/>
        </w:rPr>
      </w:pPr>
      <w:r w:rsidRPr="002D28F0">
        <w:rPr>
          <w:rFonts w:eastAsia="Times New Roman" w:cs="Times New Roman"/>
          <w:lang w:val="es-EC"/>
        </w:rPr>
        <w:t xml:space="preserve">Para la valoración del parámetro “Características de Construcción”, se establecerá la totalidad de los servicios de los que se benefician la totalidad de los Mercados, Ferias o Plataformas Metropolitanos del Distrito Metropolitano de Quito. Una vez establecidos los servicios, la Dirección de Mercados, Ferias y Plataformas de la ACDC, procederá a determinar qué servicios están disponibles en cada </w:t>
      </w:r>
      <w:r w:rsidRPr="002D28F0">
        <w:rPr>
          <w:rFonts w:eastAsia="Times New Roman" w:cs="Times New Roman"/>
          <w:lang w:val="es-EC"/>
        </w:rPr>
        <w:lastRenderedPageBreak/>
        <w:t>uno de los Mercados, Ferias o Plataformas Metropolitanos, para lo cual realizará una tabla valorativa</w:t>
      </w:r>
      <w:r>
        <w:rPr>
          <w:rFonts w:eastAsia="Times New Roman" w:cs="Times New Roman"/>
          <w:lang w:val="es-EC"/>
        </w:rPr>
        <w:t xml:space="preserve"> anual</w:t>
      </w:r>
      <w:r w:rsidRPr="002D28F0">
        <w:rPr>
          <w:rFonts w:eastAsia="Times New Roman" w:cs="Times New Roman"/>
          <w:lang w:val="es-EC"/>
        </w:rPr>
        <w:t>.</w:t>
      </w:r>
    </w:p>
    <w:p w:rsidR="006165EE" w:rsidRPr="002D28F0" w:rsidRDefault="006165EE" w:rsidP="006165EE">
      <w:pPr>
        <w:pStyle w:val="Cuerpo"/>
        <w:jc w:val="both"/>
        <w:rPr>
          <w:rFonts w:eastAsia="Times New Roman" w:cs="Times New Roman"/>
          <w:lang w:val="es-EC"/>
        </w:rPr>
      </w:pPr>
    </w:p>
    <w:p w:rsidR="006165EE" w:rsidRPr="002D28F0" w:rsidRDefault="006165EE" w:rsidP="006165EE">
      <w:pPr>
        <w:pStyle w:val="Cuerpo"/>
        <w:jc w:val="both"/>
        <w:rPr>
          <w:rFonts w:eastAsia="Times New Roman" w:cs="Times New Roman"/>
          <w:lang w:val="es-EC"/>
        </w:rPr>
      </w:pPr>
      <w:r w:rsidRPr="002D28F0">
        <w:rPr>
          <w:rFonts w:eastAsia="Times New Roman" w:cs="Times New Roman"/>
          <w:lang w:val="es-EC"/>
        </w:rPr>
        <w:t>En la tabla valorativa la Dirección de Mercados, Ferias y Plataformas de la ACDC, otorgarán un punto por cada uno de los servicios que cuenta cada mercado, cero puntos sino cuenta con este.</w:t>
      </w:r>
    </w:p>
    <w:p w:rsidR="006165EE" w:rsidRPr="002D28F0" w:rsidRDefault="006165EE" w:rsidP="006165EE">
      <w:pPr>
        <w:pStyle w:val="Cuerpo"/>
        <w:jc w:val="both"/>
        <w:rPr>
          <w:rFonts w:eastAsia="Times New Roman" w:cs="Times New Roman"/>
          <w:lang w:val="es-EC"/>
        </w:rPr>
      </w:pPr>
    </w:p>
    <w:p w:rsidR="006165EE" w:rsidRPr="002D28F0" w:rsidRDefault="006165EE" w:rsidP="006165EE">
      <w:pPr>
        <w:pStyle w:val="Cuerpo"/>
        <w:jc w:val="both"/>
        <w:rPr>
          <w:rFonts w:eastAsia="Times New Roman" w:cs="Times New Roman"/>
          <w:lang w:val="es-EC"/>
        </w:rPr>
      </w:pPr>
      <w:r w:rsidRPr="002D28F0">
        <w:rPr>
          <w:rFonts w:eastAsia="Times New Roman" w:cs="Times New Roman"/>
          <w:lang w:val="es-EC"/>
        </w:rPr>
        <w:t>El total de servicios (puntos) con que cuenta cada mercado se dividirá para el total de servicios disponibles en los mercados, dando como resultado el porcentaje de servicios con que cuenta cada uno de los Mercados, Ferias o Plataformas Metropolitanas.</w:t>
      </w:r>
    </w:p>
    <w:p w:rsidR="006165EE" w:rsidRPr="002D28F0" w:rsidRDefault="006165EE" w:rsidP="006165EE">
      <w:pPr>
        <w:pStyle w:val="Cuerpo"/>
        <w:jc w:val="both"/>
        <w:rPr>
          <w:rFonts w:eastAsia="Times New Roman" w:cs="Times New Roman"/>
          <w:lang w:val="es-EC"/>
        </w:rPr>
      </w:pPr>
    </w:p>
    <w:p w:rsidR="006165EE" w:rsidRDefault="006165EE" w:rsidP="006165EE">
      <w:pPr>
        <w:pStyle w:val="Cuerpo"/>
        <w:jc w:val="both"/>
        <w:rPr>
          <w:rFonts w:eastAsia="Times New Roman" w:cs="Times New Roman"/>
          <w:lang w:val="es-EC"/>
        </w:rPr>
      </w:pPr>
      <w:r w:rsidRPr="002D28F0">
        <w:rPr>
          <w:rFonts w:eastAsia="Times New Roman" w:cs="Times New Roman"/>
          <w:lang w:val="es-EC"/>
        </w:rPr>
        <w:t>Este porcentaje se aplicará al valor correspondiente al “resultado máximo” del parámetro; el valor resultante es la cifra monetaria que el parámetro “Características de Construcción” adicionará al cálculo total de la tarifa.</w:t>
      </w:r>
    </w:p>
    <w:p w:rsidR="006165EE" w:rsidRPr="002D28F0" w:rsidRDefault="006165EE" w:rsidP="006165EE">
      <w:pPr>
        <w:pStyle w:val="Cuerpo"/>
        <w:jc w:val="both"/>
        <w:rPr>
          <w:rFonts w:eastAsia="Times New Roman" w:cs="Times New Roman"/>
          <w:lang w:val="es-EC"/>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7.- Una vez obtenido el valor que generan cada uno de los parámetros, estos se sumarán al valor establecido con el “Costo Base” de cada mercado y se obtendrá el costo total anual de la tarifa.</w:t>
      </w:r>
    </w:p>
    <w:p w:rsidR="006165EE" w:rsidRPr="004F6AEA" w:rsidRDefault="006165EE" w:rsidP="006165EE">
      <w:pPr>
        <w:pStyle w:val="Cuerpo"/>
        <w:jc w:val="both"/>
        <w:rPr>
          <w:rFonts w:eastAsia="Times New Roman" w:cs="Times New Roman"/>
          <w:lang w:val="es-EC"/>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FORMULA:</w:t>
      </w:r>
      <w:r>
        <w:rPr>
          <w:rFonts w:eastAsia="Times New Roman" w:cs="Times New Roman"/>
          <w:lang w:val="es-EC"/>
        </w:rPr>
        <w:t xml:space="preserve"> </w:t>
      </w:r>
      <w:r w:rsidRPr="004F6AEA">
        <w:rPr>
          <w:rFonts w:eastAsia="Times New Roman" w:cs="Times New Roman"/>
          <w:lang w:val="es-EC"/>
        </w:rPr>
        <w:t>C.B.+ PARÁMETRO 1 + PARÁMETRO 2 + PARÁMETRO 4 + PARÁMETRO 5 = COSTO ANUAL DE LA TARIFA</w:t>
      </w:r>
    </w:p>
    <w:p w:rsidR="006165EE" w:rsidRPr="004F6AEA" w:rsidRDefault="006165EE" w:rsidP="006165EE">
      <w:pPr>
        <w:pStyle w:val="Cuerpo"/>
        <w:jc w:val="both"/>
        <w:rPr>
          <w:rFonts w:eastAsia="Times New Roman" w:cs="Times New Roman"/>
          <w:lang w:val="es-EC"/>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8.- Para determinar el costo mensual a ser cancelado por los diferentes comerciantes, se deberá dividir al “costo anual de la tarifa” para doce (12) meses.</w:t>
      </w:r>
    </w:p>
    <w:p w:rsidR="006165EE" w:rsidRPr="004F6AEA" w:rsidRDefault="006165EE" w:rsidP="006165EE">
      <w:pPr>
        <w:pStyle w:val="Cuerpo"/>
        <w:jc w:val="both"/>
        <w:rPr>
          <w:rFonts w:eastAsia="Times New Roman" w:cs="Times New Roman"/>
          <w:lang w:val="es-EC"/>
        </w:rPr>
      </w:pPr>
    </w:p>
    <w:p w:rsidR="006165EE" w:rsidRPr="004F6AEA" w:rsidRDefault="006165EE" w:rsidP="006165EE">
      <w:pPr>
        <w:pStyle w:val="Cuerpo"/>
        <w:jc w:val="both"/>
        <w:rPr>
          <w:rFonts w:eastAsia="Times New Roman" w:cs="Times New Roman"/>
          <w:lang w:val="es-EC"/>
        </w:rPr>
      </w:pPr>
      <w:r w:rsidRPr="004F6AEA">
        <w:rPr>
          <w:rFonts w:eastAsia="Times New Roman" w:cs="Times New Roman"/>
          <w:lang w:val="es-EC"/>
        </w:rPr>
        <w:t>9.- En caso de que el comerciante sea nuevo en el Mercado, Ferias o Plataforma y no haya ingresado al puesto a principios del año, únicamente deberá pagar el valor proporcional al tiempo ocupado.</w:t>
      </w:r>
    </w:p>
    <w:p w:rsidR="006165EE" w:rsidRPr="001350E3" w:rsidRDefault="006165EE" w:rsidP="006165EE">
      <w:pPr>
        <w:pStyle w:val="Cuerpo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tLeast"/>
        <w:jc w:val="both"/>
        <w:rPr>
          <w:rFonts w:ascii="Times New Roman" w:eastAsia="Times New Roman" w:hAnsi="Times New Roman" w:cs="Times New Roman"/>
          <w:sz w:val="24"/>
          <w:szCs w:val="24"/>
          <w:lang w:val="es-EC"/>
        </w:rPr>
      </w:pPr>
    </w:p>
    <w:p w:rsidR="006165EE"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b/>
          <w:lang w:val="es-EC"/>
        </w:rPr>
        <w:t>Art.</w:t>
      </w:r>
      <w:r>
        <w:rPr>
          <w:rFonts w:eastAsia="Times New Roman" w:cs="Times New Roman"/>
          <w:b/>
          <w:lang w:val="es-EC"/>
        </w:rPr>
        <w:t xml:space="preserve"> 7</w:t>
      </w:r>
      <w:r w:rsidRPr="001350E3">
        <w:rPr>
          <w:rFonts w:eastAsia="Times New Roman" w:cs="Times New Roman"/>
          <w:b/>
          <w:lang w:val="es-EC"/>
        </w:rPr>
        <w:t>.- FORMA DE PAGO DE TARIFAS.-</w:t>
      </w:r>
      <w:r w:rsidRPr="001350E3">
        <w:rPr>
          <w:rFonts w:eastAsia="Times New Roman" w:cs="Times New Roman"/>
          <w:lang w:val="es-EC"/>
        </w:rPr>
        <w:t xml:space="preserve"> Los comerciantes que ocupen un puesto de venta, espacios o locales, en los mercados, ferias o plataformas municipales deberán pagar la </w:t>
      </w:r>
      <w:r>
        <w:rPr>
          <w:rFonts w:eastAsia="Times New Roman" w:cs="Times New Roman"/>
          <w:lang w:val="es-EC"/>
        </w:rPr>
        <w:t>tarifa</w:t>
      </w:r>
      <w:r w:rsidRPr="001350E3">
        <w:rPr>
          <w:rFonts w:eastAsia="Times New Roman" w:cs="Times New Roman"/>
          <w:lang w:val="es-EC"/>
        </w:rPr>
        <w:t xml:space="preserve"> correspondiente, según el caso, en las instituciones financieras autorizadas por el Municipio, por medio de una especie emitida por la Dirección Metropolitana Financiera.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Una copia del comprobante de pago deberá ser entregada por el comerciante al Administrador del Mercado </w:t>
      </w:r>
      <w:r>
        <w:rPr>
          <w:rFonts w:eastAsia="Times New Roman" w:cs="Times New Roman"/>
          <w:lang w:val="es-EC"/>
        </w:rPr>
        <w:t xml:space="preserve">mensualmente </w:t>
      </w:r>
      <w:r w:rsidRPr="001350E3">
        <w:rPr>
          <w:rFonts w:eastAsia="Times New Roman" w:cs="Times New Roman"/>
          <w:lang w:val="es-EC"/>
        </w:rPr>
        <w:t xml:space="preserve">para su registro. </w:t>
      </w:r>
    </w:p>
    <w:p w:rsidR="006165EE" w:rsidRDefault="006165EE" w:rsidP="006165EE">
      <w:pPr>
        <w:pStyle w:val="Cuerpo"/>
        <w:widowControl w:val="0"/>
        <w:spacing w:before="89" w:line="249" w:lineRule="auto"/>
        <w:jc w:val="both"/>
        <w:rPr>
          <w:rFonts w:eastAsia="Times New Roman" w:cs="Times New Roman"/>
          <w:lang w:val="es-EC"/>
        </w:rPr>
      </w:pPr>
      <w:r w:rsidRPr="005F6B7E">
        <w:rPr>
          <w:rFonts w:eastAsia="Times New Roman" w:cs="Times New Roman"/>
          <w:b/>
          <w:lang w:val="es-EC"/>
        </w:rPr>
        <w:t xml:space="preserve">Art. </w:t>
      </w:r>
      <w:r>
        <w:rPr>
          <w:rFonts w:eastAsia="Times New Roman" w:cs="Times New Roman"/>
          <w:b/>
          <w:lang w:val="es-EC"/>
        </w:rPr>
        <w:t>8</w:t>
      </w:r>
      <w:r w:rsidRPr="005F6B7E">
        <w:rPr>
          <w:rFonts w:eastAsia="Times New Roman" w:cs="Times New Roman"/>
          <w:b/>
          <w:lang w:val="es-EC"/>
        </w:rPr>
        <w:t xml:space="preserve">.- ORDEN DE PAGO.- </w:t>
      </w:r>
      <w:r w:rsidRPr="005F6B7E">
        <w:rPr>
          <w:rFonts w:eastAsia="Times New Roman" w:cs="Times New Roman"/>
          <w:lang w:val="es-EC"/>
        </w:rPr>
        <w:t>Para la generación de la orden de pago que será emitida al comerciante por concepto de ocupación del puesto o local en los diferentes mercados, ferias o plataformas, la Agencia de Coordinación Distrital del Comercio, ACDC, generará la base de datos que contendrá la siguiente información:</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1.- Nombre completo; </w:t>
      </w:r>
      <w:r>
        <w:rPr>
          <w:rFonts w:eastAsia="Times New Roman" w:cs="Times New Roman"/>
          <w:lang w:val="es-EC"/>
        </w:rPr>
        <w:t xml:space="preserve">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2.- Número de cédula de ciudadanía;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3.- Dirección domiciliaria;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4.- Número de teléfono convencional o celular;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5.- Número de predio del mercado;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6.- Número del local;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7.- Calidad de asignado o autorizado; </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8.- Dirección de correo electrónico;</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9.- Giro;</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10.- Asociación de ser el caso;</w:t>
      </w: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lastRenderedPageBreak/>
        <w:t xml:space="preserve">11.- Fecha de exigibilidad; y, </w:t>
      </w:r>
    </w:p>
    <w:p w:rsidR="006165EE"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 xml:space="preserve">12.- Los valores a ser cobrados. </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La ACDC deberá subir la información antes descrita al Sistema de Administración de Obligaciones, SAO, de manera masiva, en coordinación con la Dirección Metropolitana de Informática, para que se generen las respectivas órdenes de pago de manera anual.</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En caso de ser necesario incorporar nueva información en el sistema, para la emisión de las respectivas órdenes de pago, el proceso lo realizará la ACDC de manera individual.</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La Agencia de Coordinación Distrital del Comercio, hasta el 31 de diciembre de cada año, deberá generar la base de datos que servirá para realizar la emisión de las órdenes de pago de manera masiva.</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Una vez generada la orden de pago a los comerciantes de los diferentes mercados, ferias y plataformas la DMFP, a través de sus administradores, comunicará a los comerciantes que su orden de pago ha sido emitida e instruirá a los mismos sobre los plazos que deben ser cumplidos.</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Default="006165EE" w:rsidP="006165EE">
      <w:pPr>
        <w:pStyle w:val="Cuerpo"/>
        <w:widowControl w:val="0"/>
        <w:spacing w:before="89" w:line="249" w:lineRule="auto"/>
        <w:jc w:val="both"/>
        <w:rPr>
          <w:rFonts w:eastAsia="Times New Roman" w:cs="Times New Roman"/>
          <w:lang w:val="es-EC"/>
        </w:rPr>
      </w:pPr>
      <w:r w:rsidRPr="004A3E61">
        <w:rPr>
          <w:rFonts w:eastAsia="Times New Roman" w:cs="Times New Roman"/>
          <w:b/>
          <w:lang w:val="es-EC"/>
        </w:rPr>
        <w:t xml:space="preserve">Art. </w:t>
      </w:r>
      <w:r>
        <w:rPr>
          <w:rFonts w:eastAsia="Times New Roman" w:cs="Times New Roman"/>
          <w:b/>
          <w:lang w:val="es-EC"/>
        </w:rPr>
        <w:t>9</w:t>
      </w:r>
      <w:r w:rsidRPr="004A3E61">
        <w:rPr>
          <w:rFonts w:eastAsia="Times New Roman" w:cs="Times New Roman"/>
          <w:b/>
          <w:lang w:val="es-EC"/>
        </w:rPr>
        <w:t xml:space="preserve">.- EXENCIÓN.- </w:t>
      </w:r>
      <w:r w:rsidRPr="001350E3">
        <w:rPr>
          <w:rFonts w:eastAsia="Times New Roman" w:cs="Times New Roman"/>
          <w:lang w:val="es-EC"/>
        </w:rPr>
        <w:t>Los comerciantes concesionados o autorizados por la Agencia de Coordinación Distrital del Comercio, que sean personas con discapacidad y adultos mayores estarán exonerados del 50% en el pago de la regalía al que se refiere en el Art. 25 de la presente ordenanza, de acuerdo con lo establecido en la Ley.</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Pr="001350E3" w:rsidRDefault="006165EE" w:rsidP="006165EE">
      <w:pPr>
        <w:pStyle w:val="Cuerpo"/>
        <w:widowControl w:val="0"/>
        <w:spacing w:before="89" w:line="249" w:lineRule="auto"/>
        <w:jc w:val="both"/>
        <w:rPr>
          <w:rFonts w:eastAsia="Times New Roman" w:cs="Times New Roman"/>
          <w:lang w:val="es-EC"/>
        </w:rPr>
      </w:pPr>
      <w:r w:rsidRPr="001350E3">
        <w:rPr>
          <w:rFonts w:eastAsia="Times New Roman" w:cs="Times New Roman"/>
          <w:lang w:val="es-EC"/>
        </w:rPr>
        <w:t>Para las personas con discapacidad, dicha exoneración se hará efectiva con la presentación de la credencial respectiva emitida por la entidad competente en la materia.</w:t>
      </w:r>
    </w:p>
    <w:p w:rsidR="006165EE" w:rsidRPr="001350E3" w:rsidRDefault="006165EE" w:rsidP="006165EE">
      <w:pPr>
        <w:pStyle w:val="Cuerpo"/>
        <w:widowControl w:val="0"/>
        <w:spacing w:before="89" w:line="249" w:lineRule="auto"/>
        <w:jc w:val="both"/>
        <w:rPr>
          <w:rFonts w:eastAsia="Times New Roman" w:cs="Times New Roman"/>
          <w:lang w:val="es-EC"/>
        </w:rPr>
      </w:pPr>
    </w:p>
    <w:p w:rsidR="006165EE" w:rsidRDefault="006165EE" w:rsidP="006165EE">
      <w:pPr>
        <w:pStyle w:val="Cuerpo"/>
        <w:widowControl w:val="0"/>
        <w:spacing w:before="89" w:line="249" w:lineRule="auto"/>
        <w:jc w:val="both"/>
        <w:rPr>
          <w:rStyle w:val="Ninguno"/>
          <w:u w:color="FF0000"/>
        </w:rPr>
      </w:pPr>
      <w:r>
        <w:rPr>
          <w:rStyle w:val="Ninguno"/>
          <w:b/>
          <w:u w:color="FF0000"/>
        </w:rPr>
        <w:t>Art. 10.-</w:t>
      </w:r>
      <w:r w:rsidRPr="006F55B0">
        <w:rPr>
          <w:rStyle w:val="Ninguno"/>
          <w:u w:color="FF0000"/>
        </w:rPr>
        <w:t xml:space="preserve"> </w:t>
      </w:r>
      <w:r w:rsidRPr="006F55B0">
        <w:rPr>
          <w:rStyle w:val="Ninguno"/>
          <w:b/>
          <w:u w:color="FF0000"/>
        </w:rPr>
        <w:t>CANON DE ARRENDAMIENTO</w:t>
      </w:r>
      <w:r w:rsidRPr="006F55B0">
        <w:rPr>
          <w:rStyle w:val="Ninguno"/>
          <w:u w:color="FF0000"/>
        </w:rPr>
        <w:t>.- En el caso de que el Comité de Asignación de Puestos se le asigné un puesto bajo la figura de contrato de arrendamiento se pagará el canon fijado por la Dirección Metropolitana de Gestión de Bienes Inmuebles, el mismo que constará en el contrato de arrendamiento suscrito por las partes.</w:t>
      </w:r>
    </w:p>
    <w:p w:rsidR="006165EE" w:rsidRDefault="006165EE" w:rsidP="006165EE">
      <w:pPr>
        <w:pStyle w:val="Cuerpo"/>
        <w:widowControl w:val="0"/>
        <w:spacing w:before="89" w:line="249" w:lineRule="auto"/>
        <w:jc w:val="both"/>
        <w:rPr>
          <w:rStyle w:val="Ninguno"/>
          <w:u w:color="FF0000"/>
        </w:rPr>
      </w:pPr>
    </w:p>
    <w:p w:rsidR="006165EE" w:rsidRPr="005D3EFA" w:rsidRDefault="006165EE" w:rsidP="006165EE">
      <w:pPr>
        <w:pStyle w:val="CuerpoA"/>
        <w:jc w:val="center"/>
        <w:rPr>
          <w:rStyle w:val="Ninguno"/>
          <w:rFonts w:ascii="Times New Roman" w:hAnsi="Times New Roman"/>
          <w:b/>
          <w:bCs/>
          <w:sz w:val="24"/>
          <w:szCs w:val="24"/>
        </w:rPr>
      </w:pPr>
      <w:r>
        <w:rPr>
          <w:rStyle w:val="Ninguno"/>
          <w:rFonts w:ascii="Times New Roman" w:hAnsi="Times New Roman"/>
          <w:b/>
          <w:bCs/>
          <w:sz w:val="24"/>
          <w:szCs w:val="24"/>
        </w:rPr>
        <w:t>CAPITULO III</w:t>
      </w:r>
    </w:p>
    <w:p w:rsidR="006165EE" w:rsidRDefault="006165EE" w:rsidP="006165EE">
      <w:pPr>
        <w:pStyle w:val="CuerpoA"/>
        <w:jc w:val="center"/>
        <w:rPr>
          <w:rStyle w:val="Ninguno"/>
          <w:rFonts w:ascii="Times New Roman" w:hAnsi="Times New Roman"/>
          <w:b/>
          <w:bCs/>
          <w:sz w:val="24"/>
          <w:szCs w:val="24"/>
        </w:rPr>
      </w:pPr>
      <w:r w:rsidRPr="005D3EFA">
        <w:rPr>
          <w:rStyle w:val="Ninguno"/>
          <w:rFonts w:ascii="Times New Roman" w:hAnsi="Times New Roman"/>
          <w:b/>
          <w:bCs/>
          <w:sz w:val="24"/>
          <w:szCs w:val="24"/>
        </w:rPr>
        <w:t>SISTEMA DE PARQUEADEROS EN LOS MERCADOS</w:t>
      </w:r>
    </w:p>
    <w:p w:rsidR="006165EE" w:rsidRDefault="006165EE" w:rsidP="006165EE">
      <w:pPr>
        <w:pStyle w:val="CuerpoA"/>
        <w:jc w:val="center"/>
        <w:rPr>
          <w:rStyle w:val="Ninguno"/>
          <w:rFonts w:ascii="Times New Roman" w:hAnsi="Times New Roman"/>
          <w:b/>
          <w:bCs/>
          <w:sz w:val="24"/>
          <w:szCs w:val="24"/>
        </w:rPr>
      </w:pPr>
    </w:p>
    <w:p w:rsidR="006165EE" w:rsidRDefault="006165EE" w:rsidP="006165EE">
      <w:pPr>
        <w:pStyle w:val="CuerpoA"/>
        <w:jc w:val="both"/>
        <w:rPr>
          <w:rStyle w:val="Ninguno"/>
          <w:rFonts w:ascii="Times New Roman" w:hAnsi="Times New Roman"/>
          <w:bCs/>
          <w:sz w:val="24"/>
          <w:szCs w:val="24"/>
        </w:rPr>
      </w:pPr>
      <w:r>
        <w:rPr>
          <w:rStyle w:val="Ninguno"/>
          <w:rFonts w:ascii="Times New Roman" w:hAnsi="Times New Roman"/>
          <w:b/>
          <w:bCs/>
          <w:sz w:val="24"/>
          <w:szCs w:val="24"/>
        </w:rPr>
        <w:t xml:space="preserve">Art. 32.- PARQUEADEROS.- </w:t>
      </w:r>
      <w:r>
        <w:rPr>
          <w:rStyle w:val="Ninguno"/>
          <w:rFonts w:ascii="Times New Roman" w:hAnsi="Times New Roman"/>
          <w:bCs/>
          <w:sz w:val="24"/>
          <w:szCs w:val="24"/>
        </w:rPr>
        <w:t>Son los espacios de estacionamientos que forman parte del Mercado de propiedad Municipal, en los cuales se aplicará las regulaciones del uso del suelo comercial y de servicios del Distrito Metropolitano de Quito.</w:t>
      </w:r>
    </w:p>
    <w:p w:rsidR="006165EE" w:rsidRDefault="006165EE" w:rsidP="006165EE">
      <w:pPr>
        <w:pStyle w:val="CuerpoA"/>
        <w:jc w:val="both"/>
        <w:rPr>
          <w:rStyle w:val="Ninguno"/>
          <w:rFonts w:ascii="Times New Roman" w:hAnsi="Times New Roman"/>
          <w:bCs/>
          <w:sz w:val="24"/>
          <w:szCs w:val="24"/>
        </w:rPr>
      </w:pPr>
    </w:p>
    <w:p w:rsidR="006165EE" w:rsidRPr="0097411C" w:rsidRDefault="006165EE" w:rsidP="006165EE">
      <w:pPr>
        <w:pStyle w:val="CuerpoA"/>
        <w:jc w:val="both"/>
        <w:rPr>
          <w:rStyle w:val="Ninguno"/>
          <w:rFonts w:ascii="Times New Roman" w:hAnsi="Times New Roman"/>
          <w:bCs/>
          <w:sz w:val="24"/>
          <w:szCs w:val="24"/>
        </w:rPr>
      </w:pPr>
      <w:r>
        <w:rPr>
          <w:rStyle w:val="Ninguno"/>
          <w:rFonts w:ascii="Times New Roman" w:hAnsi="Times New Roman"/>
          <w:b/>
          <w:bCs/>
          <w:sz w:val="24"/>
          <w:szCs w:val="24"/>
        </w:rPr>
        <w:t xml:space="preserve">Art. 33.- ADMINISTRACIÓN.- </w:t>
      </w:r>
      <w:r w:rsidRPr="0097411C">
        <w:rPr>
          <w:rStyle w:val="Ninguno"/>
          <w:rFonts w:ascii="Times New Roman" w:hAnsi="Times New Roman"/>
          <w:bCs/>
          <w:sz w:val="24"/>
          <w:szCs w:val="24"/>
        </w:rPr>
        <w:t xml:space="preserve">Los Estacionamientos de uso público que </w:t>
      </w:r>
      <w:r>
        <w:rPr>
          <w:rStyle w:val="Ninguno"/>
          <w:rFonts w:ascii="Times New Roman" w:hAnsi="Times New Roman"/>
          <w:bCs/>
          <w:sz w:val="24"/>
          <w:szCs w:val="24"/>
        </w:rPr>
        <w:t>forman parte de los diferentes Mercados del Distrito Metropolitano de Quito en</w:t>
      </w:r>
      <w:r w:rsidRPr="0097411C">
        <w:rPr>
          <w:rStyle w:val="Ninguno"/>
          <w:rFonts w:ascii="Times New Roman" w:hAnsi="Times New Roman"/>
          <w:bCs/>
          <w:sz w:val="24"/>
          <w:szCs w:val="24"/>
        </w:rPr>
        <w:t xml:space="preserve"> los cuales tiene dominio la</w:t>
      </w:r>
      <w:r>
        <w:rPr>
          <w:rStyle w:val="Ninguno"/>
          <w:rFonts w:ascii="Times New Roman" w:hAnsi="Times New Roman"/>
          <w:bCs/>
          <w:sz w:val="24"/>
          <w:szCs w:val="24"/>
        </w:rPr>
        <w:t xml:space="preserve"> </w:t>
      </w:r>
      <w:r w:rsidRPr="0097411C">
        <w:rPr>
          <w:rStyle w:val="Ninguno"/>
          <w:rFonts w:ascii="Times New Roman" w:hAnsi="Times New Roman"/>
          <w:bCs/>
          <w:sz w:val="24"/>
          <w:szCs w:val="24"/>
        </w:rPr>
        <w:t xml:space="preserve">Municipalidad del Distrito Metropolitano de Quito, serán administrados y operados por </w:t>
      </w:r>
      <w:r>
        <w:rPr>
          <w:rStyle w:val="Ninguno"/>
          <w:rFonts w:ascii="Times New Roman" w:hAnsi="Times New Roman"/>
          <w:bCs/>
          <w:sz w:val="24"/>
          <w:szCs w:val="24"/>
        </w:rPr>
        <w:t>la Agencia de Coordinación Distrital del Comercio</w:t>
      </w:r>
      <w:r w:rsidRPr="0097411C">
        <w:rPr>
          <w:rStyle w:val="Ninguno"/>
          <w:rFonts w:ascii="Times New Roman" w:hAnsi="Times New Roman"/>
          <w:bCs/>
          <w:sz w:val="24"/>
          <w:szCs w:val="24"/>
        </w:rPr>
        <w:t>, bajo el</w:t>
      </w:r>
      <w:r>
        <w:rPr>
          <w:rStyle w:val="Ninguno"/>
          <w:rFonts w:ascii="Times New Roman" w:hAnsi="Times New Roman"/>
          <w:bCs/>
          <w:sz w:val="24"/>
          <w:szCs w:val="24"/>
        </w:rPr>
        <w:t xml:space="preserve"> régimen </w:t>
      </w:r>
      <w:r w:rsidRPr="0097411C">
        <w:rPr>
          <w:rStyle w:val="Ninguno"/>
          <w:rFonts w:ascii="Times New Roman" w:hAnsi="Times New Roman"/>
          <w:bCs/>
          <w:sz w:val="24"/>
          <w:szCs w:val="24"/>
        </w:rPr>
        <w:t xml:space="preserve">de </w:t>
      </w:r>
      <w:r>
        <w:rPr>
          <w:rStyle w:val="Ninguno"/>
          <w:rFonts w:ascii="Times New Roman" w:hAnsi="Times New Roman"/>
          <w:bCs/>
          <w:sz w:val="24"/>
          <w:szCs w:val="24"/>
        </w:rPr>
        <w:t>delegación a la Entidad Pública o arrendamiento a la entidad privada, con el fin de</w:t>
      </w:r>
      <w:r w:rsidRPr="0097411C">
        <w:rPr>
          <w:rStyle w:val="Ninguno"/>
          <w:rFonts w:ascii="Times New Roman" w:hAnsi="Times New Roman"/>
          <w:bCs/>
          <w:sz w:val="24"/>
          <w:szCs w:val="24"/>
        </w:rPr>
        <w:t xml:space="preserve"> organizar,</w:t>
      </w:r>
      <w:r>
        <w:rPr>
          <w:rStyle w:val="Ninguno"/>
          <w:rFonts w:ascii="Times New Roman" w:hAnsi="Times New Roman"/>
          <w:bCs/>
          <w:sz w:val="24"/>
          <w:szCs w:val="24"/>
        </w:rPr>
        <w:t xml:space="preserve"> </w:t>
      </w:r>
      <w:r w:rsidRPr="0097411C">
        <w:rPr>
          <w:rStyle w:val="Ninguno"/>
          <w:rFonts w:ascii="Times New Roman" w:hAnsi="Times New Roman"/>
          <w:bCs/>
          <w:sz w:val="24"/>
          <w:szCs w:val="24"/>
        </w:rPr>
        <w:t>promover, contratar y operar el Sistema</w:t>
      </w:r>
      <w:r>
        <w:rPr>
          <w:rStyle w:val="Ninguno"/>
          <w:rFonts w:ascii="Times New Roman" w:hAnsi="Times New Roman"/>
          <w:bCs/>
          <w:sz w:val="24"/>
          <w:szCs w:val="24"/>
        </w:rPr>
        <w:t xml:space="preserve"> de Parqueaderos de los Mercados</w:t>
      </w:r>
      <w:r w:rsidRPr="0097411C">
        <w:rPr>
          <w:rStyle w:val="Ninguno"/>
          <w:rFonts w:ascii="Times New Roman" w:hAnsi="Times New Roman"/>
          <w:bCs/>
          <w:sz w:val="24"/>
          <w:szCs w:val="24"/>
        </w:rPr>
        <w:t>.</w:t>
      </w:r>
    </w:p>
    <w:p w:rsidR="006165EE" w:rsidRDefault="006165EE" w:rsidP="006165EE">
      <w:pPr>
        <w:pStyle w:val="CuerpoA"/>
        <w:jc w:val="both"/>
        <w:rPr>
          <w:rStyle w:val="Ninguno"/>
          <w:rFonts w:ascii="Times New Roman" w:hAnsi="Times New Roman"/>
          <w:bCs/>
          <w:sz w:val="24"/>
          <w:szCs w:val="24"/>
        </w:rPr>
      </w:pPr>
    </w:p>
    <w:p w:rsidR="006165EE" w:rsidRDefault="006165EE" w:rsidP="006165EE">
      <w:pPr>
        <w:pStyle w:val="CuerpoA"/>
        <w:jc w:val="both"/>
        <w:rPr>
          <w:rStyle w:val="Ninguno"/>
          <w:rFonts w:ascii="Times New Roman" w:hAnsi="Times New Roman"/>
          <w:bCs/>
          <w:sz w:val="24"/>
          <w:szCs w:val="24"/>
        </w:rPr>
      </w:pPr>
    </w:p>
    <w:p w:rsidR="006165EE" w:rsidRPr="0097411C" w:rsidRDefault="006165EE" w:rsidP="006165EE">
      <w:pPr>
        <w:pStyle w:val="CuerpoA"/>
        <w:jc w:val="both"/>
        <w:rPr>
          <w:rStyle w:val="Ninguno"/>
          <w:rFonts w:ascii="Times New Roman" w:hAnsi="Times New Roman"/>
          <w:bCs/>
          <w:sz w:val="24"/>
          <w:szCs w:val="24"/>
        </w:rPr>
      </w:pPr>
    </w:p>
    <w:p w:rsidR="006165EE" w:rsidRDefault="006165EE" w:rsidP="006165EE">
      <w:pPr>
        <w:pStyle w:val="CuerpoA"/>
        <w:jc w:val="both"/>
        <w:rPr>
          <w:rStyle w:val="Ninguno"/>
          <w:rFonts w:ascii="Times New Roman" w:hAnsi="Times New Roman"/>
          <w:bCs/>
          <w:sz w:val="24"/>
          <w:szCs w:val="24"/>
        </w:rPr>
      </w:pPr>
      <w:r>
        <w:rPr>
          <w:rStyle w:val="Ninguno"/>
          <w:rFonts w:ascii="Times New Roman" w:hAnsi="Times New Roman"/>
          <w:b/>
          <w:bCs/>
          <w:sz w:val="24"/>
          <w:szCs w:val="24"/>
        </w:rPr>
        <w:lastRenderedPageBreak/>
        <w:t xml:space="preserve">Art. 34.- </w:t>
      </w:r>
      <w:r w:rsidRPr="006359CA">
        <w:rPr>
          <w:rStyle w:val="Ninguno"/>
          <w:rFonts w:ascii="Times New Roman" w:hAnsi="Times New Roman"/>
          <w:b/>
          <w:bCs/>
          <w:sz w:val="24"/>
          <w:szCs w:val="24"/>
        </w:rPr>
        <w:t xml:space="preserve">RESPONSABILIDAD.- </w:t>
      </w:r>
      <w:r w:rsidRPr="006359CA">
        <w:rPr>
          <w:rStyle w:val="Ninguno"/>
          <w:rFonts w:ascii="Times New Roman" w:hAnsi="Times New Roman"/>
          <w:bCs/>
          <w:sz w:val="24"/>
          <w:szCs w:val="24"/>
        </w:rPr>
        <w:t>Ni la Municipalidad del Distrito Metropolitano de Quito,</w:t>
      </w:r>
      <w:r>
        <w:rPr>
          <w:rStyle w:val="Ninguno"/>
          <w:rFonts w:ascii="Times New Roman" w:hAnsi="Times New Roman"/>
          <w:bCs/>
          <w:sz w:val="24"/>
          <w:szCs w:val="24"/>
        </w:rPr>
        <w:t xml:space="preserve"> </w:t>
      </w:r>
      <w:r w:rsidRPr="006359CA">
        <w:rPr>
          <w:rStyle w:val="Ninguno"/>
          <w:rFonts w:ascii="Times New Roman" w:hAnsi="Times New Roman"/>
          <w:bCs/>
          <w:sz w:val="24"/>
          <w:szCs w:val="24"/>
        </w:rPr>
        <w:t xml:space="preserve">ni </w:t>
      </w:r>
      <w:r>
        <w:rPr>
          <w:rStyle w:val="Ninguno"/>
          <w:rFonts w:ascii="Times New Roman" w:hAnsi="Times New Roman"/>
          <w:bCs/>
          <w:sz w:val="24"/>
          <w:szCs w:val="24"/>
        </w:rPr>
        <w:t>la Agencia de Coordinación Distrital del Comercio</w:t>
      </w:r>
      <w:r w:rsidRPr="006359CA">
        <w:rPr>
          <w:rStyle w:val="Ninguno"/>
          <w:rFonts w:ascii="Times New Roman" w:hAnsi="Times New Roman"/>
          <w:bCs/>
          <w:sz w:val="24"/>
          <w:szCs w:val="24"/>
        </w:rPr>
        <w:t>,</w:t>
      </w:r>
      <w:r>
        <w:rPr>
          <w:rStyle w:val="Ninguno"/>
          <w:rFonts w:ascii="Times New Roman" w:hAnsi="Times New Roman"/>
          <w:bCs/>
          <w:sz w:val="24"/>
          <w:szCs w:val="24"/>
        </w:rPr>
        <w:t xml:space="preserve"> </w:t>
      </w:r>
      <w:r w:rsidRPr="006359CA">
        <w:rPr>
          <w:rStyle w:val="Ninguno"/>
          <w:rFonts w:ascii="Times New Roman" w:hAnsi="Times New Roman"/>
          <w:bCs/>
          <w:sz w:val="24"/>
          <w:szCs w:val="24"/>
        </w:rPr>
        <w:t>asumirán responsabilidad alguna por daños o pérdidas ocasionadas en los vehículos que</w:t>
      </w:r>
      <w:r>
        <w:rPr>
          <w:rStyle w:val="Ninguno"/>
          <w:rFonts w:ascii="Times New Roman" w:hAnsi="Times New Roman"/>
          <w:bCs/>
          <w:sz w:val="24"/>
          <w:szCs w:val="24"/>
        </w:rPr>
        <w:t xml:space="preserve"> </w:t>
      </w:r>
      <w:r w:rsidRPr="006359CA">
        <w:rPr>
          <w:rStyle w:val="Ninguno"/>
          <w:rFonts w:ascii="Times New Roman" w:hAnsi="Times New Roman"/>
          <w:bCs/>
          <w:sz w:val="24"/>
          <w:szCs w:val="24"/>
        </w:rPr>
        <w:t>permanezcan en los estacionamientos del Sistema.</w:t>
      </w:r>
      <w:r>
        <w:rPr>
          <w:rStyle w:val="Ninguno"/>
          <w:rFonts w:ascii="Times New Roman" w:hAnsi="Times New Roman"/>
          <w:bCs/>
          <w:sz w:val="24"/>
          <w:szCs w:val="24"/>
        </w:rPr>
        <w:t xml:space="preserve"> </w:t>
      </w:r>
    </w:p>
    <w:p w:rsidR="006165EE" w:rsidRDefault="006165EE" w:rsidP="006165EE">
      <w:pPr>
        <w:pStyle w:val="CuerpoA"/>
        <w:jc w:val="both"/>
        <w:rPr>
          <w:rStyle w:val="Ninguno"/>
          <w:rFonts w:ascii="Times New Roman" w:hAnsi="Times New Roman"/>
          <w:bCs/>
          <w:sz w:val="24"/>
          <w:szCs w:val="24"/>
        </w:rPr>
      </w:pPr>
    </w:p>
    <w:p w:rsidR="006165EE" w:rsidRDefault="006165EE" w:rsidP="006165EE">
      <w:pPr>
        <w:pStyle w:val="CuerpoA"/>
        <w:jc w:val="both"/>
        <w:rPr>
          <w:rStyle w:val="Ninguno"/>
          <w:rFonts w:ascii="Times New Roman" w:hAnsi="Times New Roman"/>
          <w:bCs/>
          <w:sz w:val="24"/>
          <w:szCs w:val="24"/>
        </w:rPr>
      </w:pPr>
      <w:r>
        <w:rPr>
          <w:rStyle w:val="Ninguno"/>
          <w:rFonts w:ascii="Times New Roman" w:hAnsi="Times New Roman"/>
          <w:b/>
          <w:bCs/>
          <w:sz w:val="24"/>
          <w:szCs w:val="24"/>
        </w:rPr>
        <w:t xml:space="preserve">Art. 35.- </w:t>
      </w:r>
      <w:r w:rsidRPr="006359CA">
        <w:rPr>
          <w:rStyle w:val="Ninguno"/>
          <w:rFonts w:ascii="Times New Roman" w:hAnsi="Times New Roman"/>
          <w:b/>
          <w:bCs/>
          <w:sz w:val="24"/>
          <w:szCs w:val="24"/>
        </w:rPr>
        <w:t xml:space="preserve">RECAUDACIÓN.- </w:t>
      </w:r>
      <w:r w:rsidRPr="006359CA">
        <w:rPr>
          <w:rStyle w:val="Ninguno"/>
          <w:rFonts w:ascii="Times New Roman" w:hAnsi="Times New Roman"/>
          <w:bCs/>
          <w:sz w:val="24"/>
          <w:szCs w:val="24"/>
        </w:rPr>
        <w:t>El total de lo recaudado por concepto de</w:t>
      </w:r>
      <w:r>
        <w:rPr>
          <w:rStyle w:val="Ninguno"/>
          <w:rFonts w:ascii="Times New Roman" w:hAnsi="Times New Roman"/>
          <w:bCs/>
          <w:sz w:val="24"/>
          <w:szCs w:val="24"/>
        </w:rPr>
        <w:t xml:space="preserve"> canon de arrendamiento </w:t>
      </w:r>
      <w:r w:rsidRPr="006359CA">
        <w:rPr>
          <w:rStyle w:val="Ninguno"/>
          <w:rFonts w:ascii="Times New Roman" w:hAnsi="Times New Roman"/>
          <w:bCs/>
          <w:sz w:val="24"/>
          <w:szCs w:val="24"/>
        </w:rPr>
        <w:t xml:space="preserve">por uso del Sistema de </w:t>
      </w:r>
      <w:r>
        <w:rPr>
          <w:rStyle w:val="Ninguno"/>
          <w:rFonts w:ascii="Times New Roman" w:hAnsi="Times New Roman"/>
          <w:bCs/>
          <w:sz w:val="24"/>
          <w:szCs w:val="24"/>
        </w:rPr>
        <w:t>Parqueaderos de los Mercados</w:t>
      </w:r>
      <w:r w:rsidRPr="006359CA">
        <w:rPr>
          <w:rStyle w:val="Ninguno"/>
          <w:rFonts w:ascii="Times New Roman" w:hAnsi="Times New Roman"/>
          <w:bCs/>
          <w:sz w:val="24"/>
          <w:szCs w:val="24"/>
        </w:rPr>
        <w:t xml:space="preserve">, </w:t>
      </w:r>
      <w:r>
        <w:rPr>
          <w:rStyle w:val="Ninguno"/>
          <w:rFonts w:ascii="Times New Roman" w:hAnsi="Times New Roman"/>
          <w:bCs/>
          <w:sz w:val="24"/>
          <w:szCs w:val="24"/>
        </w:rPr>
        <w:t>valores que serán depositados en la cuenta del Municipio del Distrito Metropolitano de Quito</w:t>
      </w:r>
      <w:r w:rsidRPr="006359CA">
        <w:rPr>
          <w:rStyle w:val="Ninguno"/>
          <w:rFonts w:ascii="Times New Roman" w:hAnsi="Times New Roman"/>
          <w:bCs/>
          <w:sz w:val="24"/>
          <w:szCs w:val="24"/>
        </w:rPr>
        <w:t>.</w:t>
      </w:r>
    </w:p>
    <w:p w:rsidR="006165EE" w:rsidRDefault="006165EE" w:rsidP="006165EE">
      <w:pPr>
        <w:pStyle w:val="CuerpoA"/>
        <w:jc w:val="both"/>
        <w:rPr>
          <w:rStyle w:val="Ninguno"/>
          <w:rFonts w:ascii="Times New Roman" w:hAnsi="Times New Roman"/>
          <w:bCs/>
          <w:sz w:val="24"/>
          <w:szCs w:val="24"/>
        </w:rPr>
      </w:pPr>
    </w:p>
    <w:p w:rsidR="006165EE" w:rsidRPr="006359CA" w:rsidRDefault="006165EE" w:rsidP="006165EE">
      <w:pPr>
        <w:pStyle w:val="CuerpoA"/>
        <w:jc w:val="both"/>
        <w:rPr>
          <w:rStyle w:val="Ninguno"/>
          <w:rFonts w:ascii="Times New Roman" w:hAnsi="Times New Roman"/>
          <w:bCs/>
          <w:sz w:val="24"/>
          <w:szCs w:val="24"/>
        </w:rPr>
      </w:pPr>
      <w:r>
        <w:rPr>
          <w:rStyle w:val="Ninguno"/>
          <w:rFonts w:ascii="Times New Roman" w:hAnsi="Times New Roman"/>
          <w:b/>
          <w:bCs/>
          <w:sz w:val="24"/>
          <w:szCs w:val="24"/>
        </w:rPr>
        <w:t xml:space="preserve">Art. 36.- ASIGNACIÓN DE LOS PARQUEADEROS.- </w:t>
      </w:r>
      <w:r>
        <w:rPr>
          <w:rStyle w:val="Ninguno"/>
          <w:rFonts w:ascii="Times New Roman" w:hAnsi="Times New Roman"/>
          <w:bCs/>
          <w:sz w:val="24"/>
          <w:szCs w:val="24"/>
        </w:rPr>
        <w:t xml:space="preserve">La Adjudicación de los Parqueaderos será facultad del Comité de Asignaciones de Puestos y Parqueaderos de los Mercados del DMQ, bajo la figura de canon de arrendamiento. </w:t>
      </w:r>
    </w:p>
    <w:p w:rsidR="006165EE" w:rsidRDefault="006165EE" w:rsidP="006165EE">
      <w:pPr>
        <w:pStyle w:val="CuerpoA"/>
        <w:jc w:val="center"/>
        <w:rPr>
          <w:rStyle w:val="Ninguno"/>
          <w:rFonts w:ascii="Times New Roman" w:eastAsia="Times New Roman" w:hAnsi="Times New Roman" w:cs="Times New Roman"/>
          <w:b/>
          <w:bCs/>
          <w:sz w:val="24"/>
          <w:szCs w:val="24"/>
        </w:rPr>
      </w:pPr>
    </w:p>
    <w:p w:rsidR="006165EE" w:rsidRDefault="006165EE" w:rsidP="006165EE">
      <w:pPr>
        <w:pStyle w:val="Cuerpo"/>
        <w:spacing w:after="200" w:line="276" w:lineRule="auto"/>
        <w:jc w:val="both"/>
        <w:rPr>
          <w:rStyle w:val="Ninguno"/>
        </w:rPr>
      </w:pPr>
      <w:r>
        <w:rPr>
          <w:rStyle w:val="Ninguno"/>
          <w:b/>
          <w:bCs/>
        </w:rPr>
        <w:t>DISPOSICIÓN GENERAL</w:t>
      </w:r>
    </w:p>
    <w:p w:rsidR="006165EE" w:rsidRDefault="006165EE" w:rsidP="006165EE">
      <w:pPr>
        <w:pStyle w:val="Cuerpo"/>
        <w:spacing w:after="200" w:line="276" w:lineRule="auto"/>
        <w:jc w:val="both"/>
        <w:rPr>
          <w:rStyle w:val="Ninguno"/>
        </w:rPr>
      </w:pPr>
      <w:r>
        <w:rPr>
          <w:rStyle w:val="Ninguno"/>
          <w:b/>
          <w:bCs/>
        </w:rPr>
        <w:t xml:space="preserve">PRIMERA.- </w:t>
      </w:r>
      <w:r>
        <w:rPr>
          <w:rStyle w:val="Ninguno"/>
        </w:rPr>
        <w:t>La Agencia de Coordinación Distrital de Comercio estará autorizada a emitir las resoluciones administrativas necesarias para el cumplimiento de esta ordenanza.</w:t>
      </w:r>
    </w:p>
    <w:p w:rsidR="006165EE" w:rsidRDefault="006165EE" w:rsidP="006165EE">
      <w:pPr>
        <w:pStyle w:val="Cuerpo"/>
        <w:spacing w:after="200" w:line="276" w:lineRule="auto"/>
        <w:jc w:val="both"/>
        <w:rPr>
          <w:rStyle w:val="Ninguno"/>
        </w:rPr>
      </w:pPr>
      <w:r>
        <w:rPr>
          <w:rStyle w:val="Ninguno"/>
          <w:b/>
          <w:bCs/>
        </w:rPr>
        <w:t xml:space="preserve">SEGUNDA.- </w:t>
      </w:r>
      <w:r>
        <w:rPr>
          <w:rStyle w:val="Ninguno"/>
        </w:rPr>
        <w:t>La Ejecución, Seguimiento y Cumplimiento de las disposiciones establecidas en esta Ordenanza estará a cargo del Comité de Asignación de Puestos y Parqueaderos de Mercados, de la Agencia de Coordinación Distrital del Comercio y las demás entidades municipales que tengan competencia.</w:t>
      </w:r>
    </w:p>
    <w:p w:rsidR="00F4321E" w:rsidRDefault="006165EE" w:rsidP="006165EE">
      <w:pPr>
        <w:pStyle w:val="Cuerpo"/>
        <w:spacing w:after="200" w:line="276" w:lineRule="auto"/>
        <w:jc w:val="both"/>
      </w:pPr>
      <w:r>
        <w:rPr>
          <w:rStyle w:val="Ninguno"/>
          <w:b/>
          <w:bCs/>
        </w:rPr>
        <w:t xml:space="preserve">DISPOSICIÓN FINAL.- </w:t>
      </w:r>
      <w:r w:rsidRPr="006165EE">
        <w:rPr>
          <w:rStyle w:val="Ninguno"/>
        </w:rPr>
        <w:t xml:space="preserve">La presente Resolución entrará en vigencia a partir de su </w:t>
      </w:r>
      <w:r>
        <w:rPr>
          <w:rStyle w:val="Ninguno"/>
        </w:rPr>
        <w:t>sanción</w:t>
      </w:r>
      <w:r w:rsidRPr="006165EE">
        <w:rPr>
          <w:rStyle w:val="Ninguno"/>
        </w:rPr>
        <w:t>. Dada en el Distrito Metropolitano de Quito, …………………………….</w:t>
      </w:r>
    </w:p>
    <w:sectPr w:rsidR="00F4321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64" w:rsidRDefault="00533164">
      <w:r>
        <w:separator/>
      </w:r>
    </w:p>
  </w:endnote>
  <w:endnote w:type="continuationSeparator" w:id="0">
    <w:p w:rsidR="00533164" w:rsidRDefault="0053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49" w:rsidRDefault="00533164">
    <w:pPr>
      <w:pStyle w:val="Encabezado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64" w:rsidRDefault="00533164">
      <w:r>
        <w:separator/>
      </w:r>
    </w:p>
  </w:footnote>
  <w:footnote w:type="continuationSeparator" w:id="0">
    <w:p w:rsidR="00533164" w:rsidRDefault="0053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49" w:rsidRDefault="00533164">
    <w:pPr>
      <w:pStyle w:val="Encabezadoypi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7FB8"/>
    <w:multiLevelType w:val="hybridMultilevel"/>
    <w:tmpl w:val="0A3C1D92"/>
    <w:styleLink w:val="Estiloimportado9"/>
    <w:lvl w:ilvl="0" w:tplc="BD9EF954">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E444B0">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DA916C">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7A2A89A">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68AA7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A04F1A">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29E34BE">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0C1C50">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F2834A">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995D5C"/>
    <w:multiLevelType w:val="hybridMultilevel"/>
    <w:tmpl w:val="A768F46E"/>
    <w:numStyleLink w:val="Estiloimportado1"/>
  </w:abstractNum>
  <w:abstractNum w:abstractNumId="2" w15:restartNumberingAfterBreak="0">
    <w:nsid w:val="0E547034"/>
    <w:multiLevelType w:val="hybridMultilevel"/>
    <w:tmpl w:val="5A500066"/>
    <w:numStyleLink w:val="Estiloimportado11"/>
  </w:abstractNum>
  <w:abstractNum w:abstractNumId="3" w15:restartNumberingAfterBreak="0">
    <w:nsid w:val="16894C9A"/>
    <w:multiLevelType w:val="hybridMultilevel"/>
    <w:tmpl w:val="0F745BCA"/>
    <w:styleLink w:val="Estiloimportado7"/>
    <w:lvl w:ilvl="0" w:tplc="D75220F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AC81E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9CC19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862FA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E8F8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E985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1E94B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F6678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EA17B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F5276D"/>
    <w:multiLevelType w:val="hybridMultilevel"/>
    <w:tmpl w:val="AE687558"/>
    <w:numStyleLink w:val="Estiloimportado10"/>
  </w:abstractNum>
  <w:abstractNum w:abstractNumId="5" w15:restartNumberingAfterBreak="0">
    <w:nsid w:val="223E5658"/>
    <w:multiLevelType w:val="hybridMultilevel"/>
    <w:tmpl w:val="74044690"/>
    <w:styleLink w:val="Estiloimportado12"/>
    <w:lvl w:ilvl="0" w:tplc="91A61C08">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7AD49C">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06839A">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C3CC802">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DA0E04">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1E2792">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42C04A">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0B66E">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48F226">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BE713C"/>
    <w:multiLevelType w:val="hybridMultilevel"/>
    <w:tmpl w:val="8EE8F224"/>
    <w:numStyleLink w:val="Estiloimportado13"/>
  </w:abstractNum>
  <w:abstractNum w:abstractNumId="7" w15:restartNumberingAfterBreak="0">
    <w:nsid w:val="34B00188"/>
    <w:multiLevelType w:val="hybridMultilevel"/>
    <w:tmpl w:val="EC2E4F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867C4B"/>
    <w:multiLevelType w:val="hybridMultilevel"/>
    <w:tmpl w:val="0F745BCA"/>
    <w:numStyleLink w:val="Estiloimportado7"/>
  </w:abstractNum>
  <w:abstractNum w:abstractNumId="9" w15:restartNumberingAfterBreak="0">
    <w:nsid w:val="380C73F0"/>
    <w:multiLevelType w:val="hybridMultilevel"/>
    <w:tmpl w:val="402078C2"/>
    <w:styleLink w:val="Estiloimportado14"/>
    <w:lvl w:ilvl="0" w:tplc="187CCB94">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6864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E0C868">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76E0FAA">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A0AC64">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AE4DEA">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19C92A2">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ECB2BC">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0E6470">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DE637F"/>
    <w:multiLevelType w:val="hybridMultilevel"/>
    <w:tmpl w:val="DCA2CF08"/>
    <w:lvl w:ilvl="0" w:tplc="F5B48FA8">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B6003A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CC4D2A6">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0B86010">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BAC3D78">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E3EE02C">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80888F6">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C4E7E30">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6F8C04C">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F10748"/>
    <w:multiLevelType w:val="hybridMultilevel"/>
    <w:tmpl w:val="D7929888"/>
    <w:lvl w:ilvl="0" w:tplc="2228BD5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F21FCC"/>
    <w:multiLevelType w:val="hybridMultilevel"/>
    <w:tmpl w:val="E25C683A"/>
    <w:numStyleLink w:val="Estiloimportado27"/>
  </w:abstractNum>
  <w:abstractNum w:abstractNumId="13" w15:restartNumberingAfterBreak="0">
    <w:nsid w:val="46BB4208"/>
    <w:multiLevelType w:val="hybridMultilevel"/>
    <w:tmpl w:val="B2D8BCE2"/>
    <w:numStyleLink w:val="Estiloimportado4"/>
  </w:abstractNum>
  <w:abstractNum w:abstractNumId="14" w15:restartNumberingAfterBreak="0">
    <w:nsid w:val="511F6AB7"/>
    <w:multiLevelType w:val="hybridMultilevel"/>
    <w:tmpl w:val="6A7A41B4"/>
    <w:styleLink w:val="Estiloimportado5"/>
    <w:lvl w:ilvl="0" w:tplc="2B0E369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C8911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2CBE28">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94A8C8">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BC3D8E">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7809A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9E8A59A">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6891AC">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C4E348">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7563CF1"/>
    <w:multiLevelType w:val="hybridMultilevel"/>
    <w:tmpl w:val="5A500066"/>
    <w:styleLink w:val="Estiloimportado11"/>
    <w:lvl w:ilvl="0" w:tplc="9960771C">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7ED84A">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3480DE">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6669118">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02B9A4">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EC7D18">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51092E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4C2B38">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B00A1A">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7656F3"/>
    <w:multiLevelType w:val="hybridMultilevel"/>
    <w:tmpl w:val="E25C683A"/>
    <w:styleLink w:val="Estiloimportado27"/>
    <w:lvl w:ilvl="0" w:tplc="D452FEA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4CB3D2">
      <w:start w:val="1"/>
      <w:numFmt w:val="lowerLetter"/>
      <w:lvlText w:val="%2)"/>
      <w:lvlJc w:val="left"/>
      <w:pPr>
        <w:ind w:left="1440" w:hanging="351"/>
      </w:pPr>
      <w:rPr>
        <w:rFonts w:hAnsi="Arial Unicode MS"/>
        <w:caps w:val="0"/>
        <w:smallCaps w:val="0"/>
        <w:strike w:val="0"/>
        <w:dstrike w:val="0"/>
        <w:outline w:val="0"/>
        <w:emboss w:val="0"/>
        <w:imprint w:val="0"/>
        <w:spacing w:val="0"/>
        <w:w w:val="100"/>
        <w:kern w:val="0"/>
        <w:position w:val="0"/>
        <w:highlight w:val="none"/>
        <w:vertAlign w:val="baseline"/>
      </w:rPr>
    </w:lvl>
    <w:lvl w:ilvl="2" w:tplc="1FBE1ED6">
      <w:start w:val="1"/>
      <w:numFmt w:val="lowerLetter"/>
      <w:lvlText w:val="%3)"/>
      <w:lvlJc w:val="left"/>
      <w:pPr>
        <w:ind w:left="2160" w:hanging="341"/>
      </w:pPr>
      <w:rPr>
        <w:rFonts w:hAnsi="Arial Unicode MS"/>
        <w:caps w:val="0"/>
        <w:smallCaps w:val="0"/>
        <w:strike w:val="0"/>
        <w:dstrike w:val="0"/>
        <w:outline w:val="0"/>
        <w:emboss w:val="0"/>
        <w:imprint w:val="0"/>
        <w:spacing w:val="0"/>
        <w:w w:val="100"/>
        <w:kern w:val="0"/>
        <w:position w:val="0"/>
        <w:highlight w:val="none"/>
        <w:vertAlign w:val="baseline"/>
      </w:rPr>
    </w:lvl>
    <w:lvl w:ilvl="3" w:tplc="54CC8E98">
      <w:start w:val="1"/>
      <w:numFmt w:val="lowerLetter"/>
      <w:lvlText w:val="%4)"/>
      <w:lvlJc w:val="left"/>
      <w:pPr>
        <w:ind w:left="2880" w:hanging="332"/>
      </w:pPr>
      <w:rPr>
        <w:rFonts w:hAnsi="Arial Unicode MS"/>
        <w:caps w:val="0"/>
        <w:smallCaps w:val="0"/>
        <w:strike w:val="0"/>
        <w:dstrike w:val="0"/>
        <w:outline w:val="0"/>
        <w:emboss w:val="0"/>
        <w:imprint w:val="0"/>
        <w:spacing w:val="0"/>
        <w:w w:val="100"/>
        <w:kern w:val="0"/>
        <w:position w:val="0"/>
        <w:highlight w:val="none"/>
        <w:vertAlign w:val="baseline"/>
      </w:rPr>
    </w:lvl>
    <w:lvl w:ilvl="4" w:tplc="DACE918A">
      <w:start w:val="1"/>
      <w:numFmt w:val="lowerLetter"/>
      <w:lvlText w:val="%5)"/>
      <w:lvlJc w:val="left"/>
      <w:pPr>
        <w:ind w:left="3600" w:hanging="323"/>
      </w:pPr>
      <w:rPr>
        <w:rFonts w:hAnsi="Arial Unicode MS"/>
        <w:caps w:val="0"/>
        <w:smallCaps w:val="0"/>
        <w:strike w:val="0"/>
        <w:dstrike w:val="0"/>
        <w:outline w:val="0"/>
        <w:emboss w:val="0"/>
        <w:imprint w:val="0"/>
        <w:spacing w:val="0"/>
        <w:w w:val="100"/>
        <w:kern w:val="0"/>
        <w:position w:val="0"/>
        <w:highlight w:val="none"/>
        <w:vertAlign w:val="baseline"/>
      </w:rPr>
    </w:lvl>
    <w:lvl w:ilvl="5" w:tplc="00AAB5C6">
      <w:start w:val="1"/>
      <w:numFmt w:val="lowerLetter"/>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E6EDBD4">
      <w:start w:val="1"/>
      <w:numFmt w:val="lowerLetter"/>
      <w:lvlText w:val="%7)"/>
      <w:lvlJc w:val="left"/>
      <w:pPr>
        <w:ind w:left="5040"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141840E6">
      <w:start w:val="1"/>
      <w:numFmt w:val="lowerLetter"/>
      <w:lvlText w:val="%8)"/>
      <w:lvlJc w:val="left"/>
      <w:pPr>
        <w:ind w:left="576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02A0FB2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BC60B9"/>
    <w:multiLevelType w:val="hybridMultilevel"/>
    <w:tmpl w:val="6A7A41B4"/>
    <w:numStyleLink w:val="Estiloimportado5"/>
  </w:abstractNum>
  <w:abstractNum w:abstractNumId="18" w15:restartNumberingAfterBreak="0">
    <w:nsid w:val="64210772"/>
    <w:multiLevelType w:val="hybridMultilevel"/>
    <w:tmpl w:val="F2F07DE0"/>
    <w:lvl w:ilvl="0" w:tplc="9DDED8B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2856D1"/>
    <w:multiLevelType w:val="hybridMultilevel"/>
    <w:tmpl w:val="402078C2"/>
    <w:numStyleLink w:val="Estiloimportado14"/>
  </w:abstractNum>
  <w:abstractNum w:abstractNumId="20" w15:restartNumberingAfterBreak="0">
    <w:nsid w:val="66FE5F6A"/>
    <w:multiLevelType w:val="hybridMultilevel"/>
    <w:tmpl w:val="74044690"/>
    <w:numStyleLink w:val="Estiloimportado12"/>
  </w:abstractNum>
  <w:abstractNum w:abstractNumId="21" w15:restartNumberingAfterBreak="0">
    <w:nsid w:val="6A336C77"/>
    <w:multiLevelType w:val="hybridMultilevel"/>
    <w:tmpl w:val="A768F46E"/>
    <w:styleLink w:val="Estiloimportado1"/>
    <w:lvl w:ilvl="0" w:tplc="AFC6B63C">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B74FF7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8A30C02C">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0A26C7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BF230AA">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77262DA">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702E9C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C96BF2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7900C76">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CC732F"/>
    <w:multiLevelType w:val="hybridMultilevel"/>
    <w:tmpl w:val="2320D4CE"/>
    <w:styleLink w:val="Estiloimportado6"/>
    <w:lvl w:ilvl="0" w:tplc="5DC2782E">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0A76B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2831E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C4EFC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56B6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906B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286DB6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7E541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62E35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FD3087"/>
    <w:multiLevelType w:val="hybridMultilevel"/>
    <w:tmpl w:val="2320D4CE"/>
    <w:numStyleLink w:val="Estiloimportado6"/>
  </w:abstractNum>
  <w:abstractNum w:abstractNumId="24" w15:restartNumberingAfterBreak="0">
    <w:nsid w:val="73990F58"/>
    <w:multiLevelType w:val="hybridMultilevel"/>
    <w:tmpl w:val="B2D8BCE2"/>
    <w:styleLink w:val="Estiloimportado4"/>
    <w:lvl w:ilvl="0" w:tplc="DFDEDB9E">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78231C">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26F7C2">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798C2D0">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C7E2F30">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38A6B0">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5F45D4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0C99A0">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44CB9A6">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176B3A"/>
    <w:multiLevelType w:val="hybridMultilevel"/>
    <w:tmpl w:val="A768F46E"/>
    <w:numStyleLink w:val="Estiloimportado1"/>
  </w:abstractNum>
  <w:abstractNum w:abstractNumId="26" w15:restartNumberingAfterBreak="0">
    <w:nsid w:val="773C018A"/>
    <w:multiLevelType w:val="hybridMultilevel"/>
    <w:tmpl w:val="8EE8F224"/>
    <w:styleLink w:val="Estiloimportado13"/>
    <w:lvl w:ilvl="0" w:tplc="DA7415CE">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EC3792">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661CB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744CAA2">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12CB6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4033E0">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2E86B3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A4E15C">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D832EA">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7FC43DA"/>
    <w:multiLevelType w:val="hybridMultilevel"/>
    <w:tmpl w:val="0A3C1D92"/>
    <w:numStyleLink w:val="Estiloimportado9"/>
  </w:abstractNum>
  <w:abstractNum w:abstractNumId="28" w15:restartNumberingAfterBreak="0">
    <w:nsid w:val="796F7471"/>
    <w:multiLevelType w:val="hybridMultilevel"/>
    <w:tmpl w:val="AE687558"/>
    <w:styleLink w:val="Estiloimportado10"/>
    <w:lvl w:ilvl="0" w:tplc="3AECDEBC">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F8084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62248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302AC58">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E60AAE">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AE6138">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47634FA">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0AFECE">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24CDD0">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DD409DB"/>
    <w:multiLevelType w:val="hybridMultilevel"/>
    <w:tmpl w:val="41F6108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8"/>
  </w:num>
  <w:num w:numId="3">
    <w:abstractNumId w:val="21"/>
  </w:num>
  <w:num w:numId="4">
    <w:abstractNumId w:val="1"/>
  </w:num>
  <w:num w:numId="5">
    <w:abstractNumId w:val="24"/>
  </w:num>
  <w:num w:numId="6">
    <w:abstractNumId w:val="13"/>
  </w:num>
  <w:num w:numId="7">
    <w:abstractNumId w:val="14"/>
  </w:num>
  <w:num w:numId="8">
    <w:abstractNumId w:val="17"/>
  </w:num>
  <w:num w:numId="9">
    <w:abstractNumId w:val="22"/>
  </w:num>
  <w:num w:numId="10">
    <w:abstractNumId w:val="23"/>
  </w:num>
  <w:num w:numId="11">
    <w:abstractNumId w:val="0"/>
  </w:num>
  <w:num w:numId="12">
    <w:abstractNumId w:val="27"/>
  </w:num>
  <w:num w:numId="13">
    <w:abstractNumId w:val="28"/>
  </w:num>
  <w:num w:numId="14">
    <w:abstractNumId w:val="4"/>
  </w:num>
  <w:num w:numId="15">
    <w:abstractNumId w:val="15"/>
  </w:num>
  <w:num w:numId="16">
    <w:abstractNumId w:val="2"/>
  </w:num>
  <w:num w:numId="17">
    <w:abstractNumId w:val="5"/>
  </w:num>
  <w:num w:numId="18">
    <w:abstractNumId w:val="20"/>
  </w:num>
  <w:num w:numId="19">
    <w:abstractNumId w:val="26"/>
  </w:num>
  <w:num w:numId="20">
    <w:abstractNumId w:val="6"/>
  </w:num>
  <w:num w:numId="21">
    <w:abstractNumId w:val="9"/>
  </w:num>
  <w:num w:numId="22">
    <w:abstractNumId w:val="19"/>
  </w:num>
  <w:num w:numId="23">
    <w:abstractNumId w:val="16"/>
  </w:num>
  <w:num w:numId="24">
    <w:abstractNumId w:val="12"/>
  </w:num>
  <w:num w:numId="25">
    <w:abstractNumId w:val="29"/>
  </w:num>
  <w:num w:numId="26">
    <w:abstractNumId w:val="10"/>
  </w:num>
  <w:num w:numId="27">
    <w:abstractNumId w:val="11"/>
  </w:num>
  <w:num w:numId="28">
    <w:abstractNumId w:val="7"/>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EE"/>
    <w:rsid w:val="002F47F1"/>
    <w:rsid w:val="00533164"/>
    <w:rsid w:val="006165EE"/>
    <w:rsid w:val="00F43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02C59-4A52-4756-99B8-F5E02F8F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65E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65EE"/>
    <w:rPr>
      <w:u w:val="single"/>
    </w:rPr>
  </w:style>
  <w:style w:type="table" w:customStyle="1" w:styleId="TableNormal">
    <w:name w:val="Table Normal"/>
    <w:rsid w:val="00616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C" w:eastAsia="es-EC"/>
    </w:rPr>
    <w:tblPr>
      <w:tblInd w:w="0" w:type="dxa"/>
      <w:tblCellMar>
        <w:top w:w="0" w:type="dxa"/>
        <w:left w:w="0" w:type="dxa"/>
        <w:bottom w:w="0" w:type="dxa"/>
        <w:right w:w="0" w:type="dxa"/>
      </w:tblCellMar>
    </w:tblPr>
  </w:style>
  <w:style w:type="paragraph" w:customStyle="1" w:styleId="Encabezadoypie">
    <w:name w:val="Encabezado y pie"/>
    <w:rsid w:val="006165E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EC" w:eastAsia="es-EC"/>
    </w:rPr>
  </w:style>
  <w:style w:type="paragraph" w:customStyle="1" w:styleId="Cuerpo">
    <w:name w:val="Cuerpo"/>
    <w:rsid w:val="006165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C"/>
    </w:rPr>
  </w:style>
  <w:style w:type="character" w:customStyle="1" w:styleId="Ninguno">
    <w:name w:val="Ninguno"/>
    <w:rsid w:val="006165EE"/>
    <w:rPr>
      <w:lang w:val="es-ES_tradnl"/>
    </w:rPr>
  </w:style>
  <w:style w:type="paragraph" w:customStyle="1" w:styleId="CuerpoA">
    <w:name w:val="Cuerpo A"/>
    <w:rsid w:val="006165E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C"/>
    </w:rPr>
  </w:style>
  <w:style w:type="paragraph" w:customStyle="1" w:styleId="PoromisinA">
    <w:name w:val="Por omisión A"/>
    <w:rsid w:val="006165E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C"/>
    </w:rPr>
  </w:style>
  <w:style w:type="numbering" w:customStyle="1" w:styleId="Estiloimportado7">
    <w:name w:val="Estilo importado 7"/>
    <w:rsid w:val="006165EE"/>
    <w:pPr>
      <w:numPr>
        <w:numId w:val="1"/>
      </w:numPr>
    </w:pPr>
  </w:style>
  <w:style w:type="numbering" w:customStyle="1" w:styleId="Estiloimportado1">
    <w:name w:val="Estilo importado 1"/>
    <w:rsid w:val="006165EE"/>
    <w:pPr>
      <w:numPr>
        <w:numId w:val="3"/>
      </w:numPr>
    </w:pPr>
  </w:style>
  <w:style w:type="numbering" w:customStyle="1" w:styleId="Estiloimportado4">
    <w:name w:val="Estilo importado 4"/>
    <w:rsid w:val="006165EE"/>
    <w:pPr>
      <w:numPr>
        <w:numId w:val="5"/>
      </w:numPr>
    </w:pPr>
  </w:style>
  <w:style w:type="numbering" w:customStyle="1" w:styleId="Estiloimportado5">
    <w:name w:val="Estilo importado 5"/>
    <w:rsid w:val="006165EE"/>
    <w:pPr>
      <w:numPr>
        <w:numId w:val="7"/>
      </w:numPr>
    </w:pPr>
  </w:style>
  <w:style w:type="numbering" w:customStyle="1" w:styleId="Estiloimportado6">
    <w:name w:val="Estilo importado 6"/>
    <w:rsid w:val="006165EE"/>
    <w:pPr>
      <w:numPr>
        <w:numId w:val="9"/>
      </w:numPr>
    </w:pPr>
  </w:style>
  <w:style w:type="numbering" w:customStyle="1" w:styleId="Estiloimportado9">
    <w:name w:val="Estilo importado 9"/>
    <w:rsid w:val="006165EE"/>
    <w:pPr>
      <w:numPr>
        <w:numId w:val="11"/>
      </w:numPr>
    </w:pPr>
  </w:style>
  <w:style w:type="numbering" w:customStyle="1" w:styleId="Estiloimportado10">
    <w:name w:val="Estilo importado 10"/>
    <w:rsid w:val="006165EE"/>
    <w:pPr>
      <w:numPr>
        <w:numId w:val="13"/>
      </w:numPr>
    </w:pPr>
  </w:style>
  <w:style w:type="numbering" w:customStyle="1" w:styleId="Estiloimportado11">
    <w:name w:val="Estilo importado 11"/>
    <w:rsid w:val="006165EE"/>
    <w:pPr>
      <w:numPr>
        <w:numId w:val="15"/>
      </w:numPr>
    </w:pPr>
  </w:style>
  <w:style w:type="numbering" w:customStyle="1" w:styleId="Estiloimportado12">
    <w:name w:val="Estilo importado 12"/>
    <w:rsid w:val="006165EE"/>
    <w:pPr>
      <w:numPr>
        <w:numId w:val="17"/>
      </w:numPr>
    </w:pPr>
  </w:style>
  <w:style w:type="numbering" w:customStyle="1" w:styleId="Estiloimportado13">
    <w:name w:val="Estilo importado 13"/>
    <w:rsid w:val="006165EE"/>
    <w:pPr>
      <w:numPr>
        <w:numId w:val="19"/>
      </w:numPr>
    </w:pPr>
  </w:style>
  <w:style w:type="numbering" w:customStyle="1" w:styleId="Estiloimportado14">
    <w:name w:val="Estilo importado 14"/>
    <w:rsid w:val="006165EE"/>
    <w:pPr>
      <w:numPr>
        <w:numId w:val="21"/>
      </w:numPr>
    </w:pPr>
  </w:style>
  <w:style w:type="numbering" w:customStyle="1" w:styleId="Estiloimportado27">
    <w:name w:val="Estilo importado 27"/>
    <w:rsid w:val="006165EE"/>
    <w:pPr>
      <w:numPr>
        <w:numId w:val="23"/>
      </w:numPr>
    </w:pPr>
  </w:style>
  <w:style w:type="paragraph" w:styleId="Prrafodelista">
    <w:name w:val="List Paragraph"/>
    <w:basedOn w:val="Normal"/>
    <w:qFormat/>
    <w:rsid w:val="006165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s-ES"/>
    </w:rPr>
  </w:style>
  <w:style w:type="paragraph" w:styleId="Textodeglobo">
    <w:name w:val="Balloon Text"/>
    <w:basedOn w:val="Normal"/>
    <w:link w:val="TextodegloboCar"/>
    <w:uiPriority w:val="99"/>
    <w:semiHidden/>
    <w:unhideWhenUsed/>
    <w:rsid w:val="006165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5EE"/>
    <w:rPr>
      <w:rFonts w:ascii="Segoe UI" w:eastAsia="Arial Unicode MS" w:hAnsi="Segoe UI" w:cs="Segoe UI"/>
      <w:sz w:val="18"/>
      <w:szCs w:val="18"/>
      <w:bdr w:val="nil"/>
      <w:lang w:val="en-US"/>
    </w:rPr>
  </w:style>
  <w:style w:type="table" w:styleId="Tablaconcuadrcula">
    <w:name w:val="Table Grid"/>
    <w:basedOn w:val="Tablanormal"/>
    <w:uiPriority w:val="59"/>
    <w:rsid w:val="00616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uerpoB">
    <w:name w:val="Cuerpo B"/>
    <w:rsid w:val="006165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3568</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Gustavo Mantilla Zapata</dc:creator>
  <cp:keywords/>
  <dc:description/>
  <cp:lastModifiedBy>Andres Gustavo Mantilla Zapata</cp:lastModifiedBy>
  <cp:revision>2</cp:revision>
  <dcterms:created xsi:type="dcterms:W3CDTF">2021-08-12T17:33:00Z</dcterms:created>
  <dcterms:modified xsi:type="dcterms:W3CDTF">2021-08-18T19:48:00Z</dcterms:modified>
</cp:coreProperties>
</file>