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32" w:rsidRPr="006F15F0" w:rsidRDefault="00BA6B32" w:rsidP="006F15F0">
      <w:pPr>
        <w:jc w:val="right"/>
        <w:rPr>
          <w:sz w:val="24"/>
          <w:szCs w:val="24"/>
        </w:rPr>
      </w:pPr>
    </w:p>
    <w:p w:rsidR="00BA6B32" w:rsidRPr="006F15F0" w:rsidRDefault="00BA6B32" w:rsidP="00BA6B32">
      <w:pPr>
        <w:jc w:val="center"/>
        <w:rPr>
          <w:b/>
          <w:bCs/>
          <w:sz w:val="24"/>
          <w:szCs w:val="24"/>
        </w:rPr>
      </w:pPr>
      <w:r w:rsidRPr="006F15F0">
        <w:rPr>
          <w:b/>
          <w:bCs/>
          <w:sz w:val="24"/>
          <w:szCs w:val="24"/>
        </w:rPr>
        <w:t>MUNICIPIO DEL DISTRITO METROPOLITANO DE QUITO</w:t>
      </w:r>
    </w:p>
    <w:p w:rsidR="00BA6B32" w:rsidRPr="006F15F0" w:rsidRDefault="00BA6B32" w:rsidP="00BA6B32">
      <w:pPr>
        <w:jc w:val="center"/>
        <w:rPr>
          <w:b/>
          <w:bCs/>
          <w:sz w:val="24"/>
          <w:szCs w:val="24"/>
        </w:rPr>
      </w:pPr>
      <w:r w:rsidRPr="006F15F0">
        <w:rPr>
          <w:b/>
          <w:bCs/>
          <w:sz w:val="24"/>
          <w:szCs w:val="24"/>
        </w:rPr>
        <w:t>EXTRACTO</w:t>
      </w:r>
    </w:p>
    <w:p w:rsidR="00BA6B32" w:rsidRPr="006F15F0" w:rsidRDefault="00BA6B32" w:rsidP="00BA6B32">
      <w:pPr>
        <w:jc w:val="center"/>
        <w:rPr>
          <w:sz w:val="24"/>
          <w:szCs w:val="24"/>
        </w:rPr>
      </w:pPr>
    </w:p>
    <w:p w:rsidR="00BA6B32" w:rsidRPr="006F15F0" w:rsidRDefault="00BA6B32" w:rsidP="00BA6B32">
      <w:pPr>
        <w:jc w:val="both"/>
        <w:rPr>
          <w:sz w:val="24"/>
          <w:szCs w:val="24"/>
        </w:rPr>
      </w:pPr>
      <w:r w:rsidRPr="006F15F0">
        <w:rPr>
          <w:sz w:val="24"/>
          <w:szCs w:val="24"/>
        </w:rPr>
        <w:t>A POSIBLES INTERESADOS:</w:t>
      </w:r>
    </w:p>
    <w:p w:rsidR="00DA642E" w:rsidRPr="006F15F0" w:rsidRDefault="00DA642E" w:rsidP="00DA642E">
      <w:pPr>
        <w:jc w:val="both"/>
        <w:rPr>
          <w:sz w:val="24"/>
          <w:szCs w:val="24"/>
        </w:rPr>
      </w:pPr>
      <w:r>
        <w:rPr>
          <w:sz w:val="24"/>
          <w:szCs w:val="24"/>
        </w:rPr>
        <w:t>Se comunica que m</w:t>
      </w:r>
      <w:r w:rsidRPr="006F15F0">
        <w:rPr>
          <w:sz w:val="24"/>
          <w:szCs w:val="24"/>
        </w:rPr>
        <w:t xml:space="preserve">ediante </w:t>
      </w:r>
      <w:r>
        <w:rPr>
          <w:sz w:val="24"/>
          <w:szCs w:val="24"/>
        </w:rPr>
        <w:t>Resolución</w:t>
      </w:r>
      <w:r w:rsidRPr="006F15F0">
        <w:rPr>
          <w:sz w:val="24"/>
          <w:szCs w:val="24"/>
        </w:rPr>
        <w:t xml:space="preserve"> No. </w:t>
      </w:r>
      <w:r>
        <w:rPr>
          <w:sz w:val="24"/>
          <w:szCs w:val="24"/>
        </w:rPr>
        <w:t>094</w:t>
      </w:r>
      <w:r w:rsidRPr="006F15F0">
        <w:rPr>
          <w:sz w:val="24"/>
          <w:szCs w:val="24"/>
        </w:rPr>
        <w:t>,</w:t>
      </w:r>
      <w:r>
        <w:rPr>
          <w:sz w:val="24"/>
          <w:szCs w:val="24"/>
        </w:rPr>
        <w:t xml:space="preserve"> de fecha 27 de octubre de 2020, el Concejo Metropolitano,</w:t>
      </w:r>
      <w:r w:rsidRPr="006F15F0">
        <w:rPr>
          <w:sz w:val="24"/>
          <w:szCs w:val="24"/>
        </w:rPr>
        <w:t xml:space="preserve"> al amparo de lo dispuesto en el Art. 436 del COOTAD, ha </w:t>
      </w:r>
      <w:r>
        <w:rPr>
          <w:sz w:val="24"/>
          <w:szCs w:val="24"/>
        </w:rPr>
        <w:t>resulto dec</w:t>
      </w:r>
      <w:r w:rsidRPr="006F15F0">
        <w:rPr>
          <w:sz w:val="24"/>
          <w:szCs w:val="24"/>
        </w:rPr>
        <w:t>l</w:t>
      </w:r>
      <w:r>
        <w:rPr>
          <w:sz w:val="24"/>
          <w:szCs w:val="24"/>
        </w:rPr>
        <w:t>arar como bien mostrenco, la siguiente área</w:t>
      </w:r>
      <w:r w:rsidRPr="006F15F0">
        <w:rPr>
          <w:sz w:val="24"/>
          <w:szCs w:val="24"/>
        </w:rPr>
        <w:t>:</w:t>
      </w:r>
    </w:p>
    <w:p w:rsidR="00BA6B32" w:rsidRPr="006F15F0" w:rsidRDefault="00BA6B32" w:rsidP="00BA6B32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C53DF6" w:rsidRPr="00C53DF6" w:rsidTr="00C53DF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1653"/>
              <w:gridCol w:w="1652"/>
              <w:gridCol w:w="1178"/>
              <w:gridCol w:w="2188"/>
            </w:tblGrid>
            <w:tr w:rsidR="00D75339" w:rsidRPr="006F15F0" w:rsidTr="00441C28">
              <w:tc>
                <w:tcPr>
                  <w:tcW w:w="1733" w:type="dxa"/>
                </w:tcPr>
                <w:p w:rsidR="00D75339" w:rsidRPr="00950AE5" w:rsidRDefault="00D75339" w:rsidP="00D753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75339" w:rsidRPr="00950AE5" w:rsidRDefault="00D75339" w:rsidP="00D753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0AE5">
                    <w:rPr>
                      <w:b/>
                      <w:sz w:val="24"/>
                      <w:szCs w:val="24"/>
                    </w:rPr>
                    <w:t>Administración</w:t>
                  </w:r>
                </w:p>
                <w:p w:rsidR="00D75339" w:rsidRPr="00950AE5" w:rsidRDefault="00D75339" w:rsidP="00D753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0AE5">
                    <w:rPr>
                      <w:b/>
                      <w:sz w:val="24"/>
                      <w:szCs w:val="24"/>
                    </w:rPr>
                    <w:t>Zonal</w:t>
                  </w:r>
                </w:p>
              </w:tc>
              <w:tc>
                <w:tcPr>
                  <w:tcW w:w="1676" w:type="dxa"/>
                </w:tcPr>
                <w:p w:rsidR="00D75339" w:rsidRPr="00950AE5" w:rsidRDefault="00D75339" w:rsidP="00D753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75339" w:rsidRPr="00950AE5" w:rsidRDefault="00D75339" w:rsidP="00D753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0AE5">
                    <w:rPr>
                      <w:b/>
                      <w:sz w:val="24"/>
                      <w:szCs w:val="24"/>
                    </w:rPr>
                    <w:t>Parroquia</w:t>
                  </w:r>
                </w:p>
              </w:tc>
              <w:tc>
                <w:tcPr>
                  <w:tcW w:w="1667" w:type="dxa"/>
                </w:tcPr>
                <w:p w:rsidR="00D75339" w:rsidRPr="00950AE5" w:rsidRDefault="00D75339" w:rsidP="00D753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0AE5">
                    <w:rPr>
                      <w:b/>
                      <w:sz w:val="24"/>
                      <w:szCs w:val="24"/>
                    </w:rPr>
                    <w:t>Clave Catastral Referencial</w:t>
                  </w:r>
                </w:p>
              </w:tc>
              <w:tc>
                <w:tcPr>
                  <w:tcW w:w="1186" w:type="dxa"/>
                </w:tcPr>
                <w:p w:rsidR="00D75339" w:rsidRPr="00950AE5" w:rsidRDefault="00D75339" w:rsidP="00D753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0AE5">
                    <w:rPr>
                      <w:b/>
                      <w:sz w:val="24"/>
                      <w:szCs w:val="24"/>
                    </w:rPr>
                    <w:t>Área</w:t>
                  </w:r>
                </w:p>
                <w:p w:rsidR="00D75339" w:rsidRPr="00950AE5" w:rsidRDefault="00D75339" w:rsidP="00D753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0AE5">
                    <w:rPr>
                      <w:b/>
                      <w:sz w:val="24"/>
                      <w:szCs w:val="24"/>
                    </w:rPr>
                    <w:t>(m2)</w:t>
                  </w:r>
                </w:p>
              </w:tc>
              <w:tc>
                <w:tcPr>
                  <w:tcW w:w="2232" w:type="dxa"/>
                </w:tcPr>
                <w:p w:rsidR="00D75339" w:rsidRPr="00950AE5" w:rsidRDefault="00D75339" w:rsidP="00D753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75339" w:rsidRPr="00950AE5" w:rsidRDefault="00D75339" w:rsidP="00D753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0AE5">
                    <w:rPr>
                      <w:b/>
                      <w:sz w:val="24"/>
                      <w:szCs w:val="24"/>
                    </w:rPr>
                    <w:t>Dirección</w:t>
                  </w:r>
                </w:p>
              </w:tc>
            </w:tr>
            <w:tr w:rsidR="00D75339" w:rsidRPr="006F15F0" w:rsidTr="00441C28">
              <w:tc>
                <w:tcPr>
                  <w:tcW w:w="1733" w:type="dxa"/>
                </w:tcPr>
                <w:p w:rsidR="00D75339" w:rsidRPr="006F15F0" w:rsidRDefault="00D75339" w:rsidP="00D753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339" w:rsidRPr="006F15F0" w:rsidRDefault="00D75339" w:rsidP="00D75339">
                  <w:pPr>
                    <w:jc w:val="center"/>
                    <w:rPr>
                      <w:sz w:val="24"/>
                      <w:szCs w:val="24"/>
                    </w:rPr>
                  </w:pPr>
                  <w:r w:rsidRPr="006F15F0">
                    <w:rPr>
                      <w:sz w:val="24"/>
                      <w:szCs w:val="24"/>
                    </w:rPr>
                    <w:t>Manuela Sáenz</w:t>
                  </w:r>
                </w:p>
                <w:p w:rsidR="00D75339" w:rsidRPr="006F15F0" w:rsidRDefault="00D75339" w:rsidP="00D753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:rsidR="00D75339" w:rsidRPr="006F15F0" w:rsidRDefault="00D75339" w:rsidP="00D753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339" w:rsidRPr="006F15F0" w:rsidRDefault="00D75339" w:rsidP="00D75339">
                  <w:pPr>
                    <w:jc w:val="center"/>
                    <w:rPr>
                      <w:sz w:val="24"/>
                      <w:szCs w:val="24"/>
                    </w:rPr>
                  </w:pPr>
                  <w:r w:rsidRPr="006F15F0">
                    <w:rPr>
                      <w:sz w:val="24"/>
                      <w:szCs w:val="24"/>
                    </w:rPr>
                    <w:t>San Juan</w:t>
                  </w:r>
                </w:p>
              </w:tc>
              <w:tc>
                <w:tcPr>
                  <w:tcW w:w="1667" w:type="dxa"/>
                </w:tcPr>
                <w:p w:rsidR="00D75339" w:rsidRPr="006F15F0" w:rsidRDefault="00D75339" w:rsidP="00D75339">
                  <w:pPr>
                    <w:jc w:val="center"/>
                    <w:rPr>
                      <w:sz w:val="24"/>
                      <w:szCs w:val="24"/>
                    </w:rPr>
                  </w:pPr>
                  <w:r w:rsidRPr="00950AE5">
                    <w:rPr>
                      <w:sz w:val="24"/>
                      <w:szCs w:val="24"/>
                    </w:rPr>
                    <w:t>40101-05-001</w:t>
                  </w:r>
                </w:p>
              </w:tc>
              <w:tc>
                <w:tcPr>
                  <w:tcW w:w="1186" w:type="dxa"/>
                </w:tcPr>
                <w:p w:rsidR="00D75339" w:rsidRPr="006F15F0" w:rsidRDefault="00D75339" w:rsidP="00D75339">
                  <w:pPr>
                    <w:jc w:val="center"/>
                    <w:rPr>
                      <w:sz w:val="24"/>
                      <w:szCs w:val="24"/>
                    </w:rPr>
                  </w:pPr>
                  <w:r w:rsidRPr="00950AE5">
                    <w:rPr>
                      <w:sz w:val="24"/>
                      <w:szCs w:val="24"/>
                    </w:rPr>
                    <w:t>2190.76 m2</w:t>
                  </w:r>
                </w:p>
              </w:tc>
              <w:tc>
                <w:tcPr>
                  <w:tcW w:w="2232" w:type="dxa"/>
                </w:tcPr>
                <w:p w:rsidR="00D75339" w:rsidRPr="006F15F0" w:rsidRDefault="00D75339" w:rsidP="00D75339">
                  <w:pPr>
                    <w:jc w:val="center"/>
                    <w:rPr>
                      <w:sz w:val="24"/>
                      <w:szCs w:val="24"/>
                    </w:rPr>
                  </w:pPr>
                  <w:r w:rsidRPr="00950AE5">
                    <w:rPr>
                      <w:sz w:val="24"/>
                      <w:szCs w:val="24"/>
                    </w:rPr>
                    <w:t>CARCHI OE 600 Y BOMBONA</w:t>
                  </w:r>
                </w:p>
              </w:tc>
            </w:tr>
          </w:tbl>
          <w:p w:rsidR="00C53DF6" w:rsidRPr="00C53DF6" w:rsidRDefault="00C53DF6" w:rsidP="00C5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</w:tbl>
    <w:p w:rsidR="00202850" w:rsidRPr="006F15F0" w:rsidRDefault="00D75339" w:rsidP="000F4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6B32" w:rsidRPr="006F15F0" w:rsidRDefault="006F15F0" w:rsidP="000F44BC">
      <w:pPr>
        <w:jc w:val="both"/>
        <w:rPr>
          <w:sz w:val="24"/>
          <w:szCs w:val="24"/>
        </w:rPr>
      </w:pPr>
      <w:r w:rsidRPr="006F15F0">
        <w:rPr>
          <w:sz w:val="24"/>
          <w:szCs w:val="24"/>
        </w:rPr>
        <w:t>Quienes se creyeren con derechos sobre dichos inmuebles</w:t>
      </w:r>
      <w:r w:rsidR="00A53A2B">
        <w:rPr>
          <w:sz w:val="24"/>
          <w:szCs w:val="24"/>
        </w:rPr>
        <w:t>,</w:t>
      </w:r>
      <w:r w:rsidRPr="006F15F0">
        <w:rPr>
          <w:sz w:val="24"/>
          <w:szCs w:val="24"/>
        </w:rPr>
        <w:t xml:space="preserve"> deberán comparecer ante el Municipio del Distrito Metropolitano de Quito, adjuntando el justificativo que acredite la titularidad de dichos predios.</w:t>
      </w:r>
    </w:p>
    <w:p w:rsidR="006F15F0" w:rsidRDefault="006F15F0" w:rsidP="000F44BC">
      <w:pPr>
        <w:jc w:val="both"/>
        <w:rPr>
          <w:sz w:val="24"/>
          <w:szCs w:val="24"/>
        </w:rPr>
      </w:pPr>
      <w:r>
        <w:rPr>
          <w:sz w:val="24"/>
          <w:szCs w:val="24"/>
        </w:rPr>
        <w:t>Lo que se publica para los fines legales pertinentes.</w:t>
      </w:r>
    </w:p>
    <w:p w:rsidR="00C53DF6" w:rsidRDefault="00C53DF6" w:rsidP="0020285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C53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BC"/>
    <w:rsid w:val="000F44BC"/>
    <w:rsid w:val="00202850"/>
    <w:rsid w:val="00530EFF"/>
    <w:rsid w:val="0065172B"/>
    <w:rsid w:val="00682D74"/>
    <w:rsid w:val="006F15F0"/>
    <w:rsid w:val="00846939"/>
    <w:rsid w:val="00A53A2B"/>
    <w:rsid w:val="00BA6B32"/>
    <w:rsid w:val="00C53DF6"/>
    <w:rsid w:val="00D16168"/>
    <w:rsid w:val="00D75339"/>
    <w:rsid w:val="00D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8802D-2EC3-47CD-B1E1-0384253A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B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 S</dc:creator>
  <cp:keywords/>
  <dc:description/>
  <cp:lastModifiedBy>Isaac Samuel Byun Olivo</cp:lastModifiedBy>
  <cp:revision>2</cp:revision>
  <dcterms:created xsi:type="dcterms:W3CDTF">2020-11-12T00:07:00Z</dcterms:created>
  <dcterms:modified xsi:type="dcterms:W3CDTF">2020-11-12T00:07:00Z</dcterms:modified>
</cp:coreProperties>
</file>