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75"/>
        <w:tblW w:w="5543" w:type="pct"/>
        <w:tblLayout w:type="fixed"/>
        <w:tblCellMar>
          <w:left w:w="70" w:type="dxa"/>
          <w:right w:w="70" w:type="dxa"/>
        </w:tblCellMar>
        <w:tblLook w:val="04A0" w:firstRow="1" w:lastRow="0" w:firstColumn="1" w:lastColumn="0" w:noHBand="0" w:noVBand="1"/>
      </w:tblPr>
      <w:tblGrid>
        <w:gridCol w:w="1772"/>
        <w:gridCol w:w="1985"/>
        <w:gridCol w:w="3125"/>
        <w:gridCol w:w="2332"/>
        <w:gridCol w:w="1734"/>
        <w:gridCol w:w="1737"/>
        <w:gridCol w:w="1889"/>
      </w:tblGrid>
      <w:tr w:rsidR="005353A4" w:rsidRPr="00ED74C3" w:rsidTr="005353A4">
        <w:trPr>
          <w:trHeight w:val="315"/>
        </w:trPr>
        <w:tc>
          <w:tcPr>
            <w:tcW w:w="608" w:type="pct"/>
            <w:vMerge w:val="restart"/>
            <w:tcBorders>
              <w:top w:val="single" w:sz="12" w:space="0" w:color="auto"/>
              <w:left w:val="single" w:sz="12" w:space="0" w:color="auto"/>
              <w:bottom w:val="single" w:sz="4" w:space="0" w:color="auto"/>
              <w:right w:val="single" w:sz="4" w:space="0" w:color="auto"/>
            </w:tcBorders>
            <w:shd w:val="clear" w:color="000000" w:fill="5B9BD5"/>
            <w:noWrap/>
            <w:vAlign w:val="center"/>
            <w:hideMark/>
          </w:tcPr>
          <w:p w:rsidR="005353A4" w:rsidRPr="00ED74C3" w:rsidRDefault="005353A4" w:rsidP="005353A4">
            <w:pPr>
              <w:spacing w:after="0" w:line="240" w:lineRule="auto"/>
              <w:jc w:val="center"/>
              <w:rPr>
                <w:b/>
                <w:bCs w:val="0"/>
                <w:color w:val="FFFFFF"/>
                <w:sz w:val="20"/>
                <w:szCs w:val="20"/>
                <w:lang w:eastAsia="es-EC"/>
              </w:rPr>
            </w:pPr>
            <w:bookmarkStart w:id="0" w:name="_GoBack"/>
            <w:bookmarkEnd w:id="0"/>
            <w:r w:rsidRPr="00ED74C3">
              <w:rPr>
                <w:b/>
                <w:color w:val="FFFFFF"/>
                <w:sz w:val="20"/>
                <w:szCs w:val="20"/>
                <w:lang w:eastAsia="es-EC"/>
              </w:rPr>
              <w:t>TIPO/CLASE</w:t>
            </w:r>
          </w:p>
        </w:tc>
        <w:tc>
          <w:tcPr>
            <w:tcW w:w="681" w:type="pct"/>
            <w:vMerge w:val="restart"/>
            <w:tcBorders>
              <w:top w:val="single" w:sz="12" w:space="0" w:color="auto"/>
              <w:left w:val="single" w:sz="4" w:space="0" w:color="auto"/>
              <w:bottom w:val="single" w:sz="4" w:space="0" w:color="auto"/>
              <w:right w:val="single" w:sz="4" w:space="0" w:color="auto"/>
            </w:tcBorders>
            <w:shd w:val="clear" w:color="000000" w:fill="5B9BD5"/>
            <w:noWrap/>
            <w:vAlign w:val="center"/>
            <w:hideMark/>
          </w:tcPr>
          <w:p w:rsidR="005353A4" w:rsidRPr="00ED74C3" w:rsidRDefault="005353A4" w:rsidP="005353A4">
            <w:pPr>
              <w:spacing w:after="0" w:line="240" w:lineRule="auto"/>
              <w:jc w:val="center"/>
              <w:rPr>
                <w:b/>
                <w:bCs w:val="0"/>
                <w:color w:val="FFFFFF"/>
                <w:sz w:val="20"/>
                <w:szCs w:val="20"/>
                <w:lang w:eastAsia="es-EC"/>
              </w:rPr>
            </w:pPr>
            <w:r w:rsidRPr="00ED74C3">
              <w:rPr>
                <w:b/>
                <w:color w:val="FFFFFF"/>
                <w:sz w:val="20"/>
                <w:szCs w:val="20"/>
                <w:lang w:eastAsia="es-EC"/>
              </w:rPr>
              <w:t>CAUSA DEL RIESGO</w:t>
            </w:r>
          </w:p>
        </w:tc>
        <w:tc>
          <w:tcPr>
            <w:tcW w:w="1072" w:type="pct"/>
            <w:vMerge w:val="restart"/>
            <w:tcBorders>
              <w:top w:val="single" w:sz="12" w:space="0" w:color="auto"/>
              <w:left w:val="single" w:sz="4" w:space="0" w:color="auto"/>
              <w:bottom w:val="single" w:sz="4" w:space="0" w:color="auto"/>
              <w:right w:val="single" w:sz="4" w:space="0" w:color="auto"/>
            </w:tcBorders>
            <w:shd w:val="clear" w:color="000000" w:fill="5B9BD5"/>
            <w:noWrap/>
            <w:vAlign w:val="center"/>
            <w:hideMark/>
          </w:tcPr>
          <w:p w:rsidR="005353A4" w:rsidRPr="00ED74C3" w:rsidRDefault="005353A4" w:rsidP="005353A4">
            <w:pPr>
              <w:spacing w:after="0" w:line="240" w:lineRule="auto"/>
              <w:jc w:val="center"/>
              <w:rPr>
                <w:b/>
                <w:bCs w:val="0"/>
                <w:color w:val="FFFFFF"/>
                <w:sz w:val="20"/>
                <w:szCs w:val="20"/>
                <w:lang w:eastAsia="es-EC"/>
              </w:rPr>
            </w:pPr>
            <w:r w:rsidRPr="00ED74C3">
              <w:rPr>
                <w:b/>
                <w:color w:val="FFFFFF"/>
                <w:sz w:val="20"/>
                <w:szCs w:val="20"/>
                <w:lang w:eastAsia="es-EC"/>
              </w:rPr>
              <w:t>OBSERVACIONES / ACCIONES</w:t>
            </w:r>
          </w:p>
        </w:tc>
        <w:tc>
          <w:tcPr>
            <w:tcW w:w="800" w:type="pct"/>
            <w:vMerge w:val="restart"/>
            <w:tcBorders>
              <w:top w:val="single" w:sz="12" w:space="0" w:color="auto"/>
              <w:left w:val="single" w:sz="4" w:space="0" w:color="auto"/>
              <w:bottom w:val="single" w:sz="4" w:space="0" w:color="auto"/>
              <w:right w:val="single" w:sz="4" w:space="0" w:color="auto"/>
            </w:tcBorders>
            <w:shd w:val="clear" w:color="000000" w:fill="5B9BD5"/>
            <w:noWrap/>
            <w:vAlign w:val="center"/>
            <w:hideMark/>
          </w:tcPr>
          <w:p w:rsidR="005353A4" w:rsidRPr="00ED74C3" w:rsidRDefault="005353A4" w:rsidP="005353A4">
            <w:pPr>
              <w:spacing w:after="0" w:line="240" w:lineRule="auto"/>
              <w:jc w:val="center"/>
              <w:rPr>
                <w:b/>
                <w:bCs w:val="0"/>
                <w:color w:val="FFFFFF"/>
                <w:sz w:val="20"/>
                <w:szCs w:val="20"/>
                <w:lang w:eastAsia="es-EC"/>
              </w:rPr>
            </w:pPr>
            <w:proofErr w:type="spellStart"/>
            <w:r w:rsidRPr="00ED74C3">
              <w:rPr>
                <w:b/>
                <w:color w:val="FFFFFF"/>
                <w:sz w:val="20"/>
                <w:szCs w:val="20"/>
                <w:lang w:eastAsia="es-EC"/>
              </w:rPr>
              <w:t>ASIGNACION</w:t>
            </w:r>
            <w:proofErr w:type="spellEnd"/>
          </w:p>
        </w:tc>
        <w:tc>
          <w:tcPr>
            <w:tcW w:w="595" w:type="pct"/>
            <w:vMerge w:val="restart"/>
            <w:tcBorders>
              <w:top w:val="single" w:sz="12" w:space="0" w:color="auto"/>
              <w:left w:val="single" w:sz="4" w:space="0" w:color="auto"/>
              <w:bottom w:val="single" w:sz="4" w:space="0" w:color="auto"/>
              <w:right w:val="single" w:sz="4" w:space="0" w:color="auto"/>
            </w:tcBorders>
            <w:shd w:val="clear" w:color="000000" w:fill="5B9BD5"/>
            <w:noWrap/>
            <w:vAlign w:val="center"/>
            <w:hideMark/>
          </w:tcPr>
          <w:p w:rsidR="005353A4" w:rsidRPr="00ED74C3" w:rsidRDefault="005353A4" w:rsidP="005353A4">
            <w:pPr>
              <w:spacing w:after="0" w:line="240" w:lineRule="auto"/>
              <w:jc w:val="center"/>
              <w:rPr>
                <w:b/>
                <w:bCs w:val="0"/>
                <w:color w:val="FFFFFF"/>
                <w:sz w:val="20"/>
                <w:szCs w:val="20"/>
                <w:lang w:eastAsia="es-EC"/>
              </w:rPr>
            </w:pPr>
            <w:proofErr w:type="spellStart"/>
            <w:r w:rsidRPr="00ED74C3">
              <w:rPr>
                <w:b/>
                <w:color w:val="FFFFFF"/>
                <w:sz w:val="20"/>
                <w:szCs w:val="20"/>
                <w:lang w:eastAsia="es-EC"/>
              </w:rPr>
              <w:t>MITIGACION</w:t>
            </w:r>
            <w:proofErr w:type="spellEnd"/>
          </w:p>
        </w:tc>
        <w:tc>
          <w:tcPr>
            <w:tcW w:w="1244" w:type="pct"/>
            <w:gridSpan w:val="2"/>
            <w:tcBorders>
              <w:top w:val="single" w:sz="12" w:space="0" w:color="auto"/>
              <w:left w:val="nil"/>
              <w:bottom w:val="single" w:sz="4" w:space="0" w:color="auto"/>
              <w:right w:val="single" w:sz="12" w:space="0" w:color="000000"/>
            </w:tcBorders>
            <w:shd w:val="clear" w:color="000000" w:fill="5B9BD5"/>
            <w:noWrap/>
            <w:vAlign w:val="bottom"/>
            <w:hideMark/>
          </w:tcPr>
          <w:p w:rsidR="005353A4" w:rsidRPr="00ED74C3" w:rsidRDefault="005353A4" w:rsidP="005353A4">
            <w:pPr>
              <w:spacing w:after="0" w:line="240" w:lineRule="auto"/>
              <w:jc w:val="center"/>
              <w:rPr>
                <w:b/>
                <w:bCs w:val="0"/>
                <w:color w:val="FFFFFF"/>
                <w:sz w:val="20"/>
                <w:szCs w:val="20"/>
                <w:lang w:eastAsia="es-EC"/>
              </w:rPr>
            </w:pPr>
            <w:proofErr w:type="spellStart"/>
            <w:r w:rsidRPr="00ED74C3">
              <w:rPr>
                <w:b/>
                <w:color w:val="FFFFFF"/>
                <w:sz w:val="20"/>
                <w:szCs w:val="20"/>
                <w:lang w:eastAsia="es-EC"/>
              </w:rPr>
              <w:t>ESTIMACION</w:t>
            </w:r>
            <w:proofErr w:type="spellEnd"/>
            <w:r w:rsidRPr="00ED74C3">
              <w:rPr>
                <w:b/>
                <w:color w:val="FFFFFF"/>
                <w:sz w:val="20"/>
                <w:szCs w:val="20"/>
                <w:lang w:eastAsia="es-EC"/>
              </w:rPr>
              <w:t xml:space="preserve"> DEL RIESGO</w:t>
            </w:r>
          </w:p>
        </w:tc>
      </w:tr>
      <w:tr w:rsidR="005353A4" w:rsidRPr="00ED74C3" w:rsidTr="005353A4">
        <w:trPr>
          <w:trHeight w:val="300"/>
        </w:trPr>
        <w:tc>
          <w:tcPr>
            <w:tcW w:w="608" w:type="pct"/>
            <w:vMerge/>
            <w:tcBorders>
              <w:top w:val="single" w:sz="12" w:space="0" w:color="auto"/>
              <w:left w:val="single" w:sz="12" w:space="0" w:color="auto"/>
              <w:bottom w:val="single" w:sz="4" w:space="0" w:color="auto"/>
              <w:right w:val="single" w:sz="4" w:space="0" w:color="auto"/>
            </w:tcBorders>
            <w:vAlign w:val="center"/>
            <w:hideMark/>
          </w:tcPr>
          <w:p w:rsidR="005353A4" w:rsidRPr="00ED74C3" w:rsidRDefault="005353A4" w:rsidP="005353A4">
            <w:pPr>
              <w:spacing w:after="0" w:line="240" w:lineRule="auto"/>
              <w:jc w:val="center"/>
              <w:rPr>
                <w:b/>
                <w:bCs w:val="0"/>
                <w:color w:val="FFFFFF"/>
                <w:sz w:val="20"/>
                <w:szCs w:val="20"/>
                <w:lang w:eastAsia="es-EC"/>
              </w:rPr>
            </w:pPr>
          </w:p>
        </w:tc>
        <w:tc>
          <w:tcPr>
            <w:tcW w:w="681" w:type="pct"/>
            <w:vMerge/>
            <w:tcBorders>
              <w:top w:val="single" w:sz="12" w:space="0" w:color="auto"/>
              <w:left w:val="single" w:sz="4" w:space="0" w:color="auto"/>
              <w:bottom w:val="single" w:sz="4" w:space="0" w:color="auto"/>
              <w:right w:val="single" w:sz="4" w:space="0" w:color="auto"/>
            </w:tcBorders>
            <w:vAlign w:val="center"/>
            <w:hideMark/>
          </w:tcPr>
          <w:p w:rsidR="005353A4" w:rsidRPr="00ED74C3" w:rsidRDefault="005353A4" w:rsidP="005353A4">
            <w:pPr>
              <w:spacing w:after="0" w:line="240" w:lineRule="auto"/>
              <w:rPr>
                <w:b/>
                <w:bCs w:val="0"/>
                <w:color w:val="FFFFFF"/>
                <w:sz w:val="20"/>
                <w:szCs w:val="20"/>
                <w:lang w:eastAsia="es-EC"/>
              </w:rPr>
            </w:pPr>
          </w:p>
        </w:tc>
        <w:tc>
          <w:tcPr>
            <w:tcW w:w="1072" w:type="pct"/>
            <w:vMerge/>
            <w:tcBorders>
              <w:top w:val="single" w:sz="12" w:space="0" w:color="auto"/>
              <w:left w:val="single" w:sz="4" w:space="0" w:color="auto"/>
              <w:bottom w:val="single" w:sz="4" w:space="0" w:color="auto"/>
              <w:right w:val="single" w:sz="4" w:space="0" w:color="auto"/>
            </w:tcBorders>
            <w:vAlign w:val="center"/>
            <w:hideMark/>
          </w:tcPr>
          <w:p w:rsidR="005353A4" w:rsidRPr="00ED74C3" w:rsidRDefault="005353A4" w:rsidP="005353A4">
            <w:pPr>
              <w:spacing w:after="0" w:line="240" w:lineRule="auto"/>
              <w:rPr>
                <w:b/>
                <w:bCs w:val="0"/>
                <w:color w:val="FFFFFF"/>
                <w:sz w:val="20"/>
                <w:szCs w:val="20"/>
                <w:lang w:eastAsia="es-EC"/>
              </w:rPr>
            </w:pPr>
          </w:p>
        </w:tc>
        <w:tc>
          <w:tcPr>
            <w:tcW w:w="800" w:type="pct"/>
            <w:vMerge/>
            <w:tcBorders>
              <w:top w:val="single" w:sz="12" w:space="0" w:color="auto"/>
              <w:left w:val="single" w:sz="4" w:space="0" w:color="auto"/>
              <w:bottom w:val="single" w:sz="4" w:space="0" w:color="auto"/>
              <w:right w:val="single" w:sz="4" w:space="0" w:color="auto"/>
            </w:tcBorders>
            <w:vAlign w:val="center"/>
            <w:hideMark/>
          </w:tcPr>
          <w:p w:rsidR="005353A4" w:rsidRPr="00ED74C3" w:rsidRDefault="005353A4" w:rsidP="005353A4">
            <w:pPr>
              <w:spacing w:after="0" w:line="240" w:lineRule="auto"/>
              <w:rPr>
                <w:b/>
                <w:bCs w:val="0"/>
                <w:color w:val="FFFFFF"/>
                <w:sz w:val="20"/>
                <w:szCs w:val="20"/>
                <w:lang w:eastAsia="es-EC"/>
              </w:rPr>
            </w:pPr>
          </w:p>
        </w:tc>
        <w:tc>
          <w:tcPr>
            <w:tcW w:w="595" w:type="pct"/>
            <w:vMerge/>
            <w:tcBorders>
              <w:top w:val="single" w:sz="12" w:space="0" w:color="auto"/>
              <w:left w:val="single" w:sz="4" w:space="0" w:color="auto"/>
              <w:bottom w:val="single" w:sz="4" w:space="0" w:color="auto"/>
              <w:right w:val="single" w:sz="4" w:space="0" w:color="auto"/>
            </w:tcBorders>
            <w:vAlign w:val="center"/>
            <w:hideMark/>
          </w:tcPr>
          <w:p w:rsidR="005353A4" w:rsidRPr="00ED74C3" w:rsidRDefault="005353A4" w:rsidP="005353A4">
            <w:pPr>
              <w:spacing w:after="0" w:line="240" w:lineRule="auto"/>
              <w:rPr>
                <w:b/>
                <w:bCs w:val="0"/>
                <w:color w:val="FFFFFF"/>
                <w:sz w:val="20"/>
                <w:szCs w:val="20"/>
                <w:lang w:eastAsia="es-EC"/>
              </w:rPr>
            </w:pPr>
          </w:p>
        </w:tc>
        <w:tc>
          <w:tcPr>
            <w:tcW w:w="596" w:type="pct"/>
            <w:tcBorders>
              <w:top w:val="nil"/>
              <w:left w:val="nil"/>
              <w:bottom w:val="single" w:sz="4" w:space="0" w:color="auto"/>
              <w:right w:val="single" w:sz="4" w:space="0" w:color="auto"/>
            </w:tcBorders>
            <w:shd w:val="clear" w:color="000000" w:fill="5B9BD5"/>
            <w:noWrap/>
            <w:vAlign w:val="bottom"/>
            <w:hideMark/>
          </w:tcPr>
          <w:p w:rsidR="005353A4" w:rsidRPr="00ED74C3" w:rsidRDefault="005353A4" w:rsidP="005353A4">
            <w:pPr>
              <w:spacing w:after="0" w:line="240" w:lineRule="auto"/>
              <w:rPr>
                <w:b/>
                <w:bCs w:val="0"/>
                <w:color w:val="FFFFFF"/>
                <w:sz w:val="20"/>
                <w:szCs w:val="20"/>
                <w:lang w:eastAsia="es-EC"/>
              </w:rPr>
            </w:pPr>
            <w:r w:rsidRPr="00ED74C3">
              <w:rPr>
                <w:b/>
                <w:color w:val="FFFFFF"/>
                <w:sz w:val="20"/>
                <w:szCs w:val="20"/>
                <w:lang w:eastAsia="es-EC"/>
              </w:rPr>
              <w:t>PROBABILIDAD</w:t>
            </w:r>
          </w:p>
        </w:tc>
        <w:tc>
          <w:tcPr>
            <w:tcW w:w="648" w:type="pct"/>
            <w:tcBorders>
              <w:top w:val="nil"/>
              <w:left w:val="nil"/>
              <w:bottom w:val="single" w:sz="4" w:space="0" w:color="auto"/>
              <w:right w:val="single" w:sz="12" w:space="0" w:color="auto"/>
            </w:tcBorders>
            <w:shd w:val="clear" w:color="000000" w:fill="5B9BD5"/>
            <w:noWrap/>
            <w:vAlign w:val="bottom"/>
            <w:hideMark/>
          </w:tcPr>
          <w:p w:rsidR="005353A4" w:rsidRPr="00ED74C3" w:rsidRDefault="005353A4" w:rsidP="005353A4">
            <w:pPr>
              <w:spacing w:after="0" w:line="240" w:lineRule="auto"/>
              <w:rPr>
                <w:b/>
                <w:bCs w:val="0"/>
                <w:color w:val="FFFFFF"/>
                <w:sz w:val="20"/>
                <w:szCs w:val="20"/>
                <w:lang w:eastAsia="es-EC"/>
              </w:rPr>
            </w:pPr>
            <w:r w:rsidRPr="00ED74C3">
              <w:rPr>
                <w:b/>
                <w:color w:val="FFFFFF"/>
                <w:sz w:val="20"/>
                <w:szCs w:val="20"/>
                <w:lang w:eastAsia="es-EC"/>
              </w:rPr>
              <w:t>IMPACTO</w:t>
            </w:r>
          </w:p>
        </w:tc>
      </w:tr>
      <w:tr w:rsidR="005353A4" w:rsidRPr="00ED74C3" w:rsidTr="005353A4">
        <w:trPr>
          <w:trHeight w:val="4785"/>
        </w:trPr>
        <w:tc>
          <w:tcPr>
            <w:tcW w:w="608" w:type="pct"/>
            <w:tcBorders>
              <w:top w:val="nil"/>
              <w:left w:val="single" w:sz="12" w:space="0" w:color="auto"/>
              <w:bottom w:val="single" w:sz="4" w:space="0" w:color="auto"/>
              <w:right w:val="single" w:sz="4" w:space="0" w:color="auto"/>
            </w:tcBorders>
            <w:shd w:val="clear" w:color="auto" w:fill="auto"/>
            <w:noWrap/>
            <w:vAlign w:val="bottom"/>
            <w:hideMark/>
          </w:tcPr>
          <w:p w:rsidR="005353A4" w:rsidRPr="00ED74C3" w:rsidRDefault="005353A4" w:rsidP="005353A4">
            <w:pPr>
              <w:spacing w:after="0" w:line="240" w:lineRule="auto"/>
              <w:jc w:val="center"/>
              <w:rPr>
                <w:color w:val="000000"/>
                <w:sz w:val="20"/>
                <w:szCs w:val="20"/>
                <w:lang w:eastAsia="es-EC"/>
              </w:rPr>
            </w:pP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Menores ingresos que los previstos por menor demanda</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Previsiones de demanda erróneas o que se desvían por cambios en la movilidad urbana.  En el caso en que el concesionario asuma este riesgo, debe realizar su propia estimación.  Así mismo, deben establecerse las condiciones de servicio y competencias de otros modos de transporte público que sean responsabilidad de la </w:t>
            </w:r>
            <w:proofErr w:type="spellStart"/>
            <w:r w:rsidRPr="00ED74C3">
              <w:rPr>
                <w:color w:val="000000"/>
                <w:sz w:val="20"/>
                <w:szCs w:val="20"/>
                <w:lang w:eastAsia="es-EC"/>
              </w:rPr>
              <w:t>MDMQ</w:t>
            </w:r>
            <w:proofErr w:type="spellEnd"/>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proofErr w:type="spellStart"/>
            <w:r w:rsidRPr="00ED74C3">
              <w:rPr>
                <w:color w:val="000000"/>
                <w:sz w:val="20"/>
                <w:szCs w:val="20"/>
                <w:lang w:eastAsia="es-EC"/>
              </w:rPr>
              <w:t>CONCESION</w:t>
            </w:r>
            <w:proofErr w:type="spellEnd"/>
            <w:r w:rsidRPr="00ED74C3">
              <w:rPr>
                <w:color w:val="000000"/>
                <w:sz w:val="20"/>
                <w:szCs w:val="20"/>
                <w:lang w:eastAsia="es-EC"/>
              </w:rPr>
              <w:t xml:space="preserve"> DE OPERACIÓN Se recomienda que el riesgo de demanda se mitigue en los servicios troncales y sea mayor en la alimentación.  El gestor público debe asumir el riesgo de no retirar otros servicios de transporte público en competencia o la implantación de nuevos.</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Servicio Troncal:</w:t>
            </w:r>
            <w:r w:rsidRPr="00ED74C3">
              <w:rPr>
                <w:color w:val="000000"/>
                <w:sz w:val="20"/>
                <w:szCs w:val="20"/>
                <w:lang w:eastAsia="es-EC"/>
              </w:rPr>
              <w:br/>
              <w:t>a) intervención sobre rutas paralelas y su eliminación (gestor público)</w:t>
            </w:r>
            <w:r w:rsidRPr="00ED74C3">
              <w:rPr>
                <w:color w:val="000000"/>
                <w:sz w:val="20"/>
                <w:szCs w:val="20"/>
                <w:lang w:eastAsia="es-EC"/>
              </w:rPr>
              <w:br/>
              <w:t>b) intervención sobre políticas de movilidad y medias contra el transporte ilegal-</w:t>
            </w:r>
            <w:proofErr w:type="spellStart"/>
            <w:r w:rsidRPr="00ED74C3">
              <w:rPr>
                <w:color w:val="000000"/>
                <w:sz w:val="20"/>
                <w:szCs w:val="20"/>
                <w:lang w:eastAsia="es-EC"/>
              </w:rPr>
              <w:t>alegal</w:t>
            </w:r>
            <w:proofErr w:type="spellEnd"/>
            <w:r w:rsidRPr="00ED74C3">
              <w:rPr>
                <w:color w:val="000000"/>
                <w:sz w:val="20"/>
                <w:szCs w:val="20"/>
                <w:lang w:eastAsia="es-EC"/>
              </w:rPr>
              <w:t xml:space="preserve"> (servicios informales, </w:t>
            </w:r>
            <w:proofErr w:type="spellStart"/>
            <w:r w:rsidRPr="00ED74C3">
              <w:rPr>
                <w:color w:val="000000"/>
                <w:sz w:val="20"/>
                <w:szCs w:val="20"/>
                <w:lang w:eastAsia="es-EC"/>
              </w:rPr>
              <w:t>mototaxismo</w:t>
            </w:r>
            <w:proofErr w:type="spellEnd"/>
            <w:r w:rsidRPr="00ED74C3">
              <w:rPr>
                <w:color w:val="000000"/>
                <w:sz w:val="20"/>
                <w:szCs w:val="20"/>
                <w:lang w:eastAsia="es-EC"/>
              </w:rPr>
              <w:t>, etc.) (Gestor público).</w:t>
            </w:r>
            <w:r w:rsidRPr="00ED74C3">
              <w:rPr>
                <w:color w:val="000000"/>
                <w:sz w:val="20"/>
                <w:szCs w:val="20"/>
                <w:lang w:eastAsia="es-EC"/>
              </w:rPr>
              <w:br/>
              <w:t xml:space="preserve">c) Compromiso de </w:t>
            </w:r>
            <w:proofErr w:type="spellStart"/>
            <w:r w:rsidRPr="00ED74C3">
              <w:rPr>
                <w:color w:val="000000"/>
                <w:sz w:val="20"/>
                <w:szCs w:val="20"/>
                <w:lang w:eastAsia="es-EC"/>
              </w:rPr>
              <w:t>chatarrizacion</w:t>
            </w:r>
            <w:proofErr w:type="spellEnd"/>
            <w:r w:rsidRPr="00ED74C3">
              <w:rPr>
                <w:color w:val="000000"/>
                <w:sz w:val="20"/>
                <w:szCs w:val="20"/>
                <w:lang w:eastAsia="es-EC"/>
              </w:rPr>
              <w:t xml:space="preserve"> de los concesionarios (si está incluido en el contrato)</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ALTA</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 xml:space="preserve">MEDIO </w:t>
            </w:r>
            <w:r w:rsidRPr="00ED74C3">
              <w:rPr>
                <w:color w:val="000000"/>
                <w:sz w:val="20"/>
                <w:szCs w:val="20"/>
                <w:lang w:eastAsia="es-EC"/>
              </w:rPr>
              <w:br/>
              <w:t xml:space="preserve">(El riesgo de la baja de la demanda se cubre de manera contractual al poner una salvaguardia en el contrato de concesión, respecto a modificaciones operacionales por la operación del METRO y su impacto en la demanda del </w:t>
            </w:r>
            <w:proofErr w:type="spellStart"/>
            <w:r w:rsidRPr="00ED74C3">
              <w:rPr>
                <w:color w:val="000000"/>
                <w:sz w:val="20"/>
                <w:szCs w:val="20"/>
                <w:lang w:eastAsia="es-EC"/>
              </w:rPr>
              <w:t>CCN</w:t>
            </w:r>
            <w:proofErr w:type="spellEnd"/>
            <w:r w:rsidRPr="00ED74C3">
              <w:rPr>
                <w:color w:val="000000"/>
                <w:sz w:val="20"/>
                <w:szCs w:val="20"/>
                <w:lang w:eastAsia="es-EC"/>
              </w:rPr>
              <w:t>)</w:t>
            </w:r>
          </w:p>
        </w:tc>
      </w:tr>
      <w:tr w:rsidR="005353A4" w:rsidRPr="00ED74C3" w:rsidTr="005353A4">
        <w:trPr>
          <w:trHeight w:val="2100"/>
        </w:trPr>
        <w:tc>
          <w:tcPr>
            <w:tcW w:w="608" w:type="pct"/>
            <w:tcBorders>
              <w:top w:val="nil"/>
              <w:left w:val="single" w:sz="12" w:space="0" w:color="auto"/>
              <w:bottom w:val="single" w:sz="4" w:space="0" w:color="auto"/>
              <w:right w:val="single" w:sz="4" w:space="0" w:color="auto"/>
            </w:tcBorders>
            <w:shd w:val="clear" w:color="auto" w:fill="auto"/>
            <w:noWrap/>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lastRenderedPageBreak/>
              <w:t> </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Tarifa al Usuario</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Política tarifaria que no busca la sostenibilidad del sistema sino objetivos de carácter político y social.</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proofErr w:type="spellStart"/>
            <w:r w:rsidRPr="00ED74C3">
              <w:rPr>
                <w:color w:val="000000"/>
                <w:sz w:val="20"/>
                <w:szCs w:val="20"/>
                <w:lang w:eastAsia="es-EC"/>
              </w:rPr>
              <w:t>MDMQ</w:t>
            </w:r>
            <w:proofErr w:type="spellEnd"/>
            <w:r w:rsidRPr="00ED74C3">
              <w:rPr>
                <w:color w:val="000000"/>
                <w:sz w:val="20"/>
                <w:szCs w:val="20"/>
                <w:lang w:eastAsia="es-EC"/>
              </w:rPr>
              <w:t xml:space="preserve"> si es quien decide la política tarifaria.  Asignación en base a las desviaciones sobre el escenario previsto en el c contrato.</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a) creador de órganos técnicos de asesoramiento a la alcaldía, en el marco de la futura autoridad de transporte o directamente en la SM.</w:t>
            </w:r>
            <w:r w:rsidRPr="00ED74C3">
              <w:rPr>
                <w:color w:val="000000"/>
                <w:sz w:val="20"/>
                <w:szCs w:val="20"/>
                <w:lang w:eastAsia="es-EC"/>
              </w:rPr>
              <w:br/>
              <w:t>b) Dimensionamiento del corredor sobre un escenario conservador de incremento de tarifa</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ALTA</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 xml:space="preserve">ALTO  </w:t>
            </w:r>
          </w:p>
        </w:tc>
      </w:tr>
      <w:tr w:rsidR="005353A4" w:rsidRPr="00ED74C3" w:rsidTr="005353A4">
        <w:trPr>
          <w:trHeight w:val="1800"/>
        </w:trPr>
        <w:tc>
          <w:tcPr>
            <w:tcW w:w="608" w:type="pct"/>
            <w:tcBorders>
              <w:top w:val="nil"/>
              <w:left w:val="single" w:sz="12" w:space="0" w:color="auto"/>
              <w:bottom w:val="single" w:sz="4" w:space="0" w:color="auto"/>
              <w:right w:val="single" w:sz="4" w:space="0" w:color="auto"/>
            </w:tcBorders>
            <w:shd w:val="clear" w:color="auto" w:fill="auto"/>
            <w:noWrap/>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Evasión</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Impacto de una alta evasión en los ingresos y en los indicadores de ocupación, inspección y  lucha contra la evasión.</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El ente gestor tienen la responsabilidad del control de la evasión, que esta delegado al concesionario de recaudo en las terminales, paradas  y autobuses</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Inspección y sanción, con atribuciones del gestor publico delegadas a:</w:t>
            </w:r>
            <w:r w:rsidRPr="00ED74C3">
              <w:rPr>
                <w:color w:val="000000"/>
                <w:sz w:val="20"/>
                <w:szCs w:val="20"/>
                <w:lang w:eastAsia="es-EC"/>
              </w:rPr>
              <w:br/>
              <w:t>i) el gestor del recaudo</w:t>
            </w:r>
            <w:r w:rsidRPr="00ED74C3">
              <w:rPr>
                <w:color w:val="000000"/>
                <w:sz w:val="20"/>
                <w:szCs w:val="20"/>
                <w:lang w:eastAsia="es-EC"/>
              </w:rPr>
              <w:br/>
              <w:t>ii) el concesionario</w:t>
            </w:r>
          </w:p>
        </w:tc>
        <w:tc>
          <w:tcPr>
            <w:tcW w:w="596"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ALTA</w:t>
            </w:r>
          </w:p>
        </w:tc>
        <w:tc>
          <w:tcPr>
            <w:tcW w:w="648" w:type="pct"/>
            <w:tcBorders>
              <w:top w:val="nil"/>
              <w:left w:val="nil"/>
              <w:bottom w:val="single" w:sz="4" w:space="0" w:color="auto"/>
              <w:right w:val="single" w:sz="12" w:space="0" w:color="auto"/>
            </w:tcBorders>
            <w:shd w:val="clear" w:color="auto" w:fill="auto"/>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ALTO</w:t>
            </w:r>
          </w:p>
        </w:tc>
      </w:tr>
      <w:tr w:rsidR="005353A4" w:rsidRPr="00ED74C3" w:rsidTr="005353A4">
        <w:trPr>
          <w:trHeight w:val="1500"/>
        </w:trPr>
        <w:tc>
          <w:tcPr>
            <w:tcW w:w="608" w:type="pct"/>
            <w:tcBorders>
              <w:top w:val="nil"/>
              <w:left w:val="single" w:sz="12" w:space="0" w:color="auto"/>
              <w:bottom w:val="single" w:sz="4" w:space="0" w:color="auto"/>
              <w:right w:val="single" w:sz="4" w:space="0" w:color="auto"/>
            </w:tcBorders>
            <w:shd w:val="clear" w:color="auto" w:fill="auto"/>
            <w:noWrap/>
            <w:vAlign w:val="center"/>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lastRenderedPageBreak/>
              <w:t>Regulatorio</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Modificación del sistema fiscal: tasas, impuestos y contribuciones</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Cambios del sistema impositivo por nueva regulación nacional o municipal</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CONCESIONARIO DE OPERACIÓN</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Posibilidad de reequilibrio económico en el caso de modificaciones sustanciales en el sistema fiscal (definidas con precisión en el contrato)</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ALTA</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ALTO</w:t>
            </w:r>
          </w:p>
        </w:tc>
      </w:tr>
      <w:tr w:rsidR="005353A4" w:rsidRPr="00ED74C3" w:rsidTr="005353A4">
        <w:trPr>
          <w:trHeight w:val="4800"/>
        </w:trPr>
        <w:tc>
          <w:tcPr>
            <w:tcW w:w="608" w:type="pct"/>
            <w:tcBorders>
              <w:top w:val="nil"/>
              <w:left w:val="single" w:sz="12" w:space="0" w:color="auto"/>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Recursos Materiales</w:t>
            </w:r>
            <w:r w:rsidRPr="00ED74C3">
              <w:rPr>
                <w:color w:val="000000"/>
                <w:sz w:val="20"/>
                <w:szCs w:val="20"/>
                <w:lang w:eastAsia="es-EC"/>
              </w:rPr>
              <w:br/>
              <w:t>(incluida flota)</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Flota (vehículos) adquiridos durante la operación del sistema y sus cambios en km de servicio, no amortizados en su totalidad al término de la concesión o en periodos intermedios por cambios de parámetros de operación</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Las concesiones del </w:t>
            </w:r>
            <w:proofErr w:type="spellStart"/>
            <w:r w:rsidRPr="00ED74C3">
              <w:rPr>
                <w:color w:val="000000"/>
                <w:sz w:val="20"/>
                <w:szCs w:val="20"/>
                <w:lang w:eastAsia="es-EC"/>
              </w:rPr>
              <w:t>CCN-CSOc</w:t>
            </w:r>
            <w:proofErr w:type="spellEnd"/>
            <w:r w:rsidRPr="00ED74C3">
              <w:rPr>
                <w:color w:val="000000"/>
                <w:sz w:val="20"/>
                <w:szCs w:val="20"/>
                <w:lang w:eastAsia="es-EC"/>
              </w:rPr>
              <w:t xml:space="preserve"> tienen que mantener un mecanismo que permita cierta flexibilidad en los cambios de operación (más o menos km de servicio).  Entre unos umbrales, que se proponen sean-10% y +15% de los km, se considera que pueden utilizarse los medios existentes, incluidas las reservas.  A partir de los mismos, habría una revisión de costos.  En todo caso, en el servicio troncal el gestor público asume el riesgo de amortización y adquisición de los vehículos no amortizados al finalizar la concesión para su uso en la misma por otro </w:t>
            </w:r>
            <w:r w:rsidRPr="00ED74C3">
              <w:rPr>
                <w:color w:val="000000"/>
                <w:sz w:val="20"/>
                <w:szCs w:val="20"/>
                <w:lang w:eastAsia="es-EC"/>
              </w:rPr>
              <w:lastRenderedPageBreak/>
              <w:t>concesionario.</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lastRenderedPageBreak/>
              <w:t>GESTOR PUBLICO(asume el riesgo de amortización y recompra)</w:t>
            </w:r>
            <w:r w:rsidRPr="00ED74C3">
              <w:rPr>
                <w:color w:val="000000"/>
                <w:sz w:val="20"/>
                <w:szCs w:val="20"/>
                <w:lang w:eastAsia="es-EC"/>
              </w:rPr>
              <w:br/>
              <w:t>OPERADOR (el operador asume el riesgo de la adquisición al precio que propone en la licitación)</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Gestor Publico: asunción de la amortización y recompra.</w:t>
            </w:r>
            <w:r w:rsidRPr="00ED74C3">
              <w:rPr>
                <w:color w:val="000000"/>
                <w:sz w:val="20"/>
                <w:szCs w:val="20"/>
                <w:lang w:eastAsia="es-EC"/>
              </w:rPr>
              <w:br/>
              <w:t>Operador: reequilibrio en el caso de cambios en la tecnología de los vehículos y su precio, sobre lo establecido en el contrato</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 xml:space="preserve">BAJO </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r>
      <w:tr w:rsidR="005353A4" w:rsidRPr="00ED74C3" w:rsidTr="005353A4">
        <w:trPr>
          <w:trHeight w:val="900"/>
        </w:trPr>
        <w:tc>
          <w:tcPr>
            <w:tcW w:w="608" w:type="pct"/>
            <w:tcBorders>
              <w:top w:val="nil"/>
              <w:left w:val="single" w:sz="12" w:space="0" w:color="auto"/>
              <w:bottom w:val="single" w:sz="4" w:space="0" w:color="auto"/>
              <w:right w:val="single" w:sz="4" w:space="0" w:color="auto"/>
            </w:tcBorders>
            <w:shd w:val="clear" w:color="auto" w:fill="auto"/>
            <w:noWrap/>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lastRenderedPageBreak/>
              <w:t>Cambiario</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Riesgo cambiario vehículos, equipos y financiación</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Variaciones en las tasas de cambio debido a factores macroeconómicos (USD)</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CONCESIONARIO DE OPERACIÓN</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No se ve procedente establecer un seguro de cambio y asignar el riesgo al gestor publico</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 xml:space="preserve">BAJO </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BAJO</w:t>
            </w:r>
          </w:p>
        </w:tc>
      </w:tr>
      <w:tr w:rsidR="005353A4" w:rsidRPr="00ED74C3" w:rsidTr="005353A4">
        <w:trPr>
          <w:trHeight w:val="1800"/>
        </w:trPr>
        <w:tc>
          <w:tcPr>
            <w:tcW w:w="608" w:type="pct"/>
            <w:tcBorders>
              <w:top w:val="nil"/>
              <w:left w:val="single" w:sz="12" w:space="0" w:color="auto"/>
              <w:bottom w:val="single" w:sz="4" w:space="0" w:color="auto"/>
              <w:right w:val="single" w:sz="4" w:space="0" w:color="auto"/>
            </w:tcBorders>
            <w:shd w:val="clear" w:color="auto" w:fill="auto"/>
            <w:noWrap/>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Comercial</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Riesgo de fraude en liquidaciones de concesionario de recaudo o errores en la </w:t>
            </w:r>
            <w:r w:rsidRPr="00ED74C3">
              <w:rPr>
                <w:color w:val="000000"/>
                <w:sz w:val="20"/>
                <w:szCs w:val="20"/>
                <w:lang w:eastAsia="es-EC"/>
              </w:rPr>
              <w:lastRenderedPageBreak/>
              <w:t>retribución del gestor publico</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lastRenderedPageBreak/>
              <w:t>Este riesgo es evaluado como una distorsión del sistema y deben existir mecanismo legales y regulatorios que protejan al concesionario</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GESTOR PUBLICO </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Establecimiento de garantías mediante procedimientos con traslados, </w:t>
            </w:r>
            <w:r w:rsidRPr="00ED74C3">
              <w:rPr>
                <w:color w:val="000000"/>
                <w:sz w:val="20"/>
                <w:szCs w:val="20"/>
                <w:lang w:eastAsia="es-EC"/>
              </w:rPr>
              <w:lastRenderedPageBreak/>
              <w:t>auditorias públicas y un mecanismo de compensación transparente</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lastRenderedPageBreak/>
              <w:t>MEDIO</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r>
      <w:tr w:rsidR="005353A4" w:rsidRPr="00ED74C3" w:rsidTr="005353A4">
        <w:trPr>
          <w:trHeight w:val="1200"/>
        </w:trPr>
        <w:tc>
          <w:tcPr>
            <w:tcW w:w="608" w:type="pct"/>
            <w:tcBorders>
              <w:top w:val="nil"/>
              <w:left w:val="single" w:sz="12" w:space="0" w:color="auto"/>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lastRenderedPageBreak/>
              <w:t>Fuerza mayor riesgo político no asegurable</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Suspensión de los ingresos por causas de fuerza mayor no asegurado</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GESTOR PUBLICO </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a) Mecanismos de previsión y flexibilidad de la programación de la operación.</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 (si la medida es temporal)</w:t>
            </w:r>
          </w:p>
        </w:tc>
      </w:tr>
      <w:tr w:rsidR="005353A4" w:rsidRPr="00ED74C3" w:rsidTr="005353A4">
        <w:trPr>
          <w:trHeight w:val="2400"/>
        </w:trPr>
        <w:tc>
          <w:tcPr>
            <w:tcW w:w="608" w:type="pct"/>
            <w:tcBorders>
              <w:top w:val="nil"/>
              <w:left w:val="single" w:sz="12" w:space="0" w:color="auto"/>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Fuerza mayor asegurable</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Desastres naturales y accidentes que puedan ser asegurables</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El concesionario puede asumir ciertas contingencias de pequeña magnitud, como suspensiones temporales del servicio y servicios especiales no previstos.  A partir de un umbral, el gestor público debe retribuir al concesionario en base a los costos fijos del servicio no realizado</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CONCESIONARIO DE OPERACIÓN - GESTOR PUBLICO</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a) Mecanismos de previsión y flexibilidad de la programación de la operación.</w:t>
            </w:r>
            <w:r w:rsidRPr="00ED74C3">
              <w:rPr>
                <w:color w:val="000000"/>
                <w:sz w:val="20"/>
                <w:szCs w:val="20"/>
                <w:lang w:eastAsia="es-EC"/>
              </w:rPr>
              <w:br/>
              <w:t xml:space="preserve">b) Inclusión de la exigencia de un seguro de siniestros en los contratos de servicio </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BAJO</w:t>
            </w:r>
          </w:p>
        </w:tc>
      </w:tr>
      <w:tr w:rsidR="005353A4" w:rsidRPr="00ED74C3" w:rsidTr="005353A4">
        <w:trPr>
          <w:trHeight w:val="1500"/>
        </w:trPr>
        <w:tc>
          <w:tcPr>
            <w:tcW w:w="608" w:type="pct"/>
            <w:tcBorders>
              <w:top w:val="nil"/>
              <w:left w:val="single" w:sz="12" w:space="0" w:color="auto"/>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Operación</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Mayores costos de los previstos</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desviaciones de costos no imputables a cambios en la operación, vehículos, etc.,… </w:t>
            </w:r>
            <w:r w:rsidRPr="00ED74C3">
              <w:rPr>
                <w:color w:val="000000"/>
                <w:sz w:val="20"/>
                <w:szCs w:val="20"/>
                <w:lang w:eastAsia="es-EC"/>
              </w:rPr>
              <w:br/>
              <w:t>exigidos por el gestor público y no contemplados con el contrato</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CONCESIONARIO</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Adecuado diseño del proyecto público (proyecto técnico) y </w:t>
            </w:r>
            <w:r w:rsidRPr="00ED74C3">
              <w:rPr>
                <w:color w:val="000000"/>
                <w:sz w:val="20"/>
                <w:szCs w:val="20"/>
                <w:lang w:eastAsia="es-EC"/>
              </w:rPr>
              <w:lastRenderedPageBreak/>
              <w:t>claridad en los criterios de valoración de las propuestas</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lastRenderedPageBreak/>
              <w:t>MEDIO</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r>
      <w:tr w:rsidR="005353A4" w:rsidRPr="00ED74C3" w:rsidTr="005353A4">
        <w:trPr>
          <w:trHeight w:val="1500"/>
        </w:trPr>
        <w:tc>
          <w:tcPr>
            <w:tcW w:w="608" w:type="pct"/>
            <w:tcBorders>
              <w:top w:val="nil"/>
              <w:left w:val="single" w:sz="12" w:space="0" w:color="auto"/>
              <w:bottom w:val="single" w:sz="4" w:space="0" w:color="auto"/>
              <w:right w:val="single" w:sz="4" w:space="0" w:color="auto"/>
            </w:tcBorders>
            <w:shd w:val="clear" w:color="auto" w:fill="auto"/>
            <w:noWrap/>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lastRenderedPageBreak/>
              <w:t> </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Costos imputados a cambios exigidos por el gestor público, no considerados en el contrato (por ejemplo, tecnología de vehículos o nuevas instalaciones de mantenimiento, etc.,…)</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GESTOR PUBLICO</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Adecuado mecanismo de reequilibrio a incluir en el contrato de servicio.</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r>
      <w:tr w:rsidR="005353A4" w:rsidRPr="00ED74C3" w:rsidTr="005353A4">
        <w:trPr>
          <w:trHeight w:val="2100"/>
        </w:trPr>
        <w:tc>
          <w:tcPr>
            <w:tcW w:w="608" w:type="pct"/>
            <w:tcBorders>
              <w:top w:val="nil"/>
              <w:left w:val="single" w:sz="12" w:space="0" w:color="auto"/>
              <w:bottom w:val="single" w:sz="4" w:space="0" w:color="auto"/>
              <w:right w:val="single" w:sz="4" w:space="0" w:color="auto"/>
            </w:tcBorders>
            <w:shd w:val="clear" w:color="auto" w:fill="auto"/>
            <w:noWrap/>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Cambios en la estructura de costos por desviaciones sobre los índices automáticos establecidos </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Cambios de precios de combustibles, personal, etc.,… </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CONCESIONARIO-GESTOR PUBLICO se establece en el contrato un mecanismo de revisión de la estructura de costos a cambiar situación de operación o en el periodo intermedio de la concesión.</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Adecuado mecanismo de reequilibrio a incluir en el contrato de servicio.</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r>
      <w:tr w:rsidR="005353A4" w:rsidRPr="00ED74C3" w:rsidTr="005353A4">
        <w:trPr>
          <w:trHeight w:val="2700"/>
        </w:trPr>
        <w:tc>
          <w:tcPr>
            <w:tcW w:w="608" w:type="pct"/>
            <w:tcBorders>
              <w:top w:val="nil"/>
              <w:left w:val="single" w:sz="12" w:space="0" w:color="auto"/>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lastRenderedPageBreak/>
              <w:t>Operación</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Mayores costos por km en vacío </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El concesionario es responsable de los costos de los km en vacío y su inclusión en el coeficiente de pago que propone en la licitación.</w:t>
            </w:r>
            <w:r w:rsidRPr="00ED74C3">
              <w:rPr>
                <w:color w:val="000000"/>
                <w:sz w:val="20"/>
                <w:szCs w:val="20"/>
                <w:lang w:eastAsia="es-EC"/>
              </w:rPr>
              <w:br/>
              <w:t>La búsqueda de un patio ubicado de manera conveniente es responsabilidad del concesionario, salvo que se le exija operar desde patios públicos con localización no adecuada.</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CONCESIONARIO DE OPERACIÓN</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En el caso de que no se imponga al concesionario la ubicación del patio, es responsabilidad de este el cálculo de los km en vacío y su consideración en el monto total de costos</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 xml:space="preserve">BAJO </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r>
      <w:tr w:rsidR="005353A4" w:rsidRPr="00ED74C3" w:rsidTr="005353A4">
        <w:trPr>
          <w:trHeight w:val="3300"/>
        </w:trPr>
        <w:tc>
          <w:tcPr>
            <w:tcW w:w="608" w:type="pct"/>
            <w:tcBorders>
              <w:top w:val="nil"/>
              <w:left w:val="single" w:sz="12" w:space="0" w:color="auto"/>
              <w:bottom w:val="single" w:sz="4" w:space="0" w:color="auto"/>
              <w:right w:val="single" w:sz="4" w:space="0" w:color="auto"/>
            </w:tcBorders>
            <w:shd w:val="clear" w:color="auto" w:fill="auto"/>
            <w:noWrap/>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Mayores costos por concepto de mal estado de la infraestructura vial o de la competencia con el transito</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El concesionario es responsable de la operación en la red vial urbana común con el tránsito y en condiciones ordinarias de congestión.  No es responsable de situaciones de obras o cortes viales que impiden la operación (no en el caso de que solo la ralenticen) en el caso de la infraestructura dedicada en la troncal, el concesionario no es responsable de su estado de  mantenimiento.</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CONCESIONARIO DE OPERACIÓN para las rutas alimentadoras. </w:t>
            </w:r>
            <w:r w:rsidRPr="00ED74C3">
              <w:rPr>
                <w:color w:val="000000"/>
                <w:sz w:val="20"/>
                <w:szCs w:val="20"/>
                <w:lang w:eastAsia="es-EC"/>
              </w:rPr>
              <w:br/>
              <w:t>GESTOR PUBLICO para la infraestructura troncal</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Mecanismo de pago de costos fijos en la fórmula de retribución, siempre en el caso de que el servicio no pueda realizarse y la infraestructura este intransitable</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 xml:space="preserve">MEDIO </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r>
      <w:tr w:rsidR="005353A4" w:rsidRPr="00ED74C3" w:rsidTr="005353A4">
        <w:trPr>
          <w:trHeight w:val="1500"/>
        </w:trPr>
        <w:tc>
          <w:tcPr>
            <w:tcW w:w="608" w:type="pct"/>
            <w:tcBorders>
              <w:top w:val="nil"/>
              <w:left w:val="single" w:sz="12" w:space="0" w:color="auto"/>
              <w:bottom w:val="single" w:sz="4" w:space="0" w:color="auto"/>
              <w:right w:val="single" w:sz="4" w:space="0" w:color="auto"/>
            </w:tcBorders>
            <w:shd w:val="clear" w:color="auto" w:fill="auto"/>
            <w:noWrap/>
            <w:vAlign w:val="bottom"/>
            <w:hideMark/>
          </w:tcPr>
          <w:p w:rsidR="005353A4" w:rsidRPr="00ED74C3" w:rsidRDefault="005353A4" w:rsidP="005353A4">
            <w:pPr>
              <w:spacing w:after="0" w:line="240" w:lineRule="auto"/>
              <w:jc w:val="center"/>
              <w:rPr>
                <w:color w:val="000000"/>
                <w:sz w:val="20"/>
                <w:szCs w:val="20"/>
                <w:lang w:eastAsia="es-EC"/>
              </w:rPr>
            </w:pPr>
            <w:proofErr w:type="spellStart"/>
            <w:r w:rsidRPr="00ED74C3">
              <w:rPr>
                <w:color w:val="000000"/>
                <w:sz w:val="20"/>
                <w:szCs w:val="20"/>
                <w:lang w:eastAsia="es-EC"/>
              </w:rPr>
              <w:lastRenderedPageBreak/>
              <w:t>IMPLEMENTACION</w:t>
            </w:r>
            <w:proofErr w:type="spellEnd"/>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Retrasos en la implementación por no disponibilidad de los medios de concesionario</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Es responsabilidad del concesionario poner los medios al inicio de la concesión </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CONCESIONARIO</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Establecimiento de un plan de transición previamente acordado.  Caso de incumplimiento por el operador.</w:t>
            </w:r>
            <w:r w:rsidRPr="00ED74C3">
              <w:rPr>
                <w:color w:val="000000"/>
                <w:sz w:val="20"/>
                <w:szCs w:val="20"/>
                <w:lang w:eastAsia="es-EC"/>
              </w:rPr>
              <w:br/>
              <w:t>Penalización.</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ALTO</w:t>
            </w:r>
          </w:p>
        </w:tc>
      </w:tr>
      <w:tr w:rsidR="005353A4" w:rsidRPr="00ED74C3" w:rsidTr="005353A4">
        <w:trPr>
          <w:trHeight w:val="1800"/>
        </w:trPr>
        <w:tc>
          <w:tcPr>
            <w:tcW w:w="608" w:type="pct"/>
            <w:tcBorders>
              <w:top w:val="nil"/>
              <w:left w:val="single" w:sz="12" w:space="0" w:color="auto"/>
              <w:bottom w:val="single" w:sz="4" w:space="0" w:color="auto"/>
              <w:right w:val="single" w:sz="4" w:space="0" w:color="auto"/>
            </w:tcBorders>
            <w:shd w:val="clear" w:color="auto" w:fill="auto"/>
            <w:noWrap/>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Cambios de cronograma no imputables al concesionario </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Cambios propuestos por el gestor público en la implementación del sistema en los que se justifica un quebranto para el concesionario (financiación de equipos ya adquiridos, etc.,..)</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CONCESIONARIO </w:t>
            </w:r>
          </w:p>
        </w:tc>
        <w:tc>
          <w:tcPr>
            <w:tcW w:w="595" w:type="pct"/>
            <w:tcBorders>
              <w:top w:val="nil"/>
              <w:left w:val="nil"/>
              <w:bottom w:val="single" w:sz="4" w:space="0" w:color="auto"/>
              <w:right w:val="single" w:sz="4" w:space="0" w:color="auto"/>
            </w:tcBorders>
            <w:shd w:val="clear" w:color="auto" w:fill="auto"/>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Establecimiento de un plan de transición previamente acordado.  Caso de incumplimiento por el gestor público, indemnización al operador</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 xml:space="preserve">MEDIO </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r>
      <w:tr w:rsidR="005353A4" w:rsidRPr="00ED74C3" w:rsidTr="005353A4">
        <w:trPr>
          <w:trHeight w:val="1500"/>
        </w:trPr>
        <w:tc>
          <w:tcPr>
            <w:tcW w:w="608" w:type="pct"/>
            <w:tcBorders>
              <w:top w:val="nil"/>
              <w:left w:val="single" w:sz="12" w:space="0" w:color="auto"/>
              <w:bottom w:val="single" w:sz="4" w:space="0" w:color="auto"/>
              <w:right w:val="single" w:sz="4" w:space="0" w:color="auto"/>
            </w:tcBorders>
            <w:shd w:val="clear" w:color="auto" w:fill="auto"/>
            <w:noWrap/>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Modificación del cronograma por incumplimiento de otros concesionarios</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es un cometido del gestor  publico coordinar y garantizar el cumplimiento de los contratos que forman parte del corredor</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GESTOR PUBLICO</w:t>
            </w:r>
          </w:p>
        </w:tc>
        <w:tc>
          <w:tcPr>
            <w:tcW w:w="595" w:type="pct"/>
            <w:tcBorders>
              <w:top w:val="nil"/>
              <w:left w:val="nil"/>
              <w:bottom w:val="single" w:sz="4" w:space="0" w:color="auto"/>
              <w:right w:val="single" w:sz="4" w:space="0" w:color="auto"/>
            </w:tcBorders>
            <w:shd w:val="clear" w:color="auto" w:fill="auto"/>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Establecimiento de un plan de transición previamente acordado.  Caso de incumplimiento por los concesionarios.</w:t>
            </w:r>
            <w:r w:rsidRPr="00ED74C3">
              <w:rPr>
                <w:color w:val="000000"/>
                <w:sz w:val="20"/>
                <w:szCs w:val="20"/>
                <w:lang w:eastAsia="es-EC"/>
              </w:rPr>
              <w:br/>
            </w:r>
            <w:r w:rsidRPr="00ED74C3">
              <w:rPr>
                <w:color w:val="000000"/>
                <w:sz w:val="20"/>
                <w:szCs w:val="20"/>
                <w:lang w:eastAsia="es-EC"/>
              </w:rPr>
              <w:lastRenderedPageBreak/>
              <w:t>Penalización.</w:t>
            </w:r>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lastRenderedPageBreak/>
              <w:t>MEDIO</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r>
      <w:tr w:rsidR="005353A4" w:rsidRPr="00ED74C3" w:rsidTr="005353A4">
        <w:trPr>
          <w:trHeight w:val="1500"/>
        </w:trPr>
        <w:tc>
          <w:tcPr>
            <w:tcW w:w="608" w:type="pct"/>
            <w:tcBorders>
              <w:top w:val="nil"/>
              <w:left w:val="single" w:sz="12" w:space="0" w:color="auto"/>
              <w:bottom w:val="single" w:sz="4" w:space="0" w:color="auto"/>
              <w:right w:val="single" w:sz="4" w:space="0" w:color="auto"/>
            </w:tcBorders>
            <w:shd w:val="clear" w:color="auto" w:fill="auto"/>
            <w:noWrap/>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lastRenderedPageBreak/>
              <w:t>Financiero</w:t>
            </w:r>
          </w:p>
        </w:tc>
        <w:tc>
          <w:tcPr>
            <w:tcW w:w="681"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Costos de financiación diferentes al previsto tasa de interés por encima de lo estimado en el MEF</w:t>
            </w:r>
          </w:p>
        </w:tc>
        <w:tc>
          <w:tcPr>
            <w:tcW w:w="1072"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El concesionario se compromete en el contrato a asumir los costos de financiación a los tipos que negocien y en las condiciones de evolución acordadas</w:t>
            </w:r>
          </w:p>
        </w:tc>
        <w:tc>
          <w:tcPr>
            <w:tcW w:w="800"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CONCESIONARIO </w:t>
            </w:r>
          </w:p>
        </w:tc>
        <w:tc>
          <w:tcPr>
            <w:tcW w:w="595" w:type="pct"/>
            <w:tcBorders>
              <w:top w:val="nil"/>
              <w:left w:val="nil"/>
              <w:bottom w:val="single" w:sz="4"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revisión del cierre financiero por la </w:t>
            </w:r>
            <w:proofErr w:type="spellStart"/>
            <w:r w:rsidRPr="00ED74C3">
              <w:rPr>
                <w:color w:val="000000"/>
                <w:sz w:val="20"/>
                <w:szCs w:val="20"/>
                <w:lang w:eastAsia="es-EC"/>
              </w:rPr>
              <w:t>MDMQ</w:t>
            </w:r>
            <w:proofErr w:type="spellEnd"/>
          </w:p>
        </w:tc>
        <w:tc>
          <w:tcPr>
            <w:tcW w:w="596" w:type="pct"/>
            <w:tcBorders>
              <w:top w:val="nil"/>
              <w:left w:val="nil"/>
              <w:bottom w:val="single" w:sz="4"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c>
          <w:tcPr>
            <w:tcW w:w="648" w:type="pct"/>
            <w:tcBorders>
              <w:top w:val="nil"/>
              <w:left w:val="nil"/>
              <w:bottom w:val="single" w:sz="4"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r>
      <w:tr w:rsidR="005353A4" w:rsidRPr="00ED74C3" w:rsidTr="005353A4">
        <w:trPr>
          <w:trHeight w:val="1515"/>
        </w:trPr>
        <w:tc>
          <w:tcPr>
            <w:tcW w:w="608" w:type="pct"/>
            <w:tcBorders>
              <w:top w:val="nil"/>
              <w:left w:val="single" w:sz="12" w:space="0" w:color="auto"/>
              <w:bottom w:val="single" w:sz="12" w:space="0" w:color="auto"/>
              <w:right w:val="single" w:sz="4" w:space="0" w:color="auto"/>
            </w:tcBorders>
            <w:shd w:val="clear" w:color="auto" w:fill="auto"/>
            <w:noWrap/>
            <w:vAlign w:val="bottom"/>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w:t>
            </w:r>
          </w:p>
        </w:tc>
        <w:tc>
          <w:tcPr>
            <w:tcW w:w="681" w:type="pct"/>
            <w:tcBorders>
              <w:top w:val="nil"/>
              <w:left w:val="nil"/>
              <w:bottom w:val="single" w:sz="12"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No consecución de la financiación del proyecto.</w:t>
            </w:r>
          </w:p>
        </w:tc>
        <w:tc>
          <w:tcPr>
            <w:tcW w:w="1072" w:type="pct"/>
            <w:tcBorders>
              <w:top w:val="nil"/>
              <w:left w:val="nil"/>
              <w:bottom w:val="single" w:sz="12"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Es responsabilidad del concesionario la búsqueda de fuentes de financiación</w:t>
            </w:r>
          </w:p>
        </w:tc>
        <w:tc>
          <w:tcPr>
            <w:tcW w:w="800" w:type="pct"/>
            <w:tcBorders>
              <w:top w:val="nil"/>
              <w:left w:val="nil"/>
              <w:bottom w:val="single" w:sz="12"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 xml:space="preserve">CONCESIONARIO </w:t>
            </w:r>
          </w:p>
        </w:tc>
        <w:tc>
          <w:tcPr>
            <w:tcW w:w="595" w:type="pct"/>
            <w:tcBorders>
              <w:top w:val="nil"/>
              <w:left w:val="nil"/>
              <w:bottom w:val="single" w:sz="12" w:space="0" w:color="auto"/>
              <w:right w:val="single" w:sz="4" w:space="0" w:color="auto"/>
            </w:tcBorders>
            <w:shd w:val="clear" w:color="auto" w:fill="auto"/>
            <w:hideMark/>
          </w:tcPr>
          <w:p w:rsidR="005353A4" w:rsidRPr="00ED74C3" w:rsidRDefault="005353A4" w:rsidP="005353A4">
            <w:pPr>
              <w:spacing w:after="0" w:line="240" w:lineRule="auto"/>
              <w:rPr>
                <w:color w:val="000000"/>
                <w:sz w:val="20"/>
                <w:szCs w:val="20"/>
                <w:lang w:eastAsia="es-EC"/>
              </w:rPr>
            </w:pPr>
            <w:r w:rsidRPr="00ED74C3">
              <w:rPr>
                <w:color w:val="000000"/>
                <w:sz w:val="20"/>
                <w:szCs w:val="20"/>
                <w:lang w:eastAsia="es-EC"/>
              </w:rPr>
              <w:t>Exigencia de presentar el cierre financiero antes de la firma del contrato o en un  plazo posterior al mismo, con cláusula de reversión del contrato si no se cumple</w:t>
            </w:r>
          </w:p>
        </w:tc>
        <w:tc>
          <w:tcPr>
            <w:tcW w:w="596" w:type="pct"/>
            <w:tcBorders>
              <w:top w:val="nil"/>
              <w:left w:val="nil"/>
              <w:bottom w:val="single" w:sz="12" w:space="0" w:color="auto"/>
              <w:right w:val="single" w:sz="4"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MEDIO</w:t>
            </w:r>
          </w:p>
        </w:tc>
        <w:tc>
          <w:tcPr>
            <w:tcW w:w="648" w:type="pct"/>
            <w:tcBorders>
              <w:top w:val="nil"/>
              <w:left w:val="nil"/>
              <w:bottom w:val="single" w:sz="12" w:space="0" w:color="auto"/>
              <w:right w:val="single" w:sz="12" w:space="0" w:color="auto"/>
            </w:tcBorders>
            <w:shd w:val="clear" w:color="auto" w:fill="auto"/>
            <w:vAlign w:val="center"/>
            <w:hideMark/>
          </w:tcPr>
          <w:p w:rsidR="005353A4" w:rsidRPr="00ED74C3" w:rsidRDefault="005353A4" w:rsidP="005353A4">
            <w:pPr>
              <w:spacing w:after="0" w:line="240" w:lineRule="auto"/>
              <w:jc w:val="center"/>
              <w:rPr>
                <w:color w:val="000000"/>
                <w:sz w:val="20"/>
                <w:szCs w:val="20"/>
                <w:lang w:eastAsia="es-EC"/>
              </w:rPr>
            </w:pPr>
            <w:r w:rsidRPr="00ED74C3">
              <w:rPr>
                <w:color w:val="000000"/>
                <w:sz w:val="20"/>
                <w:szCs w:val="20"/>
                <w:lang w:eastAsia="es-EC"/>
              </w:rPr>
              <w:t>ALTO</w:t>
            </w:r>
          </w:p>
        </w:tc>
      </w:tr>
    </w:tbl>
    <w:p w:rsidR="000F6D60" w:rsidRDefault="000F6D60" w:rsidP="000F6D60">
      <w:pPr>
        <w:pStyle w:val="Textoindependiente"/>
        <w:spacing w:before="0" w:after="0" w:line="240" w:lineRule="auto"/>
        <w:rPr>
          <w:rFonts w:eastAsia="Arial Unicode MS"/>
        </w:rPr>
      </w:pPr>
    </w:p>
    <w:p w:rsidR="000F6D60" w:rsidRDefault="000F6D60" w:rsidP="000F6D60">
      <w:pPr>
        <w:pStyle w:val="Textoindependiente"/>
        <w:spacing w:before="0" w:after="0" w:line="240" w:lineRule="auto"/>
        <w:rPr>
          <w:rFonts w:eastAsia="Arial Unicode MS"/>
          <w:b w:val="0"/>
          <w:bCs w:val="0"/>
          <w:szCs w:val="22"/>
        </w:rPr>
      </w:pPr>
      <w:r>
        <w:rPr>
          <w:rFonts w:eastAsia="Arial Unicode MS"/>
          <w:b w:val="0"/>
          <w:bCs w:val="0"/>
          <w:szCs w:val="22"/>
        </w:rPr>
        <w:t>ANEXO No. 2</w:t>
      </w:r>
    </w:p>
    <w:p w:rsidR="000F6D60" w:rsidRDefault="000F6D60" w:rsidP="000F6D60">
      <w:pPr>
        <w:pStyle w:val="Textoindependiente"/>
        <w:spacing w:before="0" w:after="0" w:line="240" w:lineRule="auto"/>
        <w:rPr>
          <w:rFonts w:eastAsia="Arial Unicode MS"/>
          <w:b w:val="0"/>
          <w:bCs w:val="0"/>
          <w:szCs w:val="22"/>
        </w:rPr>
      </w:pPr>
    </w:p>
    <w:p w:rsidR="000F6D60" w:rsidRDefault="000F6D60" w:rsidP="000F6D60">
      <w:pPr>
        <w:pStyle w:val="Textoindependiente"/>
        <w:spacing w:before="0" w:after="0" w:line="240" w:lineRule="auto"/>
        <w:rPr>
          <w:rFonts w:eastAsia="Arial Unicode MS"/>
          <w:b w:val="0"/>
          <w:bCs w:val="0"/>
          <w:szCs w:val="22"/>
        </w:rPr>
      </w:pPr>
      <w:r>
        <w:rPr>
          <w:rFonts w:eastAsia="Arial Unicode MS"/>
          <w:b w:val="0"/>
          <w:bCs w:val="0"/>
          <w:szCs w:val="22"/>
        </w:rPr>
        <w:t>ESTIMACIÓN DE LOS RIESGOS FINANCIEROS</w:t>
      </w:r>
    </w:p>
    <w:p w:rsidR="000F6D60" w:rsidRDefault="000F6D60" w:rsidP="000F6D60">
      <w:pPr>
        <w:pStyle w:val="Textoindependiente"/>
        <w:spacing w:before="0" w:after="0" w:line="240" w:lineRule="auto"/>
        <w:rPr>
          <w:rFonts w:eastAsia="Arial Unicode MS"/>
          <w:b w:val="0"/>
          <w:bCs w:val="0"/>
          <w:szCs w:val="22"/>
        </w:rPr>
      </w:pPr>
    </w:p>
    <w:p w:rsidR="000F6D60" w:rsidRPr="00ED74C3" w:rsidRDefault="000F6D60" w:rsidP="000F6D60">
      <w:pPr>
        <w:rPr>
          <w:sz w:val="20"/>
          <w:szCs w:val="20"/>
        </w:rPr>
      </w:pPr>
      <w:r w:rsidRPr="00ED74C3">
        <w:rPr>
          <w:sz w:val="20"/>
          <w:szCs w:val="20"/>
        </w:rPr>
        <w:lastRenderedPageBreak/>
        <w:t>Estimación del Riesgo mediante uso de matriz de lineamientos del Banco Mundial, con ajustes para el sistema de transporte en la ciudad de Quito.</w:t>
      </w:r>
    </w:p>
    <w:p w:rsidR="000F6D60" w:rsidRPr="00ED74C3" w:rsidRDefault="000F6D60" w:rsidP="000F6D60">
      <w:pPr>
        <w:rPr>
          <w:sz w:val="20"/>
          <w:szCs w:val="20"/>
        </w:rPr>
      </w:pPr>
    </w:p>
    <w:p w:rsidR="000F6D60" w:rsidRPr="00ED74C3" w:rsidRDefault="000F6D60" w:rsidP="000F6D60">
      <w:pPr>
        <w:rPr>
          <w:sz w:val="20"/>
          <w:szCs w:val="20"/>
        </w:rPr>
      </w:pPr>
    </w:p>
    <w:p w:rsidR="000F6D60" w:rsidRPr="00ED74C3" w:rsidRDefault="000F6D60" w:rsidP="000F6D60">
      <w:pPr>
        <w:rPr>
          <w:sz w:val="20"/>
          <w:szCs w:val="20"/>
        </w:rPr>
      </w:pPr>
    </w:p>
    <w:p w:rsidR="000F6D60" w:rsidRPr="00ED74C3" w:rsidRDefault="000F6D60" w:rsidP="000F6D60">
      <w:pPr>
        <w:rPr>
          <w:sz w:val="20"/>
          <w:szCs w:val="20"/>
        </w:rPr>
      </w:pPr>
    </w:p>
    <w:p w:rsidR="000F6D60" w:rsidRPr="00ED74C3" w:rsidRDefault="000F6D60" w:rsidP="000F6D60">
      <w:pPr>
        <w:rPr>
          <w:sz w:val="20"/>
          <w:szCs w:val="20"/>
        </w:rPr>
      </w:pPr>
    </w:p>
    <w:p w:rsidR="000F6D60" w:rsidRPr="00ED74C3" w:rsidRDefault="000F6D60" w:rsidP="000F6D60">
      <w:pPr>
        <w:rPr>
          <w:sz w:val="20"/>
          <w:szCs w:val="20"/>
        </w:rPr>
      </w:pPr>
    </w:p>
    <w:p w:rsidR="000F6D60" w:rsidRPr="00ED74C3" w:rsidRDefault="000F6D60" w:rsidP="000F6D60">
      <w:pPr>
        <w:rPr>
          <w:sz w:val="20"/>
          <w:szCs w:val="20"/>
        </w:rPr>
        <w:sectPr w:rsidR="000F6D60" w:rsidRPr="00ED74C3" w:rsidSect="005353A4">
          <w:pgSz w:w="15840" w:h="12240" w:orient="landscape"/>
          <w:pgMar w:top="1701" w:right="1417" w:bottom="1701" w:left="1417" w:header="708" w:footer="708" w:gutter="0"/>
          <w:cols w:space="708"/>
          <w:docGrid w:linePitch="360"/>
        </w:sectPr>
      </w:pPr>
    </w:p>
    <w:p w:rsidR="000F6D60" w:rsidRPr="00ED74C3" w:rsidRDefault="000F6D60" w:rsidP="000F6D60">
      <w:pPr>
        <w:rPr>
          <w:sz w:val="20"/>
          <w:szCs w:val="20"/>
        </w:rPr>
      </w:pPr>
      <w:proofErr w:type="spellStart"/>
      <w:r w:rsidRPr="00ED74C3">
        <w:rPr>
          <w:sz w:val="20"/>
          <w:szCs w:val="20"/>
        </w:rPr>
        <w:lastRenderedPageBreak/>
        <w:t>ESTIMACION</w:t>
      </w:r>
      <w:proofErr w:type="spellEnd"/>
      <w:r w:rsidRPr="00ED74C3">
        <w:rPr>
          <w:sz w:val="20"/>
          <w:szCs w:val="20"/>
        </w:rPr>
        <w:t xml:space="preserve"> DEL RIESGO </w:t>
      </w:r>
      <w:proofErr w:type="spellStart"/>
      <w:r w:rsidRPr="00ED74C3">
        <w:rPr>
          <w:sz w:val="20"/>
          <w:szCs w:val="20"/>
        </w:rPr>
        <w:t>TECNICA</w:t>
      </w:r>
      <w:proofErr w:type="spellEnd"/>
      <w:r w:rsidRPr="00ED74C3">
        <w:rPr>
          <w:sz w:val="20"/>
          <w:szCs w:val="20"/>
        </w:rPr>
        <w:t xml:space="preserve"> DELPHI</w:t>
      </w:r>
    </w:p>
    <w:p w:rsidR="000F6D60" w:rsidRPr="00ED74C3" w:rsidRDefault="000F6D60" w:rsidP="000F6D60">
      <w:pPr>
        <w:rPr>
          <w:sz w:val="20"/>
          <w:szCs w:val="20"/>
        </w:rPr>
      </w:pPr>
      <w:r w:rsidRPr="00ED74C3">
        <w:rPr>
          <w:sz w:val="20"/>
          <w:szCs w:val="20"/>
        </w:rPr>
        <w:t>Esta técnica para la estimación del riesgo se basa en el Criterio Experto de personas vinculadas a la Gerencia Operativa de Empresas de Transporte para la valoración de los Criterios de Riesgo (Alto, Medio y Bajo).</w:t>
      </w:r>
    </w:p>
    <w:p w:rsidR="000F6D60" w:rsidRPr="00ED74C3" w:rsidRDefault="000F6D60" w:rsidP="000F6D60">
      <w:pPr>
        <w:rPr>
          <w:sz w:val="20"/>
          <w:szCs w:val="20"/>
        </w:rPr>
      </w:pPr>
      <w:r w:rsidRPr="00ED74C3">
        <w:rPr>
          <w:sz w:val="20"/>
          <w:szCs w:val="20"/>
        </w:rPr>
        <w:t>Como resumen de los lineamientos propuestos por el Banco Mundial tenemos la siguiente tabla:</w:t>
      </w:r>
    </w:p>
    <w:tbl>
      <w:tblPr>
        <w:tblW w:w="8640" w:type="dxa"/>
        <w:jc w:val="center"/>
        <w:tblCellMar>
          <w:left w:w="70" w:type="dxa"/>
          <w:right w:w="70" w:type="dxa"/>
        </w:tblCellMar>
        <w:tblLook w:val="04A0" w:firstRow="1" w:lastRow="0" w:firstColumn="1" w:lastColumn="0" w:noHBand="0" w:noVBand="1"/>
      </w:tblPr>
      <w:tblGrid>
        <w:gridCol w:w="1605"/>
        <w:gridCol w:w="1880"/>
        <w:gridCol w:w="1555"/>
        <w:gridCol w:w="1247"/>
        <w:gridCol w:w="1186"/>
        <w:gridCol w:w="1167"/>
      </w:tblGrid>
      <w:tr w:rsidR="000F6D60" w:rsidRPr="00ED74C3" w:rsidTr="009A309C">
        <w:trPr>
          <w:trHeight w:val="300"/>
          <w:jc w:val="center"/>
        </w:trPr>
        <w:tc>
          <w:tcPr>
            <w:tcW w:w="1920"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Tipo de Riesgo</w:t>
            </w:r>
          </w:p>
        </w:tc>
        <w:tc>
          <w:tcPr>
            <w:tcW w:w="1880" w:type="dxa"/>
            <w:vMerge w:val="restart"/>
            <w:tcBorders>
              <w:top w:val="single" w:sz="4" w:space="0" w:color="auto"/>
              <w:left w:val="single" w:sz="4" w:space="0" w:color="auto"/>
              <w:bottom w:val="single" w:sz="4" w:space="0" w:color="000000"/>
              <w:right w:val="single" w:sz="4" w:space="0" w:color="auto"/>
            </w:tcBorders>
            <w:shd w:val="clear" w:color="000000" w:fill="9BC2E6"/>
            <w:vAlign w:val="bottom"/>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Frecuencia absoluta</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9BC2E6"/>
            <w:vAlign w:val="bottom"/>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Frecuencia relativa</w:t>
            </w:r>
          </w:p>
        </w:tc>
        <w:tc>
          <w:tcPr>
            <w:tcW w:w="3600" w:type="dxa"/>
            <w:gridSpan w:val="3"/>
            <w:tcBorders>
              <w:top w:val="single" w:sz="4" w:space="0" w:color="auto"/>
              <w:left w:val="nil"/>
              <w:bottom w:val="single" w:sz="4" w:space="0" w:color="auto"/>
              <w:right w:val="single" w:sz="4" w:space="0" w:color="000000"/>
            </w:tcBorders>
            <w:shd w:val="clear" w:color="000000" w:fill="9BC2E6"/>
            <w:vAlign w:val="bottom"/>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CRITERIO EXPERTOS</w:t>
            </w:r>
          </w:p>
        </w:tc>
      </w:tr>
      <w:tr w:rsidR="000F6D60" w:rsidRPr="00ED74C3" w:rsidTr="009A309C">
        <w:trPr>
          <w:trHeight w:val="300"/>
          <w:jc w:val="center"/>
        </w:trPr>
        <w:tc>
          <w:tcPr>
            <w:tcW w:w="192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c>
          <w:tcPr>
            <w:tcW w:w="1247" w:type="dxa"/>
            <w:tcBorders>
              <w:top w:val="nil"/>
              <w:left w:val="nil"/>
              <w:bottom w:val="single" w:sz="4" w:space="0" w:color="auto"/>
              <w:right w:val="single" w:sz="4" w:space="0" w:color="auto"/>
            </w:tcBorders>
            <w:shd w:val="clear" w:color="000000" w:fill="9BC2E6"/>
            <w:noWrap/>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A</w:t>
            </w:r>
          </w:p>
        </w:tc>
        <w:tc>
          <w:tcPr>
            <w:tcW w:w="1186" w:type="dxa"/>
            <w:tcBorders>
              <w:top w:val="nil"/>
              <w:left w:val="nil"/>
              <w:bottom w:val="single" w:sz="4" w:space="0" w:color="auto"/>
              <w:right w:val="single" w:sz="4" w:space="0" w:color="auto"/>
            </w:tcBorders>
            <w:shd w:val="clear" w:color="000000" w:fill="9BC2E6"/>
            <w:noWrap/>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B</w:t>
            </w:r>
          </w:p>
        </w:tc>
        <w:tc>
          <w:tcPr>
            <w:tcW w:w="1167" w:type="dxa"/>
            <w:tcBorders>
              <w:top w:val="nil"/>
              <w:left w:val="nil"/>
              <w:bottom w:val="single" w:sz="4" w:space="0" w:color="auto"/>
              <w:right w:val="single" w:sz="4" w:space="0" w:color="auto"/>
            </w:tcBorders>
            <w:shd w:val="clear" w:color="000000" w:fill="9BC2E6"/>
            <w:noWrap/>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C</w:t>
            </w:r>
          </w:p>
        </w:tc>
      </w:tr>
      <w:tr w:rsidR="000F6D60" w:rsidRPr="00ED74C3" w:rsidTr="009A309C">
        <w:trPr>
          <w:trHeight w:val="300"/>
          <w:jc w:val="center"/>
        </w:trPr>
        <w:tc>
          <w:tcPr>
            <w:tcW w:w="1920" w:type="dxa"/>
            <w:tcBorders>
              <w:top w:val="nil"/>
              <w:left w:val="single" w:sz="4" w:space="0" w:color="auto"/>
              <w:bottom w:val="single" w:sz="4" w:space="0" w:color="auto"/>
              <w:right w:val="single" w:sz="4" w:space="0" w:color="auto"/>
            </w:tcBorders>
            <w:shd w:val="clear" w:color="auto" w:fill="auto"/>
            <w:hideMark/>
          </w:tcPr>
          <w:p w:rsidR="000F6D60" w:rsidRPr="00ED74C3" w:rsidRDefault="000F6D60" w:rsidP="009A309C">
            <w:pPr>
              <w:spacing w:after="0" w:line="240" w:lineRule="auto"/>
              <w:rPr>
                <w:color w:val="000000"/>
                <w:sz w:val="20"/>
                <w:szCs w:val="20"/>
                <w:lang w:eastAsia="es-EC"/>
              </w:rPr>
            </w:pPr>
            <w:r w:rsidRPr="00ED74C3">
              <w:rPr>
                <w:color w:val="000000"/>
                <w:sz w:val="20"/>
                <w:szCs w:val="20"/>
                <w:lang w:eastAsia="es-EC"/>
              </w:rPr>
              <w:t>ALTO</w:t>
            </w:r>
          </w:p>
        </w:tc>
        <w:tc>
          <w:tcPr>
            <w:tcW w:w="188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5</w:t>
            </w:r>
          </w:p>
        </w:tc>
        <w:tc>
          <w:tcPr>
            <w:tcW w:w="124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0,26</w:t>
            </w:r>
          </w:p>
        </w:tc>
        <w:tc>
          <w:tcPr>
            <w:tcW w:w="1247"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7</w:t>
            </w:r>
          </w:p>
        </w:tc>
        <w:tc>
          <w:tcPr>
            <w:tcW w:w="1186"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6</w:t>
            </w:r>
          </w:p>
        </w:tc>
        <w:tc>
          <w:tcPr>
            <w:tcW w:w="1167"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6</w:t>
            </w:r>
          </w:p>
        </w:tc>
      </w:tr>
      <w:tr w:rsidR="000F6D60" w:rsidRPr="00ED74C3" w:rsidTr="009A309C">
        <w:trPr>
          <w:trHeight w:val="300"/>
          <w:jc w:val="center"/>
        </w:trPr>
        <w:tc>
          <w:tcPr>
            <w:tcW w:w="1920" w:type="dxa"/>
            <w:tcBorders>
              <w:top w:val="nil"/>
              <w:left w:val="single" w:sz="4" w:space="0" w:color="auto"/>
              <w:bottom w:val="single" w:sz="4" w:space="0" w:color="auto"/>
              <w:right w:val="single" w:sz="4" w:space="0" w:color="auto"/>
            </w:tcBorders>
            <w:shd w:val="clear" w:color="auto" w:fill="auto"/>
            <w:hideMark/>
          </w:tcPr>
          <w:p w:rsidR="000F6D60" w:rsidRPr="00ED74C3" w:rsidRDefault="000F6D60" w:rsidP="009A309C">
            <w:pPr>
              <w:spacing w:after="0" w:line="240" w:lineRule="auto"/>
              <w:rPr>
                <w:color w:val="000000"/>
                <w:sz w:val="20"/>
                <w:szCs w:val="20"/>
                <w:lang w:eastAsia="es-EC"/>
              </w:rPr>
            </w:pPr>
            <w:r w:rsidRPr="00ED74C3">
              <w:rPr>
                <w:color w:val="000000"/>
                <w:sz w:val="20"/>
                <w:szCs w:val="20"/>
                <w:lang w:eastAsia="es-EC"/>
              </w:rPr>
              <w:t>MEDIO</w:t>
            </w:r>
          </w:p>
        </w:tc>
        <w:tc>
          <w:tcPr>
            <w:tcW w:w="188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12</w:t>
            </w:r>
          </w:p>
        </w:tc>
        <w:tc>
          <w:tcPr>
            <w:tcW w:w="124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0,63</w:t>
            </w:r>
          </w:p>
        </w:tc>
        <w:tc>
          <w:tcPr>
            <w:tcW w:w="1247"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5</w:t>
            </w:r>
          </w:p>
        </w:tc>
        <w:tc>
          <w:tcPr>
            <w:tcW w:w="1186"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5</w:t>
            </w:r>
          </w:p>
        </w:tc>
        <w:tc>
          <w:tcPr>
            <w:tcW w:w="1167"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4</w:t>
            </w:r>
          </w:p>
        </w:tc>
      </w:tr>
      <w:tr w:rsidR="000F6D60" w:rsidRPr="00ED74C3" w:rsidTr="009A309C">
        <w:trPr>
          <w:trHeight w:val="300"/>
          <w:jc w:val="center"/>
        </w:trPr>
        <w:tc>
          <w:tcPr>
            <w:tcW w:w="1920" w:type="dxa"/>
            <w:tcBorders>
              <w:top w:val="nil"/>
              <w:left w:val="single" w:sz="4" w:space="0" w:color="auto"/>
              <w:bottom w:val="single" w:sz="4" w:space="0" w:color="auto"/>
              <w:right w:val="single" w:sz="4" w:space="0" w:color="auto"/>
            </w:tcBorders>
            <w:shd w:val="clear" w:color="auto" w:fill="auto"/>
            <w:hideMark/>
          </w:tcPr>
          <w:p w:rsidR="000F6D60" w:rsidRPr="00ED74C3" w:rsidRDefault="000F6D60" w:rsidP="009A309C">
            <w:pPr>
              <w:spacing w:after="0" w:line="240" w:lineRule="auto"/>
              <w:rPr>
                <w:color w:val="000000"/>
                <w:sz w:val="20"/>
                <w:szCs w:val="20"/>
                <w:lang w:eastAsia="es-EC"/>
              </w:rPr>
            </w:pPr>
            <w:r w:rsidRPr="00ED74C3">
              <w:rPr>
                <w:color w:val="000000"/>
                <w:sz w:val="20"/>
                <w:szCs w:val="20"/>
                <w:lang w:eastAsia="es-EC"/>
              </w:rPr>
              <w:t>BAJO</w:t>
            </w:r>
          </w:p>
        </w:tc>
        <w:tc>
          <w:tcPr>
            <w:tcW w:w="188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2</w:t>
            </w:r>
          </w:p>
        </w:tc>
        <w:tc>
          <w:tcPr>
            <w:tcW w:w="124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0,11</w:t>
            </w:r>
          </w:p>
        </w:tc>
        <w:tc>
          <w:tcPr>
            <w:tcW w:w="1247"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9</w:t>
            </w:r>
          </w:p>
        </w:tc>
        <w:tc>
          <w:tcPr>
            <w:tcW w:w="1186"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8</w:t>
            </w:r>
          </w:p>
        </w:tc>
        <w:tc>
          <w:tcPr>
            <w:tcW w:w="1167"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8</w:t>
            </w:r>
          </w:p>
        </w:tc>
      </w:tr>
    </w:tbl>
    <w:p w:rsidR="000F6D60" w:rsidRPr="00ED74C3" w:rsidRDefault="000F6D60" w:rsidP="000F6D60">
      <w:pPr>
        <w:rPr>
          <w:sz w:val="20"/>
          <w:szCs w:val="20"/>
        </w:rPr>
      </w:pPr>
    </w:p>
    <w:p w:rsidR="000F6D60" w:rsidRPr="00ED74C3" w:rsidRDefault="000F6D60" w:rsidP="000F6D60">
      <w:pPr>
        <w:rPr>
          <w:sz w:val="20"/>
          <w:szCs w:val="20"/>
        </w:rPr>
      </w:pPr>
      <w:r w:rsidRPr="00ED74C3">
        <w:rPr>
          <w:sz w:val="20"/>
          <w:szCs w:val="20"/>
        </w:rPr>
        <w:t>A continuación se realiza una ponderación para cada tipo de riesgo, teniendo el siguiente resultado:</w:t>
      </w:r>
    </w:p>
    <w:tbl>
      <w:tblPr>
        <w:tblW w:w="9840" w:type="dxa"/>
        <w:tblCellMar>
          <w:left w:w="70" w:type="dxa"/>
          <w:right w:w="70" w:type="dxa"/>
        </w:tblCellMar>
        <w:tblLook w:val="04A0" w:firstRow="1" w:lastRow="0" w:firstColumn="1" w:lastColumn="0" w:noHBand="0" w:noVBand="1"/>
      </w:tblPr>
      <w:tblGrid>
        <w:gridCol w:w="1920"/>
        <w:gridCol w:w="1880"/>
        <w:gridCol w:w="1240"/>
        <w:gridCol w:w="1200"/>
        <w:gridCol w:w="1200"/>
        <w:gridCol w:w="1200"/>
        <w:gridCol w:w="1200"/>
      </w:tblGrid>
      <w:tr w:rsidR="000F6D60" w:rsidRPr="00ED74C3" w:rsidTr="009A309C">
        <w:trPr>
          <w:trHeight w:val="300"/>
        </w:trPr>
        <w:tc>
          <w:tcPr>
            <w:tcW w:w="1920"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Tipo de Riesgo</w:t>
            </w:r>
          </w:p>
        </w:tc>
        <w:tc>
          <w:tcPr>
            <w:tcW w:w="1880"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Valor Ponderado</w:t>
            </w:r>
          </w:p>
        </w:tc>
        <w:tc>
          <w:tcPr>
            <w:tcW w:w="124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jc w:val="center"/>
              <w:rPr>
                <w:color w:val="203764"/>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r>
      <w:tr w:rsidR="000F6D60" w:rsidRPr="00ED74C3" w:rsidTr="009A309C">
        <w:trPr>
          <w:trHeight w:val="300"/>
        </w:trPr>
        <w:tc>
          <w:tcPr>
            <w:tcW w:w="192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c>
          <w:tcPr>
            <w:tcW w:w="124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r>
      <w:tr w:rsidR="000F6D60" w:rsidRPr="00ED74C3" w:rsidTr="009A309C">
        <w:trPr>
          <w:trHeight w:val="300"/>
        </w:trPr>
        <w:tc>
          <w:tcPr>
            <w:tcW w:w="1920" w:type="dxa"/>
            <w:tcBorders>
              <w:top w:val="nil"/>
              <w:left w:val="single" w:sz="4" w:space="0" w:color="auto"/>
              <w:bottom w:val="single" w:sz="4" w:space="0" w:color="auto"/>
              <w:right w:val="single" w:sz="4" w:space="0" w:color="auto"/>
            </w:tcBorders>
            <w:shd w:val="clear" w:color="auto" w:fill="auto"/>
            <w:hideMark/>
          </w:tcPr>
          <w:p w:rsidR="000F6D60" w:rsidRPr="00ED74C3" w:rsidRDefault="000F6D60" w:rsidP="009A309C">
            <w:pPr>
              <w:spacing w:after="0" w:line="240" w:lineRule="auto"/>
              <w:rPr>
                <w:color w:val="000000"/>
                <w:sz w:val="20"/>
                <w:szCs w:val="20"/>
                <w:lang w:eastAsia="es-EC"/>
              </w:rPr>
            </w:pPr>
            <w:r w:rsidRPr="00ED74C3">
              <w:rPr>
                <w:color w:val="000000"/>
                <w:sz w:val="20"/>
                <w:szCs w:val="20"/>
                <w:lang w:eastAsia="es-EC"/>
              </w:rPr>
              <w:t>ALTO</w:t>
            </w:r>
          </w:p>
        </w:tc>
        <w:tc>
          <w:tcPr>
            <w:tcW w:w="188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c>
          <w:tcPr>
            <w:tcW w:w="124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color w:val="000000"/>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r>
      <w:tr w:rsidR="000F6D60" w:rsidRPr="00ED74C3" w:rsidTr="009A309C">
        <w:trPr>
          <w:trHeight w:val="300"/>
        </w:trPr>
        <w:tc>
          <w:tcPr>
            <w:tcW w:w="1920" w:type="dxa"/>
            <w:tcBorders>
              <w:top w:val="nil"/>
              <w:left w:val="single" w:sz="4" w:space="0" w:color="auto"/>
              <w:bottom w:val="single" w:sz="4" w:space="0" w:color="auto"/>
              <w:right w:val="single" w:sz="4" w:space="0" w:color="auto"/>
            </w:tcBorders>
            <w:shd w:val="clear" w:color="auto" w:fill="auto"/>
            <w:hideMark/>
          </w:tcPr>
          <w:p w:rsidR="000F6D60" w:rsidRPr="00ED74C3" w:rsidRDefault="000F6D60" w:rsidP="009A309C">
            <w:pPr>
              <w:spacing w:after="0" w:line="240" w:lineRule="auto"/>
              <w:rPr>
                <w:color w:val="000000"/>
                <w:sz w:val="20"/>
                <w:szCs w:val="20"/>
                <w:lang w:eastAsia="es-EC"/>
              </w:rPr>
            </w:pPr>
            <w:r w:rsidRPr="00ED74C3">
              <w:rPr>
                <w:color w:val="000000"/>
                <w:sz w:val="20"/>
                <w:szCs w:val="20"/>
                <w:lang w:eastAsia="es-EC"/>
              </w:rPr>
              <w:t>MEDIO</w:t>
            </w:r>
          </w:p>
        </w:tc>
        <w:tc>
          <w:tcPr>
            <w:tcW w:w="188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c>
          <w:tcPr>
            <w:tcW w:w="124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color w:val="000000"/>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r>
      <w:tr w:rsidR="000F6D60" w:rsidRPr="00ED74C3" w:rsidTr="009A309C">
        <w:trPr>
          <w:trHeight w:val="300"/>
        </w:trPr>
        <w:tc>
          <w:tcPr>
            <w:tcW w:w="1920" w:type="dxa"/>
            <w:tcBorders>
              <w:top w:val="nil"/>
              <w:left w:val="single" w:sz="4" w:space="0" w:color="auto"/>
              <w:bottom w:val="single" w:sz="4" w:space="0" w:color="auto"/>
              <w:right w:val="single" w:sz="4" w:space="0" w:color="auto"/>
            </w:tcBorders>
            <w:shd w:val="clear" w:color="auto" w:fill="auto"/>
            <w:hideMark/>
          </w:tcPr>
          <w:p w:rsidR="000F6D60" w:rsidRPr="00ED74C3" w:rsidRDefault="000F6D60" w:rsidP="009A309C">
            <w:pPr>
              <w:spacing w:after="0" w:line="240" w:lineRule="auto"/>
              <w:rPr>
                <w:color w:val="000000"/>
                <w:sz w:val="20"/>
                <w:szCs w:val="20"/>
                <w:lang w:eastAsia="es-EC"/>
              </w:rPr>
            </w:pPr>
            <w:r w:rsidRPr="00ED74C3">
              <w:rPr>
                <w:color w:val="000000"/>
                <w:sz w:val="20"/>
                <w:szCs w:val="20"/>
                <w:lang w:eastAsia="es-EC"/>
              </w:rPr>
              <w:t>BAJO</w:t>
            </w:r>
          </w:p>
        </w:tc>
        <w:tc>
          <w:tcPr>
            <w:tcW w:w="188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0,27</w:t>
            </w:r>
          </w:p>
        </w:tc>
        <w:tc>
          <w:tcPr>
            <w:tcW w:w="1240" w:type="dxa"/>
            <w:tcBorders>
              <w:top w:val="nil"/>
              <w:left w:val="nil"/>
              <w:bottom w:val="nil"/>
              <w:right w:val="nil"/>
            </w:tcBorders>
            <w:shd w:val="clear" w:color="000000" w:fill="FFFF00"/>
            <w:noWrap/>
            <w:vAlign w:val="bottom"/>
            <w:hideMark/>
          </w:tcPr>
          <w:p w:rsidR="000F6D60" w:rsidRPr="00ED74C3" w:rsidRDefault="000F6D60" w:rsidP="009A309C">
            <w:pPr>
              <w:spacing w:after="0" w:line="240" w:lineRule="auto"/>
              <w:jc w:val="right"/>
              <w:rPr>
                <w:b/>
                <w:bCs w:val="0"/>
                <w:color w:val="FF0000"/>
                <w:sz w:val="20"/>
                <w:szCs w:val="20"/>
                <w:lang w:eastAsia="es-EC"/>
              </w:rPr>
            </w:pPr>
            <w:r w:rsidRPr="00ED74C3">
              <w:rPr>
                <w:b/>
                <w:color w:val="FF0000"/>
                <w:sz w:val="20"/>
                <w:szCs w:val="20"/>
                <w:lang w:eastAsia="es-EC"/>
              </w:rPr>
              <w:t>38,5</w:t>
            </w:r>
          </w:p>
        </w:tc>
        <w:tc>
          <w:tcPr>
            <w:tcW w:w="4800" w:type="dxa"/>
            <w:gridSpan w:val="4"/>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color w:val="000000"/>
                <w:sz w:val="20"/>
                <w:szCs w:val="20"/>
                <w:lang w:eastAsia="es-EC"/>
              </w:rPr>
            </w:pPr>
            <w:proofErr w:type="spellStart"/>
            <w:r w:rsidRPr="00ED74C3">
              <w:rPr>
                <w:color w:val="000000"/>
                <w:sz w:val="20"/>
                <w:szCs w:val="20"/>
                <w:lang w:eastAsia="es-EC"/>
              </w:rPr>
              <w:t>METODO</w:t>
            </w:r>
            <w:proofErr w:type="spellEnd"/>
            <w:r w:rsidRPr="00ED74C3">
              <w:rPr>
                <w:color w:val="000000"/>
                <w:sz w:val="20"/>
                <w:szCs w:val="20"/>
                <w:lang w:eastAsia="es-EC"/>
              </w:rPr>
              <w:t xml:space="preserve"> DE </w:t>
            </w:r>
            <w:proofErr w:type="spellStart"/>
            <w:r w:rsidRPr="00ED74C3">
              <w:rPr>
                <w:color w:val="000000"/>
                <w:sz w:val="20"/>
                <w:szCs w:val="20"/>
                <w:lang w:eastAsia="es-EC"/>
              </w:rPr>
              <w:t>PONDERACION</w:t>
            </w:r>
            <w:proofErr w:type="spellEnd"/>
            <w:r w:rsidRPr="00ED74C3">
              <w:rPr>
                <w:color w:val="000000"/>
                <w:sz w:val="20"/>
                <w:szCs w:val="20"/>
                <w:lang w:eastAsia="es-EC"/>
              </w:rPr>
              <w:t xml:space="preserve"> ESCALA SOBRE 100%</w:t>
            </w:r>
          </w:p>
        </w:tc>
      </w:tr>
      <w:tr w:rsidR="000F6D60" w:rsidRPr="00ED74C3" w:rsidTr="009A309C">
        <w:trPr>
          <w:trHeight w:val="300"/>
        </w:trPr>
        <w:tc>
          <w:tcPr>
            <w:tcW w:w="192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color w:val="000000"/>
                <w:sz w:val="20"/>
                <w:szCs w:val="20"/>
                <w:lang w:eastAsia="es-EC"/>
              </w:rPr>
            </w:pPr>
          </w:p>
        </w:tc>
        <w:tc>
          <w:tcPr>
            <w:tcW w:w="188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124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c>
          <w:tcPr>
            <w:tcW w:w="2400" w:type="dxa"/>
            <w:gridSpan w:val="2"/>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color w:val="000000"/>
                <w:sz w:val="20"/>
                <w:szCs w:val="20"/>
                <w:lang w:eastAsia="es-EC"/>
              </w:rPr>
            </w:pPr>
            <w:r w:rsidRPr="00ED74C3">
              <w:rPr>
                <w:color w:val="000000"/>
                <w:sz w:val="20"/>
                <w:szCs w:val="20"/>
                <w:lang w:eastAsia="es-EC"/>
              </w:rPr>
              <w:t>Técnica Delphi</w:t>
            </w: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color w:val="000000"/>
                <w:sz w:val="20"/>
                <w:szCs w:val="20"/>
                <w:lang w:eastAsia="es-EC"/>
              </w:rPr>
            </w:pPr>
          </w:p>
        </w:tc>
        <w:tc>
          <w:tcPr>
            <w:tcW w:w="1200" w:type="dxa"/>
            <w:tcBorders>
              <w:top w:val="nil"/>
              <w:left w:val="nil"/>
              <w:bottom w:val="nil"/>
              <w:right w:val="nil"/>
            </w:tcBorders>
            <w:shd w:val="clear" w:color="auto" w:fill="auto"/>
            <w:noWrap/>
            <w:vAlign w:val="bottom"/>
            <w:hideMark/>
          </w:tcPr>
          <w:p w:rsidR="000F6D60" w:rsidRPr="00ED74C3" w:rsidRDefault="000F6D60" w:rsidP="009A309C">
            <w:pPr>
              <w:spacing w:after="0" w:line="240" w:lineRule="auto"/>
              <w:rPr>
                <w:sz w:val="20"/>
                <w:szCs w:val="20"/>
                <w:lang w:eastAsia="es-EC"/>
              </w:rPr>
            </w:pPr>
          </w:p>
        </w:tc>
      </w:tr>
    </w:tbl>
    <w:p w:rsidR="000F6D60" w:rsidRPr="00ED74C3" w:rsidRDefault="000F6D60" w:rsidP="000F6D60">
      <w:pPr>
        <w:rPr>
          <w:sz w:val="20"/>
          <w:szCs w:val="20"/>
        </w:rPr>
      </w:pPr>
      <w:proofErr w:type="spellStart"/>
      <w:r w:rsidRPr="00ED74C3">
        <w:rPr>
          <w:sz w:val="20"/>
          <w:szCs w:val="20"/>
        </w:rPr>
        <w:t>ESTIMACION</w:t>
      </w:r>
      <w:proofErr w:type="spellEnd"/>
      <w:r w:rsidRPr="00ED74C3">
        <w:rPr>
          <w:sz w:val="20"/>
          <w:szCs w:val="20"/>
        </w:rPr>
        <w:t xml:space="preserve"> DEL RIESGO </w:t>
      </w:r>
      <w:proofErr w:type="spellStart"/>
      <w:r w:rsidRPr="00ED74C3">
        <w:rPr>
          <w:sz w:val="20"/>
          <w:szCs w:val="20"/>
        </w:rPr>
        <w:t>SIMULACION</w:t>
      </w:r>
      <w:proofErr w:type="spellEnd"/>
      <w:r w:rsidRPr="00ED74C3">
        <w:rPr>
          <w:sz w:val="20"/>
          <w:szCs w:val="20"/>
        </w:rPr>
        <w:t xml:space="preserve"> MONTE CARLO</w:t>
      </w:r>
    </w:p>
    <w:p w:rsidR="000F6D60" w:rsidRPr="00ED74C3" w:rsidRDefault="000F6D60" w:rsidP="000F6D60">
      <w:pPr>
        <w:rPr>
          <w:sz w:val="20"/>
          <w:szCs w:val="20"/>
        </w:rPr>
      </w:pPr>
      <w:r w:rsidRPr="00ED74C3">
        <w:rPr>
          <w:sz w:val="20"/>
          <w:szCs w:val="20"/>
        </w:rPr>
        <w:t>Para este caso, usamos como punto de partida el Criterio Experto de la Técnica Delphi expuesta anteriormente, se complementa con una generación aleatoria de números para verificar la tendencia de la variable de Riesgo.</w:t>
      </w:r>
    </w:p>
    <w:tbl>
      <w:tblPr>
        <w:tblW w:w="8800" w:type="dxa"/>
        <w:jc w:val="center"/>
        <w:tblCellMar>
          <w:left w:w="70" w:type="dxa"/>
          <w:right w:w="70" w:type="dxa"/>
        </w:tblCellMar>
        <w:tblLook w:val="04A0" w:firstRow="1" w:lastRow="0" w:firstColumn="1" w:lastColumn="0" w:noHBand="0" w:noVBand="1"/>
      </w:tblPr>
      <w:tblGrid>
        <w:gridCol w:w="1128"/>
        <w:gridCol w:w="1274"/>
        <w:gridCol w:w="1548"/>
        <w:gridCol w:w="1557"/>
        <w:gridCol w:w="1557"/>
        <w:gridCol w:w="1864"/>
      </w:tblGrid>
      <w:tr w:rsidR="000F6D60" w:rsidRPr="00ED74C3" w:rsidTr="009A309C">
        <w:trPr>
          <w:trHeight w:val="300"/>
          <w:jc w:val="center"/>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TIPO DE RIESGO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CRITERIO EXPERTO</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PROMEDIO PONDERADO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FRECUENCIA ABSOLUTA</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FRECUENCIA RELATIVA</w:t>
            </w:r>
          </w:p>
        </w:tc>
        <w:tc>
          <w:tcPr>
            <w:tcW w:w="2240" w:type="dxa"/>
            <w:vMerge w:val="restart"/>
            <w:tcBorders>
              <w:top w:val="single" w:sz="4" w:space="0" w:color="auto"/>
              <w:left w:val="single" w:sz="4" w:space="0" w:color="auto"/>
              <w:bottom w:val="single" w:sz="4" w:space="0" w:color="000000"/>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FRECUENCIA RELATIVA ACUMULADA</w:t>
            </w:r>
          </w:p>
        </w:tc>
      </w:tr>
      <w:tr w:rsidR="000F6D60" w:rsidRPr="00ED74C3" w:rsidTr="009A309C">
        <w:trPr>
          <w:trHeight w:val="408"/>
          <w:jc w:val="cent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0F6D60" w:rsidRPr="00ED74C3" w:rsidRDefault="000F6D60" w:rsidP="009A309C">
            <w:pPr>
              <w:spacing w:after="0" w:line="240" w:lineRule="auto"/>
              <w:rPr>
                <w:color w:val="203764"/>
                <w:sz w:val="20"/>
                <w:szCs w:val="20"/>
                <w:lang w:eastAsia="es-EC"/>
              </w:rPr>
            </w:pPr>
          </w:p>
        </w:tc>
      </w:tr>
      <w:tr w:rsidR="000F6D60" w:rsidRPr="00ED74C3" w:rsidTr="009A309C">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rPr>
                <w:color w:val="000000"/>
                <w:sz w:val="20"/>
                <w:szCs w:val="20"/>
                <w:lang w:eastAsia="es-EC"/>
              </w:rPr>
            </w:pPr>
            <w:r w:rsidRPr="00ED74C3">
              <w:rPr>
                <w:color w:val="000000"/>
                <w:sz w:val="20"/>
                <w:szCs w:val="20"/>
                <w:lang w:eastAsia="es-EC"/>
              </w:rPr>
              <w:t>ALTO</w:t>
            </w:r>
          </w:p>
        </w:tc>
        <w:tc>
          <w:tcPr>
            <w:tcW w:w="134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6,33</w:t>
            </w:r>
          </w:p>
        </w:tc>
        <w:tc>
          <w:tcPr>
            <w:tcW w:w="142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c>
          <w:tcPr>
            <w:tcW w:w="136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5</w:t>
            </w:r>
          </w:p>
        </w:tc>
        <w:tc>
          <w:tcPr>
            <w:tcW w:w="136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0,263157895</w:t>
            </w:r>
          </w:p>
        </w:tc>
        <w:tc>
          <w:tcPr>
            <w:tcW w:w="224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0,263157895</w:t>
            </w:r>
          </w:p>
        </w:tc>
      </w:tr>
      <w:tr w:rsidR="000F6D60" w:rsidRPr="00ED74C3" w:rsidTr="009A309C">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rPr>
                <w:color w:val="000000"/>
                <w:sz w:val="20"/>
                <w:szCs w:val="20"/>
                <w:lang w:eastAsia="es-EC"/>
              </w:rPr>
            </w:pPr>
            <w:r w:rsidRPr="00ED74C3">
              <w:rPr>
                <w:color w:val="000000"/>
                <w:sz w:val="20"/>
                <w:szCs w:val="20"/>
                <w:lang w:eastAsia="es-EC"/>
              </w:rPr>
              <w:t>MEDIO</w:t>
            </w:r>
          </w:p>
        </w:tc>
        <w:tc>
          <w:tcPr>
            <w:tcW w:w="134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4,67</w:t>
            </w:r>
          </w:p>
        </w:tc>
        <w:tc>
          <w:tcPr>
            <w:tcW w:w="142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c>
          <w:tcPr>
            <w:tcW w:w="136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12</w:t>
            </w:r>
          </w:p>
        </w:tc>
        <w:tc>
          <w:tcPr>
            <w:tcW w:w="136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0,631578947</w:t>
            </w:r>
          </w:p>
        </w:tc>
        <w:tc>
          <w:tcPr>
            <w:tcW w:w="224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0,894736842</w:t>
            </w:r>
          </w:p>
        </w:tc>
      </w:tr>
      <w:tr w:rsidR="000F6D60" w:rsidRPr="00ED74C3" w:rsidTr="009A309C">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rPr>
                <w:color w:val="000000"/>
                <w:sz w:val="20"/>
                <w:szCs w:val="20"/>
                <w:lang w:eastAsia="es-EC"/>
              </w:rPr>
            </w:pPr>
            <w:r w:rsidRPr="00ED74C3">
              <w:rPr>
                <w:color w:val="000000"/>
                <w:sz w:val="20"/>
                <w:szCs w:val="20"/>
                <w:lang w:eastAsia="es-EC"/>
              </w:rPr>
              <w:t>BAJO</w:t>
            </w:r>
          </w:p>
        </w:tc>
        <w:tc>
          <w:tcPr>
            <w:tcW w:w="134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8,33</w:t>
            </w:r>
          </w:p>
        </w:tc>
        <w:tc>
          <w:tcPr>
            <w:tcW w:w="142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0,27</w:t>
            </w:r>
          </w:p>
        </w:tc>
        <w:tc>
          <w:tcPr>
            <w:tcW w:w="136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2</w:t>
            </w:r>
          </w:p>
        </w:tc>
        <w:tc>
          <w:tcPr>
            <w:tcW w:w="136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0,105263158</w:t>
            </w:r>
          </w:p>
        </w:tc>
        <w:tc>
          <w:tcPr>
            <w:tcW w:w="2240" w:type="dxa"/>
            <w:tcBorders>
              <w:top w:val="nil"/>
              <w:left w:val="nil"/>
              <w:bottom w:val="single" w:sz="4" w:space="0" w:color="auto"/>
              <w:right w:val="single" w:sz="4" w:space="0" w:color="auto"/>
            </w:tcBorders>
            <w:shd w:val="clear" w:color="auto" w:fill="auto"/>
            <w:noWrap/>
            <w:vAlign w:val="center"/>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1</w:t>
            </w:r>
          </w:p>
        </w:tc>
      </w:tr>
    </w:tbl>
    <w:p w:rsidR="000F6D60" w:rsidRPr="00ED74C3" w:rsidRDefault="000F6D60" w:rsidP="000F6D60">
      <w:pPr>
        <w:rPr>
          <w:sz w:val="20"/>
          <w:szCs w:val="20"/>
        </w:rPr>
      </w:pPr>
    </w:p>
    <w:tbl>
      <w:tblPr>
        <w:tblW w:w="4110" w:type="dxa"/>
        <w:tblCellMar>
          <w:left w:w="70" w:type="dxa"/>
          <w:right w:w="70" w:type="dxa"/>
        </w:tblCellMar>
        <w:tblLook w:val="04A0" w:firstRow="1" w:lastRow="0" w:firstColumn="1" w:lastColumn="0" w:noHBand="0" w:noVBand="1"/>
      </w:tblPr>
      <w:tblGrid>
        <w:gridCol w:w="1710"/>
        <w:gridCol w:w="2400"/>
      </w:tblGrid>
      <w:tr w:rsidR="000F6D60" w:rsidRPr="00ED74C3" w:rsidTr="009A309C">
        <w:trPr>
          <w:trHeight w:val="300"/>
        </w:trPr>
        <w:tc>
          <w:tcPr>
            <w:tcW w:w="1710" w:type="dxa"/>
            <w:tcBorders>
              <w:top w:val="single" w:sz="4" w:space="0" w:color="auto"/>
              <w:left w:val="single" w:sz="4" w:space="0" w:color="auto"/>
              <w:bottom w:val="nil"/>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 ALEATORIO</w:t>
            </w:r>
          </w:p>
        </w:tc>
        <w:tc>
          <w:tcPr>
            <w:tcW w:w="2400" w:type="dxa"/>
            <w:tcBorders>
              <w:top w:val="single" w:sz="4" w:space="0" w:color="auto"/>
              <w:left w:val="nil"/>
              <w:bottom w:val="nil"/>
              <w:right w:val="single" w:sz="4" w:space="0" w:color="auto"/>
            </w:tcBorders>
            <w:shd w:val="clear" w:color="000000" w:fill="9BC2E6"/>
            <w:vAlign w:val="center"/>
            <w:hideMark/>
          </w:tcPr>
          <w:p w:rsidR="000F6D60" w:rsidRPr="00ED74C3" w:rsidRDefault="000F6D60" w:rsidP="009A309C">
            <w:pPr>
              <w:spacing w:after="0" w:line="240" w:lineRule="auto"/>
              <w:jc w:val="center"/>
              <w:rPr>
                <w:color w:val="203764"/>
                <w:sz w:val="20"/>
                <w:szCs w:val="20"/>
                <w:lang w:eastAsia="es-EC"/>
              </w:rPr>
            </w:pPr>
            <w:r w:rsidRPr="00ED74C3">
              <w:rPr>
                <w:color w:val="203764"/>
                <w:sz w:val="20"/>
                <w:szCs w:val="20"/>
                <w:lang w:eastAsia="es-EC"/>
              </w:rPr>
              <w:t>PROMEDIO PONDERADO</w:t>
            </w:r>
          </w:p>
        </w:tc>
      </w:tr>
      <w:tr w:rsidR="000F6D60" w:rsidRPr="00ED74C3" w:rsidTr="009A309C">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0,99</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0,27</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0,42</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0,94</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0,27</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0,39</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0,79</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0,92</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0,27</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0,59</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0,16</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lastRenderedPageBreak/>
              <w:t>0,17</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0,29</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0,16</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0,79</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0,06</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0,93</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0,27</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0,40</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0,90</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0,27</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0,28</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0,20</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0,61</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0,75</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0,95</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0,27</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0,41</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0,14</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0,05</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0,10</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0,69</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0,93</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0,27</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0,17</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0,59</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0,03</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0,11</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0,68</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0,73</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0,44</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0,22</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r w:rsidR="000F6D60" w:rsidRPr="00ED74C3" w:rsidTr="009A309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0,08</w:t>
            </w:r>
          </w:p>
        </w:tc>
        <w:tc>
          <w:tcPr>
            <w:tcW w:w="2400" w:type="dxa"/>
            <w:tcBorders>
              <w:top w:val="nil"/>
              <w:left w:val="nil"/>
              <w:bottom w:val="single" w:sz="4" w:space="0" w:color="auto"/>
              <w:right w:val="single" w:sz="4" w:space="0" w:color="auto"/>
            </w:tcBorders>
            <w:shd w:val="clear" w:color="auto" w:fill="auto"/>
            <w:noWrap/>
            <w:vAlign w:val="bottom"/>
            <w:hideMark/>
          </w:tcPr>
          <w:p w:rsidR="000F6D60" w:rsidRPr="00ED74C3" w:rsidRDefault="000F6D60" w:rsidP="009A309C">
            <w:pPr>
              <w:spacing w:after="0" w:line="240" w:lineRule="auto"/>
              <w:jc w:val="center"/>
              <w:rPr>
                <w:color w:val="000000"/>
                <w:sz w:val="20"/>
                <w:szCs w:val="20"/>
                <w:lang w:eastAsia="es-EC"/>
              </w:rPr>
            </w:pPr>
            <w:r w:rsidRPr="00ED74C3">
              <w:rPr>
                <w:color w:val="000000"/>
                <w:sz w:val="20"/>
                <w:szCs w:val="20"/>
                <w:lang w:eastAsia="es-EC"/>
              </w:rPr>
              <w:t>0,30</w:t>
            </w:r>
          </w:p>
        </w:tc>
      </w:tr>
    </w:tbl>
    <w:p w:rsidR="000F6D60" w:rsidRPr="00ED74C3" w:rsidRDefault="000F6D60" w:rsidP="000F6D60">
      <w:pPr>
        <w:rPr>
          <w:sz w:val="20"/>
          <w:szCs w:val="20"/>
        </w:rPr>
      </w:pPr>
      <w:r w:rsidRPr="00ED74C3">
        <w:rPr>
          <w:sz w:val="20"/>
          <w:szCs w:val="20"/>
        </w:rPr>
        <w:t>Promedio de 1.000 números aleatorios generados.</w:t>
      </w:r>
    </w:p>
    <w:p w:rsidR="000F6D60" w:rsidRPr="00ED74C3" w:rsidRDefault="000F6D60" w:rsidP="000F6D60">
      <w:pPr>
        <w:jc w:val="center"/>
        <w:rPr>
          <w:sz w:val="20"/>
          <w:szCs w:val="20"/>
        </w:rPr>
      </w:pPr>
      <w:r w:rsidRPr="00772604">
        <w:rPr>
          <w:noProof/>
          <w:sz w:val="20"/>
          <w:szCs w:val="20"/>
          <w:lang w:eastAsia="es-EC"/>
        </w:rPr>
        <w:drawing>
          <wp:inline distT="0" distB="0" distL="0" distR="0">
            <wp:extent cx="5560695" cy="2745740"/>
            <wp:effectExtent l="0" t="0" r="1905" b="1651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F6D60" w:rsidRPr="00ED74C3" w:rsidRDefault="000F6D60" w:rsidP="000F6D60">
      <w:pPr>
        <w:rPr>
          <w:sz w:val="20"/>
          <w:szCs w:val="20"/>
        </w:rPr>
      </w:pPr>
    </w:p>
    <w:p w:rsidR="000F6D60" w:rsidRPr="00ED74C3" w:rsidRDefault="000F6D60" w:rsidP="000F6D60">
      <w:pPr>
        <w:rPr>
          <w:sz w:val="20"/>
          <w:szCs w:val="20"/>
        </w:rPr>
      </w:pPr>
      <w:r w:rsidRPr="00772604">
        <w:rPr>
          <w:noProof/>
          <w:sz w:val="20"/>
          <w:szCs w:val="20"/>
          <w:lang w:eastAsia="es-EC"/>
        </w:rPr>
        <w:lastRenderedPageBreak/>
        <w:drawing>
          <wp:inline distT="0" distB="0" distL="0" distR="0">
            <wp:extent cx="868680" cy="1981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680" cy="198120"/>
                    </a:xfrm>
                    <a:prstGeom prst="rect">
                      <a:avLst/>
                    </a:prstGeom>
                    <a:noFill/>
                    <a:ln>
                      <a:noFill/>
                    </a:ln>
                  </pic:spPr>
                </pic:pic>
              </a:graphicData>
            </a:graphic>
          </wp:inline>
        </w:drawing>
      </w:r>
      <w:r w:rsidRPr="00ED74C3">
        <w:rPr>
          <w:sz w:val="20"/>
          <w:szCs w:val="20"/>
        </w:rPr>
        <w:t xml:space="preserve">    Método Simulación Monte Carlo</w:t>
      </w:r>
    </w:p>
    <w:p w:rsidR="000F6D60" w:rsidRDefault="000F6D60" w:rsidP="000F6D60">
      <w:pPr>
        <w:pStyle w:val="Textoindependiente"/>
        <w:spacing w:before="0" w:after="0" w:line="240" w:lineRule="auto"/>
        <w:rPr>
          <w:rFonts w:eastAsia="Arial Unicode MS"/>
        </w:rPr>
      </w:pPr>
    </w:p>
    <w:sectPr w:rsidR="000F6D60" w:rsidSect="00772604">
      <w:pgSz w:w="11906" w:h="16838"/>
      <w:pgMar w:top="1701" w:right="1417" w:bottom="1276" w:left="1701" w:header="709" w:footer="55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0"/>
    <w:rsid w:val="000F6D60"/>
    <w:rsid w:val="001C2C83"/>
    <w:rsid w:val="005353A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60"/>
    <w:pPr>
      <w:suppressAutoHyphens/>
      <w:spacing w:before="60" w:after="60" w:line="280" w:lineRule="atLeast"/>
      <w:ind w:left="425"/>
      <w:jc w:val="both"/>
    </w:pPr>
    <w:rPr>
      <w:rFonts w:ascii="Arial" w:eastAsia="Times New Roman" w:hAnsi="Arial" w:cs="Arial"/>
      <w:bCs/>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F6D60"/>
    <w:pPr>
      <w:spacing w:after="120"/>
      <w:ind w:left="0"/>
    </w:pPr>
    <w:rPr>
      <w:b/>
      <w:emboss/>
    </w:rPr>
  </w:style>
  <w:style w:type="character" w:customStyle="1" w:styleId="TextoindependienteCar">
    <w:name w:val="Texto independiente Car"/>
    <w:basedOn w:val="Fuentedeprrafopredeter"/>
    <w:link w:val="Textoindependiente"/>
    <w:rsid w:val="000F6D60"/>
    <w:rPr>
      <w:rFonts w:ascii="Arial" w:eastAsia="Times New Roman" w:hAnsi="Arial" w:cs="Arial"/>
      <w:b/>
      <w:bCs/>
      <w:emboss/>
      <w:szCs w:val="24"/>
      <w:lang w:eastAsia="ar-SA"/>
    </w:rPr>
  </w:style>
  <w:style w:type="paragraph" w:styleId="Textodeglobo">
    <w:name w:val="Balloon Text"/>
    <w:basedOn w:val="Normal"/>
    <w:link w:val="TextodegloboCar"/>
    <w:uiPriority w:val="99"/>
    <w:semiHidden/>
    <w:unhideWhenUsed/>
    <w:rsid w:val="005353A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3A4"/>
    <w:rPr>
      <w:rFonts w:ascii="Tahoma" w:eastAsia="Times New Roman" w:hAnsi="Tahoma" w:cs="Tahoma"/>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60"/>
    <w:pPr>
      <w:suppressAutoHyphens/>
      <w:spacing w:before="60" w:after="60" w:line="280" w:lineRule="atLeast"/>
      <w:ind w:left="425"/>
      <w:jc w:val="both"/>
    </w:pPr>
    <w:rPr>
      <w:rFonts w:ascii="Arial" w:eastAsia="Times New Roman" w:hAnsi="Arial" w:cs="Arial"/>
      <w:bCs/>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F6D60"/>
    <w:pPr>
      <w:spacing w:after="120"/>
      <w:ind w:left="0"/>
    </w:pPr>
    <w:rPr>
      <w:b/>
      <w:emboss/>
    </w:rPr>
  </w:style>
  <w:style w:type="character" w:customStyle="1" w:styleId="TextoindependienteCar">
    <w:name w:val="Texto independiente Car"/>
    <w:basedOn w:val="Fuentedeprrafopredeter"/>
    <w:link w:val="Textoindependiente"/>
    <w:rsid w:val="000F6D60"/>
    <w:rPr>
      <w:rFonts w:ascii="Arial" w:eastAsia="Times New Roman" w:hAnsi="Arial" w:cs="Arial"/>
      <w:b/>
      <w:bCs/>
      <w:emboss/>
      <w:szCs w:val="24"/>
      <w:lang w:eastAsia="ar-SA"/>
    </w:rPr>
  </w:style>
  <w:style w:type="paragraph" w:styleId="Textodeglobo">
    <w:name w:val="Balloon Text"/>
    <w:basedOn w:val="Normal"/>
    <w:link w:val="TextodegloboCar"/>
    <w:uiPriority w:val="99"/>
    <w:semiHidden/>
    <w:unhideWhenUsed/>
    <w:rsid w:val="005353A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3A4"/>
    <w:rPr>
      <w:rFonts w:ascii="Tahoma" w:eastAsia="Times New Roman" w:hAnsi="Tahoma" w:cs="Tahoma"/>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G:\ASIGNACION%20DE%20RIESG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'ESTIMACION MONTE CARLO'!$B$1</c:f>
              <c:strCache>
                <c:ptCount val="1"/>
                <c:pt idx="0">
                  <c:v>TIPO DE RIESGO</c:v>
                </c:pt>
              </c:strCache>
            </c:strRef>
          </c:tx>
          <c:invertIfNegative val="0"/>
          <c:cat>
            <c:strRef>
              <c:f>'ESTIMACION MONTE CARLO'!$B$3:$B$5</c:f>
              <c:strCache>
                <c:ptCount val="3"/>
                <c:pt idx="0">
                  <c:v>ALTO</c:v>
                </c:pt>
                <c:pt idx="1">
                  <c:v>MEDIO</c:v>
                </c:pt>
                <c:pt idx="2">
                  <c:v>BAJO</c:v>
                </c:pt>
              </c:strCache>
            </c:strRef>
          </c:cat>
          <c:val>
            <c:numRef>
              <c:f>'ESTIMACION MONTE CARLO'!$F$3:$F$5</c:f>
              <c:numCache>
                <c:formatCode>General</c:formatCode>
                <c:ptCount val="3"/>
                <c:pt idx="0">
                  <c:v>0.26315789473684209</c:v>
                </c:pt>
                <c:pt idx="1">
                  <c:v>0.63157894736842102</c:v>
                </c:pt>
                <c:pt idx="2">
                  <c:v>0.10526315789473684</c:v>
                </c:pt>
              </c:numCache>
            </c:numRef>
          </c:val>
          <c:extLst xmlns:c16r2="http://schemas.microsoft.com/office/drawing/2015/06/chart">
            <c:ext xmlns:c16="http://schemas.microsoft.com/office/drawing/2014/chart" uri="{C3380CC4-5D6E-409C-BE32-E72D297353CC}">
              <c16:uniqueId val="{00000000-8F42-4234-9D66-351440CFCD46}"/>
            </c:ext>
          </c:extLst>
        </c:ser>
        <c:dLbls>
          <c:showLegendKey val="0"/>
          <c:showVal val="0"/>
          <c:showCatName val="0"/>
          <c:showSerName val="0"/>
          <c:showPercent val="0"/>
          <c:showBubbleSize val="0"/>
        </c:dLbls>
        <c:gapWidth val="150"/>
        <c:axId val="149822464"/>
        <c:axId val="142344192"/>
      </c:barChart>
      <c:lineChart>
        <c:grouping val="standard"/>
        <c:varyColors val="0"/>
        <c:ser>
          <c:idx val="1"/>
          <c:order val="1"/>
          <c:tx>
            <c:strRef>
              <c:f>'ESTIMACION MONTE CARLO'!$G$1</c:f>
              <c:strCache>
                <c:ptCount val="1"/>
                <c:pt idx="0">
                  <c:v>FRECUENCIA RELATIVA ACUMULADA</c:v>
                </c:pt>
              </c:strCache>
            </c:strRef>
          </c:tx>
          <c:val>
            <c:numRef>
              <c:f>'ESTIMACION MONTE CARLO'!$G$3:$G$5</c:f>
              <c:numCache>
                <c:formatCode>General</c:formatCode>
                <c:ptCount val="3"/>
                <c:pt idx="0">
                  <c:v>0.26315789473684209</c:v>
                </c:pt>
                <c:pt idx="1">
                  <c:v>0.89473684210526305</c:v>
                </c:pt>
                <c:pt idx="2">
                  <c:v>0.99999999999999989</c:v>
                </c:pt>
              </c:numCache>
            </c:numRef>
          </c:val>
          <c:smooth val="0"/>
          <c:extLst xmlns:c16r2="http://schemas.microsoft.com/office/drawing/2015/06/chart">
            <c:ext xmlns:c16="http://schemas.microsoft.com/office/drawing/2014/chart" uri="{C3380CC4-5D6E-409C-BE32-E72D297353CC}">
              <c16:uniqueId val="{00000001-8F42-4234-9D66-351440CFCD46}"/>
            </c:ext>
          </c:extLst>
        </c:ser>
        <c:dLbls>
          <c:showLegendKey val="0"/>
          <c:showVal val="0"/>
          <c:showCatName val="0"/>
          <c:showSerName val="0"/>
          <c:showPercent val="0"/>
          <c:showBubbleSize val="0"/>
        </c:dLbls>
        <c:marker val="1"/>
        <c:smooth val="0"/>
        <c:axId val="149822464"/>
        <c:axId val="142344192"/>
      </c:lineChart>
      <c:catAx>
        <c:axId val="149822464"/>
        <c:scaling>
          <c:orientation val="minMax"/>
        </c:scaling>
        <c:delete val="0"/>
        <c:axPos val="b"/>
        <c:numFmt formatCode="General" sourceLinked="0"/>
        <c:majorTickMark val="out"/>
        <c:minorTickMark val="none"/>
        <c:tickLblPos val="nextTo"/>
        <c:crossAx val="142344192"/>
        <c:crosses val="autoZero"/>
        <c:auto val="1"/>
        <c:lblAlgn val="ctr"/>
        <c:lblOffset val="100"/>
        <c:noMultiLvlLbl val="0"/>
      </c:catAx>
      <c:valAx>
        <c:axId val="142344192"/>
        <c:scaling>
          <c:orientation val="minMax"/>
        </c:scaling>
        <c:delete val="0"/>
        <c:axPos val="l"/>
        <c:majorGridlines/>
        <c:numFmt formatCode="General" sourceLinked="1"/>
        <c:majorTickMark val="out"/>
        <c:minorTickMark val="none"/>
        <c:tickLblPos val="nextTo"/>
        <c:crossAx val="1498224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1743</Words>
  <Characters>9590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Vizuete Tipán</dc:creator>
  <cp:lastModifiedBy>Diego Sebastian Cevallos Salgado</cp:lastModifiedBy>
  <cp:revision>2</cp:revision>
  <dcterms:created xsi:type="dcterms:W3CDTF">2017-06-26T23:39:00Z</dcterms:created>
  <dcterms:modified xsi:type="dcterms:W3CDTF">2017-06-26T23:39:00Z</dcterms:modified>
</cp:coreProperties>
</file>