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02" w:rsidRPr="00567DE8" w:rsidRDefault="00567DE8" w:rsidP="00567DE8">
      <w:pPr>
        <w:pStyle w:val="Sinespaciado"/>
        <w:spacing w:after="240" w:line="276" w:lineRule="auto"/>
        <w:jc w:val="center"/>
        <w:rPr>
          <w:rFonts w:ascii="Palatino Linotype" w:hAnsi="Palatino Linotype" w:cs="Aharoni"/>
          <w:b/>
        </w:rPr>
      </w:pPr>
      <w:r w:rsidRPr="00567DE8">
        <w:rPr>
          <w:rFonts w:ascii="Palatino Linotype" w:hAnsi="Palatino Linotype" w:cs="Aharoni"/>
          <w:b/>
        </w:rPr>
        <w:t>EXPOSICIÓN DE MOTIVOS</w:t>
      </w:r>
    </w:p>
    <w:p w:rsidR="003A6502" w:rsidRPr="00567DE8" w:rsidRDefault="003A6502" w:rsidP="00567DE8">
      <w:pPr>
        <w:pStyle w:val="Sinespaciado"/>
        <w:spacing w:after="240" w:line="276" w:lineRule="auto"/>
        <w:ind w:firstLine="708"/>
        <w:jc w:val="both"/>
        <w:rPr>
          <w:rFonts w:ascii="Palatino Linotype" w:hAnsi="Palatino Linotype" w:cs="Aharoni"/>
        </w:rPr>
      </w:pPr>
      <w:r w:rsidRPr="00567DE8">
        <w:rPr>
          <w:rFonts w:ascii="Palatino Linotype" w:hAnsi="Palatino Linotype" w:cs="Aharoni"/>
        </w:rPr>
        <w:t xml:space="preserve">Al momento se encuentran varios expedientes de la Unidad Especial Regula Tu Barrio que versan sobre los procesos de expropiación especial a aplicarse en los lotes de terreno en los cuales se ubican Asentamientos Humanos de Hecho y Consolidados sujetos al proceso de expropiación especial.  En el decurso del trámite administrativo, que dispone la Ordenanza No. 0055 del 2015, se ha determinado la existencia de errores técnicos de cálculo o medición que están discordantes con el área constante en los títulos de dominio de los predios, situación que dificulta la declaratoria de utilidad pública al Concejo Metropolitano conforme dispone el </w:t>
      </w:r>
      <w:r w:rsidR="002975E2">
        <w:rPr>
          <w:rFonts w:ascii="Palatino Linotype" w:hAnsi="Palatino Linotype" w:cs="Aharoni"/>
        </w:rPr>
        <w:t>a</w:t>
      </w:r>
      <w:r w:rsidRPr="00567DE8">
        <w:rPr>
          <w:rFonts w:ascii="Palatino Linotype" w:hAnsi="Palatino Linotype" w:cs="Aharoni"/>
        </w:rPr>
        <w:t>rt</w:t>
      </w:r>
      <w:r w:rsidR="002975E2">
        <w:rPr>
          <w:rFonts w:ascii="Palatino Linotype" w:hAnsi="Palatino Linotype" w:cs="Aharoni"/>
        </w:rPr>
        <w:t>ículo</w:t>
      </w:r>
      <w:r w:rsidRPr="00567DE8">
        <w:rPr>
          <w:rFonts w:ascii="Palatino Linotype" w:hAnsi="Palatino Linotype" w:cs="Aharoni"/>
        </w:rPr>
        <w:t xml:space="preserve"> 596 del COOTAD y la Ordenanza citada. Ante esto se tiene la necesidad de corregir en forma legal, expedita y precisa dichas diferencias y excedentes  existentes, previo a continuar con el proceso antes indicado. </w:t>
      </w:r>
    </w:p>
    <w:p w:rsidR="003A6502" w:rsidRPr="00567DE8" w:rsidRDefault="003A6502" w:rsidP="00567DE8">
      <w:pPr>
        <w:pStyle w:val="Sinespaciado"/>
        <w:spacing w:after="240" w:line="276" w:lineRule="auto"/>
        <w:ind w:firstLine="708"/>
        <w:jc w:val="both"/>
        <w:rPr>
          <w:rFonts w:ascii="Palatino Linotype" w:hAnsi="Palatino Linotype" w:cs="Aharoni"/>
        </w:rPr>
      </w:pPr>
      <w:r w:rsidRPr="00567DE8">
        <w:rPr>
          <w:rFonts w:ascii="Palatino Linotype" w:hAnsi="Palatino Linotype" w:cs="Aharoni"/>
        </w:rPr>
        <w:t xml:space="preserve">Si bien es cierto existe la Ordenanza </w:t>
      </w:r>
      <w:r w:rsidR="002975E2">
        <w:rPr>
          <w:rFonts w:ascii="Palatino Linotype" w:hAnsi="Palatino Linotype" w:cs="Aharoni"/>
        </w:rPr>
        <w:t xml:space="preserve">Metropolitana </w:t>
      </w:r>
      <w:r w:rsidRPr="00567DE8">
        <w:rPr>
          <w:rFonts w:ascii="Palatino Linotype" w:hAnsi="Palatino Linotype" w:cs="Aharoni"/>
        </w:rPr>
        <w:t>No. 269 del 2012 que establece el Error Técnico Aceptable de Medida (ETAM) y los procedimientos para solución de diferencias y excedentes de áreas en terrenos particulares, al ser el procedimiento de expropiación especial un trámite diferenciado y específico que tiene como fin la regularización de asentamientos humanos de hecho y consolidados; siendo claro lo que menciona el Art. 596 del COOTAD en el numeral 2. Indicando textualmente que para efectos de la expropiación especial</w:t>
      </w:r>
      <w:proofErr w:type="gramStart"/>
      <w:r w:rsidRPr="00567DE8">
        <w:rPr>
          <w:rFonts w:ascii="Palatino Linotype" w:hAnsi="Palatino Linotype" w:cs="Aharoni"/>
        </w:rPr>
        <w:t>: ”</w:t>
      </w:r>
      <w:proofErr w:type="gramEnd"/>
      <w:r w:rsidRPr="00567DE8">
        <w:rPr>
          <w:rFonts w:ascii="Palatino Linotype" w:hAnsi="Palatino Linotype" w:cs="Aharoni"/>
          <w:i/>
        </w:rPr>
        <w:t>...Los gobiernos autónomos descentralizados cantonales o distritales establecerán la cabida, superficie y linderos del terreno donde se encuentra el asentamiento humano…</w:t>
      </w:r>
      <w:r w:rsidRPr="00567DE8">
        <w:rPr>
          <w:rFonts w:ascii="Palatino Linotype" w:hAnsi="Palatino Linotype" w:cs="Aharoni"/>
        </w:rPr>
        <w:t xml:space="preserve">”. Conforme la doctrina y la técnica legislativa menciona que se debe evitar la expedición de normativa DISPERSA, cuando se tiene como objeto regular un solo objetivo.  Y teniendo en cuenta que tanto la Ordenanza No. 0055 del 2015 como la demás normativa que regula la expropiación especial con fines de regularización, son cuerpos legales temporales que se dejarán de aplicar una vez que termine  el proceso de regularización de todos los asentamientos humanos de hecho y consolidados que existan en el Distrito Metropolitano de Quito. En este contexto existe la necesidad de plantear una reforma  en la Ordenanza </w:t>
      </w:r>
      <w:r w:rsidR="002975E2">
        <w:rPr>
          <w:rFonts w:ascii="Palatino Linotype" w:hAnsi="Palatino Linotype" w:cs="Aharoni"/>
        </w:rPr>
        <w:t xml:space="preserve">Metropolitana </w:t>
      </w:r>
      <w:r w:rsidRPr="00567DE8">
        <w:rPr>
          <w:rFonts w:ascii="Palatino Linotype" w:hAnsi="Palatino Linotype" w:cs="Aharoni"/>
        </w:rPr>
        <w:t xml:space="preserve">No. 0055 del 2015, que es el Cuerpo Normativo que de manera integral debe establecer el  procedimiento completo para la expropiación especial, regularización y adjudicación de predios de los asentamientos humanos de hecho y consolidados de interés social en suelo urbano y de expansión urbana.     </w:t>
      </w:r>
    </w:p>
    <w:p w:rsidR="003A6502" w:rsidRPr="00567DE8" w:rsidRDefault="003A6502" w:rsidP="00567DE8">
      <w:pPr>
        <w:pStyle w:val="Sinespaciado"/>
        <w:spacing w:after="240" w:line="276" w:lineRule="auto"/>
        <w:ind w:firstLine="708"/>
        <w:jc w:val="both"/>
        <w:rPr>
          <w:rFonts w:ascii="Palatino Linotype" w:hAnsi="Palatino Linotype" w:cs="Aharoni"/>
        </w:rPr>
      </w:pPr>
      <w:r w:rsidRPr="00567DE8">
        <w:rPr>
          <w:rFonts w:ascii="Palatino Linotype" w:hAnsi="Palatino Linotype" w:cs="Aharoni"/>
        </w:rPr>
        <w:t xml:space="preserve">Por lo anterior, a fin de dar  solución legal a los problemas de titularidad de domino de los predios en los cuales se encuentran los asentamientos humanos de hecho y consolidados, para la dotación de servicios, conforme dispone el COOTAD. Sin perjuicio de lo que contempla la Ordenanza </w:t>
      </w:r>
      <w:r w:rsidR="002975E2">
        <w:rPr>
          <w:rFonts w:ascii="Palatino Linotype" w:hAnsi="Palatino Linotype" w:cs="Aharoni"/>
        </w:rPr>
        <w:t xml:space="preserve">Metropolitana </w:t>
      </w:r>
      <w:r w:rsidRPr="00567DE8">
        <w:rPr>
          <w:rFonts w:ascii="Palatino Linotype" w:hAnsi="Palatino Linotype" w:cs="Aharoni"/>
        </w:rPr>
        <w:t xml:space="preserve">No. 269 de 30 de julio del 2012, en su </w:t>
      </w:r>
      <w:r w:rsidR="002975E2">
        <w:rPr>
          <w:rFonts w:ascii="Palatino Linotype" w:hAnsi="Palatino Linotype" w:cs="Aharoni"/>
        </w:rPr>
        <w:lastRenderedPageBreak/>
        <w:t>a</w:t>
      </w:r>
      <w:r w:rsidRPr="00567DE8">
        <w:rPr>
          <w:rFonts w:ascii="Palatino Linotype" w:hAnsi="Palatino Linotype" w:cs="Aharoni"/>
        </w:rPr>
        <w:t>rtículo</w:t>
      </w:r>
      <w:proofErr w:type="gramStart"/>
      <w:r w:rsidRPr="00567DE8">
        <w:rPr>
          <w:rFonts w:ascii="Palatino Linotype" w:hAnsi="Palatino Linotype" w:cs="Aharoni"/>
        </w:rPr>
        <w:t>…(</w:t>
      </w:r>
      <w:proofErr w:type="gramEnd"/>
      <w:r w:rsidRPr="00567DE8">
        <w:rPr>
          <w:rFonts w:ascii="Palatino Linotype" w:hAnsi="Palatino Linotype" w:cs="Aharoni"/>
        </w:rPr>
        <w:t xml:space="preserve">7). A continuación se plantea un procedimiento abreviado y específico, que contemple términos y excepciones para dar solución inmediata al problema de los excedentes y diferencias de áreas que dificultan se continúe con los procedimientos de expropiación especial con fines de regularización. </w:t>
      </w:r>
    </w:p>
    <w:p w:rsidR="003A6502" w:rsidRPr="00567DE8" w:rsidRDefault="003A6502" w:rsidP="00567DE8">
      <w:pPr>
        <w:pStyle w:val="Sinespaciado"/>
        <w:spacing w:after="240" w:line="276" w:lineRule="auto"/>
        <w:ind w:firstLine="708"/>
        <w:jc w:val="both"/>
        <w:rPr>
          <w:rFonts w:ascii="Palatino Linotype" w:hAnsi="Palatino Linotype" w:cs="Aharoni"/>
        </w:rPr>
      </w:pPr>
      <w:r w:rsidRPr="00567DE8">
        <w:rPr>
          <w:rFonts w:ascii="Palatino Linotype" w:hAnsi="Palatino Linotype" w:cs="Aharoni"/>
        </w:rPr>
        <w:t>La Procuraduría Metropolitana emitió informe en los siguientes términos: “</w:t>
      </w:r>
      <w:r w:rsidR="00567DE8" w:rsidRPr="00567DE8">
        <w:rPr>
          <w:rFonts w:ascii="Palatino Linotype" w:hAnsi="Palatino Linotype" w:cs="Aharoni"/>
          <w:i/>
        </w:rPr>
        <w:t>(…)</w:t>
      </w:r>
      <w:r w:rsidRPr="00567DE8">
        <w:rPr>
          <w:rFonts w:ascii="Palatino Linotype" w:hAnsi="Palatino Linotype" w:cs="Aharoni"/>
          <w:i/>
        </w:rPr>
        <w:t xml:space="preserve"> Examinado el texto del proyecto de ordenanza reformatoria, Procuraduría emite criterio legal favorable condicionado, para que se continúe con el trámite de aprobación en razón de que la propuesta es constitucional y legalmente viable </w:t>
      </w:r>
      <w:r w:rsidR="00567DE8" w:rsidRPr="00567DE8">
        <w:rPr>
          <w:rFonts w:ascii="Palatino Linotype" w:hAnsi="Palatino Linotype" w:cs="Aharoni"/>
          <w:i/>
        </w:rPr>
        <w:t>(</w:t>
      </w:r>
      <w:r w:rsidRPr="00567DE8">
        <w:rPr>
          <w:rFonts w:ascii="Palatino Linotype" w:hAnsi="Palatino Linotype" w:cs="Aharoni"/>
          <w:i/>
        </w:rPr>
        <w:t>…</w:t>
      </w:r>
      <w:r w:rsidR="00567DE8" w:rsidRPr="00567DE8">
        <w:rPr>
          <w:rFonts w:ascii="Palatino Linotype" w:hAnsi="Palatino Linotype" w:cs="Aharoni"/>
          <w:i/>
        </w:rPr>
        <w:t>)</w:t>
      </w:r>
      <w:r w:rsidRPr="00567DE8">
        <w:rPr>
          <w:rFonts w:ascii="Palatino Linotype" w:hAnsi="Palatino Linotype" w:cs="Aharoni"/>
        </w:rPr>
        <w:t>”</w:t>
      </w:r>
      <w:r w:rsidR="00567DE8" w:rsidRPr="00567DE8">
        <w:rPr>
          <w:rFonts w:ascii="Palatino Linotype" w:hAnsi="Palatino Linotype" w:cs="Aharoni"/>
          <w:i/>
        </w:rPr>
        <w:t>.</w:t>
      </w:r>
      <w:r w:rsidRPr="00567DE8">
        <w:rPr>
          <w:rFonts w:ascii="Palatino Linotype" w:hAnsi="Palatino Linotype" w:cs="Aharoni"/>
        </w:rPr>
        <w:t xml:space="preserve">     </w:t>
      </w:r>
    </w:p>
    <w:p w:rsidR="00567DE8" w:rsidRPr="00567DE8" w:rsidRDefault="00567DE8" w:rsidP="00567DE8">
      <w:pPr>
        <w:pStyle w:val="Sinespaciado"/>
        <w:spacing w:after="240" w:line="276" w:lineRule="auto"/>
        <w:jc w:val="both"/>
        <w:rPr>
          <w:rFonts w:ascii="Palatino Linotype" w:hAnsi="Palatino Linotype" w:cs="Aharoni"/>
        </w:rPr>
        <w:sectPr w:rsidR="00567DE8" w:rsidRPr="00567DE8" w:rsidSect="004B1AA6">
          <w:headerReference w:type="default" r:id="rId8"/>
          <w:footerReference w:type="even" r:id="rId9"/>
          <w:footerReference w:type="default" r:id="rId10"/>
          <w:pgSz w:w="11906" w:h="16838"/>
          <w:pgMar w:top="1560" w:right="1133" w:bottom="1418" w:left="1701" w:header="709" w:footer="709" w:gutter="0"/>
          <w:cols w:space="708"/>
          <w:docGrid w:linePitch="360"/>
        </w:sectPr>
      </w:pPr>
    </w:p>
    <w:p w:rsidR="00567DE8" w:rsidRPr="00567DE8" w:rsidRDefault="00567DE8" w:rsidP="00567DE8">
      <w:pPr>
        <w:pStyle w:val="Sinespaciado"/>
        <w:spacing w:after="240" w:line="276" w:lineRule="auto"/>
        <w:jc w:val="center"/>
        <w:rPr>
          <w:rFonts w:ascii="Palatino Linotype" w:hAnsi="Palatino Linotype" w:cs="Aharoni"/>
          <w:b/>
        </w:rPr>
      </w:pPr>
      <w:r w:rsidRPr="00567DE8">
        <w:rPr>
          <w:rFonts w:ascii="Palatino Linotype" w:hAnsi="Palatino Linotype" w:cs="Aharoni"/>
          <w:b/>
        </w:rPr>
        <w:lastRenderedPageBreak/>
        <w:t>EL CONCEJO METROPOLITANO DE QUITO</w:t>
      </w:r>
    </w:p>
    <w:p w:rsidR="00567DE8" w:rsidRPr="00567DE8" w:rsidRDefault="00567DE8" w:rsidP="00567DE8">
      <w:pPr>
        <w:pStyle w:val="Sinespaciado"/>
        <w:spacing w:after="240" w:line="276" w:lineRule="auto"/>
        <w:rPr>
          <w:rFonts w:ascii="Palatino Linotype" w:hAnsi="Palatino Linotype" w:cs="Aharoni"/>
        </w:rPr>
      </w:pPr>
      <w:r w:rsidRPr="00567DE8">
        <w:rPr>
          <w:rFonts w:ascii="Palatino Linotype" w:hAnsi="Palatino Linotype" w:cs="Aharoni"/>
        </w:rPr>
        <w:t xml:space="preserve">Vistos los informes Nos. IC-O-2015-241 e </w:t>
      </w:r>
      <w:r w:rsidRPr="00567DE8">
        <w:rPr>
          <w:rFonts w:ascii="Palatino Linotype" w:hAnsi="Palatino Linotype" w:cs="Aharoni"/>
        </w:rPr>
        <w:t>IC-O-201</w:t>
      </w:r>
      <w:r w:rsidRPr="00567DE8">
        <w:rPr>
          <w:rFonts w:ascii="Palatino Linotype" w:hAnsi="Palatino Linotype" w:cs="Aharoni"/>
        </w:rPr>
        <w:t>6-027, de 9 de diciembre de 2015 y 20 de enero de 2016, respectivamente, emitidos por la Comisión de Propiedad y Espacio Público.</w:t>
      </w:r>
    </w:p>
    <w:p w:rsidR="003A6502" w:rsidRPr="00567DE8" w:rsidRDefault="003A6502" w:rsidP="00567DE8">
      <w:pPr>
        <w:pStyle w:val="Sinespaciado"/>
        <w:spacing w:after="240" w:line="276" w:lineRule="auto"/>
        <w:ind w:left="2832" w:firstLine="708"/>
        <w:jc w:val="both"/>
        <w:rPr>
          <w:rFonts w:ascii="Palatino Linotype" w:hAnsi="Palatino Linotype" w:cs="Aharoni"/>
          <w:b/>
        </w:rPr>
      </w:pPr>
      <w:r w:rsidRPr="00567DE8">
        <w:rPr>
          <w:rFonts w:ascii="Palatino Linotype" w:hAnsi="Palatino Linotype" w:cs="Aharoni"/>
          <w:b/>
        </w:rPr>
        <w:t>CONSIDERANDO:</w:t>
      </w:r>
    </w:p>
    <w:p w:rsidR="003A6502" w:rsidRPr="00567DE8" w:rsidRDefault="003A6502" w:rsidP="00567DE8">
      <w:pPr>
        <w:pStyle w:val="Sinespaciado"/>
        <w:spacing w:after="240" w:line="276" w:lineRule="auto"/>
        <w:ind w:left="705" w:hanging="705"/>
        <w:jc w:val="both"/>
        <w:rPr>
          <w:rFonts w:ascii="Palatino Linotype" w:hAnsi="Palatino Linotype" w:cs="Aharoni"/>
        </w:rPr>
      </w:pPr>
      <w:r w:rsidRPr="00567DE8">
        <w:rPr>
          <w:rFonts w:ascii="Palatino Linotype" w:hAnsi="Palatino Linotype" w:cs="Aharoni"/>
          <w:b/>
        </w:rPr>
        <w:t>Que,</w:t>
      </w:r>
      <w:r w:rsidRPr="00567DE8">
        <w:rPr>
          <w:rFonts w:ascii="Palatino Linotype" w:hAnsi="Palatino Linotype" w:cs="Aharoni"/>
        </w:rPr>
        <w:t xml:space="preserve"> </w:t>
      </w:r>
      <w:r w:rsidR="00567DE8" w:rsidRPr="00567DE8">
        <w:rPr>
          <w:rFonts w:ascii="Palatino Linotype" w:hAnsi="Palatino Linotype" w:cs="Aharoni"/>
        </w:rPr>
        <w:tab/>
      </w:r>
      <w:r w:rsidRPr="00567DE8">
        <w:rPr>
          <w:rFonts w:ascii="Palatino Linotype" w:hAnsi="Palatino Linotype" w:cs="Aharoni"/>
        </w:rPr>
        <w:t xml:space="preserve">el artículo 30 de la Constitución de la república del Ecuador (en adelante </w:t>
      </w:r>
      <w:r w:rsidR="00567DE8" w:rsidRPr="00567DE8">
        <w:rPr>
          <w:rFonts w:ascii="Palatino Linotype" w:hAnsi="Palatino Linotype" w:cs="Aharoni"/>
        </w:rPr>
        <w:t>“</w:t>
      </w:r>
      <w:r w:rsidRPr="00567DE8">
        <w:rPr>
          <w:rFonts w:ascii="Palatino Linotype" w:hAnsi="Palatino Linotype" w:cs="Aharoni"/>
        </w:rPr>
        <w:t>Constitución</w:t>
      </w:r>
      <w:r w:rsidR="00567DE8" w:rsidRPr="00567DE8">
        <w:rPr>
          <w:rFonts w:ascii="Palatino Linotype" w:hAnsi="Palatino Linotype" w:cs="Aharoni"/>
        </w:rPr>
        <w:t>”</w:t>
      </w:r>
      <w:r w:rsidRPr="00567DE8">
        <w:rPr>
          <w:rFonts w:ascii="Palatino Linotype" w:hAnsi="Palatino Linotype" w:cs="Aharoni"/>
        </w:rPr>
        <w:t>) reconoce el derecho de las personas a tener un  hábitat seguro y saludable y una vivienda adecuada y digna con independencia de su situación social y económica</w:t>
      </w:r>
      <w:r w:rsidR="00567DE8" w:rsidRPr="00567DE8">
        <w:rPr>
          <w:rFonts w:ascii="Palatino Linotype" w:hAnsi="Palatino Linotype" w:cs="Aharoni"/>
        </w:rPr>
        <w:t>;</w:t>
      </w:r>
    </w:p>
    <w:p w:rsidR="003A6502" w:rsidRPr="00567DE8" w:rsidRDefault="003A6502" w:rsidP="00567DE8">
      <w:pPr>
        <w:pStyle w:val="Sinespaciado"/>
        <w:spacing w:after="240" w:line="276" w:lineRule="auto"/>
        <w:ind w:left="705" w:hanging="705"/>
        <w:jc w:val="both"/>
        <w:rPr>
          <w:rFonts w:ascii="Palatino Linotype" w:hAnsi="Palatino Linotype" w:cs="Aharoni"/>
        </w:rPr>
      </w:pPr>
      <w:r w:rsidRPr="00567DE8">
        <w:rPr>
          <w:rFonts w:ascii="Palatino Linotype" w:hAnsi="Palatino Linotype" w:cs="Aharoni"/>
          <w:b/>
        </w:rPr>
        <w:t>Que,</w:t>
      </w:r>
      <w:r w:rsidRPr="00567DE8">
        <w:rPr>
          <w:rFonts w:ascii="Palatino Linotype" w:hAnsi="Palatino Linotype" w:cs="Aharoni"/>
        </w:rPr>
        <w:t xml:space="preserve"> </w:t>
      </w:r>
      <w:r w:rsidR="00567DE8" w:rsidRPr="00567DE8">
        <w:rPr>
          <w:rFonts w:ascii="Palatino Linotype" w:hAnsi="Palatino Linotype" w:cs="Aharoni"/>
        </w:rPr>
        <w:tab/>
      </w:r>
      <w:r w:rsidRPr="00567DE8">
        <w:rPr>
          <w:rFonts w:ascii="Palatino Linotype" w:hAnsi="Palatino Linotype" w:cs="Aharoni"/>
        </w:rPr>
        <w:t>el artículo 31 de la Constitución dictamina: “…</w:t>
      </w:r>
      <w:r w:rsidRPr="00567DE8">
        <w:rPr>
          <w:rFonts w:ascii="Palatino Linotype" w:hAnsi="Palatino Linotype" w:cs="Aharoni"/>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esta, en la función social y ambiental de la propiedad y de la ciudad, y en el ejercicio pleno de la ciudadanía</w:t>
      </w:r>
      <w:r w:rsidRPr="00567DE8">
        <w:rPr>
          <w:rFonts w:ascii="Palatino Linotype" w:hAnsi="Palatino Linotype" w:cs="Aharoni"/>
        </w:rPr>
        <w:t>.”;</w:t>
      </w:r>
    </w:p>
    <w:p w:rsidR="003A6502" w:rsidRPr="00567DE8" w:rsidRDefault="003A6502" w:rsidP="00567DE8">
      <w:pPr>
        <w:pStyle w:val="Sinespaciado"/>
        <w:spacing w:after="240" w:line="276" w:lineRule="auto"/>
        <w:ind w:left="705" w:hanging="705"/>
        <w:jc w:val="both"/>
        <w:rPr>
          <w:rFonts w:ascii="Palatino Linotype" w:hAnsi="Palatino Linotype" w:cs="Aharoni"/>
          <w:i/>
        </w:rPr>
      </w:pPr>
      <w:r w:rsidRPr="00567DE8">
        <w:rPr>
          <w:rFonts w:ascii="Palatino Linotype" w:hAnsi="Palatino Linotype" w:cs="Aharoni"/>
          <w:b/>
        </w:rPr>
        <w:t>Que,</w:t>
      </w:r>
      <w:r w:rsidRPr="00567DE8">
        <w:rPr>
          <w:rFonts w:ascii="Palatino Linotype" w:hAnsi="Palatino Linotype" w:cs="Aharoni"/>
        </w:rPr>
        <w:t xml:space="preserve">  </w:t>
      </w:r>
      <w:r w:rsidR="00567DE8" w:rsidRPr="00567DE8">
        <w:rPr>
          <w:rFonts w:ascii="Palatino Linotype" w:hAnsi="Palatino Linotype" w:cs="Aharoni"/>
        </w:rPr>
        <w:tab/>
      </w:r>
      <w:r w:rsidRPr="00567DE8">
        <w:rPr>
          <w:rFonts w:ascii="Palatino Linotype" w:hAnsi="Palatino Linotype" w:cs="Aharoni"/>
        </w:rPr>
        <w:t>el artículo 264 de la Constitución dispone: “</w:t>
      </w:r>
      <w:r w:rsidRPr="00567DE8">
        <w:rPr>
          <w:rFonts w:ascii="Palatino Linotype" w:hAnsi="Palatino Linotype" w:cs="Aharoni"/>
          <w:i/>
        </w:rPr>
        <w:t>…Los gobiernos municipales tendrán las siguientes competencias exclusivas sin perjuicio de otras que determine la ley</w:t>
      </w:r>
      <w:proofErr w:type="gramStart"/>
      <w:r w:rsidRPr="00567DE8">
        <w:rPr>
          <w:rFonts w:ascii="Palatino Linotype" w:hAnsi="Palatino Linotype" w:cs="Aharoni"/>
          <w:i/>
        </w:rPr>
        <w:t>:  1</w:t>
      </w:r>
      <w:proofErr w:type="gramEnd"/>
      <w:r w:rsidRPr="00567DE8">
        <w:rPr>
          <w:rFonts w:ascii="Palatino Linotype" w:hAnsi="Palatino Linotype" w:cs="Aharoni"/>
          <w:i/>
        </w:rPr>
        <w:t xml:space="preserve">. Planificar el desarrollo cantonal y formular los correspondientes planes de ordenamiento territorial, de manera articulada con la planificación nacional, regional, provincial y parroquial, con el fin de regular el uso y la ocupación del suelo urbano y rural.”; </w:t>
      </w:r>
    </w:p>
    <w:p w:rsidR="003A6502" w:rsidRPr="00567DE8" w:rsidRDefault="003A6502" w:rsidP="00567DE8">
      <w:pPr>
        <w:pStyle w:val="Sinespaciado"/>
        <w:spacing w:after="240" w:line="276" w:lineRule="auto"/>
        <w:ind w:left="705" w:hanging="705"/>
        <w:jc w:val="both"/>
        <w:rPr>
          <w:rFonts w:ascii="Palatino Linotype" w:hAnsi="Palatino Linotype" w:cs="Aharoni"/>
        </w:rPr>
      </w:pPr>
      <w:r w:rsidRPr="00567DE8">
        <w:rPr>
          <w:rFonts w:ascii="Palatino Linotype" w:hAnsi="Palatino Linotype" w:cs="Aharoni"/>
          <w:b/>
        </w:rPr>
        <w:t>Que,</w:t>
      </w:r>
      <w:r w:rsidRPr="00567DE8">
        <w:rPr>
          <w:rFonts w:ascii="Palatino Linotype" w:hAnsi="Palatino Linotype" w:cs="Aharoni"/>
        </w:rPr>
        <w:t xml:space="preserve"> </w:t>
      </w:r>
      <w:r w:rsidR="00567DE8" w:rsidRPr="00567DE8">
        <w:rPr>
          <w:rFonts w:ascii="Palatino Linotype" w:hAnsi="Palatino Linotype" w:cs="Aharoni"/>
        </w:rPr>
        <w:tab/>
      </w:r>
      <w:r w:rsidRPr="00567DE8">
        <w:rPr>
          <w:rFonts w:ascii="Palatino Linotype" w:hAnsi="Palatino Linotype" w:cs="Aharoni"/>
        </w:rPr>
        <w:t xml:space="preserve">el numeral 9 del artículo 264 de la </w:t>
      </w:r>
      <w:r w:rsidR="00567DE8" w:rsidRPr="00567DE8">
        <w:rPr>
          <w:rFonts w:ascii="Palatino Linotype" w:hAnsi="Palatino Linotype" w:cs="Aharoni"/>
        </w:rPr>
        <w:t>C</w:t>
      </w:r>
      <w:r w:rsidRPr="00567DE8">
        <w:rPr>
          <w:rFonts w:ascii="Palatino Linotype" w:hAnsi="Palatino Linotype" w:cs="Aharoni"/>
        </w:rPr>
        <w:t>onstitución establece que es competencia exclusiva de la municipalidad formar y administrar los catastros inmobiliarios urbanos y rurales;</w:t>
      </w:r>
    </w:p>
    <w:p w:rsidR="003A6502" w:rsidRPr="00567DE8" w:rsidRDefault="003A6502" w:rsidP="00567DE8">
      <w:pPr>
        <w:pStyle w:val="Sinespaciado"/>
        <w:spacing w:after="240" w:line="276" w:lineRule="auto"/>
        <w:ind w:left="705" w:hanging="705"/>
        <w:jc w:val="both"/>
        <w:rPr>
          <w:rFonts w:ascii="Palatino Linotype" w:hAnsi="Palatino Linotype" w:cs="Aharoni"/>
          <w:i/>
        </w:rPr>
      </w:pPr>
      <w:r w:rsidRPr="00567DE8">
        <w:rPr>
          <w:rFonts w:ascii="Palatino Linotype" w:hAnsi="Palatino Linotype" w:cs="Aharoni"/>
          <w:b/>
        </w:rPr>
        <w:t>Que,</w:t>
      </w:r>
      <w:r w:rsidRPr="00567DE8">
        <w:rPr>
          <w:rFonts w:ascii="Palatino Linotype" w:hAnsi="Palatino Linotype" w:cs="Aharoni"/>
        </w:rPr>
        <w:t xml:space="preserve"> </w:t>
      </w:r>
      <w:r w:rsidR="00567DE8" w:rsidRPr="00567DE8">
        <w:rPr>
          <w:rFonts w:ascii="Palatino Linotype" w:hAnsi="Palatino Linotype" w:cs="Aharoni"/>
        </w:rPr>
        <w:tab/>
      </w:r>
      <w:r w:rsidRPr="00567DE8">
        <w:rPr>
          <w:rFonts w:ascii="Palatino Linotype" w:hAnsi="Palatino Linotype" w:cs="Aharoni"/>
        </w:rPr>
        <w:t>el artículo 375 de la Constitución dispone: “…</w:t>
      </w:r>
      <w:r w:rsidRPr="00567DE8">
        <w:rPr>
          <w:rFonts w:ascii="Palatino Linotype" w:hAnsi="Palatino Linotype" w:cs="Aharoni"/>
          <w:i/>
        </w:rPr>
        <w:t>El Estado, en todos sus niveles de gobierno, garantizará el derecho al hábitat y a la vivienda digna, para lo cual: (…).Generará la información necesaria para el diseño de estrategias y programas que comprendan las relaciones entre vivienda, servicios, espacio y transporte  públicos, equipamiento y gestión del suelo urbano.”</w:t>
      </w:r>
      <w:r w:rsidRPr="00567DE8">
        <w:rPr>
          <w:rFonts w:ascii="Palatino Linotype" w:hAnsi="Palatino Linotype" w:cs="Aharoni"/>
        </w:rPr>
        <w:t>;</w:t>
      </w:r>
    </w:p>
    <w:p w:rsidR="003A6502" w:rsidRPr="00567DE8" w:rsidRDefault="003A6502" w:rsidP="00567DE8">
      <w:pPr>
        <w:pStyle w:val="Sinespaciado"/>
        <w:spacing w:after="240" w:line="276" w:lineRule="auto"/>
        <w:ind w:left="705" w:hanging="705"/>
        <w:jc w:val="both"/>
        <w:rPr>
          <w:rFonts w:ascii="Palatino Linotype" w:hAnsi="Palatino Linotype" w:cs="Aharoni"/>
        </w:rPr>
      </w:pPr>
      <w:r w:rsidRPr="00567DE8">
        <w:rPr>
          <w:rFonts w:ascii="Palatino Linotype" w:hAnsi="Palatino Linotype" w:cs="Aharoni"/>
          <w:b/>
        </w:rPr>
        <w:t>Que,</w:t>
      </w:r>
      <w:r w:rsidRPr="00567DE8">
        <w:rPr>
          <w:rFonts w:ascii="Palatino Linotype" w:hAnsi="Palatino Linotype" w:cs="Aharoni"/>
        </w:rPr>
        <w:t xml:space="preserve"> </w:t>
      </w:r>
      <w:r w:rsidR="00567DE8" w:rsidRPr="00567DE8">
        <w:rPr>
          <w:rFonts w:ascii="Palatino Linotype" w:hAnsi="Palatino Linotype" w:cs="Aharoni"/>
        </w:rPr>
        <w:tab/>
      </w:r>
      <w:r w:rsidRPr="00567DE8">
        <w:rPr>
          <w:rFonts w:ascii="Palatino Linotype" w:hAnsi="Palatino Linotype" w:cs="Aharoni"/>
        </w:rPr>
        <w:t>el  artículo 376 de la Constitución dice: “…</w:t>
      </w:r>
      <w:r w:rsidRPr="00567DE8">
        <w:rPr>
          <w:rFonts w:ascii="Palatino Linotype" w:hAnsi="Palatino Linotype" w:cs="Aharoni"/>
          <w:i/>
        </w:rPr>
        <w:t>Para hacer efectivo el derecho a la vivienda, al hábitat y a la conservación del ambiente, las municipalidades podrán expropiar, reservar y controlar áreas para el desarrollo futuro, de acuerdo con la ley. Se prohíbe la obtención de beneficios a partir de prácticas especulativas sobre el uso de suelo, en particular por el cambio de uso, de rústico a urbano o de público a privado.”</w:t>
      </w:r>
      <w:r w:rsidR="00567DE8" w:rsidRPr="00567DE8">
        <w:rPr>
          <w:rFonts w:ascii="Palatino Linotype" w:hAnsi="Palatino Linotype" w:cs="Aharoni"/>
        </w:rPr>
        <w:t>;</w:t>
      </w:r>
    </w:p>
    <w:p w:rsidR="003A6502" w:rsidRPr="00567DE8" w:rsidRDefault="003A6502" w:rsidP="00567DE8">
      <w:pPr>
        <w:pStyle w:val="Sinespaciado"/>
        <w:spacing w:after="240" w:line="276" w:lineRule="auto"/>
        <w:ind w:left="705" w:hanging="705"/>
        <w:jc w:val="both"/>
        <w:rPr>
          <w:rFonts w:ascii="Palatino Linotype" w:hAnsi="Palatino Linotype" w:cs="Aharoni"/>
        </w:rPr>
      </w:pPr>
      <w:r w:rsidRPr="00567DE8">
        <w:rPr>
          <w:rFonts w:ascii="Palatino Linotype" w:hAnsi="Palatino Linotype" w:cs="Aharoni"/>
          <w:b/>
        </w:rPr>
        <w:t>Que,</w:t>
      </w:r>
      <w:r w:rsidR="00567DE8" w:rsidRPr="00567DE8">
        <w:rPr>
          <w:rFonts w:ascii="Palatino Linotype" w:hAnsi="Palatino Linotype" w:cs="Aharoni"/>
        </w:rPr>
        <w:tab/>
      </w:r>
      <w:r w:rsidRPr="00567DE8">
        <w:rPr>
          <w:rFonts w:ascii="Palatino Linotype" w:hAnsi="Palatino Linotype" w:cs="Aharoni"/>
        </w:rPr>
        <w:t xml:space="preserve">el  literal c) de los artículos 54 y 84 del Código Orgánico de Organización Territorial </w:t>
      </w:r>
      <w:r w:rsidR="00567DE8" w:rsidRPr="00567DE8">
        <w:rPr>
          <w:rFonts w:ascii="Palatino Linotype" w:hAnsi="Palatino Linotype" w:cs="Aharoni"/>
        </w:rPr>
        <w:t>Autonomía y Descentralización (</w:t>
      </w:r>
      <w:r w:rsidRPr="00567DE8">
        <w:rPr>
          <w:rFonts w:ascii="Palatino Linotype" w:hAnsi="Palatino Linotype" w:cs="Aharoni"/>
        </w:rPr>
        <w:t xml:space="preserve">en adelante </w:t>
      </w:r>
      <w:r w:rsidR="00567DE8" w:rsidRPr="00567DE8">
        <w:rPr>
          <w:rFonts w:ascii="Palatino Linotype" w:hAnsi="Palatino Linotype" w:cs="Aharoni"/>
        </w:rPr>
        <w:t>“</w:t>
      </w:r>
      <w:r w:rsidRPr="00567DE8">
        <w:rPr>
          <w:rFonts w:ascii="Palatino Linotype" w:hAnsi="Palatino Linotype" w:cs="Aharoni"/>
        </w:rPr>
        <w:t>COOTAD</w:t>
      </w:r>
      <w:r w:rsidR="00567DE8" w:rsidRPr="00567DE8">
        <w:rPr>
          <w:rFonts w:ascii="Palatino Linotype" w:hAnsi="Palatino Linotype" w:cs="Aharoni"/>
        </w:rPr>
        <w:t>”</w:t>
      </w:r>
      <w:r w:rsidRPr="00567DE8">
        <w:rPr>
          <w:rFonts w:ascii="Palatino Linotype" w:hAnsi="Palatino Linotype" w:cs="Aharoni"/>
        </w:rPr>
        <w:t xml:space="preserve">), establecen que el Municipio del </w:t>
      </w:r>
      <w:r w:rsidRPr="00567DE8">
        <w:rPr>
          <w:rFonts w:ascii="Palatino Linotype" w:hAnsi="Palatino Linotype" w:cs="Aharoni"/>
        </w:rPr>
        <w:lastRenderedPageBreak/>
        <w:t xml:space="preserve">Distrito Metropolitano de Quito tiene, entre otras, la siguiente función:  “… c) </w:t>
      </w:r>
      <w:r w:rsidRPr="00567DE8">
        <w:rPr>
          <w:rFonts w:ascii="Palatino Linotype" w:hAnsi="Palatino Linotype" w:cs="Aharoni"/>
          <w:i/>
        </w:rPr>
        <w:t>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r w:rsidRPr="00567DE8">
        <w:rPr>
          <w:rFonts w:ascii="Palatino Linotype" w:hAnsi="Palatino Linotype" w:cs="Aharoni"/>
        </w:rPr>
        <w:t xml:space="preserve">; </w:t>
      </w:r>
    </w:p>
    <w:p w:rsidR="003A6502" w:rsidRPr="00567DE8" w:rsidRDefault="003A6502" w:rsidP="00567DE8">
      <w:pPr>
        <w:pStyle w:val="Sinespaciado"/>
        <w:spacing w:after="240" w:line="276" w:lineRule="auto"/>
        <w:ind w:left="705" w:hanging="705"/>
        <w:jc w:val="both"/>
        <w:rPr>
          <w:rFonts w:ascii="Palatino Linotype" w:hAnsi="Palatino Linotype" w:cs="Aharoni"/>
          <w:i/>
        </w:rPr>
      </w:pPr>
      <w:r w:rsidRPr="00567DE8">
        <w:rPr>
          <w:rFonts w:ascii="Palatino Linotype" w:hAnsi="Palatino Linotype" w:cs="Aharoni"/>
          <w:b/>
        </w:rPr>
        <w:t>Que,</w:t>
      </w:r>
      <w:r w:rsidRPr="00567DE8">
        <w:rPr>
          <w:rFonts w:ascii="Palatino Linotype" w:hAnsi="Palatino Linotype" w:cs="Aharoni"/>
        </w:rPr>
        <w:t xml:space="preserve"> </w:t>
      </w:r>
      <w:r w:rsidR="00567DE8" w:rsidRPr="00567DE8">
        <w:rPr>
          <w:rFonts w:ascii="Palatino Linotype" w:hAnsi="Palatino Linotype" w:cs="Aharoni"/>
        </w:rPr>
        <w:tab/>
      </w:r>
      <w:r w:rsidRPr="00567DE8">
        <w:rPr>
          <w:rFonts w:ascii="Palatino Linotype" w:hAnsi="Palatino Linotype" w:cs="Aharoni"/>
        </w:rPr>
        <w:t>el artículo 481.1 del COOTAD reformado dispone: “</w:t>
      </w:r>
      <w:r w:rsidRPr="00567DE8">
        <w:rPr>
          <w:rFonts w:ascii="Palatino Linotype" w:hAnsi="Palatino Linotype" w:cs="Aharoni"/>
          <w:i/>
        </w:rPr>
        <w:t>Excedentes o diferencias de terrenos de propiedad privada.- Por excedentes de un terreno de propiedad privada se entiende a aquellas superficies que forman parte de terrenos con linderos consolidados, que superan el área original que conste en el respectivo título de dominio al efectuar una medición municipal por cualquier causa, o resulten como diferencia entre una medición anterior y la última practicada, por errores de cálculo o de medidas. En ambos casos su titularidad no debe estar en disputa</w:t>
      </w:r>
      <w:r w:rsidR="00567DE8" w:rsidRPr="00567DE8">
        <w:rPr>
          <w:rFonts w:ascii="Palatino Linotype" w:hAnsi="Palatino Linotype" w:cs="Aharoni"/>
          <w:i/>
        </w:rPr>
        <w:t xml:space="preserve"> (</w:t>
      </w:r>
      <w:r w:rsidRPr="00567DE8">
        <w:rPr>
          <w:rFonts w:ascii="Palatino Linotype" w:hAnsi="Palatino Linotype" w:cs="Aharoni"/>
          <w:i/>
        </w:rPr>
        <w:t>…</w:t>
      </w:r>
      <w:r w:rsidR="00567DE8" w:rsidRPr="00567DE8">
        <w:rPr>
          <w:rFonts w:ascii="Palatino Linotype" w:hAnsi="Palatino Linotype" w:cs="Aharoni"/>
          <w:i/>
        </w:rPr>
        <w:t>)</w:t>
      </w:r>
      <w:r w:rsidR="00567DE8" w:rsidRPr="00567DE8">
        <w:rPr>
          <w:rFonts w:ascii="Palatino Linotype" w:hAnsi="Palatino Linotype" w:cs="Aharoni"/>
        </w:rPr>
        <w:t>”;</w:t>
      </w:r>
      <w:r w:rsidRPr="00567DE8">
        <w:rPr>
          <w:rFonts w:ascii="Palatino Linotype" w:hAnsi="Palatino Linotype" w:cs="Aharoni"/>
          <w:i/>
        </w:rPr>
        <w:t xml:space="preserve"> </w:t>
      </w:r>
    </w:p>
    <w:p w:rsidR="003A6502" w:rsidRPr="00567DE8" w:rsidRDefault="003A6502" w:rsidP="00567DE8">
      <w:pPr>
        <w:pStyle w:val="Sinespaciado"/>
        <w:spacing w:after="240" w:line="276" w:lineRule="auto"/>
        <w:ind w:left="705" w:hanging="705"/>
        <w:jc w:val="both"/>
        <w:rPr>
          <w:rFonts w:ascii="Palatino Linotype" w:hAnsi="Palatino Linotype" w:cs="Aharoni"/>
        </w:rPr>
      </w:pPr>
      <w:r w:rsidRPr="00567DE8">
        <w:rPr>
          <w:rFonts w:ascii="Palatino Linotype" w:hAnsi="Palatino Linotype" w:cs="Aharoni"/>
          <w:b/>
        </w:rPr>
        <w:t>Que,</w:t>
      </w:r>
      <w:r w:rsidR="00567DE8" w:rsidRPr="00567DE8">
        <w:rPr>
          <w:rFonts w:ascii="Palatino Linotype" w:hAnsi="Palatino Linotype" w:cs="Aharoni"/>
        </w:rPr>
        <w:tab/>
      </w:r>
      <w:r w:rsidRPr="00567DE8">
        <w:rPr>
          <w:rFonts w:ascii="Palatino Linotype" w:hAnsi="Palatino Linotype" w:cs="Aharoni"/>
        </w:rPr>
        <w:t>el cumplimiento del artículo 596 del COOTAD reformado, que se refiere a la “</w:t>
      </w:r>
      <w:r w:rsidRPr="00567DE8">
        <w:rPr>
          <w:rFonts w:ascii="Palatino Linotype" w:hAnsi="Palatino Linotype" w:cs="Aharoni"/>
          <w:i/>
        </w:rPr>
        <w:t>expropiación especial para regularización de asentamientos humanos de interés social en suelo urbano y de expansión urbana</w:t>
      </w:r>
      <w:r w:rsidRPr="00567DE8">
        <w:rPr>
          <w:rFonts w:ascii="Palatino Linotype" w:hAnsi="Palatino Linotype" w:cs="Aharoni"/>
        </w:rPr>
        <w:t>…”, requiere del señalamiento de especificaciones claras según las características y condiciones propias de la circunscripción territorial en la que se aplicará;</w:t>
      </w:r>
    </w:p>
    <w:p w:rsidR="003A6502" w:rsidRPr="00567DE8" w:rsidRDefault="003A6502" w:rsidP="00567DE8">
      <w:pPr>
        <w:pStyle w:val="Sinespaciado"/>
        <w:spacing w:after="240" w:line="276" w:lineRule="auto"/>
        <w:ind w:left="705" w:hanging="705"/>
        <w:jc w:val="both"/>
        <w:rPr>
          <w:rFonts w:ascii="Palatino Linotype" w:hAnsi="Palatino Linotype" w:cs="Aharoni"/>
        </w:rPr>
      </w:pPr>
      <w:r w:rsidRPr="00567DE8">
        <w:rPr>
          <w:rFonts w:ascii="Palatino Linotype" w:hAnsi="Palatino Linotype" w:cs="Aharoni"/>
          <w:b/>
        </w:rPr>
        <w:t>Que,</w:t>
      </w:r>
      <w:r w:rsidRPr="00567DE8">
        <w:rPr>
          <w:rFonts w:ascii="Palatino Linotype" w:hAnsi="Palatino Linotype" w:cs="Aharoni"/>
        </w:rPr>
        <w:t xml:space="preserve">  </w:t>
      </w:r>
      <w:r w:rsidR="00567DE8" w:rsidRPr="00567DE8">
        <w:rPr>
          <w:rFonts w:ascii="Palatino Linotype" w:hAnsi="Palatino Linotype" w:cs="Aharoni"/>
        </w:rPr>
        <w:tab/>
      </w:r>
      <w:r w:rsidRPr="00567DE8">
        <w:rPr>
          <w:rFonts w:ascii="Palatino Linotype" w:hAnsi="Palatino Linotype" w:cs="Aharoni"/>
        </w:rPr>
        <w:t>el artículo 60 de la Ley Reformatoria del COOTAD, en su segundo inciso determina: “</w:t>
      </w:r>
      <w:r w:rsidR="00567DE8" w:rsidRPr="00567DE8">
        <w:rPr>
          <w:rFonts w:ascii="Palatino Linotype" w:hAnsi="Palatino Linotype" w:cs="Aharoni"/>
          <w:i/>
        </w:rPr>
        <w:t>(</w:t>
      </w:r>
      <w:r w:rsidRPr="00567DE8">
        <w:rPr>
          <w:rFonts w:ascii="Palatino Linotype" w:hAnsi="Palatino Linotype" w:cs="Aharoni"/>
          <w:i/>
        </w:rPr>
        <w:t>…</w:t>
      </w:r>
      <w:r w:rsidR="00567DE8" w:rsidRPr="00567DE8">
        <w:rPr>
          <w:rFonts w:ascii="Palatino Linotype" w:hAnsi="Palatino Linotype" w:cs="Aharoni"/>
          <w:i/>
        </w:rPr>
        <w:t xml:space="preserve">) </w:t>
      </w:r>
      <w:r w:rsidRPr="00567DE8">
        <w:rPr>
          <w:rFonts w:ascii="Palatino Linotype" w:hAnsi="Palatino Linotype" w:cs="Aharoni"/>
          <w:i/>
        </w:rPr>
        <w:t>Cada gobierno autónomo descentralizado municipal o metropolitano establecerá mediante ordenanza los criterios para considerar un asentamiento humano como consolidado o cualquier otra definición que requiera a fin de viabilizar la legalización de los asentamientos humanos de interés social en sus circunscripciones territoriales, en atención a sus propias realidades</w:t>
      </w:r>
      <w:r w:rsidR="00567DE8" w:rsidRPr="00567DE8">
        <w:rPr>
          <w:rFonts w:ascii="Palatino Linotype" w:hAnsi="Palatino Linotype" w:cs="Aharoni"/>
          <w:i/>
        </w:rPr>
        <w:t xml:space="preserve"> (</w:t>
      </w:r>
      <w:r w:rsidRPr="00567DE8">
        <w:rPr>
          <w:rFonts w:ascii="Palatino Linotype" w:hAnsi="Palatino Linotype" w:cs="Aharoni"/>
          <w:i/>
        </w:rPr>
        <w:t>…</w:t>
      </w:r>
      <w:r w:rsidR="00567DE8" w:rsidRPr="00567DE8">
        <w:rPr>
          <w:rFonts w:ascii="Palatino Linotype" w:hAnsi="Palatino Linotype" w:cs="Aharoni"/>
          <w:i/>
        </w:rPr>
        <w:t>)</w:t>
      </w:r>
      <w:r w:rsidRPr="00567DE8">
        <w:rPr>
          <w:rFonts w:ascii="Palatino Linotype" w:hAnsi="Palatino Linotype" w:cs="Aharoni"/>
        </w:rPr>
        <w:t>”;</w:t>
      </w:r>
    </w:p>
    <w:p w:rsidR="003A6502" w:rsidRPr="00567DE8" w:rsidRDefault="003A6502" w:rsidP="00567DE8">
      <w:pPr>
        <w:pStyle w:val="Sinespaciado"/>
        <w:spacing w:after="240" w:line="276" w:lineRule="auto"/>
        <w:ind w:left="705" w:hanging="705"/>
        <w:jc w:val="both"/>
        <w:rPr>
          <w:rFonts w:ascii="Palatino Linotype" w:hAnsi="Palatino Linotype" w:cs="Aharoni"/>
        </w:rPr>
      </w:pPr>
      <w:r w:rsidRPr="00567DE8">
        <w:rPr>
          <w:rFonts w:ascii="Palatino Linotype" w:hAnsi="Palatino Linotype" w:cs="Aharoni"/>
          <w:b/>
        </w:rPr>
        <w:t>Que,</w:t>
      </w:r>
      <w:r w:rsidRPr="00567DE8">
        <w:rPr>
          <w:rFonts w:ascii="Palatino Linotype" w:hAnsi="Palatino Linotype" w:cs="Aharoni"/>
        </w:rPr>
        <w:t xml:space="preserve">  </w:t>
      </w:r>
      <w:r w:rsidR="00567DE8" w:rsidRPr="00567DE8">
        <w:rPr>
          <w:rFonts w:ascii="Palatino Linotype" w:hAnsi="Palatino Linotype" w:cs="Aharoni"/>
        </w:rPr>
        <w:tab/>
      </w:r>
      <w:r w:rsidRPr="00567DE8">
        <w:rPr>
          <w:rFonts w:ascii="Palatino Linotype" w:hAnsi="Palatino Linotype" w:cs="Aharoni"/>
        </w:rPr>
        <w:t xml:space="preserve">el artículo…(2) de la Ordenanza </w:t>
      </w:r>
      <w:r w:rsidR="00567DE8" w:rsidRPr="00567DE8">
        <w:rPr>
          <w:rFonts w:ascii="Palatino Linotype" w:hAnsi="Palatino Linotype" w:cs="Aharoni"/>
        </w:rPr>
        <w:t xml:space="preserve">Metropolitana No. </w:t>
      </w:r>
      <w:r w:rsidRPr="00567DE8">
        <w:rPr>
          <w:rFonts w:ascii="Palatino Linotype" w:hAnsi="Palatino Linotype" w:cs="Aharoni"/>
        </w:rPr>
        <w:t>0269</w:t>
      </w:r>
      <w:r w:rsidR="00567DE8" w:rsidRPr="00567DE8">
        <w:rPr>
          <w:rFonts w:ascii="Palatino Linotype" w:hAnsi="Palatino Linotype" w:cs="Aharoni"/>
        </w:rPr>
        <w:t>,</w:t>
      </w:r>
      <w:r w:rsidRPr="00567DE8">
        <w:rPr>
          <w:rFonts w:ascii="Palatino Linotype" w:hAnsi="Palatino Linotype" w:cs="Aharoni"/>
        </w:rPr>
        <w:t xml:space="preserve"> de 30 de julio de 2012</w:t>
      </w:r>
      <w:r w:rsidR="00567DE8" w:rsidRPr="00567DE8">
        <w:rPr>
          <w:rFonts w:ascii="Palatino Linotype" w:hAnsi="Palatino Linotype" w:cs="Aharoni"/>
        </w:rPr>
        <w:t>,</w:t>
      </w:r>
      <w:r w:rsidRPr="00567DE8">
        <w:rPr>
          <w:rFonts w:ascii="Palatino Linotype" w:hAnsi="Palatino Linotype" w:cs="Aharoni"/>
        </w:rPr>
        <w:t xml:space="preserve"> determina que son las diferencias y excedentes de áreas y  el Error Técnico Aceptable de Medida (ETAM) en los casos de predios urbanos y rurales; </w:t>
      </w:r>
    </w:p>
    <w:p w:rsidR="003A6502" w:rsidRPr="00567DE8" w:rsidRDefault="003A6502" w:rsidP="00567DE8">
      <w:pPr>
        <w:pStyle w:val="Sinespaciado"/>
        <w:spacing w:after="240" w:line="276" w:lineRule="auto"/>
        <w:ind w:left="705" w:hanging="705"/>
        <w:jc w:val="both"/>
        <w:rPr>
          <w:rFonts w:ascii="Palatino Linotype" w:hAnsi="Palatino Linotype" w:cs="Aharoni"/>
        </w:rPr>
      </w:pPr>
      <w:r w:rsidRPr="00567DE8">
        <w:rPr>
          <w:rFonts w:ascii="Palatino Linotype" w:hAnsi="Palatino Linotype" w:cs="Aharoni"/>
          <w:b/>
        </w:rPr>
        <w:t>Que,</w:t>
      </w:r>
      <w:r w:rsidRPr="00567DE8">
        <w:rPr>
          <w:rFonts w:ascii="Palatino Linotype" w:hAnsi="Palatino Linotype" w:cs="Aharoni"/>
        </w:rPr>
        <w:t xml:space="preserve"> </w:t>
      </w:r>
      <w:r w:rsidR="00567DE8" w:rsidRPr="00567DE8">
        <w:rPr>
          <w:rFonts w:ascii="Palatino Linotype" w:hAnsi="Palatino Linotype" w:cs="Aharoni"/>
        </w:rPr>
        <w:tab/>
      </w:r>
      <w:r w:rsidRPr="00567DE8">
        <w:rPr>
          <w:rFonts w:ascii="Palatino Linotype" w:hAnsi="Palatino Linotype" w:cs="Aharoni"/>
        </w:rPr>
        <w:t xml:space="preserve">el artículo 10 de la Ordenanza </w:t>
      </w:r>
      <w:r w:rsidR="00567DE8" w:rsidRPr="00567DE8">
        <w:rPr>
          <w:rFonts w:ascii="Palatino Linotype" w:hAnsi="Palatino Linotype" w:cs="Aharoni"/>
        </w:rPr>
        <w:t xml:space="preserve">Metropolitana No. </w:t>
      </w:r>
      <w:r w:rsidRPr="00567DE8">
        <w:rPr>
          <w:rFonts w:ascii="Palatino Linotype" w:hAnsi="Palatino Linotype" w:cs="Aharoni"/>
        </w:rPr>
        <w:t>0269</w:t>
      </w:r>
      <w:r w:rsidR="00567DE8" w:rsidRPr="00567DE8">
        <w:rPr>
          <w:rFonts w:ascii="Palatino Linotype" w:hAnsi="Palatino Linotype" w:cs="Aharoni"/>
        </w:rPr>
        <w:t>,</w:t>
      </w:r>
      <w:r w:rsidRPr="00567DE8">
        <w:rPr>
          <w:rFonts w:ascii="Palatino Linotype" w:hAnsi="Palatino Linotype" w:cs="Aharoni"/>
        </w:rPr>
        <w:t xml:space="preserve"> </w:t>
      </w:r>
      <w:r w:rsidR="00567DE8" w:rsidRPr="00567DE8">
        <w:rPr>
          <w:rFonts w:ascii="Palatino Linotype" w:hAnsi="Palatino Linotype" w:cs="Aharoni"/>
        </w:rPr>
        <w:t>de 30 de julio de</w:t>
      </w:r>
      <w:r w:rsidRPr="00567DE8">
        <w:rPr>
          <w:rFonts w:ascii="Palatino Linotype" w:hAnsi="Palatino Linotype" w:cs="Aharoni"/>
        </w:rPr>
        <w:t xml:space="preserve"> 2012</w:t>
      </w:r>
      <w:r w:rsidR="00567DE8" w:rsidRPr="00567DE8">
        <w:rPr>
          <w:rFonts w:ascii="Palatino Linotype" w:hAnsi="Palatino Linotype" w:cs="Aharoni"/>
        </w:rPr>
        <w:t>,</w:t>
      </w:r>
      <w:r w:rsidRPr="00567DE8">
        <w:rPr>
          <w:rFonts w:ascii="Palatino Linotype" w:hAnsi="Palatino Linotype" w:cs="Aharoni"/>
        </w:rPr>
        <w:t xml:space="preserve"> en su numeral uno indica: “</w:t>
      </w:r>
      <w:r w:rsidR="00567DE8" w:rsidRPr="00567DE8">
        <w:rPr>
          <w:rFonts w:ascii="Palatino Linotype" w:hAnsi="Palatino Linotype" w:cs="Aharoni"/>
          <w:i/>
        </w:rPr>
        <w:t>(</w:t>
      </w:r>
      <w:r w:rsidRPr="00567DE8">
        <w:rPr>
          <w:rFonts w:ascii="Palatino Linotype" w:hAnsi="Palatino Linotype" w:cs="Aharoni"/>
          <w:i/>
        </w:rPr>
        <w:t>…</w:t>
      </w:r>
      <w:r w:rsidR="00567DE8" w:rsidRPr="00567DE8">
        <w:rPr>
          <w:rFonts w:ascii="Palatino Linotype" w:hAnsi="Palatino Linotype" w:cs="Aharoni"/>
          <w:i/>
        </w:rPr>
        <w:t xml:space="preserve">) </w:t>
      </w:r>
      <w:r w:rsidRPr="00567DE8">
        <w:rPr>
          <w:rFonts w:ascii="Palatino Linotype" w:hAnsi="Palatino Linotype" w:cs="Aharoni"/>
          <w:i/>
        </w:rPr>
        <w:t>Para efectos de la regularización de excedentes o diferencias, la Autoridad Administrativa Competente emitirá la correspondiente resolución,</w:t>
      </w:r>
      <w:r w:rsidR="00567DE8" w:rsidRPr="00567DE8">
        <w:rPr>
          <w:rFonts w:ascii="Palatino Linotype" w:hAnsi="Palatino Linotype" w:cs="Aharoni"/>
          <w:i/>
        </w:rPr>
        <w:t xml:space="preserve"> </w:t>
      </w:r>
      <w:r w:rsidRPr="00567DE8">
        <w:rPr>
          <w:rFonts w:ascii="Palatino Linotype" w:hAnsi="Palatino Linotype" w:cs="Aharoni"/>
          <w:i/>
        </w:rPr>
        <w:t>(…) En ambos casos la resolución emitida por la Autoridad Administrativa Competente constituirá justo título para la modificación de la historia de dominio del predio en el Registro de la Propiedad del Distrito Metropolitano de Quito</w:t>
      </w:r>
      <w:r w:rsidR="00567DE8" w:rsidRPr="00567DE8">
        <w:rPr>
          <w:rFonts w:ascii="Palatino Linotype" w:hAnsi="Palatino Linotype" w:cs="Aharoni"/>
          <w:i/>
        </w:rPr>
        <w:t xml:space="preserve"> (</w:t>
      </w:r>
      <w:r w:rsidRPr="00567DE8">
        <w:rPr>
          <w:rFonts w:ascii="Palatino Linotype" w:hAnsi="Palatino Linotype" w:cs="Aharoni"/>
          <w:i/>
        </w:rPr>
        <w:t>…</w:t>
      </w:r>
      <w:r w:rsidR="00567DE8" w:rsidRPr="00567DE8">
        <w:rPr>
          <w:rFonts w:ascii="Palatino Linotype" w:hAnsi="Palatino Linotype" w:cs="Aharoni"/>
          <w:i/>
        </w:rPr>
        <w:t>)</w:t>
      </w:r>
      <w:r w:rsidRPr="00567DE8">
        <w:rPr>
          <w:rFonts w:ascii="Palatino Linotype" w:hAnsi="Palatino Linotype" w:cs="Aharoni"/>
        </w:rPr>
        <w:t xml:space="preserve">”; </w:t>
      </w:r>
    </w:p>
    <w:p w:rsidR="003A6502" w:rsidRPr="00567DE8" w:rsidRDefault="003A6502" w:rsidP="00567DE8">
      <w:pPr>
        <w:pStyle w:val="Sinespaciado"/>
        <w:spacing w:after="240" w:line="276" w:lineRule="auto"/>
        <w:ind w:left="705" w:hanging="705"/>
        <w:jc w:val="both"/>
        <w:rPr>
          <w:rFonts w:ascii="Palatino Linotype" w:hAnsi="Palatino Linotype" w:cs="Aharoni"/>
        </w:rPr>
      </w:pPr>
      <w:r w:rsidRPr="00567DE8">
        <w:rPr>
          <w:rFonts w:ascii="Palatino Linotype" w:hAnsi="Palatino Linotype" w:cs="Aharoni"/>
          <w:b/>
        </w:rPr>
        <w:t>Que,</w:t>
      </w:r>
      <w:r w:rsidRPr="00567DE8">
        <w:rPr>
          <w:rFonts w:ascii="Palatino Linotype" w:hAnsi="Palatino Linotype" w:cs="Aharoni"/>
        </w:rPr>
        <w:t xml:space="preserve"> </w:t>
      </w:r>
      <w:r w:rsidR="00567DE8" w:rsidRPr="00567DE8">
        <w:rPr>
          <w:rFonts w:ascii="Palatino Linotype" w:hAnsi="Palatino Linotype" w:cs="Aharoni"/>
        </w:rPr>
        <w:tab/>
      </w:r>
      <w:r w:rsidRPr="00567DE8">
        <w:rPr>
          <w:rFonts w:ascii="Palatino Linotype" w:hAnsi="Palatino Linotype" w:cs="Aharoni"/>
        </w:rPr>
        <w:t xml:space="preserve">el Concejo Metropolitano de Quito mediante la Resolución No. C237 de 20 de noviembre del 2014, dispone a las Comisiones de Propiedad y Espacio Público; y, de Ordenamiento Territorial, elaboren y presenten conjuntamente para conocimiento  del Concejo Metropolitano la Ordenanza que contenga los parámetros y procesos para la ejecución del </w:t>
      </w:r>
      <w:r w:rsidRPr="00567DE8">
        <w:rPr>
          <w:rFonts w:ascii="Palatino Linotype" w:hAnsi="Palatino Linotype" w:cs="Aharoni"/>
        </w:rPr>
        <w:lastRenderedPageBreak/>
        <w:t xml:space="preserve">artículo 596 del COOTAD, conforme faculta la Ley, pudiendo para el efecto realizar todas las acciones en el ámbito de sus competencias, para agilizar e impulsar el proceso de expropiación y regularización de los asentamientos humanos de hecho y consolidados urbanos y de expansión urbana; y, </w:t>
      </w:r>
    </w:p>
    <w:p w:rsidR="003A6502" w:rsidRPr="00567DE8" w:rsidRDefault="003A6502" w:rsidP="00567DE8">
      <w:pPr>
        <w:pStyle w:val="Sinespaciado"/>
        <w:spacing w:after="240" w:line="276" w:lineRule="auto"/>
        <w:ind w:left="705" w:hanging="705"/>
        <w:jc w:val="both"/>
        <w:rPr>
          <w:rFonts w:ascii="Palatino Linotype" w:hAnsi="Palatino Linotype" w:cs="Aharoni"/>
        </w:rPr>
      </w:pPr>
      <w:r w:rsidRPr="00567DE8">
        <w:rPr>
          <w:rFonts w:ascii="Palatino Linotype" w:hAnsi="Palatino Linotype" w:cs="Aharoni"/>
          <w:b/>
        </w:rPr>
        <w:t>Que,</w:t>
      </w:r>
      <w:r w:rsidRPr="00567DE8">
        <w:rPr>
          <w:rFonts w:ascii="Palatino Linotype" w:hAnsi="Palatino Linotype" w:cs="Aharoni"/>
        </w:rPr>
        <w:t xml:space="preserve">  </w:t>
      </w:r>
      <w:r w:rsidR="00567DE8" w:rsidRPr="00567DE8">
        <w:rPr>
          <w:rFonts w:ascii="Palatino Linotype" w:hAnsi="Palatino Linotype" w:cs="Aharoni"/>
        </w:rPr>
        <w:tab/>
        <w:t>l</w:t>
      </w:r>
      <w:r w:rsidRPr="00567DE8">
        <w:rPr>
          <w:rFonts w:ascii="Palatino Linotype" w:hAnsi="Palatino Linotype" w:cs="Aharoni"/>
        </w:rPr>
        <w:t xml:space="preserve">a Ordenanza Metropolitana </w:t>
      </w:r>
      <w:r w:rsidR="00567DE8" w:rsidRPr="00567DE8">
        <w:rPr>
          <w:rFonts w:ascii="Palatino Linotype" w:hAnsi="Palatino Linotype" w:cs="Aharoni"/>
        </w:rPr>
        <w:t xml:space="preserve">No. </w:t>
      </w:r>
      <w:r w:rsidRPr="00567DE8">
        <w:rPr>
          <w:rFonts w:ascii="Palatino Linotype" w:hAnsi="Palatino Linotype" w:cs="Aharoni"/>
        </w:rPr>
        <w:t>055</w:t>
      </w:r>
      <w:r w:rsidR="00567DE8" w:rsidRPr="00567DE8">
        <w:rPr>
          <w:rFonts w:ascii="Palatino Linotype" w:hAnsi="Palatino Linotype" w:cs="Aharoni"/>
        </w:rPr>
        <w:t>,</w:t>
      </w:r>
      <w:r w:rsidRPr="00567DE8">
        <w:rPr>
          <w:rFonts w:ascii="Palatino Linotype" w:hAnsi="Palatino Linotype" w:cs="Aharoni"/>
        </w:rPr>
        <w:t xml:space="preserve"> sancionada el </w:t>
      </w:r>
      <w:r w:rsidR="00567DE8" w:rsidRPr="00567DE8">
        <w:rPr>
          <w:rFonts w:ascii="Palatino Linotype" w:hAnsi="Palatino Linotype" w:cs="Aharoni"/>
        </w:rPr>
        <w:t>1 de abril de</w:t>
      </w:r>
      <w:r w:rsidRPr="00567DE8">
        <w:rPr>
          <w:rFonts w:ascii="Palatino Linotype" w:hAnsi="Palatino Linotype" w:cs="Aharoni"/>
        </w:rPr>
        <w:t xml:space="preserve"> 2015, establece el procedimiento para la expropiación especial, regularización y adjudicación de predios de los asentamientos humanos de hecho, de interés social en suelo urbano y de expansión urbana. </w:t>
      </w:r>
    </w:p>
    <w:p w:rsidR="003A6502" w:rsidRPr="00567DE8" w:rsidRDefault="003A6502" w:rsidP="00567DE8">
      <w:pPr>
        <w:pStyle w:val="Sinespaciado"/>
        <w:spacing w:after="240" w:line="276" w:lineRule="auto"/>
        <w:jc w:val="both"/>
        <w:rPr>
          <w:rFonts w:ascii="Palatino Linotype" w:hAnsi="Palatino Linotype" w:cs="Aharoni"/>
          <w:b/>
        </w:rPr>
      </w:pPr>
      <w:r w:rsidRPr="00567DE8">
        <w:rPr>
          <w:rFonts w:ascii="Palatino Linotype" w:hAnsi="Palatino Linotype" w:cs="Aharoni"/>
          <w:b/>
        </w:rPr>
        <w:t>En ejercicio de las atribuciones legales establecidas en el artículo 87, literal a) del Código Orgánico de Organización Territorial Autonomía y Descentralización; y, 8 de la Ley Orgánica de Régimen para el Distrito Metropolitano de Quito.</w:t>
      </w:r>
    </w:p>
    <w:p w:rsidR="003A6502" w:rsidRPr="00567DE8" w:rsidRDefault="003A6502" w:rsidP="00567DE8">
      <w:pPr>
        <w:pStyle w:val="Sinespaciado"/>
        <w:spacing w:after="240" w:line="276" w:lineRule="auto"/>
        <w:ind w:left="2832" w:firstLine="708"/>
        <w:jc w:val="both"/>
        <w:rPr>
          <w:rFonts w:ascii="Palatino Linotype" w:hAnsi="Palatino Linotype" w:cs="Aharoni"/>
          <w:b/>
        </w:rPr>
      </w:pPr>
      <w:r w:rsidRPr="00567DE8">
        <w:rPr>
          <w:rFonts w:ascii="Palatino Linotype" w:hAnsi="Palatino Linotype" w:cs="Aharoni"/>
          <w:b/>
        </w:rPr>
        <w:t>EXPIDE LA SIGUIENTE:</w:t>
      </w:r>
    </w:p>
    <w:p w:rsidR="003A6502" w:rsidRPr="00567DE8" w:rsidRDefault="003A6502" w:rsidP="00567DE8">
      <w:pPr>
        <w:pStyle w:val="Sinespaciado"/>
        <w:spacing w:after="240" w:line="276" w:lineRule="auto"/>
        <w:jc w:val="center"/>
        <w:rPr>
          <w:rFonts w:ascii="Palatino Linotype" w:hAnsi="Palatino Linotype" w:cs="Aharoni"/>
          <w:b/>
        </w:rPr>
      </w:pPr>
      <w:r w:rsidRPr="00567DE8">
        <w:rPr>
          <w:rFonts w:ascii="Palatino Linotype" w:hAnsi="Palatino Linotype" w:cs="Aharoni"/>
          <w:b/>
        </w:rPr>
        <w:t xml:space="preserve">ORDENANZA METROPOLITANA </w:t>
      </w:r>
      <w:r w:rsidRPr="00567DE8">
        <w:rPr>
          <w:rFonts w:ascii="Palatino Linotype" w:hAnsi="Palatino Linotype" w:cs="Aharoni"/>
        </w:rPr>
        <w:t xml:space="preserve"> </w:t>
      </w:r>
      <w:r w:rsidRPr="00567DE8">
        <w:rPr>
          <w:rFonts w:ascii="Palatino Linotype" w:hAnsi="Palatino Linotype" w:cs="Aharoni"/>
          <w:b/>
        </w:rPr>
        <w:t>REFORMATORIA DE LA ORDENANZA METROPOLITANA No. 0055</w:t>
      </w:r>
      <w:r w:rsidR="00567DE8" w:rsidRPr="00567DE8">
        <w:rPr>
          <w:rFonts w:ascii="Palatino Linotype" w:hAnsi="Palatino Linotype" w:cs="Aharoni"/>
          <w:b/>
        </w:rPr>
        <w:t>,</w:t>
      </w:r>
      <w:r w:rsidRPr="00567DE8">
        <w:rPr>
          <w:rFonts w:ascii="Palatino Linotype" w:hAnsi="Palatino Linotype" w:cs="Aharoni"/>
          <w:b/>
        </w:rPr>
        <w:t xml:space="preserve"> DE 1 DE ABRIL DE 2015, QUE ESTABLECE EL PROCEDIMIENTO PARA LA EXPROPIACIÓN ESPECIAL, REGULARIZACIÓN Y ADJUDICACIÓN DE PREDIOS DE LOS ASENTAMIENTOS HUMANOS DE HECHO DE INTERÉS SOCIAL EN SUE</w:t>
      </w:r>
      <w:r w:rsidR="00567DE8" w:rsidRPr="00567DE8">
        <w:rPr>
          <w:rFonts w:ascii="Palatino Linotype" w:hAnsi="Palatino Linotype" w:cs="Aharoni"/>
          <w:b/>
        </w:rPr>
        <w:t>LO URBANO Y DE EXPANSIÓN URBANA</w:t>
      </w:r>
    </w:p>
    <w:p w:rsidR="003A6502" w:rsidRPr="00567DE8" w:rsidRDefault="00567DE8" w:rsidP="00567DE8">
      <w:pPr>
        <w:pStyle w:val="Sinespaciado"/>
        <w:spacing w:after="240" w:line="276" w:lineRule="auto"/>
        <w:jc w:val="both"/>
        <w:rPr>
          <w:rFonts w:ascii="Palatino Linotype" w:hAnsi="Palatino Linotype" w:cs="Aharoni"/>
        </w:rPr>
      </w:pPr>
      <w:r w:rsidRPr="00567DE8">
        <w:rPr>
          <w:rFonts w:ascii="Palatino Linotype" w:hAnsi="Palatino Linotype" w:cs="Aharoni"/>
          <w:b/>
        </w:rPr>
        <w:t xml:space="preserve">Artículo único.- </w:t>
      </w:r>
      <w:r w:rsidRPr="00567DE8">
        <w:rPr>
          <w:rFonts w:ascii="Palatino Linotype" w:hAnsi="Palatino Linotype" w:cs="Aharoni"/>
        </w:rPr>
        <w:t xml:space="preserve">Agréguese en la Ordenanza Metropolitana No. 0055, de 1 de abril de 2015, </w:t>
      </w:r>
      <w:r w:rsidR="007C5A0F">
        <w:rPr>
          <w:rFonts w:ascii="Palatino Linotype" w:hAnsi="Palatino Linotype" w:cs="Aharoni"/>
        </w:rPr>
        <w:t>una</w:t>
      </w:r>
      <w:r w:rsidR="003A6502" w:rsidRPr="00567DE8">
        <w:rPr>
          <w:rFonts w:ascii="Palatino Linotype" w:hAnsi="Palatino Linotype" w:cs="Aharoni"/>
        </w:rPr>
        <w:t xml:space="preserve"> Disposición Transitoria Sexta</w:t>
      </w:r>
      <w:r w:rsidRPr="00567DE8">
        <w:rPr>
          <w:rFonts w:ascii="Palatino Linotype" w:hAnsi="Palatino Linotype" w:cs="Aharoni"/>
        </w:rPr>
        <w:t>, al tenor del siguiente texto:</w:t>
      </w:r>
    </w:p>
    <w:p w:rsidR="003A6502" w:rsidRPr="00496DF0" w:rsidRDefault="00567DE8" w:rsidP="00496DF0">
      <w:pPr>
        <w:pStyle w:val="Sinespaciado"/>
        <w:spacing w:after="240" w:line="276" w:lineRule="auto"/>
        <w:ind w:left="708"/>
        <w:jc w:val="both"/>
        <w:rPr>
          <w:rFonts w:ascii="Palatino Linotype" w:hAnsi="Palatino Linotype" w:cs="Aharoni"/>
          <w:i/>
        </w:rPr>
      </w:pPr>
      <w:r w:rsidRPr="00496DF0">
        <w:rPr>
          <w:rFonts w:ascii="Palatino Linotype" w:hAnsi="Palatino Linotype" w:cs="Aharoni"/>
          <w:b/>
          <w:i/>
        </w:rPr>
        <w:t>“</w:t>
      </w:r>
      <w:r w:rsidR="003A6502" w:rsidRPr="00496DF0">
        <w:rPr>
          <w:rFonts w:ascii="Palatino Linotype" w:hAnsi="Palatino Linotype" w:cs="Aharoni"/>
          <w:b/>
          <w:i/>
        </w:rPr>
        <w:t>Sexta.-</w:t>
      </w:r>
      <w:r w:rsidR="003A6502" w:rsidRPr="00496DF0">
        <w:rPr>
          <w:rFonts w:ascii="Palatino Linotype" w:hAnsi="Palatino Linotype" w:cs="Aharoni"/>
          <w:i/>
        </w:rPr>
        <w:t xml:space="preserve">  Por única ocasión y en lo que tiene que ver con los excedentes y diferencias de áreas de los lotes de terreno en los que están ubicados los Asentamientos Humanos de Hecho y Consolidados, y en los cuales la Unidad Especial Regula Tu Barrio determine aplicar la Expropiación Especial con fines de Regularización, contemplada en el </w:t>
      </w:r>
      <w:r w:rsidRPr="00496DF0">
        <w:rPr>
          <w:rFonts w:ascii="Palatino Linotype" w:hAnsi="Palatino Linotype" w:cs="Aharoni"/>
          <w:i/>
        </w:rPr>
        <w:t>a</w:t>
      </w:r>
      <w:r w:rsidR="003A6502" w:rsidRPr="00496DF0">
        <w:rPr>
          <w:rFonts w:ascii="Palatino Linotype" w:hAnsi="Palatino Linotype" w:cs="Aharoni"/>
          <w:i/>
        </w:rPr>
        <w:t>rt</w:t>
      </w:r>
      <w:r w:rsidRPr="00496DF0">
        <w:rPr>
          <w:rFonts w:ascii="Palatino Linotype" w:hAnsi="Palatino Linotype" w:cs="Aharoni"/>
          <w:i/>
        </w:rPr>
        <w:t>ículo</w:t>
      </w:r>
      <w:r w:rsidR="003A6502" w:rsidRPr="00496DF0">
        <w:rPr>
          <w:rFonts w:ascii="Palatino Linotype" w:hAnsi="Palatino Linotype" w:cs="Aharoni"/>
          <w:i/>
        </w:rPr>
        <w:t xml:space="preserve"> 596 del COOTAD, y que no estén dentro del rango ETAM (Error Técnico Aceptable de Medida),  contemplado en la Ordenanza </w:t>
      </w:r>
      <w:r w:rsidRPr="00496DF0">
        <w:rPr>
          <w:rFonts w:ascii="Palatino Linotype" w:hAnsi="Palatino Linotype" w:cs="Aharoni"/>
          <w:i/>
        </w:rPr>
        <w:t xml:space="preserve">Metropolitana </w:t>
      </w:r>
      <w:r w:rsidR="003A6502" w:rsidRPr="00496DF0">
        <w:rPr>
          <w:rFonts w:ascii="Palatino Linotype" w:hAnsi="Palatino Linotype" w:cs="Aharoni"/>
          <w:i/>
        </w:rPr>
        <w:t>No. 269</w:t>
      </w:r>
      <w:r w:rsidRPr="00496DF0">
        <w:rPr>
          <w:rFonts w:ascii="Palatino Linotype" w:hAnsi="Palatino Linotype" w:cs="Aharoni"/>
          <w:i/>
        </w:rPr>
        <w:t>, de 30 de julio de</w:t>
      </w:r>
      <w:r w:rsidR="003A6502" w:rsidRPr="00496DF0">
        <w:rPr>
          <w:rFonts w:ascii="Palatino Linotype" w:hAnsi="Palatino Linotype" w:cs="Aharoni"/>
          <w:i/>
        </w:rPr>
        <w:t xml:space="preserve"> 2012; se aplicará el siguiente procedimiento abreviado y expedito en cumplimiento del principio </w:t>
      </w:r>
      <w:proofErr w:type="spellStart"/>
      <w:r w:rsidR="003A6502" w:rsidRPr="00496DF0">
        <w:rPr>
          <w:rFonts w:ascii="Palatino Linotype" w:hAnsi="Palatino Linotype" w:cs="Aharoni"/>
          <w:i/>
        </w:rPr>
        <w:t>indubio</w:t>
      </w:r>
      <w:proofErr w:type="spellEnd"/>
      <w:r w:rsidR="003A6502" w:rsidRPr="00496DF0">
        <w:rPr>
          <w:rFonts w:ascii="Palatino Linotype" w:hAnsi="Palatino Linotype" w:cs="Aharoni"/>
          <w:i/>
        </w:rPr>
        <w:t xml:space="preserve"> pro-administrado determinado en el </w:t>
      </w:r>
      <w:r w:rsidR="007C5A0F">
        <w:rPr>
          <w:rFonts w:ascii="Palatino Linotype" w:hAnsi="Palatino Linotype" w:cs="Aharoni"/>
          <w:i/>
        </w:rPr>
        <w:t>a</w:t>
      </w:r>
      <w:r w:rsidR="003A6502" w:rsidRPr="00496DF0">
        <w:rPr>
          <w:rFonts w:ascii="Palatino Linotype" w:hAnsi="Palatino Linotype" w:cs="Aharoni"/>
          <w:i/>
        </w:rPr>
        <w:t>rt</w:t>
      </w:r>
      <w:r w:rsidR="007C5A0F">
        <w:rPr>
          <w:rFonts w:ascii="Palatino Linotype" w:hAnsi="Palatino Linotype" w:cs="Aharoni"/>
          <w:i/>
        </w:rPr>
        <w:t>ículo</w:t>
      </w:r>
      <w:r w:rsidR="003A6502" w:rsidRPr="00496DF0">
        <w:rPr>
          <w:rFonts w:ascii="Palatino Linotype" w:hAnsi="Palatino Linotype" w:cs="Aharoni"/>
          <w:i/>
        </w:rPr>
        <w:t xml:space="preserve"> 2 literal e) de la Ordenanza </w:t>
      </w:r>
      <w:r w:rsidR="007C5A0F">
        <w:rPr>
          <w:rFonts w:ascii="Palatino Linotype" w:hAnsi="Palatino Linotype" w:cs="Aharoni"/>
          <w:i/>
        </w:rPr>
        <w:t xml:space="preserve">Metropolitana No. </w:t>
      </w:r>
      <w:r w:rsidR="003A6502" w:rsidRPr="00496DF0">
        <w:rPr>
          <w:rFonts w:ascii="Palatino Linotype" w:hAnsi="Palatino Linotype" w:cs="Aharoni"/>
          <w:i/>
        </w:rPr>
        <w:t>055</w:t>
      </w:r>
      <w:r w:rsidR="007C5A0F">
        <w:rPr>
          <w:rFonts w:ascii="Palatino Linotype" w:hAnsi="Palatino Linotype" w:cs="Aharoni"/>
          <w:i/>
        </w:rPr>
        <w:t>,</w:t>
      </w:r>
      <w:r w:rsidR="003A6502" w:rsidRPr="00496DF0">
        <w:rPr>
          <w:rFonts w:ascii="Palatino Linotype" w:hAnsi="Palatino Linotype" w:cs="Aharoni"/>
          <w:i/>
        </w:rPr>
        <w:t xml:space="preserve"> de 1 de abril del  2015. Para los casos siguientes, la Autoridad Administrativa competente para emitir la resolución de corrección y adjudicación de diferencias y excedentes  de áreas será el Director Metropolitano de Catastro. </w:t>
      </w:r>
    </w:p>
    <w:p w:rsidR="003A6502" w:rsidRPr="00496DF0" w:rsidRDefault="003A6502" w:rsidP="00496DF0">
      <w:pPr>
        <w:pStyle w:val="Sinespaciado"/>
        <w:spacing w:after="240" w:line="276" w:lineRule="auto"/>
        <w:ind w:left="708"/>
        <w:jc w:val="both"/>
        <w:rPr>
          <w:rFonts w:ascii="Palatino Linotype" w:hAnsi="Palatino Linotype" w:cs="Aharoni"/>
          <w:b/>
          <w:i/>
        </w:rPr>
      </w:pPr>
      <w:r w:rsidRPr="00496DF0">
        <w:rPr>
          <w:rFonts w:ascii="Palatino Linotype" w:hAnsi="Palatino Linotype" w:cs="Aharoni"/>
          <w:b/>
          <w:i/>
        </w:rPr>
        <w:t>EN CASO DE DIFERENCIA:</w:t>
      </w:r>
    </w:p>
    <w:p w:rsidR="003A6502" w:rsidRPr="00496DF0" w:rsidRDefault="003A6502" w:rsidP="00496DF0">
      <w:pPr>
        <w:pStyle w:val="Sinespaciado"/>
        <w:spacing w:after="240" w:line="276" w:lineRule="auto"/>
        <w:ind w:left="708"/>
        <w:jc w:val="both"/>
        <w:rPr>
          <w:rFonts w:ascii="Palatino Linotype" w:hAnsi="Palatino Linotype" w:cs="Aharoni"/>
          <w:i/>
        </w:rPr>
      </w:pPr>
      <w:r w:rsidRPr="00496DF0">
        <w:rPr>
          <w:rFonts w:ascii="Palatino Linotype" w:hAnsi="Palatino Linotype" w:cs="Aharoni"/>
          <w:b/>
          <w:i/>
        </w:rPr>
        <w:t>a.-</w:t>
      </w:r>
      <w:r w:rsidRPr="00496DF0">
        <w:rPr>
          <w:rFonts w:ascii="Palatino Linotype" w:hAnsi="Palatino Linotype" w:cs="Aharoni"/>
          <w:i/>
        </w:rPr>
        <w:t xml:space="preserve"> La Unidad Especial Regula Tu Barrio procederá a remitir a la Dirección Metropolitana de Catastro el expediente en el que se haya determinado la diferencia de área. </w:t>
      </w:r>
    </w:p>
    <w:p w:rsidR="003A6502" w:rsidRPr="00496DF0" w:rsidRDefault="003A6502" w:rsidP="00496DF0">
      <w:pPr>
        <w:pStyle w:val="Sinespaciado"/>
        <w:spacing w:after="240" w:line="276" w:lineRule="auto"/>
        <w:ind w:left="708"/>
        <w:jc w:val="both"/>
        <w:rPr>
          <w:rFonts w:ascii="Palatino Linotype" w:hAnsi="Palatino Linotype" w:cs="Aharoni"/>
          <w:i/>
        </w:rPr>
      </w:pPr>
      <w:r w:rsidRPr="00496DF0">
        <w:rPr>
          <w:rFonts w:ascii="Palatino Linotype" w:hAnsi="Palatino Linotype" w:cs="Aharoni"/>
          <w:b/>
          <w:i/>
        </w:rPr>
        <w:lastRenderedPageBreak/>
        <w:t>b.-</w:t>
      </w:r>
      <w:r w:rsidRPr="00496DF0">
        <w:rPr>
          <w:rFonts w:ascii="Palatino Linotype" w:hAnsi="Palatino Linotype" w:cs="Aharoni"/>
          <w:i/>
        </w:rPr>
        <w:t xml:space="preserve"> La Dirección Metropolitana de Catastro en el término de cinco días procederá a emitir la resolución respectiva en la cual se corrija el error técnico de medida, y procederá a enviar dicha resolución al Registro de la Propiedad; la misma que deberá ser debidamente protocolizada.</w:t>
      </w:r>
    </w:p>
    <w:p w:rsidR="003A6502" w:rsidRPr="00496DF0" w:rsidRDefault="003A6502" w:rsidP="00496DF0">
      <w:pPr>
        <w:pStyle w:val="Sinespaciado"/>
        <w:spacing w:after="240" w:line="276" w:lineRule="auto"/>
        <w:ind w:left="708"/>
        <w:jc w:val="both"/>
        <w:rPr>
          <w:rFonts w:ascii="Palatino Linotype" w:hAnsi="Palatino Linotype" w:cs="Aharoni"/>
          <w:i/>
        </w:rPr>
      </w:pPr>
      <w:r w:rsidRPr="00496DF0">
        <w:rPr>
          <w:rFonts w:ascii="Palatino Linotype" w:hAnsi="Palatino Linotype" w:cs="Aharoni"/>
          <w:i/>
        </w:rPr>
        <w:t xml:space="preserve">Una vez que la resolución haya sido protocolizada la Dirección Metropolitana de Catastro enviará al Registro de la Propiedad para su inscripción. </w:t>
      </w:r>
    </w:p>
    <w:p w:rsidR="003A6502" w:rsidRPr="00496DF0" w:rsidRDefault="003A6502" w:rsidP="00496DF0">
      <w:pPr>
        <w:pStyle w:val="Sinespaciado"/>
        <w:spacing w:after="240" w:line="276" w:lineRule="auto"/>
        <w:ind w:left="708"/>
        <w:jc w:val="both"/>
        <w:rPr>
          <w:rFonts w:ascii="Palatino Linotype" w:hAnsi="Palatino Linotype" w:cs="Aharoni"/>
          <w:i/>
        </w:rPr>
      </w:pPr>
      <w:r w:rsidRPr="00496DF0">
        <w:rPr>
          <w:rFonts w:ascii="Palatino Linotype" w:hAnsi="Palatino Linotype" w:cs="Aharoni"/>
          <w:b/>
          <w:i/>
        </w:rPr>
        <w:t>c.-</w:t>
      </w:r>
      <w:r w:rsidRPr="00496DF0">
        <w:rPr>
          <w:rFonts w:ascii="Palatino Linotype" w:hAnsi="Palatino Linotype" w:cs="Aharoni"/>
          <w:i/>
        </w:rPr>
        <w:t xml:space="preserve"> El Registro de la Propiedad procederá en el término de tres días a realizar la inscripción de la resolución que corrija la diferencia de áreas.  </w:t>
      </w:r>
    </w:p>
    <w:p w:rsidR="003A6502" w:rsidRPr="00496DF0" w:rsidRDefault="003A6502" w:rsidP="00496DF0">
      <w:pPr>
        <w:pStyle w:val="Sinespaciado"/>
        <w:spacing w:after="240" w:line="276" w:lineRule="auto"/>
        <w:ind w:left="708"/>
        <w:jc w:val="both"/>
        <w:rPr>
          <w:rFonts w:ascii="Palatino Linotype" w:hAnsi="Palatino Linotype" w:cs="Aharoni"/>
          <w:b/>
          <w:i/>
        </w:rPr>
      </w:pPr>
      <w:r w:rsidRPr="00496DF0">
        <w:rPr>
          <w:rFonts w:ascii="Palatino Linotype" w:hAnsi="Palatino Linotype" w:cs="Aharoni"/>
          <w:b/>
          <w:i/>
        </w:rPr>
        <w:t>EN CASO DE EXCEDENTE:</w:t>
      </w:r>
    </w:p>
    <w:p w:rsidR="003A6502" w:rsidRPr="00496DF0" w:rsidRDefault="003A6502" w:rsidP="00496DF0">
      <w:pPr>
        <w:pStyle w:val="Sinespaciado"/>
        <w:spacing w:after="240" w:line="276" w:lineRule="auto"/>
        <w:ind w:left="708"/>
        <w:jc w:val="both"/>
        <w:rPr>
          <w:rFonts w:ascii="Palatino Linotype" w:hAnsi="Palatino Linotype" w:cs="Aharoni"/>
          <w:i/>
        </w:rPr>
      </w:pPr>
      <w:r w:rsidRPr="00496DF0">
        <w:rPr>
          <w:rFonts w:ascii="Palatino Linotype" w:hAnsi="Palatino Linotype" w:cs="Aharoni"/>
          <w:b/>
          <w:i/>
        </w:rPr>
        <w:t>a.-</w:t>
      </w:r>
      <w:r w:rsidRPr="00496DF0">
        <w:rPr>
          <w:rFonts w:ascii="Palatino Linotype" w:hAnsi="Palatino Linotype" w:cs="Aharoni"/>
          <w:i/>
        </w:rPr>
        <w:t xml:space="preserve"> Se procederá por parte de la Unidad Especial Regula Tu Barrio a remitir el expediente a la Dirección Metropolitana de Catastro. En el expediente deberá constar el informe en el cual se determine el excedente de área en el lote de terreno en el que está ubicado el Asentamiento Humano de Hecho y Consolidado; y, la Dirección Metropolitana de Catastro emitirá el informe valorativo de rigor, sin considerar descuentos de ninguna naturaleza.</w:t>
      </w:r>
    </w:p>
    <w:p w:rsidR="003A6502" w:rsidRPr="00496DF0" w:rsidRDefault="003A6502" w:rsidP="00496DF0">
      <w:pPr>
        <w:pStyle w:val="Sinespaciado"/>
        <w:spacing w:after="240" w:line="276" w:lineRule="auto"/>
        <w:ind w:left="708"/>
        <w:jc w:val="both"/>
        <w:rPr>
          <w:rFonts w:ascii="Palatino Linotype" w:hAnsi="Palatino Linotype" w:cs="Aharoni"/>
          <w:i/>
        </w:rPr>
      </w:pPr>
      <w:r w:rsidRPr="00496DF0">
        <w:rPr>
          <w:rFonts w:ascii="Palatino Linotype" w:hAnsi="Palatino Linotype" w:cs="Aharoni"/>
          <w:i/>
        </w:rPr>
        <w:t>Este excedente de área determinado no debe corresponder a propiedad municipal ni a terceros, sino que se establecerán exclusivamente  por errores de cálculo o de medición.</w:t>
      </w:r>
    </w:p>
    <w:p w:rsidR="003A6502" w:rsidRPr="00496DF0" w:rsidRDefault="003A6502" w:rsidP="00496DF0">
      <w:pPr>
        <w:pStyle w:val="Sinespaciado"/>
        <w:spacing w:after="240" w:line="276" w:lineRule="auto"/>
        <w:ind w:left="708"/>
        <w:jc w:val="both"/>
        <w:rPr>
          <w:rFonts w:ascii="Palatino Linotype" w:hAnsi="Palatino Linotype" w:cs="Aharoni"/>
          <w:i/>
        </w:rPr>
      </w:pPr>
      <w:r w:rsidRPr="00496DF0">
        <w:rPr>
          <w:rFonts w:ascii="Palatino Linotype" w:hAnsi="Palatino Linotype" w:cs="Aharoni"/>
          <w:b/>
          <w:i/>
        </w:rPr>
        <w:t>b.-</w:t>
      </w:r>
      <w:r w:rsidRPr="00496DF0">
        <w:rPr>
          <w:rFonts w:ascii="Palatino Linotype" w:hAnsi="Palatino Linotype" w:cs="Aharoni"/>
          <w:i/>
        </w:rPr>
        <w:t xml:space="preserve"> La Dirección Metropolitana de Catastro en el término de cinco días procederá a emitir la resolución motivada en la cual se disponga la adjudicación del excedente de área a favor del titular del inmueble en el que se encuentra el Asentamiento Humano de Hecho y Consolidado. Una vez que la resolución haya sido protocolizada la Dirección Metropolitana de Catastro enviará al Registro de la Propiedad para su inscripción. </w:t>
      </w:r>
    </w:p>
    <w:p w:rsidR="003A6502" w:rsidRPr="00496DF0" w:rsidRDefault="003A6502" w:rsidP="00496DF0">
      <w:pPr>
        <w:pStyle w:val="Sinespaciado"/>
        <w:spacing w:after="240" w:line="276" w:lineRule="auto"/>
        <w:ind w:left="708"/>
        <w:jc w:val="both"/>
        <w:rPr>
          <w:rFonts w:ascii="Palatino Linotype" w:hAnsi="Palatino Linotype" w:cs="Aharoni"/>
          <w:i/>
        </w:rPr>
      </w:pPr>
      <w:r w:rsidRPr="00496DF0">
        <w:rPr>
          <w:rFonts w:ascii="Palatino Linotype" w:hAnsi="Palatino Linotype" w:cs="Aharoni"/>
          <w:b/>
          <w:i/>
        </w:rPr>
        <w:t xml:space="preserve">c.-  </w:t>
      </w:r>
      <w:r w:rsidRPr="00496DF0">
        <w:rPr>
          <w:rFonts w:ascii="Palatino Linotype" w:hAnsi="Palatino Linotype" w:cs="Aharoni"/>
          <w:i/>
        </w:rPr>
        <w:t xml:space="preserve">El Registro de la Propiedad en el término de tres días procederá con la inscripción de la resolución que adjudique el excedente de área al titular del predio. </w:t>
      </w:r>
    </w:p>
    <w:p w:rsidR="003A6502" w:rsidRPr="00496DF0" w:rsidRDefault="00496DF0" w:rsidP="00496DF0">
      <w:pPr>
        <w:pStyle w:val="Sinespaciado"/>
        <w:spacing w:after="240" w:line="276" w:lineRule="auto"/>
        <w:ind w:left="708"/>
        <w:jc w:val="both"/>
        <w:rPr>
          <w:rFonts w:ascii="Palatino Linotype" w:hAnsi="Palatino Linotype" w:cs="Aharoni"/>
          <w:i/>
        </w:rPr>
      </w:pPr>
      <w:r w:rsidRPr="00496DF0">
        <w:rPr>
          <w:rFonts w:ascii="Palatino Linotype" w:hAnsi="Palatino Linotype" w:cs="Aharoni"/>
          <w:b/>
          <w:i/>
        </w:rPr>
        <w:t>d.-</w:t>
      </w:r>
      <w:r w:rsidR="003A6502" w:rsidRPr="00496DF0">
        <w:rPr>
          <w:rFonts w:ascii="Palatino Linotype" w:hAnsi="Palatino Linotype" w:cs="Aharoni"/>
          <w:i/>
        </w:rPr>
        <w:t xml:space="preserve"> Para el pago de la adjudicación de los excedentes de áreas en los lotes de terreno en los cuales se encuentran los Asentamientos Humanos de Hecho y Consolidados, se aplicará el valor actual catastral, a cargo del propietario.  En todos los casos no se  aplicará descuento alguno. </w:t>
      </w:r>
    </w:p>
    <w:p w:rsidR="003A6502" w:rsidRPr="00496DF0" w:rsidRDefault="003A6502" w:rsidP="00496DF0">
      <w:pPr>
        <w:pStyle w:val="Sinespaciado"/>
        <w:spacing w:after="240" w:line="276" w:lineRule="auto"/>
        <w:ind w:left="708"/>
        <w:jc w:val="both"/>
        <w:rPr>
          <w:rFonts w:ascii="Palatino Linotype" w:hAnsi="Palatino Linotype" w:cs="Aharoni"/>
          <w:i/>
        </w:rPr>
      </w:pPr>
      <w:proofErr w:type="spellStart"/>
      <w:r w:rsidRPr="00496DF0">
        <w:rPr>
          <w:rFonts w:ascii="Palatino Linotype" w:hAnsi="Palatino Linotype" w:cs="Aharoni"/>
          <w:b/>
          <w:i/>
        </w:rPr>
        <w:t>e</w:t>
      </w:r>
      <w:proofErr w:type="spellEnd"/>
      <w:r w:rsidRPr="00496DF0">
        <w:rPr>
          <w:rFonts w:ascii="Palatino Linotype" w:hAnsi="Palatino Linotype" w:cs="Aharoni"/>
          <w:b/>
          <w:i/>
        </w:rPr>
        <w:t>.-</w:t>
      </w:r>
      <w:r w:rsidRPr="00496DF0">
        <w:rPr>
          <w:rFonts w:ascii="Palatino Linotype" w:hAnsi="Palatino Linotype" w:cs="Aharoni"/>
          <w:i/>
        </w:rPr>
        <w:t xml:space="preserve"> El pago del precio de la adjudicación y demás impuestos o  tasas que genere la regularización de cada excedente de área  se sujetará a las normas vigentes, por excepción y por única ocasión  se lo realizará de la siguiente manera: La Autoridad Administrativa competente generará la obligación de pagar el valor de la adjudicación a su beneficiario, y esta obligación se tendrá como título de crédito a favor del Distrito Metropolitano de Quito, el cual se deberá deducir al titular del inmueble en el </w:t>
      </w:r>
      <w:r w:rsidRPr="00496DF0">
        <w:rPr>
          <w:rFonts w:ascii="Palatino Linotype" w:hAnsi="Palatino Linotype" w:cs="Aharoni"/>
          <w:i/>
        </w:rPr>
        <w:lastRenderedPageBreak/>
        <w:t>momento de determinar el justo precio a pagar, al que refiere el numeral 3 del Art. 596 del Código Orgánico de Organización Territorial, Autonomía y Descentralización (COOTAD). En tal sentido no se podrá detener la inscripción de la resolución de adjudicación del excedente de área en el Registro de la Propiedad, alegando falta de pago. (Sugerencia del punto 5 de Procuraduría).</w:t>
      </w:r>
    </w:p>
    <w:p w:rsidR="003A6502" w:rsidRPr="00496DF0" w:rsidRDefault="003A6502" w:rsidP="00496DF0">
      <w:pPr>
        <w:pStyle w:val="Sinespaciado"/>
        <w:spacing w:after="240" w:line="276" w:lineRule="auto"/>
        <w:ind w:left="708"/>
        <w:jc w:val="both"/>
        <w:rPr>
          <w:rFonts w:ascii="Palatino Linotype" w:hAnsi="Palatino Linotype" w:cs="Aharoni"/>
          <w:i/>
        </w:rPr>
      </w:pPr>
      <w:r w:rsidRPr="00496DF0">
        <w:rPr>
          <w:rFonts w:ascii="Palatino Linotype" w:hAnsi="Palatino Linotype" w:cs="Aharoni"/>
          <w:i/>
        </w:rPr>
        <w:t>En los dos casos, sea por diferencia o excedente de área, la resolución emitida por la Autoridad Administrativa  competente constituirá justo título para la modificación del historial de dominio del predio en el Registro de la Propiedad del Distrito Metropolitano de Quito.</w:t>
      </w:r>
      <w:r w:rsidR="00496DF0" w:rsidRPr="00496DF0">
        <w:rPr>
          <w:rFonts w:ascii="Palatino Linotype" w:hAnsi="Palatino Linotype" w:cs="Aharoni"/>
          <w:i/>
        </w:rPr>
        <w:t>”</w:t>
      </w:r>
    </w:p>
    <w:p w:rsidR="003A6502" w:rsidRDefault="00496DF0" w:rsidP="00567DE8">
      <w:pPr>
        <w:pStyle w:val="Sinespaciado"/>
        <w:spacing w:after="240" w:line="276" w:lineRule="auto"/>
        <w:jc w:val="both"/>
        <w:rPr>
          <w:rFonts w:ascii="Palatino Linotype" w:hAnsi="Palatino Linotype" w:cs="Aharoni"/>
        </w:rPr>
      </w:pPr>
      <w:r w:rsidRPr="00496DF0">
        <w:rPr>
          <w:rFonts w:ascii="Palatino Linotype" w:hAnsi="Palatino Linotype" w:cs="Aharoni"/>
          <w:b/>
        </w:rPr>
        <w:t>Disposición Transitoria</w:t>
      </w:r>
      <w:r>
        <w:rPr>
          <w:rFonts w:ascii="Palatino Linotype" w:hAnsi="Palatino Linotype" w:cs="Aharoni"/>
          <w:b/>
        </w:rPr>
        <w:t xml:space="preserve"> Única</w:t>
      </w:r>
      <w:r w:rsidRPr="00496DF0">
        <w:rPr>
          <w:rFonts w:ascii="Palatino Linotype" w:hAnsi="Palatino Linotype" w:cs="Aharoni"/>
          <w:b/>
        </w:rPr>
        <w:t xml:space="preserve">.- </w:t>
      </w:r>
      <w:r w:rsidR="003A6502" w:rsidRPr="00567DE8">
        <w:rPr>
          <w:rFonts w:ascii="Palatino Linotype" w:hAnsi="Palatino Linotype" w:cs="Aharoni"/>
        </w:rPr>
        <w:t xml:space="preserve">Las disposiciones de esta ordenanza serán aplicables y regirán única y exclusivamente para aquellos casos de </w:t>
      </w:r>
      <w:r w:rsidR="00552DF7">
        <w:rPr>
          <w:rFonts w:ascii="Palatino Linotype" w:hAnsi="Palatino Linotype" w:cs="Aharoni"/>
        </w:rPr>
        <w:t>a</w:t>
      </w:r>
      <w:r w:rsidR="003A6502" w:rsidRPr="00567DE8">
        <w:rPr>
          <w:rFonts w:ascii="Palatino Linotype" w:hAnsi="Palatino Linotype" w:cs="Aharoni"/>
        </w:rPr>
        <w:t xml:space="preserve">sentamientos </w:t>
      </w:r>
      <w:r w:rsidR="00552DF7">
        <w:rPr>
          <w:rFonts w:ascii="Palatino Linotype" w:hAnsi="Palatino Linotype" w:cs="Aharoni"/>
        </w:rPr>
        <w:t>h</w:t>
      </w:r>
      <w:r w:rsidR="003A6502" w:rsidRPr="00567DE8">
        <w:rPr>
          <w:rFonts w:ascii="Palatino Linotype" w:hAnsi="Palatino Linotype" w:cs="Aharoni"/>
        </w:rPr>
        <w:t xml:space="preserve">umanos de </w:t>
      </w:r>
      <w:r w:rsidR="00552DF7">
        <w:rPr>
          <w:rFonts w:ascii="Palatino Linotype" w:hAnsi="Palatino Linotype" w:cs="Aharoni"/>
        </w:rPr>
        <w:t>h</w:t>
      </w:r>
      <w:r w:rsidR="003A6502" w:rsidRPr="00567DE8">
        <w:rPr>
          <w:rFonts w:ascii="Palatino Linotype" w:hAnsi="Palatino Linotype" w:cs="Aharoni"/>
        </w:rPr>
        <w:t xml:space="preserve">echo </w:t>
      </w:r>
      <w:r w:rsidR="00552DF7">
        <w:rPr>
          <w:rFonts w:ascii="Palatino Linotype" w:hAnsi="Palatino Linotype" w:cs="Aharoni"/>
        </w:rPr>
        <w:t xml:space="preserve">y consolidados </w:t>
      </w:r>
      <w:r w:rsidR="003A6502" w:rsidRPr="00567DE8">
        <w:rPr>
          <w:rFonts w:ascii="Palatino Linotype" w:hAnsi="Palatino Linotype" w:cs="Aharoni"/>
        </w:rPr>
        <w:t>susceptibles del proceso de expropiación especial. Para su operatividad</w:t>
      </w:r>
      <w:r w:rsidR="00552DF7">
        <w:rPr>
          <w:rFonts w:ascii="Palatino Linotype" w:hAnsi="Palatino Linotype" w:cs="Aharoni"/>
        </w:rPr>
        <w:t>,</w:t>
      </w:r>
      <w:r w:rsidR="003A6502" w:rsidRPr="00567DE8">
        <w:rPr>
          <w:rFonts w:ascii="Palatino Linotype" w:hAnsi="Palatino Linotype" w:cs="Aharoni"/>
        </w:rPr>
        <w:t xml:space="preserve"> la Dirección </w:t>
      </w:r>
      <w:r>
        <w:rPr>
          <w:rFonts w:ascii="Palatino Linotype" w:hAnsi="Palatino Linotype" w:cs="Aharoni"/>
        </w:rPr>
        <w:t>M</w:t>
      </w:r>
      <w:r w:rsidR="003A6502" w:rsidRPr="00567DE8">
        <w:rPr>
          <w:rFonts w:ascii="Palatino Linotype" w:hAnsi="Palatino Linotype" w:cs="Aharoni"/>
        </w:rPr>
        <w:t>etropolitana de Catastro determinará los términos y el flujo de procedimientos para la regularización de excedentes o diferencias de área provenientes de errores de cálculo o de medición, e impartirá las instrucciones administrativas para la efectiva ejecución de la Disposición Transitoria</w:t>
      </w:r>
      <w:r w:rsidR="00552DF7">
        <w:rPr>
          <w:rFonts w:ascii="Palatino Linotype" w:hAnsi="Palatino Linotype" w:cs="Aharoni"/>
        </w:rPr>
        <w:t xml:space="preserve"> introducida a través de la presente Ordenanza</w:t>
      </w:r>
      <w:r>
        <w:rPr>
          <w:rFonts w:ascii="Palatino Linotype" w:hAnsi="Palatino Linotype" w:cs="Aharoni"/>
        </w:rPr>
        <w:t>.</w:t>
      </w:r>
    </w:p>
    <w:p w:rsidR="00496DF0" w:rsidRPr="00D52752" w:rsidRDefault="00496DF0" w:rsidP="00496DF0">
      <w:pPr>
        <w:spacing w:after="240"/>
        <w:ind w:right="49"/>
        <w:jc w:val="both"/>
        <w:rPr>
          <w:rFonts w:ascii="Palatino Linotype" w:hAnsi="Palatino Linotype" w:cs="Arial"/>
          <w:lang w:val="es-MX"/>
        </w:rPr>
      </w:pPr>
      <w:r>
        <w:rPr>
          <w:rFonts w:ascii="Palatino Linotype" w:hAnsi="Palatino Linotype" w:cs="Arial"/>
          <w:b/>
          <w:lang w:val="es-MX"/>
        </w:rPr>
        <w:t xml:space="preserve">Disposición Final.- </w:t>
      </w:r>
      <w:r>
        <w:rPr>
          <w:rFonts w:ascii="Palatino Linotype" w:hAnsi="Palatino Linotype" w:cs="Arial"/>
          <w:lang w:val="es-MX"/>
        </w:rPr>
        <w:t>La presente o</w:t>
      </w:r>
      <w:r w:rsidRPr="00D52752">
        <w:rPr>
          <w:rFonts w:ascii="Palatino Linotype" w:hAnsi="Palatino Linotype" w:cs="Arial"/>
          <w:lang w:val="es-MX"/>
        </w:rPr>
        <w:t>rdenanza entrará en vigencia a partir de la fecha de su sanción, sin perjuicio de su publicación en la Gaceta Oficial y en la página web institucional de la Municipalidad.</w:t>
      </w:r>
    </w:p>
    <w:p w:rsidR="00496DF0" w:rsidRPr="00D52752" w:rsidRDefault="00496DF0" w:rsidP="00496DF0">
      <w:pPr>
        <w:spacing w:after="240"/>
        <w:jc w:val="both"/>
        <w:rPr>
          <w:rFonts w:ascii="Palatino Linotype" w:hAnsi="Palatino Linotype"/>
        </w:rPr>
      </w:pPr>
      <w:r w:rsidRPr="00D52752">
        <w:rPr>
          <w:rFonts w:ascii="Palatino Linotype" w:hAnsi="Palatino Linotype"/>
        </w:rPr>
        <w:t xml:space="preserve">Dada, en la Sala de Sesiones del Concejo Metropolitano de Quito, el </w:t>
      </w:r>
      <w:r>
        <w:rPr>
          <w:rFonts w:ascii="Palatino Linotype" w:hAnsi="Palatino Linotype"/>
        </w:rPr>
        <w:t>28</w:t>
      </w:r>
      <w:r w:rsidRPr="00D52752">
        <w:rPr>
          <w:rFonts w:ascii="Palatino Linotype" w:hAnsi="Palatino Linotype"/>
        </w:rPr>
        <w:t xml:space="preserve"> de enero de 2016.</w:t>
      </w:r>
    </w:p>
    <w:p w:rsidR="00496DF0" w:rsidRDefault="00496DF0" w:rsidP="00496DF0">
      <w:pPr>
        <w:pStyle w:val="Textopredeterminado"/>
        <w:shd w:val="clear" w:color="auto" w:fill="FFFFFF"/>
        <w:jc w:val="both"/>
        <w:rPr>
          <w:rFonts w:ascii="Palatino Linotype" w:hAnsi="Palatino Linotype"/>
          <w:sz w:val="22"/>
          <w:szCs w:val="22"/>
          <w:lang w:val="es-EC"/>
        </w:rPr>
      </w:pPr>
    </w:p>
    <w:p w:rsidR="00496DF0" w:rsidRPr="00D52752" w:rsidRDefault="00496DF0" w:rsidP="00496DF0">
      <w:pPr>
        <w:pStyle w:val="Textopredeterminado"/>
        <w:shd w:val="clear" w:color="auto" w:fill="FFFFFF"/>
        <w:jc w:val="both"/>
        <w:rPr>
          <w:rFonts w:ascii="Palatino Linotype" w:hAnsi="Palatino Linotype"/>
          <w:sz w:val="22"/>
          <w:szCs w:val="22"/>
          <w:lang w:val="es-EC"/>
        </w:rPr>
      </w:pPr>
    </w:p>
    <w:p w:rsidR="00496DF0" w:rsidRDefault="00496DF0" w:rsidP="00496DF0">
      <w:pPr>
        <w:pStyle w:val="Textopredeterminado"/>
        <w:shd w:val="clear" w:color="auto" w:fill="FFFFFF"/>
        <w:jc w:val="both"/>
        <w:rPr>
          <w:rFonts w:ascii="Palatino Linotype" w:hAnsi="Palatino Linotype"/>
          <w:sz w:val="22"/>
          <w:szCs w:val="22"/>
        </w:rPr>
      </w:pPr>
    </w:p>
    <w:p w:rsidR="00496DF0" w:rsidRPr="00D52752" w:rsidRDefault="00496DF0" w:rsidP="00496DF0">
      <w:pPr>
        <w:pStyle w:val="Textopredeterminado"/>
        <w:shd w:val="clear" w:color="auto" w:fill="FFFFFF"/>
        <w:jc w:val="both"/>
        <w:rPr>
          <w:rFonts w:ascii="Palatino Linotype" w:hAnsi="Palatino Linotype"/>
          <w:sz w:val="22"/>
          <w:szCs w:val="22"/>
        </w:rPr>
      </w:pPr>
    </w:p>
    <w:p w:rsidR="00496DF0" w:rsidRPr="00D52752" w:rsidRDefault="00496DF0" w:rsidP="00496DF0">
      <w:pPr>
        <w:pStyle w:val="Textosinformato"/>
        <w:jc w:val="center"/>
        <w:rPr>
          <w:rFonts w:ascii="Palatino Linotype" w:eastAsia="MS Mincho" w:hAnsi="Palatino Linotype"/>
          <w:sz w:val="22"/>
          <w:szCs w:val="22"/>
          <w:lang w:val="es-EC"/>
        </w:rPr>
      </w:pPr>
      <w:r w:rsidRPr="00D52752">
        <w:rPr>
          <w:rFonts w:ascii="Palatino Linotype" w:eastAsia="MS Mincho" w:hAnsi="Palatino Linotype"/>
          <w:sz w:val="22"/>
          <w:szCs w:val="22"/>
          <w:lang w:val="es-EC"/>
        </w:rPr>
        <w:t xml:space="preserve">Abg. María Elisa Holmes </w:t>
      </w:r>
      <w:proofErr w:type="spellStart"/>
      <w:r w:rsidRPr="00D52752">
        <w:rPr>
          <w:rFonts w:ascii="Palatino Linotype" w:eastAsia="MS Mincho" w:hAnsi="Palatino Linotype"/>
          <w:sz w:val="22"/>
          <w:szCs w:val="22"/>
          <w:lang w:val="es-EC"/>
        </w:rPr>
        <w:t>Roldós</w:t>
      </w:r>
      <w:proofErr w:type="spellEnd"/>
    </w:p>
    <w:p w:rsidR="00496DF0" w:rsidRPr="00D52752" w:rsidRDefault="00496DF0" w:rsidP="00496DF0">
      <w:pPr>
        <w:pStyle w:val="Textosinformato"/>
        <w:jc w:val="center"/>
        <w:rPr>
          <w:rFonts w:ascii="Palatino Linotype" w:eastAsia="MS Mincho" w:hAnsi="Palatino Linotype"/>
          <w:b/>
          <w:bCs/>
          <w:sz w:val="22"/>
          <w:szCs w:val="22"/>
          <w:lang w:val="es-EC"/>
        </w:rPr>
      </w:pPr>
      <w:r w:rsidRPr="00D52752">
        <w:rPr>
          <w:rFonts w:ascii="Palatino Linotype" w:eastAsia="MS Mincho" w:hAnsi="Palatino Linotype"/>
          <w:b/>
          <w:bCs/>
          <w:sz w:val="22"/>
          <w:szCs w:val="22"/>
          <w:lang w:val="es-EC"/>
        </w:rPr>
        <w:t>SECRETARIA GENERAL DEL CONCEJO METROPOLITANO DE QUITO</w:t>
      </w:r>
    </w:p>
    <w:p w:rsidR="00496DF0" w:rsidRPr="00D52752" w:rsidRDefault="00496DF0" w:rsidP="00496DF0">
      <w:pPr>
        <w:pStyle w:val="Textopredeterminado"/>
        <w:shd w:val="clear" w:color="auto" w:fill="FFFFFF"/>
        <w:jc w:val="both"/>
        <w:rPr>
          <w:rFonts w:ascii="Palatino Linotype" w:hAnsi="Palatino Linotype"/>
          <w:sz w:val="22"/>
          <w:szCs w:val="22"/>
          <w:lang w:val="es-EC"/>
        </w:rPr>
      </w:pPr>
    </w:p>
    <w:p w:rsidR="00496DF0" w:rsidRPr="00D52752" w:rsidRDefault="00496DF0" w:rsidP="00496DF0">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lang w:val="es-EC"/>
        </w:rPr>
      </w:pPr>
      <w:r w:rsidRPr="00D52752">
        <w:rPr>
          <w:rFonts w:ascii="Palatino Linotype" w:eastAsia="MS Mincho" w:hAnsi="Palatino Linotype"/>
          <w:b/>
          <w:bCs/>
          <w:sz w:val="22"/>
          <w:szCs w:val="22"/>
          <w:lang w:val="es-EC"/>
        </w:rPr>
        <w:t>CERTIFICADO DE DISCUSIÓN</w:t>
      </w:r>
    </w:p>
    <w:p w:rsidR="00496DF0" w:rsidRPr="00D52752" w:rsidRDefault="00496DF0" w:rsidP="00496DF0">
      <w:pPr>
        <w:pStyle w:val="Textosinformato"/>
        <w:jc w:val="both"/>
        <w:rPr>
          <w:rFonts w:ascii="Palatino Linotype" w:eastAsia="MS Mincho" w:hAnsi="Palatino Linotype"/>
          <w:sz w:val="22"/>
          <w:szCs w:val="22"/>
          <w:lang w:val="es-EC"/>
        </w:rPr>
      </w:pPr>
    </w:p>
    <w:p w:rsidR="00496DF0" w:rsidRPr="00D52752" w:rsidRDefault="00496DF0" w:rsidP="00496DF0">
      <w:pPr>
        <w:pStyle w:val="Textosinformato"/>
        <w:jc w:val="both"/>
        <w:rPr>
          <w:rFonts w:ascii="Palatino Linotype" w:eastAsia="MS Mincho" w:hAnsi="Palatino Linotype"/>
          <w:sz w:val="22"/>
          <w:szCs w:val="22"/>
          <w:lang w:val="es-EC"/>
        </w:rPr>
      </w:pPr>
      <w:r w:rsidRPr="00D52752">
        <w:rPr>
          <w:rFonts w:ascii="Palatino Linotype" w:eastAsia="MS Mincho" w:hAnsi="Palatino Linotype"/>
          <w:sz w:val="22"/>
          <w:szCs w:val="22"/>
          <w:lang w:val="es-EC"/>
        </w:rPr>
        <w:t xml:space="preserve">La infrascrita Secretaria General del Concejo Metropolitano de Quito, certifica que la presente ordenanza fue discutida y aprobada en dos debates, en sesiones de 14 </w:t>
      </w:r>
      <w:r w:rsidR="004D71E9">
        <w:rPr>
          <w:rFonts w:ascii="Palatino Linotype" w:eastAsia="MS Mincho" w:hAnsi="Palatino Linotype"/>
          <w:sz w:val="22"/>
          <w:szCs w:val="22"/>
          <w:lang w:val="es-EC"/>
        </w:rPr>
        <w:t xml:space="preserve">y 28 </w:t>
      </w:r>
      <w:r w:rsidRPr="00D52752">
        <w:rPr>
          <w:rFonts w:ascii="Palatino Linotype" w:eastAsia="MS Mincho" w:hAnsi="Palatino Linotype"/>
          <w:sz w:val="22"/>
          <w:szCs w:val="22"/>
          <w:lang w:val="es-EC"/>
        </w:rPr>
        <w:t>de enero de 2016.- Quito,</w:t>
      </w:r>
    </w:p>
    <w:p w:rsidR="00496DF0" w:rsidRPr="00D52752" w:rsidRDefault="00496DF0" w:rsidP="00496DF0">
      <w:pPr>
        <w:pStyle w:val="Textosinformato"/>
        <w:jc w:val="both"/>
        <w:rPr>
          <w:rFonts w:ascii="Palatino Linotype" w:eastAsia="MS Mincho" w:hAnsi="Palatino Linotype"/>
          <w:sz w:val="22"/>
          <w:szCs w:val="22"/>
          <w:lang w:val="es-EC"/>
        </w:rPr>
      </w:pPr>
    </w:p>
    <w:p w:rsidR="00496DF0" w:rsidRDefault="00496DF0" w:rsidP="00496DF0">
      <w:pPr>
        <w:pStyle w:val="Textosinformato"/>
        <w:jc w:val="both"/>
        <w:rPr>
          <w:rFonts w:ascii="Palatino Linotype" w:eastAsia="MS Mincho" w:hAnsi="Palatino Linotype"/>
          <w:sz w:val="22"/>
          <w:szCs w:val="22"/>
          <w:lang w:val="es-EC"/>
        </w:rPr>
      </w:pPr>
    </w:p>
    <w:p w:rsidR="004D71E9" w:rsidRPr="00D52752" w:rsidRDefault="004D71E9" w:rsidP="00496DF0">
      <w:pPr>
        <w:pStyle w:val="Textosinformato"/>
        <w:jc w:val="both"/>
        <w:rPr>
          <w:rFonts w:ascii="Palatino Linotype" w:eastAsia="MS Mincho" w:hAnsi="Palatino Linotype"/>
          <w:sz w:val="22"/>
          <w:szCs w:val="22"/>
          <w:lang w:val="es-EC"/>
        </w:rPr>
      </w:pPr>
    </w:p>
    <w:p w:rsidR="00496DF0" w:rsidRPr="00D52752" w:rsidRDefault="00496DF0" w:rsidP="00496DF0">
      <w:pPr>
        <w:pStyle w:val="Textosinformato"/>
        <w:jc w:val="both"/>
        <w:rPr>
          <w:rFonts w:ascii="Palatino Linotype" w:eastAsia="MS Mincho" w:hAnsi="Palatino Linotype"/>
          <w:sz w:val="22"/>
          <w:szCs w:val="22"/>
          <w:lang w:val="es-EC"/>
        </w:rPr>
      </w:pPr>
    </w:p>
    <w:p w:rsidR="00496DF0" w:rsidRPr="00D52752" w:rsidRDefault="00496DF0" w:rsidP="00496DF0">
      <w:pPr>
        <w:pStyle w:val="Textosinformato"/>
        <w:jc w:val="center"/>
        <w:rPr>
          <w:rFonts w:ascii="Palatino Linotype" w:eastAsia="MS Mincho" w:hAnsi="Palatino Linotype"/>
          <w:sz w:val="22"/>
          <w:szCs w:val="22"/>
          <w:lang w:val="es-EC"/>
        </w:rPr>
      </w:pPr>
      <w:r w:rsidRPr="00D52752">
        <w:rPr>
          <w:rFonts w:ascii="Palatino Linotype" w:eastAsia="MS Mincho" w:hAnsi="Palatino Linotype"/>
          <w:sz w:val="22"/>
          <w:szCs w:val="22"/>
          <w:lang w:val="es-EC"/>
        </w:rPr>
        <w:t xml:space="preserve">Abg. María Elisa Holmes </w:t>
      </w:r>
      <w:proofErr w:type="spellStart"/>
      <w:r w:rsidRPr="00D52752">
        <w:rPr>
          <w:rFonts w:ascii="Palatino Linotype" w:eastAsia="MS Mincho" w:hAnsi="Palatino Linotype"/>
          <w:sz w:val="22"/>
          <w:szCs w:val="22"/>
          <w:lang w:val="es-EC"/>
        </w:rPr>
        <w:t>Roldós</w:t>
      </w:r>
      <w:proofErr w:type="spellEnd"/>
    </w:p>
    <w:p w:rsidR="00496DF0" w:rsidRPr="00D52752" w:rsidRDefault="00496DF0" w:rsidP="00496DF0">
      <w:pPr>
        <w:pStyle w:val="Textosinformato"/>
        <w:jc w:val="center"/>
        <w:rPr>
          <w:rFonts w:ascii="Palatino Linotype" w:eastAsia="MS Mincho" w:hAnsi="Palatino Linotype"/>
          <w:b/>
          <w:bCs/>
          <w:sz w:val="22"/>
          <w:szCs w:val="22"/>
          <w:lang w:val="es-EC"/>
        </w:rPr>
      </w:pPr>
      <w:r w:rsidRPr="00D52752">
        <w:rPr>
          <w:rFonts w:ascii="Palatino Linotype" w:eastAsia="MS Mincho" w:hAnsi="Palatino Linotype"/>
          <w:b/>
          <w:bCs/>
          <w:sz w:val="22"/>
          <w:szCs w:val="22"/>
          <w:lang w:val="es-EC"/>
        </w:rPr>
        <w:t>SECRETARIA GENERAL DEL CONCEJO METROPOLITANO DE QUITO</w:t>
      </w:r>
    </w:p>
    <w:p w:rsidR="00496DF0" w:rsidRDefault="00496DF0" w:rsidP="00496DF0">
      <w:pPr>
        <w:pStyle w:val="Textosinformato"/>
        <w:jc w:val="center"/>
        <w:rPr>
          <w:rFonts w:ascii="Palatino Linotype" w:eastAsia="MS Mincho" w:hAnsi="Palatino Linotype"/>
          <w:b/>
          <w:bCs/>
          <w:sz w:val="22"/>
          <w:szCs w:val="22"/>
          <w:lang w:val="es-EC"/>
        </w:rPr>
      </w:pPr>
    </w:p>
    <w:p w:rsidR="007C5A0F" w:rsidRDefault="007C5A0F" w:rsidP="00496DF0">
      <w:pPr>
        <w:pStyle w:val="Textosinformato"/>
        <w:jc w:val="center"/>
        <w:rPr>
          <w:rFonts w:ascii="Palatino Linotype" w:eastAsia="MS Mincho" w:hAnsi="Palatino Linotype"/>
          <w:b/>
          <w:bCs/>
          <w:sz w:val="22"/>
          <w:szCs w:val="22"/>
          <w:lang w:val="es-EC"/>
        </w:rPr>
      </w:pPr>
    </w:p>
    <w:p w:rsidR="00496DF0" w:rsidRPr="00D52752" w:rsidRDefault="00496DF0" w:rsidP="00496DF0">
      <w:pPr>
        <w:pStyle w:val="Textosinformato"/>
        <w:jc w:val="center"/>
        <w:rPr>
          <w:rFonts w:ascii="Palatino Linotype" w:eastAsia="MS Mincho" w:hAnsi="Palatino Linotype"/>
          <w:sz w:val="22"/>
          <w:szCs w:val="22"/>
          <w:lang w:val="es-EC"/>
        </w:rPr>
      </w:pPr>
      <w:r w:rsidRPr="00D52752">
        <w:rPr>
          <w:rFonts w:ascii="Palatino Linotype" w:eastAsia="MS Mincho" w:hAnsi="Palatino Linotype"/>
          <w:b/>
          <w:bCs/>
          <w:sz w:val="22"/>
          <w:szCs w:val="22"/>
          <w:lang w:val="es-EC"/>
        </w:rPr>
        <w:t>ALCALDÍA DEL DISTRITO METROPOLITANO.-</w:t>
      </w:r>
      <w:r w:rsidRPr="00D52752">
        <w:rPr>
          <w:rFonts w:ascii="Palatino Linotype" w:eastAsia="MS Mincho" w:hAnsi="Palatino Linotype"/>
          <w:sz w:val="22"/>
          <w:szCs w:val="22"/>
          <w:lang w:val="es-EC"/>
        </w:rPr>
        <w:t xml:space="preserve">  Distrito Metropolitano de Quito,</w:t>
      </w:r>
    </w:p>
    <w:p w:rsidR="00496DF0" w:rsidRPr="00D52752" w:rsidRDefault="00496DF0" w:rsidP="00496DF0">
      <w:pPr>
        <w:pStyle w:val="Textosinformato"/>
        <w:jc w:val="center"/>
        <w:rPr>
          <w:rFonts w:ascii="Palatino Linotype" w:eastAsia="MS Mincho" w:hAnsi="Palatino Linotype"/>
          <w:b/>
          <w:sz w:val="22"/>
          <w:szCs w:val="22"/>
          <w:lang w:val="es-EC"/>
        </w:rPr>
      </w:pPr>
    </w:p>
    <w:p w:rsidR="00496DF0" w:rsidRPr="00D52752" w:rsidRDefault="00496DF0" w:rsidP="00496DF0">
      <w:pPr>
        <w:pStyle w:val="Textosinformato"/>
        <w:jc w:val="center"/>
        <w:rPr>
          <w:rFonts w:ascii="Palatino Linotype" w:eastAsia="MS Mincho" w:hAnsi="Palatino Linotype"/>
          <w:b/>
          <w:sz w:val="22"/>
          <w:szCs w:val="22"/>
          <w:lang w:val="es-EC"/>
        </w:rPr>
      </w:pPr>
      <w:r w:rsidRPr="00D52752">
        <w:rPr>
          <w:rFonts w:ascii="Palatino Linotype" w:eastAsia="MS Mincho" w:hAnsi="Palatino Linotype"/>
          <w:b/>
          <w:sz w:val="22"/>
          <w:szCs w:val="22"/>
          <w:lang w:val="es-EC"/>
        </w:rPr>
        <w:t>EJECÚTESE:</w:t>
      </w:r>
    </w:p>
    <w:p w:rsidR="00496DF0" w:rsidRPr="00D52752" w:rsidRDefault="00496DF0" w:rsidP="00496DF0">
      <w:pPr>
        <w:pStyle w:val="Textosinformato"/>
        <w:jc w:val="center"/>
        <w:rPr>
          <w:rFonts w:ascii="Palatino Linotype" w:eastAsia="MS Mincho" w:hAnsi="Palatino Linotype"/>
          <w:sz w:val="22"/>
          <w:szCs w:val="22"/>
          <w:lang w:val="es-EC"/>
        </w:rPr>
      </w:pPr>
    </w:p>
    <w:p w:rsidR="00496DF0" w:rsidRPr="00D52752" w:rsidRDefault="00496DF0" w:rsidP="00496DF0">
      <w:pPr>
        <w:pStyle w:val="Textosinformato"/>
        <w:jc w:val="center"/>
        <w:rPr>
          <w:rFonts w:ascii="Palatino Linotype" w:eastAsia="MS Mincho" w:hAnsi="Palatino Linotype"/>
          <w:sz w:val="22"/>
          <w:szCs w:val="22"/>
          <w:lang w:val="es-EC"/>
        </w:rPr>
      </w:pPr>
    </w:p>
    <w:p w:rsidR="00496DF0" w:rsidRDefault="00496DF0" w:rsidP="00496DF0">
      <w:pPr>
        <w:pStyle w:val="Textosinformato"/>
        <w:jc w:val="center"/>
        <w:rPr>
          <w:rFonts w:ascii="Palatino Linotype" w:eastAsia="MS Mincho" w:hAnsi="Palatino Linotype"/>
          <w:sz w:val="22"/>
          <w:szCs w:val="22"/>
          <w:lang w:val="es-EC"/>
        </w:rPr>
      </w:pPr>
    </w:p>
    <w:p w:rsidR="00496DF0" w:rsidRPr="00D52752" w:rsidRDefault="00496DF0" w:rsidP="00496DF0">
      <w:pPr>
        <w:pStyle w:val="Textosinformato"/>
        <w:jc w:val="center"/>
        <w:rPr>
          <w:rFonts w:ascii="Palatino Linotype" w:eastAsia="MS Mincho" w:hAnsi="Palatino Linotype"/>
          <w:sz w:val="22"/>
          <w:szCs w:val="22"/>
          <w:lang w:val="es-EC"/>
        </w:rPr>
      </w:pPr>
    </w:p>
    <w:p w:rsidR="00496DF0" w:rsidRPr="00D52752" w:rsidRDefault="00496DF0" w:rsidP="00496DF0">
      <w:pPr>
        <w:pStyle w:val="Textosinformato"/>
        <w:jc w:val="center"/>
        <w:rPr>
          <w:rFonts w:ascii="Palatino Linotype" w:eastAsia="MS Mincho" w:hAnsi="Palatino Linotype"/>
          <w:sz w:val="22"/>
          <w:szCs w:val="22"/>
          <w:lang w:val="es-EC"/>
        </w:rPr>
      </w:pPr>
      <w:r w:rsidRPr="00D52752">
        <w:rPr>
          <w:rFonts w:ascii="Palatino Linotype" w:eastAsia="MS Mincho" w:hAnsi="Palatino Linotype"/>
          <w:sz w:val="22"/>
          <w:szCs w:val="22"/>
          <w:lang w:val="es-EC"/>
        </w:rPr>
        <w:t>Dr. Mauricio Rodas Espinel</w:t>
      </w:r>
    </w:p>
    <w:p w:rsidR="00496DF0" w:rsidRPr="00D52752" w:rsidRDefault="00496DF0" w:rsidP="00496DF0">
      <w:pPr>
        <w:pStyle w:val="Textosinformato"/>
        <w:jc w:val="center"/>
        <w:rPr>
          <w:rFonts w:ascii="Palatino Linotype" w:eastAsia="MS Mincho" w:hAnsi="Palatino Linotype"/>
          <w:b/>
          <w:bCs/>
          <w:sz w:val="22"/>
          <w:szCs w:val="22"/>
          <w:lang w:val="es-EC"/>
        </w:rPr>
      </w:pPr>
      <w:r w:rsidRPr="00D52752">
        <w:rPr>
          <w:rFonts w:ascii="Palatino Linotype" w:eastAsia="MS Mincho" w:hAnsi="Palatino Linotype"/>
          <w:b/>
          <w:bCs/>
          <w:sz w:val="22"/>
          <w:szCs w:val="22"/>
          <w:lang w:val="es-EC"/>
        </w:rPr>
        <w:t>ALCALDE DEL DISTRITO METROPOLITANO DE QUITO</w:t>
      </w:r>
    </w:p>
    <w:p w:rsidR="00496DF0" w:rsidRPr="00D52752" w:rsidRDefault="00496DF0" w:rsidP="00496DF0">
      <w:pPr>
        <w:pStyle w:val="Textosinformato"/>
        <w:jc w:val="both"/>
        <w:rPr>
          <w:rFonts w:ascii="Palatino Linotype" w:eastAsia="MS Mincho" w:hAnsi="Palatino Linotype"/>
          <w:b/>
          <w:bCs/>
          <w:sz w:val="22"/>
          <w:szCs w:val="22"/>
          <w:lang w:val="es-EC"/>
        </w:rPr>
      </w:pPr>
    </w:p>
    <w:p w:rsidR="00496DF0" w:rsidRPr="00D52752" w:rsidRDefault="00496DF0" w:rsidP="00496DF0">
      <w:pPr>
        <w:pStyle w:val="Textosinformato"/>
        <w:jc w:val="both"/>
        <w:rPr>
          <w:rFonts w:ascii="Palatino Linotype" w:eastAsia="MS Mincho" w:hAnsi="Palatino Linotype"/>
          <w:sz w:val="22"/>
          <w:szCs w:val="22"/>
          <w:lang w:val="es-EC"/>
        </w:rPr>
      </w:pPr>
      <w:r w:rsidRPr="00D52752">
        <w:rPr>
          <w:rFonts w:ascii="Palatino Linotype" w:eastAsia="MS Mincho" w:hAnsi="Palatino Linotype"/>
          <w:b/>
          <w:bCs/>
          <w:sz w:val="22"/>
          <w:szCs w:val="22"/>
          <w:lang w:val="es-EC"/>
        </w:rPr>
        <w:t>CERTIFICO,</w:t>
      </w:r>
      <w:r w:rsidRPr="00D52752">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496DF0" w:rsidRPr="00D52752" w:rsidRDefault="00496DF0" w:rsidP="00496DF0">
      <w:pPr>
        <w:pStyle w:val="Textosinformato"/>
        <w:tabs>
          <w:tab w:val="right" w:pos="8504"/>
        </w:tabs>
        <w:jc w:val="both"/>
        <w:rPr>
          <w:rFonts w:ascii="Palatino Linotype" w:eastAsia="MS Mincho" w:hAnsi="Palatino Linotype"/>
          <w:sz w:val="22"/>
          <w:szCs w:val="22"/>
          <w:lang w:val="es-EC"/>
        </w:rPr>
      </w:pPr>
      <w:r w:rsidRPr="00D52752">
        <w:rPr>
          <w:rFonts w:ascii="Palatino Linotype" w:eastAsia="MS Mincho" w:hAnsi="Palatino Linotype"/>
          <w:sz w:val="22"/>
          <w:szCs w:val="22"/>
          <w:lang w:val="es-EC"/>
        </w:rPr>
        <w:t>.- Distrito Metropolitano de Quito,</w:t>
      </w:r>
    </w:p>
    <w:p w:rsidR="00496DF0" w:rsidRPr="00D52752" w:rsidRDefault="00496DF0" w:rsidP="00496DF0">
      <w:pPr>
        <w:pStyle w:val="Textosinformato"/>
        <w:jc w:val="center"/>
        <w:rPr>
          <w:rFonts w:ascii="Palatino Linotype" w:eastAsia="MS Mincho" w:hAnsi="Palatino Linotype"/>
          <w:sz w:val="22"/>
          <w:szCs w:val="22"/>
          <w:lang w:val="es-EC"/>
        </w:rPr>
      </w:pPr>
    </w:p>
    <w:p w:rsidR="00496DF0" w:rsidRPr="00D52752" w:rsidRDefault="00496DF0" w:rsidP="00496DF0">
      <w:pPr>
        <w:pStyle w:val="Textosinformato"/>
        <w:jc w:val="center"/>
        <w:rPr>
          <w:rFonts w:ascii="Palatino Linotype" w:eastAsia="MS Mincho" w:hAnsi="Palatino Linotype"/>
          <w:sz w:val="22"/>
          <w:szCs w:val="22"/>
          <w:lang w:val="es-EC"/>
        </w:rPr>
      </w:pPr>
    </w:p>
    <w:p w:rsidR="00496DF0" w:rsidRPr="00D52752" w:rsidRDefault="00496DF0" w:rsidP="00496DF0">
      <w:pPr>
        <w:pStyle w:val="Textosinformato"/>
        <w:jc w:val="center"/>
        <w:rPr>
          <w:rFonts w:ascii="Palatino Linotype" w:eastAsia="MS Mincho" w:hAnsi="Palatino Linotype"/>
          <w:sz w:val="22"/>
          <w:szCs w:val="22"/>
          <w:lang w:val="es-EC"/>
        </w:rPr>
      </w:pPr>
    </w:p>
    <w:p w:rsidR="00496DF0" w:rsidRPr="00D52752" w:rsidRDefault="00496DF0" w:rsidP="00496DF0">
      <w:pPr>
        <w:pStyle w:val="Textosinformato"/>
        <w:jc w:val="center"/>
        <w:rPr>
          <w:rFonts w:ascii="Palatino Linotype" w:eastAsia="MS Mincho" w:hAnsi="Palatino Linotype"/>
          <w:sz w:val="22"/>
          <w:szCs w:val="22"/>
          <w:lang w:val="es-EC"/>
        </w:rPr>
      </w:pPr>
    </w:p>
    <w:p w:rsidR="00496DF0" w:rsidRPr="00D52752" w:rsidRDefault="00496DF0" w:rsidP="00496DF0">
      <w:pPr>
        <w:pStyle w:val="Textosinformato"/>
        <w:jc w:val="center"/>
        <w:rPr>
          <w:rFonts w:ascii="Palatino Linotype" w:eastAsia="MS Mincho" w:hAnsi="Palatino Linotype"/>
          <w:sz w:val="22"/>
          <w:szCs w:val="22"/>
          <w:lang w:val="es-EC"/>
        </w:rPr>
      </w:pPr>
      <w:r w:rsidRPr="00D52752">
        <w:rPr>
          <w:rFonts w:ascii="Palatino Linotype" w:eastAsia="MS Mincho" w:hAnsi="Palatino Linotype"/>
          <w:sz w:val="22"/>
          <w:szCs w:val="22"/>
          <w:lang w:val="es-EC"/>
        </w:rPr>
        <w:t xml:space="preserve">Abg. María Elisa Holmes </w:t>
      </w:r>
      <w:proofErr w:type="spellStart"/>
      <w:r w:rsidRPr="00D52752">
        <w:rPr>
          <w:rFonts w:ascii="Palatino Linotype" w:eastAsia="MS Mincho" w:hAnsi="Palatino Linotype"/>
          <w:sz w:val="22"/>
          <w:szCs w:val="22"/>
          <w:lang w:val="es-EC"/>
        </w:rPr>
        <w:t>Roldós</w:t>
      </w:r>
      <w:proofErr w:type="spellEnd"/>
    </w:p>
    <w:p w:rsidR="00496DF0" w:rsidRPr="00D52752" w:rsidRDefault="00496DF0" w:rsidP="00496DF0">
      <w:pPr>
        <w:pStyle w:val="Textosinformato"/>
        <w:jc w:val="center"/>
        <w:rPr>
          <w:rFonts w:ascii="Palatino Linotype" w:eastAsia="MS Mincho" w:hAnsi="Palatino Linotype"/>
          <w:b/>
          <w:bCs/>
          <w:sz w:val="22"/>
          <w:szCs w:val="22"/>
          <w:lang w:val="es-EC"/>
        </w:rPr>
      </w:pPr>
      <w:r w:rsidRPr="00D52752">
        <w:rPr>
          <w:rFonts w:ascii="Palatino Linotype" w:eastAsia="MS Mincho" w:hAnsi="Palatino Linotype"/>
          <w:b/>
          <w:bCs/>
          <w:sz w:val="22"/>
          <w:szCs w:val="22"/>
          <w:lang w:val="es-EC"/>
        </w:rPr>
        <w:t>SECRETARIA GENERAL DEL CONCEJO METROPOLITANO DE QUITO</w:t>
      </w:r>
    </w:p>
    <w:p w:rsidR="00496DF0" w:rsidRPr="00155CEE" w:rsidRDefault="00496DF0" w:rsidP="00496DF0">
      <w:pPr>
        <w:spacing w:after="240"/>
        <w:jc w:val="both"/>
        <w:rPr>
          <w:rFonts w:ascii="Palatino Linotype" w:hAnsi="Palatino Linotype"/>
          <w:sz w:val="14"/>
          <w:szCs w:val="14"/>
        </w:rPr>
      </w:pPr>
      <w:r w:rsidRPr="00D52752">
        <w:rPr>
          <w:rFonts w:ascii="Palatino Linotype" w:hAnsi="Palatino Linotype"/>
          <w:sz w:val="14"/>
          <w:szCs w:val="14"/>
        </w:rPr>
        <w:t>DSCS</w:t>
      </w:r>
    </w:p>
    <w:p w:rsidR="00496DF0" w:rsidRPr="00567DE8" w:rsidRDefault="00496DF0" w:rsidP="00567DE8">
      <w:pPr>
        <w:pStyle w:val="Sinespaciado"/>
        <w:spacing w:after="240" w:line="276" w:lineRule="auto"/>
        <w:jc w:val="both"/>
        <w:rPr>
          <w:rFonts w:ascii="Palatino Linotype" w:hAnsi="Palatino Linotype" w:cs="Aharoni"/>
        </w:rPr>
      </w:pPr>
      <w:bookmarkStart w:id="0" w:name="_GoBack"/>
      <w:bookmarkEnd w:id="0"/>
    </w:p>
    <w:sectPr w:rsidR="00496DF0" w:rsidRPr="00567DE8" w:rsidSect="00840A0C">
      <w:headerReference w:type="default" r:id="rId11"/>
      <w:footerReference w:type="default" r:id="rId12"/>
      <w:pgSz w:w="11906" w:h="16838"/>
      <w:pgMar w:top="1560" w:right="849" w:bottom="1418" w:left="127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2DF" w:rsidRDefault="00F642DF" w:rsidP="00F13173">
      <w:r>
        <w:separator/>
      </w:r>
    </w:p>
  </w:endnote>
  <w:endnote w:type="continuationSeparator" w:id="0">
    <w:p w:rsidR="00F642DF" w:rsidRDefault="00F642DF" w:rsidP="00F1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A6" w:rsidRDefault="00022B8A" w:rsidP="004B1AA6">
    <w:pPr>
      <w:pStyle w:val="Piedepgina"/>
      <w:framePr w:wrap="around" w:vAnchor="text" w:hAnchor="margin" w:xAlign="center" w:y="1"/>
      <w:rPr>
        <w:rStyle w:val="Nmerodepgina"/>
      </w:rPr>
    </w:pPr>
    <w:r>
      <w:rPr>
        <w:rStyle w:val="Nmerodepgina"/>
      </w:rPr>
      <w:fldChar w:fldCharType="begin"/>
    </w:r>
    <w:r w:rsidR="00687222">
      <w:rPr>
        <w:rStyle w:val="Nmerodepgina"/>
      </w:rPr>
      <w:instrText xml:space="preserve">PAGE  </w:instrText>
    </w:r>
    <w:r>
      <w:rPr>
        <w:rStyle w:val="Nmerodepgina"/>
      </w:rPr>
      <w:fldChar w:fldCharType="end"/>
    </w:r>
  </w:p>
  <w:p w:rsidR="004B1AA6" w:rsidRDefault="00F642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A6" w:rsidRDefault="00F642DF">
    <w:pPr>
      <w:pStyle w:val="Piedepgina"/>
      <w:jc w:val="right"/>
    </w:pPr>
  </w:p>
  <w:p w:rsidR="004B1AA6" w:rsidRDefault="00F642D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986493"/>
      <w:docPartObj>
        <w:docPartGallery w:val="Page Numbers (Bottom of Page)"/>
        <w:docPartUnique/>
      </w:docPartObj>
    </w:sdtPr>
    <w:sdtEndPr>
      <w:rPr>
        <w:rFonts w:ascii="Palatino Linotype" w:hAnsi="Palatino Linotype"/>
        <w:sz w:val="22"/>
        <w:szCs w:val="22"/>
      </w:rPr>
    </w:sdtEndPr>
    <w:sdtContent>
      <w:sdt>
        <w:sdtPr>
          <w:id w:val="860082579"/>
          <w:docPartObj>
            <w:docPartGallery w:val="Page Numbers (Top of Page)"/>
            <w:docPartUnique/>
          </w:docPartObj>
        </w:sdtPr>
        <w:sdtEndPr>
          <w:rPr>
            <w:rFonts w:ascii="Palatino Linotype" w:hAnsi="Palatino Linotype"/>
            <w:sz w:val="22"/>
            <w:szCs w:val="22"/>
          </w:rPr>
        </w:sdtEndPr>
        <w:sdtContent>
          <w:p w:rsidR="00496DF0" w:rsidRPr="00496DF0" w:rsidRDefault="00496DF0">
            <w:pPr>
              <w:pStyle w:val="Piedepgina"/>
              <w:jc w:val="right"/>
              <w:rPr>
                <w:rFonts w:ascii="Palatino Linotype" w:hAnsi="Palatino Linotype"/>
                <w:sz w:val="22"/>
                <w:szCs w:val="22"/>
              </w:rPr>
            </w:pPr>
            <w:r w:rsidRPr="00496DF0">
              <w:rPr>
                <w:rFonts w:ascii="Palatino Linotype" w:hAnsi="Palatino Linotype"/>
                <w:sz w:val="22"/>
                <w:szCs w:val="22"/>
              </w:rPr>
              <w:t xml:space="preserve">Página </w:t>
            </w:r>
            <w:r w:rsidRPr="00496DF0">
              <w:rPr>
                <w:rFonts w:ascii="Palatino Linotype" w:hAnsi="Palatino Linotype"/>
                <w:b/>
                <w:bCs/>
                <w:sz w:val="22"/>
                <w:szCs w:val="22"/>
              </w:rPr>
              <w:fldChar w:fldCharType="begin"/>
            </w:r>
            <w:r w:rsidRPr="00496DF0">
              <w:rPr>
                <w:rFonts w:ascii="Palatino Linotype" w:hAnsi="Palatino Linotype"/>
                <w:b/>
                <w:bCs/>
                <w:sz w:val="22"/>
                <w:szCs w:val="22"/>
              </w:rPr>
              <w:instrText>PAGE</w:instrText>
            </w:r>
            <w:r w:rsidRPr="00496DF0">
              <w:rPr>
                <w:rFonts w:ascii="Palatino Linotype" w:hAnsi="Palatino Linotype"/>
                <w:b/>
                <w:bCs/>
                <w:sz w:val="22"/>
                <w:szCs w:val="22"/>
              </w:rPr>
              <w:fldChar w:fldCharType="separate"/>
            </w:r>
            <w:r w:rsidR="00840A0C">
              <w:rPr>
                <w:rFonts w:ascii="Palatino Linotype" w:hAnsi="Palatino Linotype"/>
                <w:b/>
                <w:bCs/>
                <w:noProof/>
                <w:sz w:val="22"/>
                <w:szCs w:val="22"/>
              </w:rPr>
              <w:t>6</w:t>
            </w:r>
            <w:r w:rsidRPr="00496DF0">
              <w:rPr>
                <w:rFonts w:ascii="Palatino Linotype" w:hAnsi="Palatino Linotype"/>
                <w:b/>
                <w:bCs/>
                <w:sz w:val="22"/>
                <w:szCs w:val="22"/>
              </w:rPr>
              <w:fldChar w:fldCharType="end"/>
            </w:r>
            <w:r w:rsidRPr="00496DF0">
              <w:rPr>
                <w:rFonts w:ascii="Palatino Linotype" w:hAnsi="Palatino Linotype"/>
                <w:sz w:val="22"/>
                <w:szCs w:val="22"/>
              </w:rPr>
              <w:t xml:space="preserve"> de </w:t>
            </w:r>
            <w:r>
              <w:rPr>
                <w:rFonts w:ascii="Palatino Linotype" w:hAnsi="Palatino Linotype"/>
                <w:b/>
                <w:bCs/>
                <w:sz w:val="22"/>
                <w:szCs w:val="22"/>
              </w:rPr>
              <w:t>6</w:t>
            </w:r>
          </w:p>
        </w:sdtContent>
      </w:sdt>
    </w:sdtContent>
  </w:sdt>
  <w:p w:rsidR="00567DE8" w:rsidRDefault="00567D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2DF" w:rsidRDefault="00F642DF" w:rsidP="00F13173">
      <w:r>
        <w:separator/>
      </w:r>
    </w:p>
  </w:footnote>
  <w:footnote w:type="continuationSeparator" w:id="0">
    <w:p w:rsidR="00F642DF" w:rsidRDefault="00F642DF" w:rsidP="00F13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DE8" w:rsidRDefault="00567DE8">
    <w:pPr>
      <w:pStyle w:val="Encabezado"/>
      <w:rPr>
        <w:lang w:val="es-EC"/>
      </w:rPr>
    </w:pPr>
  </w:p>
  <w:p w:rsidR="00567DE8" w:rsidRDefault="00567DE8">
    <w:pPr>
      <w:pStyle w:val="Encabezado"/>
      <w:rPr>
        <w:lang w:val="es-EC"/>
      </w:rPr>
    </w:pPr>
  </w:p>
  <w:p w:rsidR="00567DE8" w:rsidRDefault="00567DE8">
    <w:pPr>
      <w:pStyle w:val="Encabezado"/>
      <w:rPr>
        <w:lang w:val="es-EC"/>
      </w:rPr>
    </w:pPr>
  </w:p>
  <w:p w:rsidR="00840A0C" w:rsidRDefault="00840A0C" w:rsidP="00567DE8">
    <w:pPr>
      <w:pStyle w:val="Encabezado"/>
      <w:tabs>
        <w:tab w:val="clear" w:pos="4419"/>
        <w:tab w:val="clear" w:pos="8838"/>
        <w:tab w:val="left" w:pos="7800"/>
      </w:tabs>
      <w:rPr>
        <w:lang w:val="es-EC"/>
      </w:rPr>
    </w:pPr>
  </w:p>
  <w:p w:rsidR="00567DE8" w:rsidRDefault="00567DE8" w:rsidP="00567DE8">
    <w:pPr>
      <w:pStyle w:val="Encabezado"/>
      <w:tabs>
        <w:tab w:val="clear" w:pos="4419"/>
        <w:tab w:val="clear" w:pos="8838"/>
        <w:tab w:val="left" w:pos="7800"/>
      </w:tabs>
      <w:rPr>
        <w:lang w:val="es-EC"/>
      </w:rPr>
    </w:pPr>
    <w:r>
      <w:rPr>
        <w:lang w:val="es-EC"/>
      </w:rPr>
      <w:tab/>
    </w:r>
  </w:p>
  <w:p w:rsidR="00567DE8" w:rsidRDefault="00567DE8">
    <w:pPr>
      <w:pStyle w:val="Encabezado"/>
      <w:rPr>
        <w:lang w:val="es-EC"/>
      </w:rPr>
    </w:pPr>
  </w:p>
  <w:p w:rsidR="00567DE8" w:rsidRPr="00567DE8" w:rsidRDefault="00567DE8" w:rsidP="00567DE8">
    <w:pPr>
      <w:pStyle w:val="Sinespaciado"/>
      <w:spacing w:after="240" w:line="276" w:lineRule="auto"/>
      <w:jc w:val="center"/>
    </w:pPr>
    <w:r>
      <w:rPr>
        <w:rFonts w:ascii="Palatino Linotype" w:hAnsi="Palatino Linotype" w:cs="Aharoni"/>
        <w:b/>
      </w:rPr>
      <w:t>ORDENANZA METROPOLITANA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DE8" w:rsidRDefault="00567DE8">
    <w:pPr>
      <w:pStyle w:val="Encabezado"/>
      <w:rPr>
        <w:lang w:val="es-EC"/>
      </w:rPr>
    </w:pPr>
  </w:p>
  <w:p w:rsidR="00567DE8" w:rsidRDefault="00567DE8">
    <w:pPr>
      <w:pStyle w:val="Encabezado"/>
      <w:rPr>
        <w:lang w:val="es-EC"/>
      </w:rPr>
    </w:pPr>
  </w:p>
  <w:p w:rsidR="00840A0C" w:rsidRDefault="00840A0C">
    <w:pPr>
      <w:pStyle w:val="Encabezado"/>
      <w:rPr>
        <w:lang w:val="es-EC"/>
      </w:rPr>
    </w:pPr>
  </w:p>
  <w:p w:rsidR="00567DE8" w:rsidRDefault="00567DE8">
    <w:pPr>
      <w:pStyle w:val="Encabezado"/>
      <w:rPr>
        <w:lang w:val="es-EC"/>
      </w:rPr>
    </w:pPr>
  </w:p>
  <w:p w:rsidR="00567DE8" w:rsidRDefault="00567DE8" w:rsidP="00567DE8">
    <w:pPr>
      <w:pStyle w:val="Encabezado"/>
      <w:tabs>
        <w:tab w:val="clear" w:pos="4419"/>
        <w:tab w:val="clear" w:pos="8838"/>
        <w:tab w:val="left" w:pos="7800"/>
      </w:tabs>
      <w:rPr>
        <w:lang w:val="es-EC"/>
      </w:rPr>
    </w:pPr>
    <w:r>
      <w:rPr>
        <w:lang w:val="es-EC"/>
      </w:rPr>
      <w:tab/>
    </w:r>
  </w:p>
  <w:p w:rsidR="00567DE8" w:rsidRDefault="00567DE8">
    <w:pPr>
      <w:pStyle w:val="Encabezado"/>
      <w:rPr>
        <w:lang w:val="es-EC"/>
      </w:rPr>
    </w:pPr>
  </w:p>
  <w:p w:rsidR="00567DE8" w:rsidRPr="00567DE8" w:rsidRDefault="00567DE8" w:rsidP="00567DE8">
    <w:pPr>
      <w:pStyle w:val="Sinespaciado"/>
      <w:spacing w:after="240" w:line="276" w:lineRule="auto"/>
      <w:jc w:val="center"/>
    </w:pPr>
    <w:r>
      <w:rPr>
        <w:rFonts w:ascii="Palatino Linotype" w:hAnsi="Palatino Linotype" w:cs="Aharoni"/>
        <w:b/>
      </w:rPr>
      <w:t>ORDENANZA METROPOLITANA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15360"/>
    <w:multiLevelType w:val="hybridMultilevel"/>
    <w:tmpl w:val="DB7E074E"/>
    <w:lvl w:ilvl="0" w:tplc="570003AA">
      <w:start w:val="1"/>
      <w:numFmt w:val="decimal"/>
      <w:lvlText w:val="%1."/>
      <w:lvlJc w:val="left"/>
      <w:pPr>
        <w:ind w:left="906" w:hanging="360"/>
      </w:pPr>
      <w:rPr>
        <w:rFonts w:hint="default"/>
      </w:rPr>
    </w:lvl>
    <w:lvl w:ilvl="1" w:tplc="300A0019" w:tentative="1">
      <w:start w:val="1"/>
      <w:numFmt w:val="lowerLetter"/>
      <w:lvlText w:val="%2."/>
      <w:lvlJc w:val="left"/>
      <w:pPr>
        <w:ind w:left="1626" w:hanging="360"/>
      </w:pPr>
    </w:lvl>
    <w:lvl w:ilvl="2" w:tplc="300A001B" w:tentative="1">
      <w:start w:val="1"/>
      <w:numFmt w:val="lowerRoman"/>
      <w:lvlText w:val="%3."/>
      <w:lvlJc w:val="right"/>
      <w:pPr>
        <w:ind w:left="2346" w:hanging="180"/>
      </w:pPr>
    </w:lvl>
    <w:lvl w:ilvl="3" w:tplc="300A000F" w:tentative="1">
      <w:start w:val="1"/>
      <w:numFmt w:val="decimal"/>
      <w:lvlText w:val="%4."/>
      <w:lvlJc w:val="left"/>
      <w:pPr>
        <w:ind w:left="3066" w:hanging="360"/>
      </w:pPr>
    </w:lvl>
    <w:lvl w:ilvl="4" w:tplc="300A0019" w:tentative="1">
      <w:start w:val="1"/>
      <w:numFmt w:val="lowerLetter"/>
      <w:lvlText w:val="%5."/>
      <w:lvlJc w:val="left"/>
      <w:pPr>
        <w:ind w:left="3786" w:hanging="360"/>
      </w:pPr>
    </w:lvl>
    <w:lvl w:ilvl="5" w:tplc="300A001B" w:tentative="1">
      <w:start w:val="1"/>
      <w:numFmt w:val="lowerRoman"/>
      <w:lvlText w:val="%6."/>
      <w:lvlJc w:val="right"/>
      <w:pPr>
        <w:ind w:left="4506" w:hanging="180"/>
      </w:pPr>
    </w:lvl>
    <w:lvl w:ilvl="6" w:tplc="300A000F" w:tentative="1">
      <w:start w:val="1"/>
      <w:numFmt w:val="decimal"/>
      <w:lvlText w:val="%7."/>
      <w:lvlJc w:val="left"/>
      <w:pPr>
        <w:ind w:left="5226" w:hanging="360"/>
      </w:pPr>
    </w:lvl>
    <w:lvl w:ilvl="7" w:tplc="300A0019" w:tentative="1">
      <w:start w:val="1"/>
      <w:numFmt w:val="lowerLetter"/>
      <w:lvlText w:val="%8."/>
      <w:lvlJc w:val="left"/>
      <w:pPr>
        <w:ind w:left="5946" w:hanging="360"/>
      </w:pPr>
    </w:lvl>
    <w:lvl w:ilvl="8" w:tplc="300A001B" w:tentative="1">
      <w:start w:val="1"/>
      <w:numFmt w:val="lowerRoman"/>
      <w:lvlText w:val="%9."/>
      <w:lvlJc w:val="right"/>
      <w:pPr>
        <w:ind w:left="666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95"/>
    <w:rsid w:val="00022B8A"/>
    <w:rsid w:val="00190A6F"/>
    <w:rsid w:val="001A25A2"/>
    <w:rsid w:val="002975E2"/>
    <w:rsid w:val="00304119"/>
    <w:rsid w:val="003A6502"/>
    <w:rsid w:val="003C5295"/>
    <w:rsid w:val="0044526D"/>
    <w:rsid w:val="00496DF0"/>
    <w:rsid w:val="004D71E9"/>
    <w:rsid w:val="00514F56"/>
    <w:rsid w:val="00552DF7"/>
    <w:rsid w:val="00555B54"/>
    <w:rsid w:val="00567DE8"/>
    <w:rsid w:val="005712C0"/>
    <w:rsid w:val="005778AD"/>
    <w:rsid w:val="00577E36"/>
    <w:rsid w:val="0064167D"/>
    <w:rsid w:val="00687222"/>
    <w:rsid w:val="00695A08"/>
    <w:rsid w:val="00720002"/>
    <w:rsid w:val="007C5A0F"/>
    <w:rsid w:val="007E14A4"/>
    <w:rsid w:val="00840A0C"/>
    <w:rsid w:val="00860A25"/>
    <w:rsid w:val="009B34B6"/>
    <w:rsid w:val="00A177CC"/>
    <w:rsid w:val="00AF638F"/>
    <w:rsid w:val="00B94B39"/>
    <w:rsid w:val="00D23719"/>
    <w:rsid w:val="00D61A51"/>
    <w:rsid w:val="00D95D99"/>
    <w:rsid w:val="00DE06C1"/>
    <w:rsid w:val="00E37A9B"/>
    <w:rsid w:val="00F13173"/>
    <w:rsid w:val="00F642DF"/>
    <w:rsid w:val="00FB592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29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C5295"/>
    <w:pPr>
      <w:tabs>
        <w:tab w:val="center" w:pos="4252"/>
        <w:tab w:val="right" w:pos="8504"/>
      </w:tabs>
    </w:pPr>
  </w:style>
  <w:style w:type="character" w:customStyle="1" w:styleId="PiedepginaCar">
    <w:name w:val="Pie de página Car"/>
    <w:basedOn w:val="Fuentedeprrafopredeter"/>
    <w:link w:val="Piedepgina"/>
    <w:uiPriority w:val="99"/>
    <w:rsid w:val="003C529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C5295"/>
  </w:style>
  <w:style w:type="paragraph" w:styleId="Prrafodelista">
    <w:name w:val="List Paragraph"/>
    <w:basedOn w:val="Normal"/>
    <w:uiPriority w:val="34"/>
    <w:qFormat/>
    <w:rsid w:val="003C5295"/>
    <w:pPr>
      <w:ind w:left="720"/>
      <w:contextualSpacing/>
    </w:pPr>
  </w:style>
  <w:style w:type="paragraph" w:styleId="Sinespaciado">
    <w:name w:val="No Spacing"/>
    <w:uiPriority w:val="1"/>
    <w:qFormat/>
    <w:rsid w:val="003C5295"/>
    <w:pPr>
      <w:spacing w:after="0" w:line="240" w:lineRule="auto"/>
    </w:pPr>
  </w:style>
  <w:style w:type="paragraph" w:styleId="Encabezado">
    <w:name w:val="header"/>
    <w:basedOn w:val="Normal"/>
    <w:link w:val="EncabezadoCar"/>
    <w:uiPriority w:val="99"/>
    <w:unhideWhenUsed/>
    <w:rsid w:val="00567DE8"/>
    <w:pPr>
      <w:tabs>
        <w:tab w:val="center" w:pos="4419"/>
        <w:tab w:val="right" w:pos="8838"/>
      </w:tabs>
    </w:pPr>
  </w:style>
  <w:style w:type="character" w:customStyle="1" w:styleId="EncabezadoCar">
    <w:name w:val="Encabezado Car"/>
    <w:basedOn w:val="Fuentedeprrafopredeter"/>
    <w:link w:val="Encabezado"/>
    <w:uiPriority w:val="99"/>
    <w:rsid w:val="00567DE8"/>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496DF0"/>
    <w:rPr>
      <w:rFonts w:ascii="Courier New" w:hAnsi="Courier New"/>
      <w:sz w:val="20"/>
      <w:szCs w:val="20"/>
    </w:rPr>
  </w:style>
  <w:style w:type="character" w:customStyle="1" w:styleId="TextosinformatoCar">
    <w:name w:val="Texto sin formato Car"/>
    <w:basedOn w:val="Fuentedeprrafopredeter"/>
    <w:link w:val="Textosinformato"/>
    <w:rsid w:val="00496DF0"/>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496DF0"/>
    <w:rPr>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29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C5295"/>
    <w:pPr>
      <w:tabs>
        <w:tab w:val="center" w:pos="4252"/>
        <w:tab w:val="right" w:pos="8504"/>
      </w:tabs>
    </w:pPr>
  </w:style>
  <w:style w:type="character" w:customStyle="1" w:styleId="PiedepginaCar">
    <w:name w:val="Pie de página Car"/>
    <w:basedOn w:val="Fuentedeprrafopredeter"/>
    <w:link w:val="Piedepgina"/>
    <w:uiPriority w:val="99"/>
    <w:rsid w:val="003C529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C5295"/>
  </w:style>
  <w:style w:type="paragraph" w:styleId="Prrafodelista">
    <w:name w:val="List Paragraph"/>
    <w:basedOn w:val="Normal"/>
    <w:uiPriority w:val="34"/>
    <w:qFormat/>
    <w:rsid w:val="003C5295"/>
    <w:pPr>
      <w:ind w:left="720"/>
      <w:contextualSpacing/>
    </w:pPr>
  </w:style>
  <w:style w:type="paragraph" w:styleId="Sinespaciado">
    <w:name w:val="No Spacing"/>
    <w:uiPriority w:val="1"/>
    <w:qFormat/>
    <w:rsid w:val="003C5295"/>
    <w:pPr>
      <w:spacing w:after="0" w:line="240" w:lineRule="auto"/>
    </w:pPr>
  </w:style>
  <w:style w:type="paragraph" w:styleId="Encabezado">
    <w:name w:val="header"/>
    <w:basedOn w:val="Normal"/>
    <w:link w:val="EncabezadoCar"/>
    <w:uiPriority w:val="99"/>
    <w:unhideWhenUsed/>
    <w:rsid w:val="00567DE8"/>
    <w:pPr>
      <w:tabs>
        <w:tab w:val="center" w:pos="4419"/>
        <w:tab w:val="right" w:pos="8838"/>
      </w:tabs>
    </w:pPr>
  </w:style>
  <w:style w:type="character" w:customStyle="1" w:styleId="EncabezadoCar">
    <w:name w:val="Encabezado Car"/>
    <w:basedOn w:val="Fuentedeprrafopredeter"/>
    <w:link w:val="Encabezado"/>
    <w:uiPriority w:val="99"/>
    <w:rsid w:val="00567DE8"/>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496DF0"/>
    <w:rPr>
      <w:rFonts w:ascii="Courier New" w:hAnsi="Courier New"/>
      <w:sz w:val="20"/>
      <w:szCs w:val="20"/>
    </w:rPr>
  </w:style>
  <w:style w:type="character" w:customStyle="1" w:styleId="TextosinformatoCar">
    <w:name w:val="Texto sin formato Car"/>
    <w:basedOn w:val="Fuentedeprrafopredeter"/>
    <w:link w:val="Textosinformato"/>
    <w:rsid w:val="00496DF0"/>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496DF0"/>
    <w:rPr>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2508</Words>
  <Characters>13798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rdelgado</dc:creator>
  <cp:lastModifiedBy>Diego Sebastian Cevallos Salgado</cp:lastModifiedBy>
  <cp:revision>11</cp:revision>
  <cp:lastPrinted>2016-01-28T19:19:00Z</cp:lastPrinted>
  <dcterms:created xsi:type="dcterms:W3CDTF">2016-01-28T17:41:00Z</dcterms:created>
  <dcterms:modified xsi:type="dcterms:W3CDTF">2016-01-28T19:21:00Z</dcterms:modified>
</cp:coreProperties>
</file>