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FB" w:rsidRPr="00133690" w:rsidRDefault="001379FB" w:rsidP="008A5ABE">
      <w:pPr>
        <w:spacing w:after="240" w:line="276" w:lineRule="auto"/>
        <w:jc w:val="center"/>
        <w:rPr>
          <w:rFonts w:ascii="Palatino Linotype" w:hAnsi="Palatino Linotype" w:cs="Arial"/>
          <w:b/>
          <w:sz w:val="22"/>
          <w:szCs w:val="22"/>
        </w:rPr>
      </w:pPr>
      <w:r w:rsidRPr="00133690">
        <w:rPr>
          <w:rFonts w:ascii="Palatino Linotype" w:hAnsi="Palatino Linotype" w:cs="Arial"/>
          <w:b/>
          <w:sz w:val="22"/>
          <w:szCs w:val="22"/>
        </w:rPr>
        <w:t>EXPOSICIÓN DE MOTIVOS</w:t>
      </w:r>
    </w:p>
    <w:p w:rsidR="00FC6C9A" w:rsidRPr="00133690" w:rsidRDefault="003C37DE" w:rsidP="00FC6C9A">
      <w:pPr>
        <w:tabs>
          <w:tab w:val="left" w:pos="426"/>
        </w:tabs>
        <w:spacing w:after="240" w:line="276" w:lineRule="auto"/>
        <w:jc w:val="both"/>
        <w:rPr>
          <w:rFonts w:ascii="Palatino Linotype" w:hAnsi="Palatino Linotype" w:cs="Arial"/>
          <w:sz w:val="22"/>
          <w:szCs w:val="22"/>
        </w:rPr>
      </w:pPr>
      <w:r>
        <w:rPr>
          <w:rFonts w:ascii="Palatino Linotype" w:hAnsi="Palatino Linotype" w:cs="Arial"/>
          <w:sz w:val="22"/>
          <w:szCs w:val="22"/>
        </w:rPr>
        <w:tab/>
      </w:r>
      <w:r w:rsidR="00FC6C9A" w:rsidRPr="00133690">
        <w:rPr>
          <w:rFonts w:ascii="Palatino Linotype" w:hAnsi="Palatino Linotype" w:cs="Arial"/>
          <w:sz w:val="22"/>
          <w:szCs w:val="22"/>
        </w:rPr>
        <w:t>Para el desarrollo del Proyecto Urbanístico Arquitectónico Especial, denominado Centro de Convenciones Metropolitano de la Ciudad de Quito, la Empresa Pública Metropolitana de Gestión de Destino Turístico – “Quito Turismo”, presenta un proyecto que tiene como eje fundamental una serie de infraestructuras y servicios ligados al funcionamiento de este equipamiento, el cual se desarrolla en el predio No. 3553162, de clave catastral No. 12004–01–002, propiedad del Municipio del Distrito Metropolitano de Quito, el cual cuenta con una superficie de 114.000,00 m</w:t>
      </w:r>
      <w:r w:rsidR="00FC6C9A" w:rsidRPr="00133690">
        <w:rPr>
          <w:rFonts w:ascii="Palatino Linotype" w:hAnsi="Palatino Linotype" w:cs="Arial"/>
          <w:sz w:val="22"/>
          <w:szCs w:val="22"/>
          <w:vertAlign w:val="superscript"/>
        </w:rPr>
        <w:t>2</w:t>
      </w:r>
      <w:r w:rsidR="00FC6C9A" w:rsidRPr="00133690">
        <w:rPr>
          <w:rFonts w:ascii="Palatino Linotype" w:hAnsi="Palatino Linotype" w:cs="Arial"/>
          <w:sz w:val="22"/>
          <w:szCs w:val="22"/>
        </w:rPr>
        <w:t xml:space="preserve"> (11.4 Ha). Este equipamiento se ubica en la parroquia La Concepción, sector Ex Aeropuerto, en la intersección de las extensiones de las avenidas Amazonas y Florida. </w:t>
      </w:r>
    </w:p>
    <w:p w:rsidR="00FC6C9A" w:rsidRPr="00133690" w:rsidRDefault="003C37DE" w:rsidP="00FC6C9A">
      <w:pPr>
        <w:tabs>
          <w:tab w:val="left" w:pos="426"/>
        </w:tabs>
        <w:spacing w:after="240" w:line="276" w:lineRule="auto"/>
        <w:jc w:val="both"/>
        <w:rPr>
          <w:rFonts w:ascii="Palatino Linotype" w:hAnsi="Palatino Linotype" w:cs="Calibri"/>
          <w:sz w:val="22"/>
          <w:szCs w:val="22"/>
        </w:rPr>
      </w:pPr>
      <w:r>
        <w:rPr>
          <w:rFonts w:ascii="Palatino Linotype" w:hAnsi="Palatino Linotype" w:cs="Arial"/>
          <w:sz w:val="22"/>
          <w:szCs w:val="22"/>
        </w:rPr>
        <w:tab/>
      </w:r>
      <w:r w:rsidR="00FC6C9A" w:rsidRPr="00133690">
        <w:rPr>
          <w:rFonts w:ascii="Palatino Linotype" w:hAnsi="Palatino Linotype" w:cs="Arial"/>
          <w:sz w:val="22"/>
          <w:szCs w:val="22"/>
        </w:rPr>
        <w:t xml:space="preserve">El modelo de ordenamiento territorial del Distrito Metropolitano de Quito para el decenio 2015 – 2025 contempla cuatro criterios esenciales, entre ellos, la consolidación de una estructura metropolitana </w:t>
      </w:r>
      <w:r w:rsidR="00FC6C9A" w:rsidRPr="00133690">
        <w:rPr>
          <w:rFonts w:ascii="Palatino Linotype" w:hAnsi="Palatino Linotype" w:cs="Arial"/>
          <w:i/>
          <w:sz w:val="22"/>
          <w:szCs w:val="22"/>
        </w:rPr>
        <w:t>en archipiélago</w:t>
      </w:r>
      <w:r w:rsidR="00FC6C9A" w:rsidRPr="00133690">
        <w:rPr>
          <w:rFonts w:ascii="Palatino Linotype" w:hAnsi="Palatino Linotype" w:cs="Arial"/>
          <w:sz w:val="22"/>
          <w:szCs w:val="22"/>
        </w:rPr>
        <w:t xml:space="preserve"> y de un sistema urbano policéntrico, con el objeto de generar una estructura territorial de </w:t>
      </w:r>
      <w:r w:rsidR="00FC6C9A" w:rsidRPr="00133690">
        <w:rPr>
          <w:rFonts w:ascii="Palatino Linotype" w:hAnsi="Palatino Linotype" w:cs="Arial"/>
          <w:i/>
          <w:sz w:val="22"/>
          <w:szCs w:val="22"/>
        </w:rPr>
        <w:t>islas urbanas</w:t>
      </w:r>
      <w:r w:rsidR="00FC6C9A" w:rsidRPr="00133690">
        <w:rPr>
          <w:rFonts w:ascii="Palatino Linotype" w:hAnsi="Palatino Linotype" w:cs="Arial"/>
          <w:sz w:val="22"/>
          <w:szCs w:val="22"/>
        </w:rPr>
        <w:t xml:space="preserve"> que se despliegan de manera controlada sobre el territorio. De esta manera, el proyecto</w:t>
      </w:r>
      <w:r w:rsidR="00FC6C9A" w:rsidRPr="00133690">
        <w:rPr>
          <w:rFonts w:ascii="Palatino Linotype" w:hAnsi="Palatino Linotype" w:cs="Calibri"/>
          <w:sz w:val="22"/>
          <w:szCs w:val="22"/>
        </w:rPr>
        <w:t xml:space="preserve"> </w:t>
      </w:r>
      <w:r w:rsidR="00FC6C9A" w:rsidRPr="00133690">
        <w:rPr>
          <w:rFonts w:ascii="Palatino Linotype" w:hAnsi="Palatino Linotype" w:cs="Arial"/>
          <w:sz w:val="22"/>
          <w:szCs w:val="22"/>
        </w:rPr>
        <w:t xml:space="preserve">Centro de Convenciones Metropolitano de la Ciudad de Quito, elemento central del área de transformación del Plan Especial Bicentenario, aprobado en el año 2013 mediante ordenanza metropolitana No. 352, </w:t>
      </w:r>
      <w:r w:rsidR="00FC6C9A" w:rsidRPr="00133690">
        <w:rPr>
          <w:rFonts w:ascii="Palatino Linotype" w:hAnsi="Palatino Linotype" w:cs="Calibri"/>
          <w:sz w:val="22"/>
          <w:szCs w:val="22"/>
        </w:rPr>
        <w:t xml:space="preserve"> es concomitantemente de interés para la ciudad, según lo establecido en la Política Territorial  No. 1, de escala Global del Plan Metropolitano de Desarrollo y Ordenamiento Territorial (PMDOT), la cual señala: </w:t>
      </w:r>
    </w:p>
    <w:p w:rsidR="00FC6C9A" w:rsidRPr="00133690" w:rsidRDefault="003C37DE" w:rsidP="003C37DE">
      <w:pPr>
        <w:tabs>
          <w:tab w:val="left" w:pos="426"/>
        </w:tabs>
        <w:spacing w:after="240" w:line="276" w:lineRule="auto"/>
        <w:ind w:left="426"/>
        <w:jc w:val="both"/>
        <w:rPr>
          <w:rFonts w:ascii="Palatino Linotype" w:hAnsi="Palatino Linotype" w:cs="Calibri"/>
          <w:i/>
          <w:sz w:val="22"/>
          <w:szCs w:val="22"/>
        </w:rPr>
      </w:pPr>
      <w:r>
        <w:rPr>
          <w:rFonts w:ascii="Palatino Linotype" w:hAnsi="Palatino Linotype" w:cs="Calibri"/>
          <w:i/>
          <w:sz w:val="22"/>
          <w:szCs w:val="22"/>
        </w:rPr>
        <w:tab/>
      </w:r>
      <w:r w:rsidR="00FC6C9A" w:rsidRPr="00133690">
        <w:rPr>
          <w:rFonts w:ascii="Palatino Linotype" w:hAnsi="Palatino Linotype" w:cs="Calibri"/>
          <w:i/>
          <w:sz w:val="22"/>
          <w:szCs w:val="22"/>
        </w:rPr>
        <w:t>“Potenciación de la condición de capitalidad metropolitana de Quito en el ámbito nacional e internacional, a través de una mejor proyección de su tejido productivo y empresarial y de su patrimonio cultural y natural”.</w:t>
      </w:r>
    </w:p>
    <w:p w:rsidR="00FC6C9A" w:rsidRPr="00133690" w:rsidRDefault="00FC6C9A" w:rsidP="003C37DE">
      <w:pPr>
        <w:suppressAutoHyphens w:val="0"/>
        <w:autoSpaceDE w:val="0"/>
        <w:autoSpaceDN w:val="0"/>
        <w:adjustRightInd w:val="0"/>
        <w:spacing w:after="240" w:line="276" w:lineRule="auto"/>
        <w:ind w:firstLine="426"/>
        <w:rPr>
          <w:rFonts w:ascii="Palatino Linotype" w:hAnsi="Palatino Linotype" w:cs="Calibri"/>
          <w:i/>
          <w:sz w:val="22"/>
          <w:szCs w:val="22"/>
        </w:rPr>
      </w:pPr>
      <w:r w:rsidRPr="00133690">
        <w:rPr>
          <w:rFonts w:ascii="Palatino Linotype" w:hAnsi="Palatino Linotype" w:cs="Calibri"/>
          <w:sz w:val="22"/>
          <w:szCs w:val="22"/>
        </w:rPr>
        <w:t>De la territorialización de esta política surge el objetivo No. 1A  del referido instrumento de planeación distrital: “</w:t>
      </w:r>
      <w:r w:rsidRPr="00133690">
        <w:rPr>
          <w:rFonts w:ascii="Palatino Linotype" w:hAnsi="Palatino Linotype" w:cs="Calibri"/>
          <w:i/>
          <w:sz w:val="22"/>
          <w:szCs w:val="22"/>
        </w:rPr>
        <w:t>Mejorar el atractivo de Quito como ciudad de negocios</w:t>
      </w:r>
      <w:r w:rsidRPr="00133690">
        <w:rPr>
          <w:rFonts w:ascii="Palatino Linotype" w:hAnsi="Palatino Linotype" w:cs="Calibri"/>
          <w:sz w:val="22"/>
          <w:szCs w:val="22"/>
        </w:rPr>
        <w:t xml:space="preserve">”, cuya meta establece que </w:t>
      </w:r>
      <w:r w:rsidRPr="00133690">
        <w:rPr>
          <w:rFonts w:ascii="Palatino Linotype" w:hAnsi="Palatino Linotype" w:cs="Calibri"/>
          <w:b/>
          <w:i/>
          <w:sz w:val="22"/>
          <w:szCs w:val="22"/>
        </w:rPr>
        <w:t>“al 2017 se ha consolidado el desarrollo del Parque del Bicentenario</w:t>
      </w:r>
      <w:r w:rsidRPr="00133690">
        <w:rPr>
          <w:rFonts w:ascii="Palatino Linotype" w:hAnsi="Palatino Linotype" w:cs="Calibri"/>
          <w:i/>
          <w:sz w:val="22"/>
          <w:szCs w:val="22"/>
        </w:rPr>
        <w:t xml:space="preserve"> y se ha lanzado una iniciativa para la constitución del Centro Histórico como atractor de inversión”. Énfasis añadido.</w:t>
      </w:r>
    </w:p>
    <w:p w:rsidR="00FC6C9A" w:rsidRPr="00133690" w:rsidRDefault="00FC6C9A" w:rsidP="003C37DE">
      <w:pPr>
        <w:suppressAutoHyphens w:val="0"/>
        <w:autoSpaceDE w:val="0"/>
        <w:autoSpaceDN w:val="0"/>
        <w:adjustRightInd w:val="0"/>
        <w:spacing w:after="240" w:line="276" w:lineRule="auto"/>
        <w:ind w:firstLine="426"/>
        <w:rPr>
          <w:rFonts w:ascii="Palatino Linotype" w:hAnsi="Palatino Linotype" w:cs="Calibri"/>
          <w:sz w:val="22"/>
          <w:szCs w:val="22"/>
        </w:rPr>
      </w:pPr>
      <w:r w:rsidRPr="00133690">
        <w:rPr>
          <w:rFonts w:ascii="Palatino Linotype" w:hAnsi="Palatino Linotype" w:cs="Calibri"/>
          <w:sz w:val="22"/>
          <w:szCs w:val="22"/>
        </w:rPr>
        <w:t>De igual manera, la Política  3 - Escala Metropolitana señala lo siguiente:</w:t>
      </w:r>
    </w:p>
    <w:p w:rsidR="00FC6C9A" w:rsidRPr="00133690" w:rsidRDefault="00FC6C9A" w:rsidP="003C37DE">
      <w:pPr>
        <w:tabs>
          <w:tab w:val="left" w:pos="426"/>
        </w:tabs>
        <w:spacing w:after="240" w:line="276" w:lineRule="auto"/>
        <w:ind w:left="426"/>
        <w:jc w:val="both"/>
        <w:rPr>
          <w:rFonts w:ascii="Palatino Linotype" w:hAnsi="Palatino Linotype" w:cs="Calibri"/>
          <w:sz w:val="22"/>
          <w:szCs w:val="22"/>
        </w:rPr>
      </w:pPr>
      <w:r w:rsidRPr="00133690">
        <w:rPr>
          <w:rFonts w:ascii="Palatino Linotype" w:hAnsi="Palatino Linotype" w:cs="Calibri"/>
          <w:i/>
          <w:sz w:val="22"/>
          <w:szCs w:val="22"/>
        </w:rPr>
        <w:lastRenderedPageBreak/>
        <w:t xml:space="preserve">“Densificación del territorio urbanizado, y constitución de una estructura de centralidades productivas que favorezcan un urbanismo dinámico, compacto y </w:t>
      </w:r>
      <w:r w:rsidR="00826F6B" w:rsidRPr="00133690">
        <w:rPr>
          <w:rFonts w:ascii="Palatino Linotype" w:hAnsi="Palatino Linotype" w:cs="Calibri"/>
          <w:i/>
          <w:sz w:val="22"/>
          <w:szCs w:val="22"/>
        </w:rPr>
        <w:t>multimodal</w:t>
      </w:r>
      <w:r w:rsidRPr="00133690">
        <w:rPr>
          <w:rFonts w:ascii="Palatino Linotype" w:hAnsi="Palatino Linotype" w:cs="Calibri"/>
          <w:i/>
          <w:sz w:val="22"/>
          <w:szCs w:val="22"/>
        </w:rPr>
        <w:t xml:space="preserve">”. </w:t>
      </w:r>
      <w:r w:rsidRPr="00133690">
        <w:rPr>
          <w:rFonts w:ascii="Palatino Linotype" w:hAnsi="Palatino Linotype" w:cs="Calibri"/>
          <w:sz w:val="22"/>
          <w:szCs w:val="22"/>
        </w:rPr>
        <w:t>En esta política se desprende el Objetivo 3.A “</w:t>
      </w:r>
      <w:r w:rsidRPr="00133690">
        <w:rPr>
          <w:rFonts w:ascii="Palatino Linotype" w:hAnsi="Palatino Linotype" w:cs="Calibri"/>
          <w:i/>
          <w:sz w:val="22"/>
          <w:szCs w:val="22"/>
        </w:rPr>
        <w:t>Constituir un sistema de centralidades metropolitanas de alta capacidad productiva que vertebren el tejido empresarial del DMQ</w:t>
      </w:r>
      <w:r w:rsidRPr="00133690">
        <w:rPr>
          <w:rFonts w:ascii="Palatino Linotype" w:hAnsi="Palatino Linotype" w:cs="Calibri"/>
          <w:sz w:val="22"/>
          <w:szCs w:val="22"/>
        </w:rPr>
        <w:t>”.</w:t>
      </w:r>
    </w:p>
    <w:p w:rsidR="00FC6C9A" w:rsidRPr="00133690" w:rsidRDefault="00FC6C9A" w:rsidP="003C37DE">
      <w:pPr>
        <w:spacing w:after="240" w:line="276" w:lineRule="auto"/>
        <w:ind w:firstLine="426"/>
        <w:jc w:val="both"/>
        <w:rPr>
          <w:rFonts w:ascii="Palatino Linotype" w:hAnsi="Palatino Linotype" w:cs="Calibri"/>
          <w:sz w:val="22"/>
          <w:szCs w:val="22"/>
        </w:rPr>
      </w:pPr>
      <w:r w:rsidRPr="00133690">
        <w:rPr>
          <w:rFonts w:ascii="Palatino Linotype" w:hAnsi="Palatino Linotype" w:cs="Calibri"/>
          <w:sz w:val="22"/>
          <w:szCs w:val="22"/>
        </w:rPr>
        <w:t>De esta manera, el Centro de Convenciones Metropolitano de Quito, iniciativa alineada con los objetivos territoriales y productivos del PMDOT, permitirá posicionar a la ciudad como un destino de turismo de reuniones, atractivo y competitivo a nivel regional y simultáneamente contribuirá a consolidar la centralidad del Parque Bicentenario, como un nodo que contará con una importante oferta de actividades y servicios lúdicos, empresariales, turísticos y culturales para la ciudad.</w:t>
      </w:r>
    </w:p>
    <w:p w:rsidR="00FC6C9A" w:rsidRPr="00133690" w:rsidRDefault="00FC6C9A" w:rsidP="003C37DE">
      <w:pPr>
        <w:spacing w:after="240" w:line="276" w:lineRule="auto"/>
        <w:ind w:firstLine="426"/>
        <w:jc w:val="both"/>
        <w:rPr>
          <w:rFonts w:ascii="Palatino Linotype" w:hAnsi="Palatino Linotype" w:cs="Arial"/>
          <w:sz w:val="22"/>
          <w:szCs w:val="22"/>
        </w:rPr>
      </w:pPr>
      <w:r w:rsidRPr="00133690">
        <w:rPr>
          <w:rFonts w:ascii="Palatino Linotype" w:hAnsi="Palatino Linotype" w:cs="Arial"/>
          <w:sz w:val="22"/>
          <w:szCs w:val="22"/>
        </w:rPr>
        <w:t>Como se ha dicho, este proyecto es igualmente parte integral del Plan Especial Bicentenario, sancionado mediante Ordenanza Metropolitana No. 352 el 1 de febrero de 2013, instrumento que regula los aspectos urbano-arquitectónicos y de gestión para el desarrollo de esta centralidad, a partir de la liberación de las instalaciones del Ex aeropuerto Internacional Mariscal Sucre. Los artículos 10, 11, 13 y 36 y los planos No. 6, 7 y 9 de la referida ordenanza establecen las directrices específicas para el desarrollo urbanístico y arquitectónico del PUAE destinado al  Centro de Convenciones Metropolitano de Quito, mismas que han sido observadas en la propuesta de la presente ordenanza, sin perjuicio de que el presente proyecto normativo se enmarca en el conjunto de determinaciones urbanísticas y de gestión establecidas por la ordenanza No. 352.</w:t>
      </w:r>
    </w:p>
    <w:p w:rsidR="00FC6C9A" w:rsidRPr="00133690" w:rsidRDefault="00FC6C9A" w:rsidP="003C37DE">
      <w:pPr>
        <w:spacing w:after="240" w:line="276" w:lineRule="auto"/>
        <w:ind w:firstLine="426"/>
        <w:jc w:val="both"/>
        <w:rPr>
          <w:rFonts w:ascii="Palatino Linotype" w:hAnsi="Palatino Linotype"/>
          <w:sz w:val="22"/>
          <w:szCs w:val="22"/>
        </w:rPr>
      </w:pPr>
      <w:r w:rsidRPr="00133690">
        <w:rPr>
          <w:rFonts w:ascii="Palatino Linotype" w:hAnsi="Palatino Linotype"/>
          <w:sz w:val="22"/>
          <w:szCs w:val="22"/>
        </w:rPr>
        <w:t>De igual forma, cabe señalar que el desarrollo del presente PUAE se fundamenta en el artículo 3 de la Resolución del Concejo Metropolitano No. 408, del 11 de julio de 2012, el cual define el predio destinado al equipamiento del Centro de Convenciones, en un polígono de 11,40 hectáreas, contiguo al lote destinado al parque.</w:t>
      </w:r>
    </w:p>
    <w:p w:rsidR="00FC6C9A" w:rsidRPr="00133690" w:rsidRDefault="00FC6C9A" w:rsidP="003C37DE">
      <w:pPr>
        <w:spacing w:after="240" w:line="276" w:lineRule="auto"/>
        <w:ind w:firstLine="426"/>
        <w:jc w:val="both"/>
        <w:rPr>
          <w:rFonts w:ascii="Palatino Linotype" w:hAnsi="Palatino Linotype" w:cs="Arial"/>
          <w:sz w:val="22"/>
          <w:szCs w:val="22"/>
        </w:rPr>
      </w:pPr>
      <w:r w:rsidRPr="00133690">
        <w:rPr>
          <w:rFonts w:ascii="Palatino Linotype" w:hAnsi="Palatino Linotype" w:cs="Arial"/>
          <w:sz w:val="22"/>
          <w:szCs w:val="22"/>
        </w:rPr>
        <w:t xml:space="preserve">En cuanto se refiere a la dimensión económica-productiva de este equipamiento de escala metropolitana, implantado en el corazón de la Centralidad del Parque Bicentenario, está orientada a impulsar la vocación turística y empresarial de la ciudad, mediante un programa urbano-arquitectónico necesario para sustentar las exigencias de servicio y del giro de negocio de un centro de convenciones concebido bajo estándares internacionales y por ende capaz de competir a escala regional en el segmento del mercado turístico de mayor crecimiento en la última década. Cabe aclarar que hoy en día, los centros de congresos y </w:t>
      </w:r>
      <w:r w:rsidRPr="00133690">
        <w:rPr>
          <w:rFonts w:ascii="Palatino Linotype" w:hAnsi="Palatino Linotype" w:cs="Arial"/>
          <w:sz w:val="22"/>
          <w:szCs w:val="22"/>
        </w:rPr>
        <w:lastRenderedPageBreak/>
        <w:t>convenciones reúnen cualidades y servicios que van más allá de los recintos expositivos y de reuniones, asociando una series de espacios, facilidades y amenidades que redundan en una diversidad de servicios complementarios, atractivos y útiles tanto para el visitante como para el ciudadano. De tal suerte que los centros de convenciones se han convertido en polos de desarrollo económico y empresarial y simultáneamente en referentes icónicos de nuevos modelos de urbanismo, arquitectura, espacio público y encuentro ciudadano.</w:t>
      </w:r>
    </w:p>
    <w:p w:rsidR="00FC6C9A" w:rsidRPr="00133690" w:rsidRDefault="00FC6C9A" w:rsidP="003C37DE">
      <w:pPr>
        <w:spacing w:after="240" w:line="276" w:lineRule="auto"/>
        <w:ind w:firstLine="426"/>
        <w:jc w:val="both"/>
        <w:rPr>
          <w:rFonts w:ascii="Palatino Linotype" w:hAnsi="Palatino Linotype" w:cs="Arial"/>
          <w:sz w:val="22"/>
          <w:szCs w:val="22"/>
        </w:rPr>
      </w:pPr>
      <w:r w:rsidRPr="00133690">
        <w:rPr>
          <w:rFonts w:ascii="Palatino Linotype" w:hAnsi="Palatino Linotype" w:cs="Arial"/>
          <w:sz w:val="22"/>
          <w:szCs w:val="22"/>
        </w:rPr>
        <w:t>Bajo esta concepción contemporánea, se plantea un equipamiento de interés general al servicio de la ciudad, capaz de reflejar la proyección de un parque y de una centralidad con irradiación metropolitana, concebido como un complejo urbanístico de equipamientos, servicios y espacios públicos orientados a catalizar el desarrollo inmobiliario y empresarial planificado para este sector de la ciudad.</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lang w:val="es-EC"/>
        </w:rPr>
        <w:t>Por tanto,</w:t>
      </w:r>
      <w:r w:rsidRPr="00133690">
        <w:rPr>
          <w:rFonts w:ascii="Palatino Linotype" w:hAnsi="Palatino Linotype" w:cs="Arial"/>
          <w:sz w:val="22"/>
          <w:szCs w:val="22"/>
        </w:rPr>
        <w:t xml:space="preserve"> objetivo de la presente ordenanza es el de establecer las regulaciones aplicables al citado PUAE, cuyo programa arquitectónico comprende los siguientes componentes esenciales y complementarios:</w:t>
      </w:r>
    </w:p>
    <w:p w:rsidR="00FC6C9A" w:rsidRPr="00133690" w:rsidRDefault="00FC6C9A" w:rsidP="00FC6C9A">
      <w:pPr>
        <w:pStyle w:val="Prrafodelista"/>
        <w:numPr>
          <w:ilvl w:val="0"/>
          <w:numId w:val="19"/>
        </w:numPr>
        <w:spacing w:after="240" w:line="276" w:lineRule="auto"/>
        <w:jc w:val="both"/>
        <w:rPr>
          <w:rFonts w:ascii="Palatino Linotype" w:hAnsi="Palatino Linotype" w:cs="Arial"/>
          <w:sz w:val="22"/>
          <w:szCs w:val="22"/>
        </w:rPr>
      </w:pPr>
      <w:r w:rsidRPr="00133690">
        <w:rPr>
          <w:rFonts w:ascii="Palatino Linotype" w:hAnsi="Palatino Linotype" w:cs="Arial"/>
          <w:sz w:val="22"/>
          <w:szCs w:val="22"/>
        </w:rPr>
        <w:t>Esenciales: Centro de convenciones y recinto ferial, espacios públicos, áreas verdes y recreativas;</w:t>
      </w:r>
    </w:p>
    <w:p w:rsidR="00FC6C9A" w:rsidRPr="00133690" w:rsidRDefault="00FC6C9A" w:rsidP="00FC6C9A">
      <w:pPr>
        <w:pStyle w:val="Prrafodelista"/>
        <w:numPr>
          <w:ilvl w:val="0"/>
          <w:numId w:val="19"/>
        </w:numPr>
        <w:spacing w:after="240" w:line="276" w:lineRule="auto"/>
        <w:jc w:val="both"/>
        <w:rPr>
          <w:rFonts w:ascii="Palatino Linotype" w:hAnsi="Palatino Linotype" w:cs="Arial"/>
          <w:sz w:val="22"/>
          <w:szCs w:val="22"/>
        </w:rPr>
      </w:pPr>
      <w:r w:rsidRPr="00133690">
        <w:rPr>
          <w:rFonts w:ascii="Palatino Linotype" w:hAnsi="Palatino Linotype" w:cs="Arial"/>
          <w:sz w:val="22"/>
          <w:szCs w:val="22"/>
        </w:rPr>
        <w:t>Complementarios: edificaciones hoteleras y de negocios; oficinas públicas, equipamientos culturales y recreativos, arena de espectáculos.</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rPr>
        <w:t>El dimensionamiento de este programa urbanístico y arquitectónico tiene en cuenta una adecuada ocupación del suelo, evitando la saturación de los espacios públicos de libre circulación y garantizando la permeabilidad visual y la accesibilidad al parque Bicentenario. El programa de áreas complementarias, a más de las funciones urbanas que cumple, está pensado igualmente para dar sostenibilidad financiera a la consolidación del PUAE mediante la generación de superficies susceptibles de ser explotadas comercialmente sin por tanto perder su naturaleza de bienes públicos.</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rPr>
        <w:t xml:space="preserve">La ocupación del predio considera elementos arquitectónicos horizontales (pabellones destinados a los equipamientos de interés general) y volumetrías verticales (edificios hoteleros y de oficinas) que en su conjunto ocupan un 45% de la superficie en planta baja, asegurando amplias zonas destinadas a bulevares, plazas, patios, jardines, caminerías y </w:t>
      </w:r>
      <w:r w:rsidRPr="00133690">
        <w:rPr>
          <w:rFonts w:ascii="Palatino Linotype" w:hAnsi="Palatino Linotype" w:cs="Arial"/>
          <w:sz w:val="22"/>
          <w:szCs w:val="22"/>
        </w:rPr>
        <w:lastRenderedPageBreak/>
        <w:t>explanadas públicas. Se trata por tanto de una pieza urbana integrada a la estructura general de la ciudad y en continua articulación con el parque Bicentenario.</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rPr>
        <w:t xml:space="preserve">La propiedad donde se implanta el proyecto del  Centro de Convenciones Metropolitano de la ciudad de Quito es y permanecerá en dominio público, pudiendo sus componentes ser ejecutados por Quito Turismo bajo la modalidad de alianzas público privadas o a través de las herramientas de fomento productivo contempladas en el régimen jurídico: fideicomisos, contratos de arrendamiento, comodatos, donaciones, derechos de desarrollo, capital semilla, transferencias entre gobiernos, entre otros. </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rPr>
        <w:t>Por lo expuesto, el proyecto consolida el sistema de centralidades del Distrito Metropolitano de Quito, y particularmente la centralidad global Bicentenario, incrementa las posibilidades de prestación de servicios y equipamientos, establece el marco normativo para el desarrollo de uno de los equipamientos estratégicos de dicha centralidad y genera pautas urbanísticas para  impulsar al sector inmobiliario de manera alineada con las determinaciones de urbanísticas  de la ordenanza metropolitana No. 352 para el re-desarrollo y renovación urbana de esta área.</w:t>
      </w:r>
    </w:p>
    <w:p w:rsidR="00FC6C9A" w:rsidRPr="00133690" w:rsidRDefault="00FC6C9A" w:rsidP="003C37DE">
      <w:pPr>
        <w:spacing w:after="240" w:line="276" w:lineRule="auto"/>
        <w:ind w:firstLine="360"/>
        <w:jc w:val="both"/>
        <w:rPr>
          <w:rFonts w:ascii="Palatino Linotype" w:hAnsi="Palatino Linotype" w:cs="Arial"/>
          <w:sz w:val="22"/>
          <w:szCs w:val="22"/>
        </w:rPr>
      </w:pPr>
      <w:r w:rsidRPr="00133690">
        <w:rPr>
          <w:rFonts w:ascii="Palatino Linotype" w:hAnsi="Palatino Linotype" w:cs="Arial"/>
          <w:sz w:val="22"/>
          <w:szCs w:val="22"/>
        </w:rPr>
        <w:t xml:space="preserve">Este proyecto cuenta con la viabilidad de la Mesa Técnica de PUAE, así como con los informes de las Secretarías de Territorio, Hábitat y Vivienda; Movilidad y Ambiente, cumpliendo con los parámetros y las condiciones técnicas exigidas a un Proyecto Urbanístico Arquitectónico Especial que, en su conjunto, representa un aporte al desarrollo del Distrito. </w:t>
      </w:r>
    </w:p>
    <w:p w:rsidR="00FC6C9A" w:rsidRPr="00133690" w:rsidRDefault="00FC6C9A" w:rsidP="008A5ABE">
      <w:pPr>
        <w:spacing w:after="240" w:line="276" w:lineRule="auto"/>
        <w:jc w:val="both"/>
        <w:rPr>
          <w:rFonts w:ascii="Palatino Linotype" w:hAnsi="Palatino Linotype"/>
          <w:sz w:val="22"/>
          <w:szCs w:val="22"/>
        </w:rPr>
        <w:sectPr w:rsidR="00FC6C9A" w:rsidRPr="00133690" w:rsidSect="00F14D2F">
          <w:headerReference w:type="default" r:id="rId7"/>
          <w:footerReference w:type="default" r:id="rId8"/>
          <w:pgSz w:w="12240" w:h="15840"/>
          <w:pgMar w:top="1417" w:right="1467" w:bottom="1417" w:left="1701" w:header="708" w:footer="708" w:gutter="0"/>
          <w:pgNumType w:start="1"/>
          <w:cols w:space="708"/>
          <w:docGrid w:linePitch="360"/>
        </w:sectPr>
      </w:pPr>
    </w:p>
    <w:p w:rsidR="00FC6C9A" w:rsidRPr="00133690" w:rsidRDefault="00FC6C9A" w:rsidP="00FC6C9A">
      <w:pPr>
        <w:spacing w:after="240" w:line="276" w:lineRule="auto"/>
        <w:jc w:val="center"/>
        <w:outlineLvl w:val="0"/>
        <w:rPr>
          <w:rFonts w:ascii="Palatino Linotype" w:hAnsi="Palatino Linotype" w:cs="Arial"/>
          <w:b/>
          <w:sz w:val="22"/>
          <w:szCs w:val="22"/>
        </w:rPr>
      </w:pPr>
      <w:r w:rsidRPr="00133690">
        <w:rPr>
          <w:rFonts w:ascii="Palatino Linotype" w:hAnsi="Palatino Linotype" w:cs="Arial"/>
          <w:b/>
          <w:sz w:val="22"/>
          <w:szCs w:val="22"/>
        </w:rPr>
        <w:lastRenderedPageBreak/>
        <w:t>EL CONCEJO METROPOLITANO DE QUITO</w:t>
      </w:r>
    </w:p>
    <w:p w:rsidR="00FC6C9A" w:rsidRPr="00133690" w:rsidRDefault="00FC6C9A" w:rsidP="00FC6C9A">
      <w:pPr>
        <w:spacing w:after="240" w:line="276" w:lineRule="auto"/>
        <w:ind w:right="-1"/>
        <w:jc w:val="both"/>
        <w:rPr>
          <w:rFonts w:ascii="Palatino Linotype" w:hAnsi="Palatino Linotype" w:cs="Arial"/>
          <w:sz w:val="22"/>
          <w:szCs w:val="22"/>
        </w:rPr>
      </w:pPr>
      <w:r w:rsidRPr="00133690">
        <w:rPr>
          <w:rFonts w:ascii="Palatino Linotype" w:hAnsi="Palatino Linotype" w:cs="Arial"/>
          <w:sz w:val="22"/>
          <w:szCs w:val="22"/>
        </w:rPr>
        <w:t>Visto los Informes Nos. IC-O-2015-214 e IC-O-2015-224, de 27 de octubre y 16 de noviembre de 2015, respectivamente, emitidos por la Comisión de Uso de Suelo.</w:t>
      </w:r>
    </w:p>
    <w:p w:rsidR="00FC6C9A" w:rsidRPr="00133690" w:rsidRDefault="00FC6C9A" w:rsidP="00FC6C9A">
      <w:pPr>
        <w:spacing w:after="240" w:line="276" w:lineRule="auto"/>
        <w:ind w:right="-1"/>
        <w:jc w:val="center"/>
        <w:outlineLvl w:val="0"/>
        <w:rPr>
          <w:rFonts w:ascii="Palatino Linotype" w:hAnsi="Palatino Linotype" w:cs="Arial"/>
          <w:b/>
          <w:bCs/>
          <w:sz w:val="22"/>
          <w:szCs w:val="22"/>
        </w:rPr>
      </w:pPr>
      <w:r w:rsidRPr="00133690">
        <w:rPr>
          <w:rFonts w:ascii="Palatino Linotype" w:hAnsi="Palatino Linotype" w:cs="Arial"/>
          <w:b/>
          <w:bCs/>
          <w:sz w:val="22"/>
          <w:szCs w:val="22"/>
        </w:rPr>
        <w:t>CONSIDERANDO:</w:t>
      </w:r>
    </w:p>
    <w:p w:rsidR="00FC6C9A"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ab/>
        <w:t>los literales a), w) y x) del artículo 57 del Código de Organización Territorial, Autonomía y Descentralización, en concordancia con los literales a), u) y v) del artículo No. 87 del mismo cuerpo normativo, establecen que son competencias del Concejo Municipal: “</w:t>
      </w:r>
      <w:r w:rsidRPr="00133690">
        <w:rPr>
          <w:rFonts w:ascii="Palatino Linotype" w:hAnsi="Palatino Linotype" w:cs="Arial"/>
          <w:i/>
          <w:sz w:val="22"/>
          <w:szCs w:val="22"/>
        </w:rPr>
        <w:t>a) El ejercicio de la facultad normativa en las materias de competencia del gobierno autónomo descentralizado municipal, mediante la  expedición de ordenanzas cantonales, acuerdos y resoluciones;  w) Expedir la ordenanza de construcciones que comprenda las especificaciones y normas técnicas y legales por las cuales deban regirse en el cantón la construcción, reparación, transformación y demolición de edificios y de sus instalaciones; y, x) Regular y controlar, mediante la normativa cantonal correspondiente, el uso del suelo en el territorio del cantón, de conformidad con las leyes sobre la materia, y establecer el régimen urbanístico de la tierra</w:t>
      </w:r>
      <w:r w:rsidRP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ab/>
        <w:t>el artículo 26 de la Ordenanza Metropolitana No. 172</w:t>
      </w:r>
      <w:r w:rsidR="006E5C83">
        <w:rPr>
          <w:rFonts w:ascii="Palatino Linotype" w:hAnsi="Palatino Linotype" w:cs="Arial"/>
          <w:sz w:val="22"/>
          <w:szCs w:val="22"/>
        </w:rPr>
        <w:t>,</w:t>
      </w:r>
      <w:r w:rsidRPr="00133690">
        <w:rPr>
          <w:rFonts w:ascii="Palatino Linotype" w:hAnsi="Palatino Linotype" w:cs="Arial"/>
          <w:sz w:val="22"/>
          <w:szCs w:val="22"/>
        </w:rPr>
        <w:t xml:space="preserve"> que establece el Régimen Administrativo del Suelo para el Distrito Metropolitano de Quito, </w:t>
      </w:r>
      <w:r w:rsidR="006E5C83">
        <w:rPr>
          <w:rFonts w:ascii="Palatino Linotype" w:hAnsi="Palatino Linotype" w:cs="Arial"/>
          <w:sz w:val="22"/>
          <w:szCs w:val="22"/>
        </w:rPr>
        <w:t xml:space="preserve">reformada por la Ordenanza Metropolitana No. 432, de </w:t>
      </w:r>
      <w:r w:rsidR="00FB6CD6">
        <w:rPr>
          <w:rFonts w:ascii="Palatino Linotype" w:hAnsi="Palatino Linotype" w:cs="Arial"/>
          <w:sz w:val="22"/>
          <w:szCs w:val="22"/>
        </w:rPr>
        <w:t>20 de septiembre de 2013</w:t>
      </w:r>
      <w:r w:rsidR="006E5C83">
        <w:rPr>
          <w:rFonts w:ascii="Palatino Linotype" w:hAnsi="Palatino Linotype" w:cs="Arial"/>
          <w:sz w:val="22"/>
          <w:szCs w:val="22"/>
        </w:rPr>
        <w:t xml:space="preserve">, </w:t>
      </w:r>
      <w:r w:rsidRPr="00133690">
        <w:rPr>
          <w:rFonts w:ascii="Palatino Linotype" w:hAnsi="Palatino Linotype" w:cs="Arial"/>
          <w:sz w:val="22"/>
          <w:szCs w:val="22"/>
        </w:rPr>
        <w:t>señala 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w:t>
      </w:r>
    </w:p>
    <w:p w:rsidR="00FC6C9A"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w:t>
      </w:r>
      <w:r w:rsidRPr="00133690">
        <w:rPr>
          <w:rFonts w:ascii="Palatino Linotype" w:hAnsi="Palatino Linotype" w:cs="Arial"/>
          <w:sz w:val="22"/>
          <w:szCs w:val="22"/>
        </w:rPr>
        <w:tab/>
        <w:t>la Ordenanza Metropolitana No. 3535, de 9 de agosto de 2004, que rige el uso y destino de los terrenos ocupados por el Ex Aeropuerto Internacional Mariscal Sucre, menciona en su artículo No. 1: “</w:t>
      </w:r>
      <w:r w:rsidRPr="00133690">
        <w:rPr>
          <w:rFonts w:ascii="Palatino Linotype" w:hAnsi="Palatino Linotype" w:cs="Arial"/>
          <w:i/>
          <w:sz w:val="22"/>
          <w:szCs w:val="22"/>
        </w:rPr>
        <w:t>Los terrenos que pertenecen al Municipio del Distrito Metropolitano de Quito, ocupados actualmente por el Aeropuerto Mariscal Sucre serán destinados a un parque de la ciudad, en el que se aprovechará la infraestructura construida para un Centro de Convenciones, una vez que se ponga en servicio el nuevo Aeropuerto</w:t>
      </w:r>
      <w:r w:rsidRPr="00133690">
        <w:rPr>
          <w:rFonts w:ascii="Palatino Linotype" w:hAnsi="Palatino Linotype" w:cs="Arial"/>
          <w:sz w:val="22"/>
          <w:szCs w:val="22"/>
        </w:rPr>
        <w:t>”;</w:t>
      </w:r>
    </w:p>
    <w:p w:rsidR="00485EFC" w:rsidRPr="00485EFC" w:rsidRDefault="00485EFC" w:rsidP="00FC6C9A">
      <w:pPr>
        <w:spacing w:after="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 xml:space="preserve">la Ordenanza Metropolitana No. 0406, de 13 de junio de 2013, establece el régimen de colaboración público privada y de la economía popular y solidaria de las empresas públicas </w:t>
      </w:r>
      <w:r>
        <w:rPr>
          <w:rFonts w:ascii="Palatino Linotype" w:hAnsi="Palatino Linotype" w:cs="Arial"/>
          <w:sz w:val="22"/>
          <w:szCs w:val="22"/>
        </w:rPr>
        <w:lastRenderedPageBreak/>
        <w:t>metropolitanas, estableciendo las condiciones de asociatividad con el sector privado para desarrollo de proyectos, actividades o emprendimientos de interés público en el Distrito Metropolitano de Quito;</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w:t>
      </w:r>
      <w:r w:rsidRPr="00133690">
        <w:rPr>
          <w:rFonts w:ascii="Palatino Linotype" w:hAnsi="Palatino Linotype" w:cs="Arial"/>
          <w:sz w:val="22"/>
          <w:szCs w:val="22"/>
        </w:rPr>
        <w:tab/>
        <w:t>el 31 de julio del 2012, a</w:t>
      </w:r>
      <w:r w:rsidR="00133690" w:rsidRPr="00133690">
        <w:rPr>
          <w:rFonts w:ascii="Palatino Linotype" w:hAnsi="Palatino Linotype" w:cs="Arial"/>
          <w:sz w:val="22"/>
          <w:szCs w:val="22"/>
        </w:rPr>
        <w:t xml:space="preserve"> través de la Resolución de Conc</w:t>
      </w:r>
      <w:r w:rsidRPr="00133690">
        <w:rPr>
          <w:rFonts w:ascii="Palatino Linotype" w:hAnsi="Palatino Linotype" w:cs="Arial"/>
          <w:sz w:val="22"/>
          <w:szCs w:val="22"/>
        </w:rPr>
        <w:t>ejo No. C 408, se regula el proyecto del Parque de la Ciudad y su Centro de Convenciones, disponiendo la integración parcelaria de los lotes de terreno que conforman el área en donde se encuentran ubicadas las antiguas terminales del Aeropuerto Mariscal Sucre, así como, aprobar el proyecto del Parque de la Ciudad y autorizar el fraccionamiento del área de terreno sobre el cual se desarrollará el Centro de Convenciones, estableciendo una dimensión de 11,4 hectáreas</w:t>
      </w:r>
      <w:r w:rsidR="00133690" w:rsidRP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w:t>
      </w:r>
      <w:r w:rsidR="00133690" w:rsidRPr="00133690">
        <w:rPr>
          <w:rFonts w:ascii="Palatino Linotype" w:hAnsi="Palatino Linotype" w:cs="Arial"/>
          <w:sz w:val="22"/>
          <w:szCs w:val="22"/>
        </w:rPr>
        <w:tab/>
      </w:r>
      <w:r w:rsidRPr="00133690">
        <w:rPr>
          <w:rFonts w:ascii="Palatino Linotype" w:hAnsi="Palatino Linotype" w:cs="Arial"/>
          <w:sz w:val="22"/>
          <w:szCs w:val="22"/>
        </w:rPr>
        <w:t>la Resolución de Alcaldía No. A 0002 del 30 de enero de 2013, autorizó a la Empresa Pública Metropolitana de Gestión de Destino Turístico (Quito Turismo) a coordinar, preparar, elaborar y adoptar las medidas necesarias, conforme al ordenamiento jurídico nacional y metropolitano vigente, para la ejecución del proyecto del “Centro de Convenciones Metropolitano de la Ciudad de Quito”. Adicionalmente, le encargó la administración y el uso del área e instalaciones referidas en esta Resolución a fin de precautelar el uso eficiente de los recursos municipales</w:t>
      </w:r>
      <w:r w:rsidR="00133690" w:rsidRP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w:t>
      </w:r>
      <w:r w:rsidR="00133690" w:rsidRPr="00133690">
        <w:rPr>
          <w:rFonts w:ascii="Palatino Linotype" w:hAnsi="Palatino Linotype" w:cs="Arial"/>
          <w:sz w:val="22"/>
          <w:szCs w:val="22"/>
        </w:rPr>
        <w:tab/>
      </w:r>
      <w:r w:rsidRPr="00133690">
        <w:rPr>
          <w:rFonts w:ascii="Palatino Linotype" w:hAnsi="Palatino Linotype" w:cs="Arial"/>
          <w:sz w:val="22"/>
          <w:szCs w:val="22"/>
        </w:rPr>
        <w:t>el 1 de febrero de 2013, se expide la Ordenanza Metropolitana No. 0352, que contiene el Plan Especial Bicentenario para la consolidación del Parque de la Ciudad y el redesarrollo de su entorno urbano, que en su artículo No. 13 señala que: “</w:t>
      </w:r>
      <w:r w:rsidRPr="00133690">
        <w:rPr>
          <w:rFonts w:ascii="Palatino Linotype" w:hAnsi="Palatino Linotype" w:cs="Arial"/>
          <w:i/>
          <w:sz w:val="22"/>
          <w:szCs w:val="22"/>
        </w:rPr>
        <w:t>El Centro de Convenciones se implementará en los edificios donde funcionan las terminales aéreas del actual Aeropuerto Internacional Mariscal Sucre, sobre la base de las determinaciones de esta ordenanza. El proyecto de adecuaciones de las edificaciones existentes será aprobado por el órgano responsable del territorio, hábitat y vivienda del Distrito Metropolitano de Quito, de conformidad con el orgánico funcional del Municipio del Distrito Metropolitano de Quito. El cambio de uso y el aumento de la ocupación requerirán de la aprobación de un Proyecto Urbano Arquitectónico Especial</w:t>
      </w:r>
      <w:r w:rsidRPr="00133690">
        <w:rPr>
          <w:rFonts w:ascii="Palatino Linotype" w:hAnsi="Palatino Linotype" w:cs="Arial"/>
          <w:sz w:val="22"/>
          <w:szCs w:val="22"/>
        </w:rPr>
        <w:t>”</w:t>
      </w:r>
      <w:r w:rsidR="00133690" w:rsidRP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los artículos 10, 11 y 36 y los planos anexos No</w:t>
      </w:r>
      <w:r w:rsidR="00133690">
        <w:rPr>
          <w:rFonts w:ascii="Palatino Linotype" w:hAnsi="Palatino Linotype" w:cs="Arial"/>
          <w:sz w:val="22"/>
          <w:szCs w:val="22"/>
        </w:rPr>
        <w:t>s</w:t>
      </w:r>
      <w:r w:rsidRPr="00133690">
        <w:rPr>
          <w:rFonts w:ascii="Palatino Linotype" w:hAnsi="Palatino Linotype" w:cs="Arial"/>
          <w:sz w:val="22"/>
          <w:szCs w:val="22"/>
        </w:rPr>
        <w:t>. 6, 7 y 9 de la referida ordenanza establecen las directrices específicas para el desarrollo urbanístico y arquitectónico del PUAE destinado al  Centro de Convenciones Metropolitano de Quito;</w:t>
      </w:r>
    </w:p>
    <w:p w:rsidR="00261156" w:rsidRPr="00261156" w:rsidRDefault="00261156" w:rsidP="00FC6C9A">
      <w:pPr>
        <w:spacing w:after="240" w:line="276" w:lineRule="auto"/>
        <w:ind w:left="567" w:hanging="567"/>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Pr>
          <w:rFonts w:ascii="Palatino Linotype" w:hAnsi="Palatino Linotype" w:cs="Arial"/>
          <w:sz w:val="22"/>
          <w:szCs w:val="22"/>
        </w:rPr>
        <w:t>mediante Resolución del Concejo Metropolitano No. C 113, de 15 de febrero de 2013, se establece la categoría de los bienes municipales que conforman el Antiguo Aeropuerto Internacional Mariscal Sucre;</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lastRenderedPageBreak/>
        <w:t>Que,</w:t>
      </w:r>
      <w:r w:rsidRPr="00133690">
        <w:rPr>
          <w:rFonts w:ascii="Palatino Linotype" w:hAnsi="Palatino Linotype" w:cs="Arial"/>
          <w:sz w:val="22"/>
          <w:szCs w:val="22"/>
        </w:rPr>
        <w:t xml:space="preserve"> </w:t>
      </w:r>
      <w:r w:rsidR="00133690">
        <w:rPr>
          <w:rFonts w:ascii="Palatino Linotype" w:hAnsi="Palatino Linotype" w:cs="Arial"/>
          <w:sz w:val="22"/>
          <w:szCs w:val="22"/>
        </w:rPr>
        <w:tab/>
      </w:r>
      <w:r w:rsidRPr="00133690">
        <w:rPr>
          <w:rFonts w:ascii="Palatino Linotype" w:hAnsi="Palatino Linotype" w:cs="Arial"/>
          <w:sz w:val="22"/>
          <w:szCs w:val="22"/>
        </w:rPr>
        <w:t xml:space="preserve">la Resolución STHV-RT No. 008 del 27 de diciembre de 2013 en el artículo 3.-  Objetivos de los </w:t>
      </w:r>
      <w:r w:rsidR="00133690">
        <w:rPr>
          <w:rFonts w:ascii="Palatino Linotype" w:hAnsi="Palatino Linotype" w:cs="Arial"/>
          <w:sz w:val="22"/>
          <w:szCs w:val="22"/>
        </w:rPr>
        <w:t>p</w:t>
      </w:r>
      <w:r w:rsidRPr="00133690">
        <w:rPr>
          <w:rFonts w:ascii="Palatino Linotype" w:hAnsi="Palatino Linotype" w:cs="Arial"/>
          <w:sz w:val="22"/>
          <w:szCs w:val="22"/>
        </w:rPr>
        <w:t>royectos especiales señala que estos deberán: Contribuir al cumplimiento de las políticas contenidas en el Plan Metropolitano de Desarrollo y Ordenamiento Territorial; impulsar el desarrollo sustentable del Distrito Metropolitano de Quito; generar las condiciones adecuadas para incentivar y promover el desarrollo económico y territorial del DMQ aportar a la revalorización patrimonial y arquitectónica del DMQ</w:t>
      </w:r>
      <w:r w:rsidR="00133690">
        <w:rPr>
          <w:rFonts w:ascii="Palatino Linotype" w:hAnsi="Palatino Linotype" w:cs="Arial"/>
          <w:sz w:val="22"/>
          <w:szCs w:val="22"/>
        </w:rPr>
        <w:t>;</w:t>
      </w:r>
    </w:p>
    <w:p w:rsidR="00FC6C9A" w:rsidRPr="00133690" w:rsidRDefault="00FC6C9A" w:rsidP="00FC6C9A">
      <w:pPr>
        <w:pStyle w:val="Prrafodelista"/>
        <w:suppressAutoHyphens w:val="0"/>
        <w:spacing w:after="240" w:line="276" w:lineRule="auto"/>
        <w:ind w:left="567" w:hanging="567"/>
        <w:contextualSpacing/>
        <w:jc w:val="both"/>
        <w:rPr>
          <w:rFonts w:ascii="Palatino Linotype" w:hAnsi="Palatino Linotype" w:cs="Arial"/>
          <w:sz w:val="22"/>
          <w:szCs w:val="22"/>
        </w:rPr>
      </w:pPr>
      <w:r w:rsidRPr="00133690">
        <w:rPr>
          <w:rFonts w:ascii="Palatino Linotype" w:hAnsi="Palatino Linotype" w:cs="Arial"/>
          <w:b/>
          <w:sz w:val="22"/>
          <w:szCs w:val="22"/>
        </w:rPr>
        <w:t>Que,</w:t>
      </w:r>
      <w:r w:rsidRPr="00133690">
        <w:rPr>
          <w:rFonts w:ascii="Palatino Linotype" w:hAnsi="Palatino Linotype" w:cs="Arial"/>
          <w:sz w:val="22"/>
          <w:szCs w:val="22"/>
        </w:rPr>
        <w:t xml:space="preserve"> </w:t>
      </w:r>
      <w:r w:rsidR="00133690">
        <w:rPr>
          <w:rFonts w:ascii="Palatino Linotype" w:hAnsi="Palatino Linotype" w:cs="Arial"/>
          <w:sz w:val="22"/>
          <w:szCs w:val="22"/>
        </w:rPr>
        <w:tab/>
      </w:r>
      <w:r w:rsidRPr="00133690">
        <w:rPr>
          <w:rFonts w:ascii="Palatino Linotype" w:hAnsi="Palatino Linotype" w:cs="Arial"/>
          <w:sz w:val="22"/>
          <w:szCs w:val="22"/>
        </w:rPr>
        <w:t xml:space="preserve">el 26 de </w:t>
      </w:r>
      <w:r w:rsidR="00CF3CF2">
        <w:rPr>
          <w:rFonts w:ascii="Palatino Linotype" w:hAnsi="Palatino Linotype" w:cs="Arial"/>
          <w:sz w:val="22"/>
          <w:szCs w:val="22"/>
        </w:rPr>
        <w:t>a</w:t>
      </w:r>
      <w:r w:rsidRPr="00133690">
        <w:rPr>
          <w:rFonts w:ascii="Palatino Linotype" w:hAnsi="Palatino Linotype" w:cs="Arial"/>
          <w:sz w:val="22"/>
          <w:szCs w:val="22"/>
        </w:rPr>
        <w:t>gosto de 2015, con ticket No. 2015-142280</w:t>
      </w:r>
      <w:r w:rsidR="00133690">
        <w:rPr>
          <w:rFonts w:ascii="Palatino Linotype" w:hAnsi="Palatino Linotype" w:cs="Arial"/>
          <w:sz w:val="22"/>
          <w:szCs w:val="22"/>
        </w:rPr>
        <w:t>,</w:t>
      </w:r>
      <w:r w:rsidRPr="00133690">
        <w:rPr>
          <w:rFonts w:ascii="Palatino Linotype" w:hAnsi="Palatino Linotype" w:cs="Arial"/>
          <w:sz w:val="22"/>
          <w:szCs w:val="22"/>
        </w:rPr>
        <w:t xml:space="preserve"> ingresó a la Secretaría de Territorio, Hábitat y Vivienda, la solicitud para la aprobación del proyecto especial denominado </w:t>
      </w:r>
      <w:r w:rsidRPr="00133690">
        <w:rPr>
          <w:rFonts w:ascii="Palatino Linotype" w:hAnsi="Palatino Linotype"/>
          <w:sz w:val="22"/>
          <w:szCs w:val="22"/>
          <w:lang w:val="es-EC"/>
        </w:rPr>
        <w:t xml:space="preserve">Centro de Convenciones Metropolitano de la ciudad de Quito, cuyo promotor es </w:t>
      </w:r>
      <w:r w:rsidRPr="00133690">
        <w:rPr>
          <w:rFonts w:ascii="Palatino Linotype" w:hAnsi="Palatino Linotype" w:cs="Arial"/>
          <w:sz w:val="22"/>
          <w:szCs w:val="22"/>
        </w:rPr>
        <w:t>la Empresa Pública Metropolitana de Gestión de Destino Turístico (Quito Turismo), en base a la resolución de Alcaldía No. A 0002 del 30 de enero de 2013, proyecto expuesto el día lunes 7 de septiembre de 2015 ante la Mesa Técnica PUAE</w:t>
      </w:r>
      <w:r w:rsid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00133690">
        <w:rPr>
          <w:rFonts w:ascii="Palatino Linotype" w:hAnsi="Palatino Linotype" w:cs="Arial"/>
          <w:sz w:val="22"/>
          <w:szCs w:val="22"/>
        </w:rPr>
        <w:tab/>
      </w:r>
      <w:r w:rsidRPr="00133690">
        <w:rPr>
          <w:rFonts w:ascii="Palatino Linotype" w:hAnsi="Palatino Linotype" w:cs="Arial"/>
          <w:sz w:val="22"/>
          <w:szCs w:val="22"/>
        </w:rPr>
        <w:t xml:space="preserve">el día miércoles 9 de septiembre de 2015, la Mesa Técnica PUAE conformada por los titulares de las Secretarías Generales de Planificación y Coordinación Territorial y Participación Ciudadana; Secretarías de Territorio, Hábitat y Vivienda, Ambiente, Desarrollo Productivo y Movilidad, según lo establecido en las resoluciones STHV-RT No. 008 del 27 de </w:t>
      </w:r>
      <w:r w:rsidR="008C313E">
        <w:rPr>
          <w:rFonts w:ascii="Palatino Linotype" w:hAnsi="Palatino Linotype" w:cs="Arial"/>
          <w:sz w:val="22"/>
          <w:szCs w:val="22"/>
        </w:rPr>
        <w:t>d</w:t>
      </w:r>
      <w:r w:rsidRPr="00133690">
        <w:rPr>
          <w:rFonts w:ascii="Palatino Linotype" w:hAnsi="Palatino Linotype" w:cs="Arial"/>
          <w:sz w:val="22"/>
          <w:szCs w:val="22"/>
        </w:rPr>
        <w:t xml:space="preserve">iciembre de 2013 y No. 011 del 11 de </w:t>
      </w:r>
      <w:r w:rsidR="008C313E">
        <w:rPr>
          <w:rFonts w:ascii="Palatino Linotype" w:hAnsi="Palatino Linotype" w:cs="Arial"/>
          <w:sz w:val="22"/>
          <w:szCs w:val="22"/>
        </w:rPr>
        <w:t>j</w:t>
      </w:r>
      <w:r w:rsidRPr="00133690">
        <w:rPr>
          <w:rFonts w:ascii="Palatino Linotype" w:hAnsi="Palatino Linotype" w:cs="Arial"/>
          <w:sz w:val="22"/>
          <w:szCs w:val="22"/>
        </w:rPr>
        <w:t>ulio de 2014; realizó la sesión de deliberación sobre la viabilidad del proyecto Centro de Convenciones Metropolitano de la Ciudad de Quito, resolviendo determinar al proyecto Centro de Convenciones Metropolitano de la Ciudad de Quito viable con observaciones</w:t>
      </w:r>
      <w:r w:rsidR="00133690">
        <w:rPr>
          <w:rFonts w:ascii="Palatino Linotype" w:hAnsi="Palatino Linotype" w:cs="Arial"/>
          <w:sz w:val="22"/>
          <w:szCs w:val="22"/>
        </w:rPr>
        <w:t>;</w:t>
      </w:r>
      <w:r w:rsidRPr="00133690">
        <w:rPr>
          <w:rFonts w:ascii="Palatino Linotype" w:hAnsi="Palatino Linotype" w:cs="Arial"/>
          <w:sz w:val="22"/>
          <w:szCs w:val="22"/>
        </w:rPr>
        <w:t xml:space="preserve"> </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00133690">
        <w:rPr>
          <w:rFonts w:ascii="Palatino Linotype" w:hAnsi="Palatino Linotype" w:cs="Arial"/>
          <w:sz w:val="22"/>
          <w:szCs w:val="22"/>
        </w:rPr>
        <w:tab/>
      </w:r>
      <w:r w:rsidRPr="00133690">
        <w:rPr>
          <w:rFonts w:ascii="Palatino Linotype" w:hAnsi="Palatino Linotype" w:cs="Arial"/>
          <w:sz w:val="22"/>
          <w:szCs w:val="22"/>
        </w:rPr>
        <w:t xml:space="preserve">mediante informe técnico No. SM-151/15, contenido en el oficio No. SM 2291, del 22 de septiembre de 2015, la Secretaría de Movilidad, aprueba el </w:t>
      </w:r>
      <w:r w:rsidR="006E5C83">
        <w:rPr>
          <w:rFonts w:ascii="Palatino Linotype" w:hAnsi="Palatino Linotype" w:cs="Arial"/>
          <w:sz w:val="22"/>
          <w:szCs w:val="22"/>
        </w:rPr>
        <w:t xml:space="preserve">estudio de impacto a la movilidad del </w:t>
      </w:r>
      <w:r w:rsidR="008C313E">
        <w:rPr>
          <w:rFonts w:ascii="Palatino Linotype" w:hAnsi="Palatino Linotype" w:cs="Arial"/>
          <w:sz w:val="22"/>
          <w:szCs w:val="22"/>
        </w:rPr>
        <w:t xml:space="preserve">proyecto </w:t>
      </w:r>
      <w:r w:rsidRPr="00133690">
        <w:rPr>
          <w:rFonts w:ascii="Palatino Linotype" w:hAnsi="Palatino Linotype" w:cs="Arial"/>
          <w:sz w:val="22"/>
          <w:szCs w:val="22"/>
        </w:rPr>
        <w:t>Centro de Convenciones Metropolitano de la Ciudad de Quito a nivel de plan masa</w:t>
      </w:r>
      <w:r w:rsid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00133690">
        <w:rPr>
          <w:rFonts w:ascii="Palatino Linotype" w:hAnsi="Palatino Linotype" w:cs="Arial"/>
          <w:sz w:val="22"/>
          <w:szCs w:val="22"/>
        </w:rPr>
        <w:t xml:space="preserve"> </w:t>
      </w:r>
      <w:r w:rsidR="00133690">
        <w:rPr>
          <w:rFonts w:ascii="Palatino Linotype" w:hAnsi="Palatino Linotype" w:cs="Arial"/>
          <w:sz w:val="22"/>
          <w:szCs w:val="22"/>
        </w:rPr>
        <w:tab/>
      </w:r>
      <w:r w:rsidRPr="00133690">
        <w:rPr>
          <w:rFonts w:ascii="Palatino Linotype" w:hAnsi="Palatino Linotype" w:cs="Arial"/>
          <w:sz w:val="22"/>
          <w:szCs w:val="22"/>
        </w:rPr>
        <w:t>mediante oficio STHV-DMPPS-4560-2015, del 23 de septiembre de 2015, la Secretaría de Territorio, Hábitat y Vivienda informa a la Empresa Pública Metropolitana de Gestión de Destino Turístico (Quito Turismo) la resolución de la Mesa Técnica de PUAE, sobre la viabilidad del proyecto Centro de Convenciones Metropolitano de la Ciudad de Quito</w:t>
      </w:r>
      <w:r w:rsidR="00133690">
        <w:rPr>
          <w:rFonts w:ascii="Palatino Linotype" w:hAnsi="Palatino Linotype" w:cs="Arial"/>
          <w:sz w:val="22"/>
          <w:szCs w:val="22"/>
        </w:rPr>
        <w:t>;</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00133690">
        <w:rPr>
          <w:rFonts w:ascii="Palatino Linotype" w:hAnsi="Palatino Linotype" w:cs="Arial"/>
          <w:sz w:val="22"/>
          <w:szCs w:val="22"/>
        </w:rPr>
        <w:tab/>
      </w:r>
      <w:r w:rsidRPr="00133690">
        <w:rPr>
          <w:rFonts w:ascii="Palatino Linotype" w:hAnsi="Palatino Linotype" w:cs="Arial"/>
          <w:sz w:val="22"/>
          <w:szCs w:val="22"/>
        </w:rPr>
        <w:t xml:space="preserve">mediante oficio No. SA-POL-5960, del 24 de </w:t>
      </w:r>
      <w:r w:rsidR="00283A09">
        <w:rPr>
          <w:rFonts w:ascii="Palatino Linotype" w:hAnsi="Palatino Linotype" w:cs="Arial"/>
          <w:sz w:val="22"/>
          <w:szCs w:val="22"/>
        </w:rPr>
        <w:t>septiembre de 2015, la Secretarí</w:t>
      </w:r>
      <w:r w:rsidRPr="00133690">
        <w:rPr>
          <w:rFonts w:ascii="Palatino Linotype" w:hAnsi="Palatino Linotype" w:cs="Arial"/>
          <w:sz w:val="22"/>
          <w:szCs w:val="22"/>
        </w:rPr>
        <w:t xml:space="preserve">a de Ambiente remite el informe de viabilidad del proyecto Centro de Convenciones Metropolitano de la </w:t>
      </w:r>
      <w:r w:rsidRPr="00133690">
        <w:rPr>
          <w:rFonts w:ascii="Palatino Linotype" w:hAnsi="Palatino Linotype" w:cs="Arial"/>
          <w:sz w:val="22"/>
          <w:szCs w:val="22"/>
        </w:rPr>
        <w:lastRenderedPageBreak/>
        <w:t>Ciudad de Quito, informando el cumplimiento de los requerimientos establecidos por la Secretaría de Ambiente</w:t>
      </w:r>
      <w:r w:rsidR="00133690">
        <w:rPr>
          <w:rFonts w:ascii="Palatino Linotype" w:hAnsi="Palatino Linotype" w:cs="Arial"/>
          <w:sz w:val="22"/>
          <w:szCs w:val="22"/>
        </w:rPr>
        <w:t>;</w:t>
      </w:r>
      <w:r w:rsidR="00485EFC">
        <w:rPr>
          <w:rFonts w:ascii="Palatino Linotype" w:hAnsi="Palatino Linotype" w:cs="Arial"/>
          <w:sz w:val="22"/>
          <w:szCs w:val="22"/>
        </w:rPr>
        <w:t xml:space="preserve"> y,</w:t>
      </w:r>
    </w:p>
    <w:p w:rsidR="00FC6C9A" w:rsidRPr="00133690" w:rsidRDefault="00FC6C9A" w:rsidP="00FC6C9A">
      <w:pPr>
        <w:spacing w:after="240" w:line="276" w:lineRule="auto"/>
        <w:ind w:left="567" w:hanging="567"/>
        <w:jc w:val="both"/>
        <w:rPr>
          <w:rFonts w:ascii="Palatino Linotype" w:hAnsi="Palatino Linotype" w:cs="Arial"/>
          <w:sz w:val="22"/>
          <w:szCs w:val="22"/>
        </w:rPr>
      </w:pPr>
      <w:r w:rsidRPr="00133690">
        <w:rPr>
          <w:rFonts w:ascii="Palatino Linotype" w:hAnsi="Palatino Linotype" w:cs="Arial"/>
          <w:b/>
          <w:sz w:val="22"/>
          <w:szCs w:val="22"/>
        </w:rPr>
        <w:t>Que,</w:t>
      </w:r>
      <w:r w:rsidR="00133690">
        <w:rPr>
          <w:rFonts w:ascii="Palatino Linotype" w:hAnsi="Palatino Linotype" w:cs="Arial"/>
          <w:sz w:val="22"/>
          <w:szCs w:val="22"/>
        </w:rPr>
        <w:tab/>
      </w:r>
      <w:r w:rsidRPr="00133690">
        <w:rPr>
          <w:rFonts w:ascii="Palatino Linotype" w:hAnsi="Palatino Linotype" w:cs="Arial"/>
          <w:sz w:val="22"/>
          <w:szCs w:val="22"/>
        </w:rPr>
        <w:t>el día lunes 28 de septiembre de 2015, la Empresa Pública Metropolitana de Gestión de Destino Turístico (Quito Turismo), con ticket No. 2015-161154 reingresa a la Secretaría de Territorio, Hábitat y Vivienda el expediente del proyecto Centro de Convenciones Metropolitano de la Ciudad de Quito, acogiendo las observaciones realizadas en el oficio STHV-DMPPS-4560-2015, del 23 de septiembre de 2015.</w:t>
      </w:r>
    </w:p>
    <w:p w:rsidR="00FC6C9A" w:rsidRPr="00133690" w:rsidRDefault="00FC6C9A" w:rsidP="00FC6C9A">
      <w:pPr>
        <w:spacing w:after="240" w:line="276" w:lineRule="auto"/>
        <w:jc w:val="both"/>
        <w:rPr>
          <w:rFonts w:ascii="Palatino Linotype" w:hAnsi="Palatino Linotype" w:cs="Arial"/>
          <w:b/>
          <w:sz w:val="22"/>
          <w:szCs w:val="22"/>
        </w:rPr>
      </w:pPr>
      <w:r w:rsidRPr="00133690">
        <w:rPr>
          <w:rFonts w:ascii="Palatino Linotype" w:hAnsi="Palatino Linotype" w:cs="Arial"/>
          <w:b/>
          <w:sz w:val="22"/>
          <w:szCs w:val="22"/>
        </w:rPr>
        <w:t>En ejercicio de sus atribuciones constantes en el numeral 1 de los artículos Nos. 240 y 264 de la Constitución de la República del Ecuador; 54 y 57 letras a) y x) del Código Orgánico de Organización Territorial, Autonomía y Descentralización; y, artículo No. 26 de la Ordenanza Metropolitana No. 172;</w:t>
      </w:r>
    </w:p>
    <w:p w:rsidR="00FC6C9A" w:rsidRPr="00133690" w:rsidRDefault="00FC6C9A" w:rsidP="00FC6C9A">
      <w:pPr>
        <w:spacing w:after="240" w:line="276" w:lineRule="auto"/>
        <w:ind w:right="-1"/>
        <w:jc w:val="center"/>
        <w:rPr>
          <w:rFonts w:ascii="Palatino Linotype" w:hAnsi="Palatino Linotype"/>
          <w:b/>
          <w:sz w:val="22"/>
          <w:szCs w:val="22"/>
        </w:rPr>
      </w:pPr>
      <w:r w:rsidRPr="00133690">
        <w:rPr>
          <w:rFonts w:ascii="Palatino Linotype" w:hAnsi="Palatino Linotype"/>
          <w:b/>
          <w:sz w:val="22"/>
          <w:szCs w:val="22"/>
        </w:rPr>
        <w:t>EXPIDE</w:t>
      </w:r>
      <w:r w:rsidR="00133690">
        <w:rPr>
          <w:rFonts w:ascii="Palatino Linotype" w:hAnsi="Palatino Linotype"/>
          <w:b/>
          <w:sz w:val="22"/>
          <w:szCs w:val="22"/>
        </w:rPr>
        <w:t xml:space="preserve"> LA SIGUIENTE</w:t>
      </w:r>
      <w:r w:rsidRPr="00133690">
        <w:rPr>
          <w:rFonts w:ascii="Palatino Linotype" w:hAnsi="Palatino Linotype"/>
          <w:b/>
          <w:sz w:val="22"/>
          <w:szCs w:val="22"/>
        </w:rPr>
        <w:t>:</w:t>
      </w:r>
    </w:p>
    <w:p w:rsidR="00FC6C9A" w:rsidRPr="00133690" w:rsidRDefault="00FC6C9A" w:rsidP="00FC6C9A">
      <w:pPr>
        <w:spacing w:after="240" w:line="276" w:lineRule="auto"/>
        <w:jc w:val="center"/>
        <w:rPr>
          <w:rFonts w:ascii="Palatino Linotype" w:hAnsi="Palatino Linotype"/>
          <w:b/>
          <w:sz w:val="22"/>
          <w:szCs w:val="22"/>
          <w:lang w:val="es-EC"/>
        </w:rPr>
      </w:pPr>
      <w:r w:rsidRPr="00133690">
        <w:rPr>
          <w:rFonts w:ascii="Palatino Linotype" w:hAnsi="Palatino Linotype"/>
          <w:b/>
          <w:sz w:val="22"/>
          <w:szCs w:val="22"/>
          <w:lang w:val="es-EC"/>
        </w:rPr>
        <w:t>ORDENANZA DEL PROYECTO URBANÍSTICO ARQUITECTÓNICO ESPECIAL</w:t>
      </w:r>
      <w:r w:rsidR="00133690">
        <w:rPr>
          <w:rFonts w:ascii="Palatino Linotype" w:hAnsi="Palatino Linotype"/>
          <w:b/>
          <w:sz w:val="22"/>
          <w:szCs w:val="22"/>
          <w:lang w:val="es-EC"/>
        </w:rPr>
        <w:t xml:space="preserve"> </w:t>
      </w:r>
      <w:r w:rsidRPr="00133690">
        <w:rPr>
          <w:rFonts w:ascii="Palatino Linotype" w:hAnsi="Palatino Linotype"/>
          <w:b/>
          <w:sz w:val="22"/>
          <w:szCs w:val="22"/>
          <w:lang w:val="es-EC"/>
        </w:rPr>
        <w:t>“CENTRO DE CONVENCIONES METROPOLITANO DE LA CIUDAD DE QUITO”</w:t>
      </w:r>
    </w:p>
    <w:p w:rsidR="00FC6C9A" w:rsidRPr="00133690" w:rsidRDefault="00FC6C9A" w:rsidP="00FC6C9A">
      <w:pPr>
        <w:spacing w:after="240" w:line="276" w:lineRule="auto"/>
        <w:jc w:val="center"/>
        <w:rPr>
          <w:rFonts w:ascii="Palatino Linotype" w:hAnsi="Palatino Linotype"/>
          <w:b/>
          <w:sz w:val="22"/>
          <w:szCs w:val="22"/>
          <w:lang w:val="es-EC"/>
        </w:rPr>
      </w:pPr>
      <w:r w:rsidRPr="00133690">
        <w:rPr>
          <w:rFonts w:ascii="Palatino Linotype" w:hAnsi="Palatino Linotype"/>
          <w:b/>
          <w:sz w:val="22"/>
          <w:szCs w:val="22"/>
          <w:lang w:val="es-EC"/>
        </w:rPr>
        <w:t>CAPÍTULO I</w:t>
      </w:r>
    </w:p>
    <w:p w:rsidR="00FC6C9A" w:rsidRPr="00133690" w:rsidRDefault="00FC6C9A" w:rsidP="00FC6C9A">
      <w:pPr>
        <w:spacing w:after="240" w:line="276" w:lineRule="auto"/>
        <w:jc w:val="center"/>
        <w:rPr>
          <w:rFonts w:ascii="Palatino Linotype" w:hAnsi="Palatino Linotype"/>
          <w:b/>
          <w:sz w:val="22"/>
          <w:szCs w:val="22"/>
          <w:lang w:val="es-EC"/>
        </w:rPr>
      </w:pPr>
      <w:r w:rsidRPr="00133690">
        <w:rPr>
          <w:rFonts w:ascii="Palatino Linotype" w:hAnsi="Palatino Linotype"/>
          <w:b/>
          <w:sz w:val="22"/>
          <w:szCs w:val="22"/>
          <w:lang w:val="es-EC"/>
        </w:rPr>
        <w:t>CONSIDERACIONES GENERALES</w:t>
      </w:r>
    </w:p>
    <w:p w:rsidR="00FC6C9A" w:rsidRPr="00133690" w:rsidRDefault="00FC6C9A" w:rsidP="00FC6C9A">
      <w:pPr>
        <w:pStyle w:val="Textodebloque"/>
        <w:spacing w:after="240" w:line="276" w:lineRule="auto"/>
        <w:ind w:left="0" w:right="-1" w:firstLine="0"/>
        <w:rPr>
          <w:rFonts w:ascii="Palatino Linotype" w:hAnsi="Palatino Linotype"/>
          <w:b/>
          <w:bCs/>
          <w:lang w:val="es-EC"/>
        </w:rPr>
      </w:pPr>
      <w:r w:rsidRPr="00133690">
        <w:rPr>
          <w:rFonts w:ascii="Palatino Linotype" w:eastAsia="Arial Unicode MS" w:hAnsi="Palatino Linotype"/>
          <w:b/>
          <w:kern w:val="1"/>
          <w:lang w:val="es-EC" w:eastAsia="ar-SA"/>
        </w:rPr>
        <w:t>Artículo 1.-</w:t>
      </w:r>
      <w:r w:rsidR="00133690">
        <w:rPr>
          <w:rFonts w:ascii="Palatino Linotype" w:eastAsia="Arial Unicode MS" w:hAnsi="Palatino Linotype"/>
          <w:b/>
          <w:kern w:val="1"/>
          <w:lang w:val="es-EC" w:eastAsia="ar-SA"/>
        </w:rPr>
        <w:t xml:space="preserve"> </w:t>
      </w:r>
      <w:r w:rsidRPr="00133690">
        <w:rPr>
          <w:rFonts w:ascii="Palatino Linotype" w:hAnsi="Palatino Linotype"/>
          <w:b/>
          <w:lang w:val="es-EC"/>
        </w:rPr>
        <w:t>Objeto.-</w:t>
      </w:r>
      <w:r w:rsidRPr="00133690">
        <w:rPr>
          <w:rFonts w:ascii="Palatino Linotype" w:hAnsi="Palatino Linotype"/>
          <w:lang w:val="es-EC"/>
        </w:rPr>
        <w:t xml:space="preserve"> </w:t>
      </w:r>
      <w:r w:rsidRPr="00133690">
        <w:rPr>
          <w:rFonts w:ascii="Palatino Linotype" w:eastAsia="Arial Unicode MS" w:hAnsi="Palatino Linotype"/>
          <w:kern w:val="1"/>
          <w:lang w:val="es-EC" w:eastAsia="ar-SA"/>
        </w:rPr>
        <w:t>Establecer las regulaciones de uso y ocupación del suelo, aplicables para el Proyecto</w:t>
      </w:r>
      <w:r w:rsidRPr="00133690">
        <w:rPr>
          <w:rFonts w:ascii="Palatino Linotype" w:hAnsi="Palatino Linotype"/>
          <w:lang w:val="es-EC"/>
        </w:rPr>
        <w:t xml:space="preserve"> </w:t>
      </w:r>
      <w:r w:rsidRPr="00133690">
        <w:rPr>
          <w:rFonts w:ascii="Palatino Linotype" w:eastAsia="Arial Unicode MS" w:hAnsi="Palatino Linotype"/>
          <w:kern w:val="1"/>
          <w:lang w:val="es-EC" w:eastAsia="ar-SA"/>
        </w:rPr>
        <w:t>Urbanístico Arquitectónico Especial “Centro de Convenciones Metropolitano de la Ciudad de Quito”.</w:t>
      </w:r>
    </w:p>
    <w:p w:rsidR="00FC6C9A" w:rsidRPr="00133690" w:rsidRDefault="00FC6C9A" w:rsidP="00FC6C9A">
      <w:pPr>
        <w:pStyle w:val="Textodebloque"/>
        <w:spacing w:after="240" w:line="276" w:lineRule="auto"/>
        <w:ind w:left="0" w:right="-1" w:firstLine="0"/>
        <w:rPr>
          <w:rFonts w:ascii="Palatino Linotype" w:hAnsi="Palatino Linotype"/>
          <w:b/>
          <w:bCs/>
          <w:lang w:val="es-EC"/>
        </w:rPr>
      </w:pPr>
      <w:r w:rsidRPr="00133690">
        <w:rPr>
          <w:rFonts w:ascii="Palatino Linotype" w:hAnsi="Palatino Linotype"/>
          <w:b/>
          <w:lang w:val="es-EC"/>
        </w:rPr>
        <w:t>Artículo 2.-</w:t>
      </w:r>
      <w:r w:rsidR="00133690">
        <w:rPr>
          <w:rFonts w:ascii="Palatino Linotype" w:hAnsi="Palatino Linotype"/>
          <w:b/>
          <w:lang w:val="es-EC"/>
        </w:rPr>
        <w:t xml:space="preserve"> </w:t>
      </w:r>
      <w:r w:rsidRPr="00133690">
        <w:rPr>
          <w:rFonts w:ascii="Palatino Linotype" w:hAnsi="Palatino Linotype"/>
          <w:b/>
          <w:lang w:val="es-EC"/>
        </w:rPr>
        <w:t>Ubicación, áreas y estado de propiedad.-</w:t>
      </w:r>
      <w:r w:rsidRPr="00133690">
        <w:rPr>
          <w:rFonts w:ascii="Palatino Linotype" w:hAnsi="Palatino Linotype"/>
          <w:lang w:val="es-EC"/>
        </w:rPr>
        <w:t xml:space="preserve"> El Proyecto Urbanístico Arquitectónico Especial “Centro de Convenciones Metropolitano de la Ciudad de Quito” se edificará en el lote con predio No. 3553162 con clave catastral N° 12004–01–002 de propiedad del Municipio del Distrito Metropolitano con una superficie de 114.000,00m</w:t>
      </w:r>
      <w:r w:rsidRPr="00133690">
        <w:rPr>
          <w:rFonts w:ascii="Palatino Linotype" w:hAnsi="Palatino Linotype"/>
          <w:vertAlign w:val="superscript"/>
          <w:lang w:val="es-EC"/>
        </w:rPr>
        <w:t>2</w:t>
      </w:r>
      <w:r w:rsidRPr="00133690">
        <w:rPr>
          <w:rFonts w:ascii="Palatino Linotype" w:hAnsi="Palatino Linotype"/>
          <w:lang w:val="es-EC"/>
        </w:rPr>
        <w:t xml:space="preserve"> (11.4 Ha), ubicado en la parroquia La Concepción, en la intersección de las extensiones de las avenidas Amazonas y Florida, parte del complejo urbanístico del Parque Bicentenario.</w:t>
      </w:r>
    </w:p>
    <w:p w:rsidR="00FC6C9A" w:rsidRPr="00133690" w:rsidRDefault="00FC6C9A" w:rsidP="00FC6C9A">
      <w:pPr>
        <w:pStyle w:val="Textodebloque"/>
        <w:spacing w:after="240" w:line="276" w:lineRule="auto"/>
        <w:ind w:left="0" w:right="-1" w:firstLine="0"/>
        <w:rPr>
          <w:rFonts w:ascii="Palatino Linotype" w:eastAsia="Arial Unicode MS" w:hAnsi="Palatino Linotype"/>
          <w:kern w:val="1"/>
          <w:lang w:val="es-EC" w:eastAsia="ar-SA"/>
        </w:rPr>
      </w:pPr>
      <w:r w:rsidRPr="00133690">
        <w:rPr>
          <w:rFonts w:ascii="Palatino Linotype" w:hAnsi="Palatino Linotype"/>
          <w:b/>
        </w:rPr>
        <w:t xml:space="preserve">Artículo 3.- Objetivo </w:t>
      </w:r>
      <w:r w:rsidR="00133690">
        <w:rPr>
          <w:rFonts w:ascii="Palatino Linotype" w:hAnsi="Palatino Linotype"/>
          <w:b/>
        </w:rPr>
        <w:t>g</w:t>
      </w:r>
      <w:r w:rsidRPr="00133690">
        <w:rPr>
          <w:rFonts w:ascii="Palatino Linotype" w:hAnsi="Palatino Linotype"/>
          <w:b/>
        </w:rPr>
        <w:t xml:space="preserve">eneral.- </w:t>
      </w:r>
      <w:r w:rsidRPr="00133690">
        <w:rPr>
          <w:rFonts w:ascii="Palatino Linotype" w:eastAsia="Arial Unicode MS" w:hAnsi="Palatino Linotype"/>
          <w:kern w:val="1"/>
          <w:lang w:val="es-EC" w:eastAsia="ar-SA"/>
        </w:rPr>
        <w:t>Generar</w:t>
      </w:r>
      <w:r w:rsidRPr="00133690">
        <w:rPr>
          <w:rFonts w:ascii="Palatino Linotype" w:hAnsi="Palatino Linotype"/>
          <w:lang w:val="es-EC"/>
        </w:rPr>
        <w:t xml:space="preserve"> una infraestructura que posicione a Quito en el escenario internacional de congresos y convenciones e impulse la centralidad urbana de carácter global denominada Bicentenario, a través de un programa arquitectónico y urbano que diversifique los usos </w:t>
      </w:r>
      <w:r w:rsidRPr="00133690">
        <w:rPr>
          <w:rFonts w:ascii="Palatino Linotype" w:hAnsi="Palatino Linotype"/>
          <w:lang w:val="es-EC"/>
        </w:rPr>
        <w:lastRenderedPageBreak/>
        <w:t>y  actividades del sector, proponga una primera imagen edilicia del nuevo desarrollo urbano de esta centralidad y atraiga a otras inversiones que encaminen la renovación urbana del entorno del parque.</w:t>
      </w:r>
    </w:p>
    <w:p w:rsidR="00FC6C9A" w:rsidRPr="00133690" w:rsidRDefault="00FC6C9A" w:rsidP="00FC6C9A">
      <w:pPr>
        <w:pStyle w:val="Textodebloque"/>
        <w:spacing w:after="240" w:line="276" w:lineRule="auto"/>
        <w:ind w:left="0" w:right="-1" w:firstLine="0"/>
        <w:rPr>
          <w:rFonts w:ascii="Palatino Linotype" w:eastAsia="Arial Unicode MS" w:hAnsi="Palatino Linotype"/>
          <w:kern w:val="1"/>
          <w:lang w:val="es-EC" w:eastAsia="ar-SA"/>
        </w:rPr>
      </w:pPr>
      <w:r w:rsidRPr="00133690">
        <w:rPr>
          <w:rFonts w:ascii="Palatino Linotype" w:eastAsia="Arial Unicode MS" w:hAnsi="Palatino Linotype"/>
          <w:b/>
          <w:kern w:val="1"/>
          <w:lang w:val="es-EC" w:eastAsia="ar-SA"/>
        </w:rPr>
        <w:t xml:space="preserve">Artículo 4.- Objetivos </w:t>
      </w:r>
      <w:r w:rsidR="00133690">
        <w:rPr>
          <w:rFonts w:ascii="Palatino Linotype" w:eastAsia="Arial Unicode MS" w:hAnsi="Palatino Linotype"/>
          <w:b/>
          <w:kern w:val="1"/>
          <w:lang w:val="es-EC" w:eastAsia="ar-SA"/>
        </w:rPr>
        <w:t>e</w:t>
      </w:r>
      <w:r w:rsidRPr="00133690">
        <w:rPr>
          <w:rFonts w:ascii="Palatino Linotype" w:eastAsia="Arial Unicode MS" w:hAnsi="Palatino Linotype"/>
          <w:b/>
          <w:kern w:val="1"/>
          <w:lang w:val="es-EC" w:eastAsia="ar-SA"/>
        </w:rPr>
        <w:t xml:space="preserve">specíficos.- </w:t>
      </w:r>
      <w:r w:rsidRPr="00133690">
        <w:rPr>
          <w:rFonts w:ascii="Palatino Linotype" w:eastAsia="Arial Unicode MS" w:hAnsi="Palatino Linotype"/>
          <w:kern w:val="1"/>
          <w:lang w:val="es-EC" w:eastAsia="ar-SA"/>
        </w:rPr>
        <w:t>El Proyecto</w:t>
      </w:r>
      <w:r w:rsidRPr="00133690">
        <w:rPr>
          <w:rFonts w:ascii="Palatino Linotype" w:hAnsi="Palatino Linotype"/>
          <w:lang w:val="es-EC"/>
        </w:rPr>
        <w:t xml:space="preserve"> </w:t>
      </w:r>
      <w:r w:rsidRPr="00133690">
        <w:rPr>
          <w:rFonts w:ascii="Palatino Linotype" w:eastAsia="Arial Unicode MS" w:hAnsi="Palatino Linotype"/>
          <w:kern w:val="1"/>
          <w:lang w:val="es-EC" w:eastAsia="ar-SA"/>
        </w:rPr>
        <w:t xml:space="preserve">Urbanístico Arquitectónico Especial “Centro de Convenciones Metropolitano de la Ciudad de Quito” persigue los siguientes objetivos específicos: </w:t>
      </w:r>
    </w:p>
    <w:p w:rsidR="00FC6C9A" w:rsidRPr="00133690" w:rsidRDefault="00FC6C9A" w:rsidP="00FC6C9A">
      <w:pPr>
        <w:pStyle w:val="Textodebloque"/>
        <w:numPr>
          <w:ilvl w:val="0"/>
          <w:numId w:val="10"/>
        </w:numPr>
        <w:spacing w:after="240" w:line="276" w:lineRule="auto"/>
        <w:ind w:right="-1"/>
        <w:rPr>
          <w:rFonts w:ascii="Palatino Linotype" w:hAnsi="Palatino Linotype"/>
          <w:b/>
          <w:bCs/>
          <w:lang w:val="es-EC"/>
        </w:rPr>
      </w:pPr>
      <w:r w:rsidRPr="00133690">
        <w:rPr>
          <w:rFonts w:ascii="Palatino Linotype" w:hAnsi="Palatino Linotype"/>
          <w:lang w:val="es-EC"/>
        </w:rPr>
        <w:t>Dotar a la ciudad con un equipamiento de interés general capaz de competir en el</w:t>
      </w:r>
      <w:r w:rsidRPr="00133690">
        <w:rPr>
          <w:rFonts w:ascii="Palatino Linotype" w:hAnsi="Palatino Linotype"/>
          <w:b/>
          <w:bCs/>
          <w:lang w:val="es-EC"/>
        </w:rPr>
        <w:t xml:space="preserve"> </w:t>
      </w:r>
      <w:r w:rsidRPr="00133690">
        <w:rPr>
          <w:rFonts w:ascii="Palatino Linotype" w:hAnsi="Palatino Linotype"/>
          <w:lang w:val="es-EC"/>
        </w:rPr>
        <w:t>mercado latinoamericano de congresos y convenciones y de ampliar la oferta turística de Quito.</w:t>
      </w:r>
    </w:p>
    <w:p w:rsidR="00FC6C9A" w:rsidRPr="00133690" w:rsidRDefault="00FC6C9A" w:rsidP="00FC6C9A">
      <w:pPr>
        <w:pStyle w:val="Textodebloque"/>
        <w:numPr>
          <w:ilvl w:val="0"/>
          <w:numId w:val="10"/>
        </w:numPr>
        <w:spacing w:after="240" w:line="276" w:lineRule="auto"/>
        <w:ind w:right="-1"/>
        <w:rPr>
          <w:rFonts w:ascii="Palatino Linotype" w:hAnsi="Palatino Linotype"/>
          <w:b/>
          <w:bCs/>
          <w:lang w:val="es-EC"/>
        </w:rPr>
      </w:pPr>
      <w:r w:rsidRPr="00133690">
        <w:rPr>
          <w:rFonts w:ascii="Palatino Linotype" w:hAnsi="Palatino Linotype"/>
          <w:lang w:val="es-EC"/>
        </w:rPr>
        <w:t>Impulsar de desarrollo de la centralidad urbana de escala global denominada Bicentenario.</w:t>
      </w:r>
    </w:p>
    <w:p w:rsidR="00FC6C9A" w:rsidRPr="00133690" w:rsidRDefault="00FC6C9A" w:rsidP="00FC6C9A">
      <w:pPr>
        <w:pStyle w:val="Textodebloque"/>
        <w:numPr>
          <w:ilvl w:val="0"/>
          <w:numId w:val="10"/>
        </w:numPr>
        <w:spacing w:after="240" w:line="276" w:lineRule="auto"/>
        <w:ind w:right="-1"/>
        <w:rPr>
          <w:rFonts w:ascii="Palatino Linotype" w:hAnsi="Palatino Linotype"/>
          <w:b/>
          <w:bCs/>
          <w:lang w:val="es-EC"/>
        </w:rPr>
      </w:pPr>
      <w:r w:rsidRPr="00133690">
        <w:rPr>
          <w:rFonts w:ascii="Palatino Linotype" w:hAnsi="Palatino Linotype"/>
          <w:lang w:val="es-EC"/>
        </w:rPr>
        <w:t>Contribuir en la consolidación de los equipamientos y espacios públicos estratégicos vinculados al parque Bicentenario y su entorno.</w:t>
      </w:r>
    </w:p>
    <w:p w:rsidR="00FC6C9A" w:rsidRPr="00133690" w:rsidRDefault="00FC6C9A" w:rsidP="00FC6C9A">
      <w:pPr>
        <w:tabs>
          <w:tab w:val="left" w:pos="426"/>
        </w:tabs>
        <w:spacing w:after="240" w:line="276" w:lineRule="auto"/>
        <w:jc w:val="both"/>
        <w:rPr>
          <w:rFonts w:ascii="Palatino Linotype" w:hAnsi="Palatino Linotype" w:cs="Calibri"/>
          <w:sz w:val="22"/>
          <w:szCs w:val="22"/>
        </w:rPr>
      </w:pPr>
      <w:r w:rsidRPr="00133690">
        <w:rPr>
          <w:rFonts w:ascii="Palatino Linotype" w:hAnsi="Palatino Linotype"/>
          <w:b/>
          <w:sz w:val="22"/>
          <w:szCs w:val="22"/>
          <w:lang w:val="es-EC"/>
        </w:rPr>
        <w:t>Artículo 5.-</w:t>
      </w:r>
      <w:r w:rsidR="00133690">
        <w:rPr>
          <w:rFonts w:ascii="Palatino Linotype" w:hAnsi="Palatino Linotype"/>
          <w:b/>
          <w:sz w:val="22"/>
          <w:szCs w:val="22"/>
          <w:lang w:val="es-EC"/>
        </w:rPr>
        <w:t xml:space="preserve"> </w:t>
      </w:r>
      <w:r w:rsidRPr="00133690">
        <w:rPr>
          <w:rFonts w:ascii="Palatino Linotype" w:hAnsi="Palatino Linotype"/>
          <w:b/>
          <w:sz w:val="22"/>
          <w:szCs w:val="22"/>
          <w:lang w:val="es-EC"/>
        </w:rPr>
        <w:t xml:space="preserve">Condiciones </w:t>
      </w:r>
      <w:r w:rsidR="00133690">
        <w:rPr>
          <w:rFonts w:ascii="Palatino Linotype" w:hAnsi="Palatino Linotype"/>
          <w:b/>
          <w:sz w:val="22"/>
          <w:szCs w:val="22"/>
          <w:lang w:val="es-EC"/>
        </w:rPr>
        <w:t>u</w:t>
      </w:r>
      <w:r w:rsidRPr="00133690">
        <w:rPr>
          <w:rFonts w:ascii="Palatino Linotype" w:hAnsi="Palatino Linotype"/>
          <w:b/>
          <w:sz w:val="22"/>
          <w:szCs w:val="22"/>
          <w:lang w:val="es-EC"/>
        </w:rPr>
        <w:t xml:space="preserve">rbanísticas </w:t>
      </w:r>
      <w:r w:rsidR="00133690">
        <w:rPr>
          <w:rFonts w:ascii="Palatino Linotype" w:hAnsi="Palatino Linotype"/>
          <w:b/>
          <w:sz w:val="22"/>
          <w:szCs w:val="22"/>
          <w:lang w:val="es-EC"/>
        </w:rPr>
        <w:t>g</w:t>
      </w:r>
      <w:r w:rsidRPr="00133690">
        <w:rPr>
          <w:rFonts w:ascii="Palatino Linotype" w:hAnsi="Palatino Linotype"/>
          <w:b/>
          <w:sz w:val="22"/>
          <w:szCs w:val="22"/>
          <w:lang w:val="es-EC"/>
        </w:rPr>
        <w:t>enerales.-</w:t>
      </w:r>
      <w:r w:rsidRPr="00133690">
        <w:rPr>
          <w:rFonts w:ascii="Palatino Linotype" w:hAnsi="Palatino Linotype"/>
          <w:b/>
          <w:sz w:val="22"/>
          <w:szCs w:val="22"/>
        </w:rPr>
        <w:t xml:space="preserve"> </w:t>
      </w:r>
      <w:r w:rsidRPr="00133690">
        <w:rPr>
          <w:rFonts w:ascii="Palatino Linotype" w:eastAsia="Times New Roman" w:hAnsi="Palatino Linotype"/>
          <w:kern w:val="0"/>
          <w:sz w:val="22"/>
          <w:szCs w:val="22"/>
          <w:lang w:val="es-EC" w:eastAsia="es-ES"/>
        </w:rPr>
        <w:t xml:space="preserve">El proyecto urbanístico arquitectónico especial “Centro de Convenciones Metropolitano de la Ciudad de Quito” se enmarca dentro de las políticas y objetivos del Plan Metropolitano de Desarrollo y Ordenamiento Territorial del Distrito Metropolitano de Quito 2015-2025, el cual establece un modelo de ordenamiento territorial basado en un sistema urbano policéntrico, al tiempo que observa las determinaciones urbano-arquitectónicas establecidas en la ordenanza metropolitana No. 352 </w:t>
      </w:r>
      <w:r w:rsidRPr="00133690">
        <w:rPr>
          <w:rFonts w:ascii="Palatino Linotype" w:hAnsi="Palatino Linotype" w:cs="Arial"/>
          <w:sz w:val="22"/>
          <w:szCs w:val="22"/>
        </w:rPr>
        <w:t>que contiene el Plan Especial Bicentenario para la consolidación del Parque de la Ciudad y el redesarrollo de su entorno urbano</w:t>
      </w:r>
      <w:r w:rsidRPr="00133690">
        <w:rPr>
          <w:rFonts w:ascii="Palatino Linotype" w:eastAsia="Times New Roman" w:hAnsi="Palatino Linotype"/>
          <w:kern w:val="0"/>
          <w:sz w:val="22"/>
          <w:szCs w:val="22"/>
          <w:lang w:val="es-EC" w:eastAsia="es-ES"/>
        </w:rPr>
        <w:t>, generado una oferta diversificada de usos de suelo bajo el siguiente programa.</w:t>
      </w:r>
    </w:p>
    <w:p w:rsidR="00FC6C9A" w:rsidRPr="00133690" w:rsidRDefault="00FC6C9A" w:rsidP="00FC6C9A">
      <w:pPr>
        <w:suppressAutoHyphens w:val="0"/>
        <w:autoSpaceDE w:val="0"/>
        <w:autoSpaceDN w:val="0"/>
        <w:adjustRightInd w:val="0"/>
        <w:spacing w:after="240" w:line="276" w:lineRule="auto"/>
        <w:jc w:val="both"/>
        <w:rPr>
          <w:rFonts w:ascii="Palatino Linotype" w:hAnsi="Palatino Linotype"/>
          <w:b/>
          <w:sz w:val="22"/>
          <w:szCs w:val="22"/>
          <w:lang w:val="es-EC"/>
        </w:rPr>
      </w:pPr>
      <w:r w:rsidRPr="00133690">
        <w:rPr>
          <w:rFonts w:ascii="Palatino Linotype" w:hAnsi="Palatino Linotype"/>
          <w:b/>
          <w:sz w:val="22"/>
          <w:szCs w:val="22"/>
          <w:lang w:val="es-EC"/>
        </w:rPr>
        <w:t>Obras Básicas (edificaciones esenciales):</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Centro de Convenciones: Con un área total de hasta 20.000 m</w:t>
      </w:r>
      <w:r w:rsidRPr="00133690">
        <w:rPr>
          <w:rFonts w:ascii="Palatino Linotype" w:hAnsi="Palatino Linotype"/>
          <w:sz w:val="22"/>
          <w:szCs w:val="22"/>
          <w:vertAlign w:val="superscript"/>
          <w:lang w:val="es-EC"/>
        </w:rPr>
        <w:t>2</w:t>
      </w:r>
    </w:p>
    <w:p w:rsidR="00FC6C9A" w:rsidRPr="00133690" w:rsidRDefault="00FC6C9A" w:rsidP="00FC6C9A">
      <w:pPr>
        <w:numPr>
          <w:ilvl w:val="0"/>
          <w:numId w:val="7"/>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Recinto ferial.</w:t>
      </w:r>
    </w:p>
    <w:p w:rsidR="00FC6C9A" w:rsidRPr="00133690" w:rsidRDefault="00FC6C9A" w:rsidP="00FC6C9A">
      <w:pPr>
        <w:numPr>
          <w:ilvl w:val="0"/>
          <w:numId w:val="7"/>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Área de convenciones y congresos.</w:t>
      </w:r>
    </w:p>
    <w:p w:rsidR="00FC6C9A" w:rsidRPr="00133690" w:rsidRDefault="00FC6C9A" w:rsidP="00FC6C9A">
      <w:pPr>
        <w:numPr>
          <w:ilvl w:val="0"/>
          <w:numId w:val="7"/>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Servicios vinculados al centro de convenciones: oficinas, catering, bodegas, servicios higiénicos, seguridad, etc.</w:t>
      </w:r>
    </w:p>
    <w:p w:rsidR="00FC6C9A" w:rsidRPr="00133690" w:rsidRDefault="00FC6C9A" w:rsidP="00FC6C9A">
      <w:pPr>
        <w:suppressAutoHyphens w:val="0"/>
        <w:autoSpaceDE w:val="0"/>
        <w:autoSpaceDN w:val="0"/>
        <w:adjustRightInd w:val="0"/>
        <w:spacing w:after="240" w:line="276" w:lineRule="auto"/>
        <w:jc w:val="both"/>
        <w:rPr>
          <w:rFonts w:ascii="Palatino Linotype" w:hAnsi="Palatino Linotype"/>
          <w:b/>
          <w:sz w:val="22"/>
          <w:szCs w:val="22"/>
          <w:lang w:val="es-EC"/>
        </w:rPr>
      </w:pPr>
      <w:r w:rsidRPr="00133690">
        <w:rPr>
          <w:rFonts w:ascii="Palatino Linotype" w:hAnsi="Palatino Linotype"/>
          <w:b/>
          <w:sz w:val="22"/>
          <w:szCs w:val="22"/>
          <w:lang w:val="es-EC"/>
        </w:rPr>
        <w:t>Obras o Servicios Complementarios (edificaciones complementarias):</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Cultura:</w:t>
      </w:r>
    </w:p>
    <w:p w:rsidR="00FC6C9A" w:rsidRPr="00133690" w:rsidRDefault="00FC6C9A" w:rsidP="00FC6C9A">
      <w:pPr>
        <w:numPr>
          <w:ilvl w:val="0"/>
          <w:numId w:val="8"/>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lastRenderedPageBreak/>
        <w:t>Mediateca, con un área total de hasta 500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8"/>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Salas de cine especializado, con un área total de hasta 600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8"/>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Centro interactivo u otro equipamiento destinado a la difusión, conocimiento y creación cultural, con un área total de hasta 4.350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Alojamiento hotelero:</w:t>
      </w:r>
    </w:p>
    <w:p w:rsidR="00FC6C9A" w:rsidRPr="00133690" w:rsidRDefault="00FC6C9A" w:rsidP="00FC6C9A">
      <w:pPr>
        <w:numPr>
          <w:ilvl w:val="0"/>
          <w:numId w:val="20"/>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Con un área total de hasta 32.500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Servicios hoteleros:</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Con un área total de hasta 3.400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Centro de Negocios:</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Con un área total de hasta 12.500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Comercios y restaurantes:</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Con un área total de hasta 6.400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Arena de espectáculos:</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Con un área total de hasta 14.100 m</w:t>
      </w:r>
      <w:r w:rsidRPr="00133690">
        <w:rPr>
          <w:rFonts w:ascii="Palatino Linotype" w:hAnsi="Palatino Linotype"/>
          <w:sz w:val="22"/>
          <w:szCs w:val="22"/>
          <w:vertAlign w:val="superscript"/>
          <w:lang w:val="es-EC"/>
        </w:rPr>
        <w:t>2</w:t>
      </w:r>
      <w:r w:rsidRPr="00133690">
        <w:rPr>
          <w:rFonts w:ascii="Palatino Linotype" w:hAnsi="Palatino Linotype"/>
          <w:sz w:val="22"/>
          <w:szCs w:val="22"/>
          <w:lang w:val="es-EC"/>
        </w:rPr>
        <w:t>.</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Edificios con valor testimonial que deberán ser recuperados y puestos en valor:</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Torre original.</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Terminal aérea original.</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 xml:space="preserve">Estacionamientos: </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strike/>
          <w:sz w:val="22"/>
          <w:szCs w:val="22"/>
          <w:lang w:val="es-EC"/>
        </w:rPr>
      </w:pPr>
      <w:r w:rsidRPr="00133690">
        <w:rPr>
          <w:rFonts w:ascii="Palatino Linotype" w:hAnsi="Palatino Linotype"/>
          <w:sz w:val="22"/>
          <w:szCs w:val="22"/>
          <w:lang w:val="es-EC"/>
        </w:rPr>
        <w:t>El número de estacionamientos se calculará en base a la normativa vigente y responderá a la demanda efectiva para cada equipamiento.</w:t>
      </w:r>
    </w:p>
    <w:p w:rsidR="00FC6C9A" w:rsidRPr="00133690" w:rsidRDefault="00FC6C9A" w:rsidP="00FC6C9A">
      <w:pPr>
        <w:numPr>
          <w:ilvl w:val="0"/>
          <w:numId w:val="6"/>
        </w:numPr>
        <w:suppressAutoHyphens w:val="0"/>
        <w:autoSpaceDE w:val="0"/>
        <w:autoSpaceDN w:val="0"/>
        <w:adjustRightInd w:val="0"/>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 xml:space="preserve">Áreas exteriores y espacios públicos. </w:t>
      </w:r>
    </w:p>
    <w:p w:rsidR="00FC6C9A" w:rsidRPr="00133690" w:rsidRDefault="00FC6C9A" w:rsidP="00FC6C9A">
      <w:pPr>
        <w:numPr>
          <w:ilvl w:val="0"/>
          <w:numId w:val="9"/>
        </w:numPr>
        <w:suppressAutoHyphens w:val="0"/>
        <w:autoSpaceDE w:val="0"/>
        <w:autoSpaceDN w:val="0"/>
        <w:adjustRightInd w:val="0"/>
        <w:spacing w:after="240" w:line="276" w:lineRule="auto"/>
        <w:jc w:val="both"/>
        <w:rPr>
          <w:rFonts w:ascii="Palatino Linotype" w:hAnsi="Palatino Linotype"/>
          <w:b/>
          <w:sz w:val="22"/>
          <w:szCs w:val="22"/>
          <w:lang w:val="es-EC"/>
        </w:rPr>
      </w:pPr>
      <w:r w:rsidRPr="00133690">
        <w:rPr>
          <w:rFonts w:ascii="Palatino Linotype" w:hAnsi="Palatino Linotype"/>
          <w:sz w:val="22"/>
          <w:szCs w:val="22"/>
          <w:lang w:val="es-EC"/>
        </w:rPr>
        <w:lastRenderedPageBreak/>
        <w:t xml:space="preserve">Conformados por plazas, plazoletas, patios abiertos y cubiertos, explanadas, aceras y caminerías peatonales, iluminación y señalética, jardines, áreas abiertas de estancia y áreas de libre circulación. </w:t>
      </w:r>
    </w:p>
    <w:p w:rsidR="00FC6C9A" w:rsidRPr="00133690" w:rsidRDefault="00FC6C9A" w:rsidP="00FC6C9A">
      <w:pPr>
        <w:pStyle w:val="Textodebloque"/>
        <w:spacing w:after="240" w:line="276" w:lineRule="auto"/>
        <w:ind w:left="0" w:right="-1" w:firstLine="0"/>
        <w:rPr>
          <w:rFonts w:ascii="Palatino Linotype" w:eastAsia="Arial Unicode MS" w:hAnsi="Palatino Linotype"/>
          <w:kern w:val="1"/>
          <w:lang w:val="es-EC" w:eastAsia="ar-SA"/>
        </w:rPr>
      </w:pPr>
      <w:r w:rsidRPr="00133690">
        <w:rPr>
          <w:rFonts w:ascii="Palatino Linotype" w:eastAsia="Arial Unicode MS" w:hAnsi="Palatino Linotype"/>
          <w:b/>
          <w:kern w:val="1"/>
          <w:lang w:val="es-EC" w:eastAsia="ar-SA"/>
        </w:rPr>
        <w:t xml:space="preserve">Artículo 6.- Condiciones </w:t>
      </w:r>
      <w:r w:rsidR="00133690">
        <w:rPr>
          <w:rFonts w:ascii="Palatino Linotype" w:eastAsia="Arial Unicode MS" w:hAnsi="Palatino Linotype"/>
          <w:b/>
          <w:kern w:val="1"/>
          <w:lang w:val="es-EC" w:eastAsia="ar-SA"/>
        </w:rPr>
        <w:t>u</w:t>
      </w:r>
      <w:r w:rsidRPr="00133690">
        <w:rPr>
          <w:rFonts w:ascii="Palatino Linotype" w:eastAsia="Arial Unicode MS" w:hAnsi="Palatino Linotype"/>
          <w:b/>
          <w:kern w:val="1"/>
          <w:lang w:val="es-EC" w:eastAsia="ar-SA"/>
        </w:rPr>
        <w:t xml:space="preserve">rbanísticas </w:t>
      </w:r>
      <w:r w:rsidR="00133690">
        <w:rPr>
          <w:rFonts w:ascii="Palatino Linotype" w:eastAsia="Arial Unicode MS" w:hAnsi="Palatino Linotype"/>
          <w:b/>
          <w:kern w:val="1"/>
          <w:lang w:val="es-EC" w:eastAsia="ar-SA"/>
        </w:rPr>
        <w:t>e</w:t>
      </w:r>
      <w:r w:rsidRPr="00133690">
        <w:rPr>
          <w:rFonts w:ascii="Palatino Linotype" w:eastAsia="Arial Unicode MS" w:hAnsi="Palatino Linotype"/>
          <w:b/>
          <w:kern w:val="1"/>
          <w:lang w:val="es-EC" w:eastAsia="ar-SA"/>
        </w:rPr>
        <w:t>specíficas.-</w:t>
      </w:r>
      <w:r w:rsidRPr="00133690">
        <w:rPr>
          <w:rFonts w:ascii="Palatino Linotype" w:eastAsia="Arial Unicode MS" w:hAnsi="Palatino Linotype"/>
          <w:kern w:val="1"/>
          <w:lang w:val="es-EC" w:eastAsia="ar-SA"/>
        </w:rPr>
        <w:t xml:space="preserve"> El proyecto contemplará las siguientes condiciones específicas aplicables al predio </w:t>
      </w:r>
      <w:r w:rsidR="00133690">
        <w:rPr>
          <w:rFonts w:ascii="Palatino Linotype" w:eastAsia="Arial Unicode MS" w:hAnsi="Palatino Linotype"/>
          <w:kern w:val="1"/>
          <w:lang w:val="es-EC" w:eastAsia="ar-SA"/>
        </w:rPr>
        <w:t xml:space="preserve">No. </w:t>
      </w:r>
      <w:r w:rsidRPr="00133690">
        <w:rPr>
          <w:rFonts w:ascii="Palatino Linotype" w:eastAsia="Arial Unicode MS" w:hAnsi="Palatino Linotype"/>
          <w:kern w:val="1"/>
          <w:lang w:val="es-EC" w:eastAsia="ar-SA"/>
        </w:rPr>
        <w:t>3553162</w:t>
      </w:r>
      <w:r w:rsidR="00133690">
        <w:rPr>
          <w:rFonts w:ascii="Palatino Linotype" w:eastAsia="Arial Unicode MS" w:hAnsi="Palatino Linotype"/>
          <w:kern w:val="1"/>
          <w:lang w:val="es-EC" w:eastAsia="ar-SA"/>
        </w:rPr>
        <w:t>:</w:t>
      </w:r>
    </w:p>
    <w:p w:rsidR="00FC6C9A" w:rsidRPr="00133690" w:rsidRDefault="00FC6C9A" w:rsidP="00133690">
      <w:pPr>
        <w:pStyle w:val="Textodebloque"/>
        <w:numPr>
          <w:ilvl w:val="0"/>
          <w:numId w:val="3"/>
        </w:numPr>
        <w:spacing w:after="240" w:line="276" w:lineRule="auto"/>
        <w:ind w:left="426" w:right="-1" w:hanging="66"/>
        <w:rPr>
          <w:rFonts w:ascii="Palatino Linotype" w:hAnsi="Palatino Linotype"/>
        </w:rPr>
      </w:pPr>
      <w:r w:rsidRPr="00133690">
        <w:rPr>
          <w:rFonts w:ascii="Palatino Linotype" w:hAnsi="Palatino Linotype"/>
          <w:b/>
          <w:bCs/>
        </w:rPr>
        <w:t xml:space="preserve">Usos de suelo.- </w:t>
      </w:r>
      <w:r w:rsidRPr="00133690">
        <w:rPr>
          <w:rFonts w:ascii="Palatino Linotype" w:hAnsi="Palatino Linotype"/>
          <w:bCs/>
        </w:rPr>
        <w:t xml:space="preserve">Los usos de suelo asignados al proyecto son </w:t>
      </w:r>
      <w:r w:rsidRPr="00133690">
        <w:rPr>
          <w:rFonts w:ascii="Palatino Linotype" w:hAnsi="Palatino Linotype"/>
        </w:rPr>
        <w:t>Equipamiento de Servicios Sociales, Equipamiento de Servicios Públicos y Comercio. Deberán observar las regulaciones contenidas en el cuadro No. 1 de este articulado y en el cuadro No. 2 de los Usos de Suelo y sus relaciones de compatibilidad.</w:t>
      </w:r>
    </w:p>
    <w:p w:rsidR="00FC6C9A" w:rsidRPr="00133690" w:rsidRDefault="00FC6C9A" w:rsidP="00FC6C9A">
      <w:pPr>
        <w:numPr>
          <w:ilvl w:val="0"/>
          <w:numId w:val="3"/>
        </w:numPr>
        <w:suppressAutoHyphens w:val="0"/>
        <w:spacing w:after="240" w:line="276" w:lineRule="auto"/>
        <w:ind w:left="426" w:right="-1" w:firstLine="0"/>
        <w:jc w:val="both"/>
        <w:rPr>
          <w:rFonts w:ascii="Palatino Linotype" w:hAnsi="Palatino Linotype"/>
          <w:i/>
          <w:sz w:val="22"/>
          <w:szCs w:val="22"/>
        </w:rPr>
      </w:pPr>
      <w:r w:rsidRPr="00133690">
        <w:rPr>
          <w:rFonts w:ascii="Palatino Linotype" w:hAnsi="Palatino Linotype"/>
          <w:b/>
          <w:sz w:val="22"/>
          <w:szCs w:val="22"/>
        </w:rPr>
        <w:t xml:space="preserve">Edificabilidad.- </w:t>
      </w:r>
      <w:r w:rsidRPr="00133690">
        <w:rPr>
          <w:rFonts w:ascii="Palatino Linotype" w:eastAsia="Times New Roman" w:hAnsi="Palatino Linotype"/>
          <w:kern w:val="0"/>
          <w:sz w:val="22"/>
          <w:szCs w:val="22"/>
          <w:lang w:val="es-EC" w:eastAsia="es-ES"/>
        </w:rPr>
        <w:t>La edificabilidad total del proyecto observará los coeficientes de ocupación de suelo en planta baja (PB) y total, consignados en el cuadro No. 1 de este articulado, así como las áreas máximas asignadas a cada componente del proyecto según lo establecido el artículo No. 5, de la presente ordenanza.</w:t>
      </w:r>
    </w:p>
    <w:p w:rsidR="00FC6C9A" w:rsidRPr="00133690" w:rsidRDefault="00FC6C9A" w:rsidP="00FC6C9A">
      <w:pPr>
        <w:numPr>
          <w:ilvl w:val="0"/>
          <w:numId w:val="3"/>
        </w:numPr>
        <w:suppressAutoHyphens w:val="0"/>
        <w:spacing w:after="240" w:line="276" w:lineRule="auto"/>
        <w:ind w:left="426" w:right="-1" w:firstLine="0"/>
        <w:jc w:val="both"/>
        <w:rPr>
          <w:rFonts w:ascii="Palatino Linotype" w:hAnsi="Palatino Linotype"/>
          <w:b/>
          <w:sz w:val="22"/>
          <w:szCs w:val="22"/>
        </w:rPr>
      </w:pPr>
      <w:r w:rsidRPr="00133690">
        <w:rPr>
          <w:rFonts w:ascii="Palatino Linotype" w:hAnsi="Palatino Linotype"/>
          <w:b/>
          <w:sz w:val="22"/>
          <w:szCs w:val="22"/>
        </w:rPr>
        <w:t>Forma de Ocupación:</w:t>
      </w:r>
      <w:r w:rsidRPr="00133690">
        <w:rPr>
          <w:rFonts w:ascii="Palatino Linotype" w:hAnsi="Palatino Linotype"/>
          <w:i/>
          <w:sz w:val="22"/>
          <w:szCs w:val="22"/>
        </w:rPr>
        <w:t xml:space="preserve"> </w:t>
      </w:r>
      <w:r w:rsidRPr="00133690">
        <w:rPr>
          <w:rFonts w:ascii="Palatino Linotype" w:eastAsia="Times New Roman" w:hAnsi="Palatino Linotype"/>
          <w:kern w:val="0"/>
          <w:sz w:val="22"/>
          <w:szCs w:val="22"/>
          <w:lang w:val="es-EC" w:eastAsia="es-ES"/>
        </w:rPr>
        <w:t>Todas las edificaciones observarán una forma de ocupación aislada teniendo en cuenta la implantación referencial (Anexo 1) de la presente ordenanza, pudiendo conectarse a través de marquesinas, pérgolas u otro tipo de estructuras que sirvan de cobertizo entre bloques. La separación entre bloques asegurará la continuidad visual y la accesibilidad pública entre el parque y el bulevar Amazonas así como entre los espacios públicos.</w:t>
      </w:r>
    </w:p>
    <w:p w:rsidR="00FC6C9A" w:rsidRPr="00133690" w:rsidRDefault="00FC6C9A" w:rsidP="002C00D4">
      <w:pPr>
        <w:pStyle w:val="Textodebloque"/>
        <w:spacing w:after="240" w:line="276" w:lineRule="auto"/>
        <w:ind w:left="0" w:right="0" w:firstLine="0"/>
        <w:jc w:val="center"/>
        <w:rPr>
          <w:rFonts w:ascii="Palatino Linotype" w:hAnsi="Palatino Linotype"/>
          <w:b/>
        </w:rPr>
      </w:pPr>
      <w:r w:rsidRPr="00133690">
        <w:rPr>
          <w:rFonts w:ascii="Palatino Linotype" w:hAnsi="Palatino Linotype"/>
          <w:b/>
        </w:rPr>
        <w:t>Cuadro N</w:t>
      </w:r>
      <w:r w:rsidR="00133690">
        <w:rPr>
          <w:rFonts w:ascii="Palatino Linotype" w:hAnsi="Palatino Linotype"/>
          <w:b/>
        </w:rPr>
        <w:t xml:space="preserve">o. </w:t>
      </w:r>
      <w:r w:rsidRPr="00133690">
        <w:rPr>
          <w:rFonts w:ascii="Palatino Linotype" w:hAnsi="Palatino Linotype"/>
          <w:b/>
        </w:rPr>
        <w:t>1</w:t>
      </w:r>
    </w:p>
    <w:p w:rsidR="00FC6C9A" w:rsidRPr="00133690" w:rsidRDefault="00FC6C9A" w:rsidP="002C00D4">
      <w:pPr>
        <w:pStyle w:val="Textodebloque"/>
        <w:spacing w:after="240" w:line="276" w:lineRule="auto"/>
        <w:ind w:left="0" w:right="0" w:firstLine="0"/>
        <w:jc w:val="center"/>
        <w:rPr>
          <w:rFonts w:ascii="Palatino Linotype" w:hAnsi="Palatino Linotype"/>
          <w:b/>
        </w:rPr>
      </w:pPr>
      <w:r w:rsidRPr="00133690">
        <w:rPr>
          <w:rFonts w:ascii="Palatino Linotype" w:hAnsi="Palatino Linotype"/>
          <w:b/>
        </w:rPr>
        <w:t xml:space="preserve">Uso de Suelo y Edificabilidad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107"/>
        <w:gridCol w:w="970"/>
        <w:gridCol w:w="1198"/>
        <w:gridCol w:w="889"/>
        <w:gridCol w:w="889"/>
        <w:gridCol w:w="1300"/>
        <w:gridCol w:w="1417"/>
      </w:tblGrid>
      <w:tr w:rsidR="00133690" w:rsidRPr="002C00D4" w:rsidTr="002C00D4">
        <w:trPr>
          <w:jc w:val="center"/>
        </w:trPr>
        <w:tc>
          <w:tcPr>
            <w:tcW w:w="1000"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b/>
                <w:sz w:val="19"/>
                <w:szCs w:val="19"/>
              </w:rPr>
            </w:pPr>
            <w:r w:rsidRPr="002C00D4">
              <w:rPr>
                <w:rFonts w:ascii="Palatino Linotype" w:hAnsi="Palatino Linotype"/>
                <w:b/>
                <w:sz w:val="19"/>
                <w:szCs w:val="19"/>
              </w:rPr>
              <w:t>Predio No.</w:t>
            </w:r>
          </w:p>
        </w:tc>
        <w:tc>
          <w:tcPr>
            <w:tcW w:w="1107"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b/>
                <w:sz w:val="19"/>
                <w:szCs w:val="19"/>
              </w:rPr>
            </w:pPr>
            <w:r w:rsidRPr="002C00D4">
              <w:rPr>
                <w:rFonts w:ascii="Palatino Linotype" w:hAnsi="Palatino Linotype"/>
                <w:b/>
                <w:sz w:val="19"/>
                <w:szCs w:val="19"/>
              </w:rPr>
              <w:t>Polígono*</w:t>
            </w:r>
          </w:p>
        </w:tc>
        <w:tc>
          <w:tcPr>
            <w:tcW w:w="970"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b/>
                <w:sz w:val="19"/>
                <w:szCs w:val="19"/>
              </w:rPr>
            </w:pPr>
            <w:r w:rsidRPr="002C00D4">
              <w:rPr>
                <w:rFonts w:ascii="Palatino Linotype" w:hAnsi="Palatino Linotype"/>
                <w:b/>
                <w:sz w:val="19"/>
                <w:szCs w:val="19"/>
              </w:rPr>
              <w:t>Área Ha.</w:t>
            </w:r>
          </w:p>
        </w:tc>
        <w:tc>
          <w:tcPr>
            <w:tcW w:w="1198"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b/>
                <w:sz w:val="19"/>
                <w:szCs w:val="19"/>
              </w:rPr>
            </w:pPr>
            <w:r w:rsidRPr="002C00D4">
              <w:rPr>
                <w:rFonts w:ascii="Palatino Linotype" w:hAnsi="Palatino Linotype"/>
                <w:b/>
                <w:sz w:val="19"/>
                <w:szCs w:val="19"/>
              </w:rPr>
              <w:t>Uso de suelo</w:t>
            </w:r>
          </w:p>
        </w:tc>
        <w:tc>
          <w:tcPr>
            <w:tcW w:w="4495" w:type="dxa"/>
            <w:gridSpan w:val="4"/>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r w:rsidRPr="002C00D4">
              <w:rPr>
                <w:rFonts w:ascii="Palatino Linotype" w:hAnsi="Palatino Linotype"/>
                <w:b/>
                <w:sz w:val="19"/>
                <w:szCs w:val="19"/>
              </w:rPr>
              <w:t>Edificabilidad</w:t>
            </w:r>
          </w:p>
        </w:tc>
      </w:tr>
      <w:tr w:rsidR="00133690" w:rsidRPr="002C00D4" w:rsidTr="002C00D4">
        <w:trPr>
          <w:trHeight w:val="202"/>
          <w:jc w:val="center"/>
        </w:trPr>
        <w:tc>
          <w:tcPr>
            <w:tcW w:w="1000"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1107"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970" w:type="dxa"/>
            <w:vMerge/>
          </w:tcPr>
          <w:p w:rsidR="00FC6C9A" w:rsidRPr="002C00D4" w:rsidRDefault="00FC6C9A" w:rsidP="00FC6C9A">
            <w:pPr>
              <w:pStyle w:val="Textodebloque"/>
              <w:spacing w:after="240" w:line="276" w:lineRule="auto"/>
              <w:ind w:left="0" w:right="-1"/>
              <w:jc w:val="center"/>
              <w:rPr>
                <w:rFonts w:ascii="Palatino Linotype" w:hAnsi="Palatino Linotype"/>
                <w:sz w:val="19"/>
                <w:szCs w:val="19"/>
              </w:rPr>
            </w:pPr>
          </w:p>
        </w:tc>
        <w:tc>
          <w:tcPr>
            <w:tcW w:w="1198"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1778" w:type="dxa"/>
            <w:gridSpan w:val="2"/>
          </w:tcPr>
          <w:p w:rsidR="00FC6C9A" w:rsidRPr="002C00D4" w:rsidRDefault="00FC6C9A" w:rsidP="00FC6C9A">
            <w:pPr>
              <w:pStyle w:val="Textodebloque"/>
              <w:spacing w:after="240" w:line="276" w:lineRule="auto"/>
              <w:ind w:left="0" w:right="-1" w:firstLine="0"/>
              <w:jc w:val="center"/>
              <w:rPr>
                <w:rFonts w:ascii="Palatino Linotype" w:hAnsi="Palatino Linotype"/>
                <w:b/>
                <w:sz w:val="19"/>
                <w:szCs w:val="19"/>
              </w:rPr>
            </w:pPr>
            <w:r w:rsidRPr="002C00D4">
              <w:rPr>
                <w:rFonts w:ascii="Palatino Linotype" w:hAnsi="Palatino Linotype"/>
                <w:b/>
                <w:sz w:val="19"/>
                <w:szCs w:val="19"/>
              </w:rPr>
              <w:t>Altura**</w:t>
            </w:r>
          </w:p>
        </w:tc>
        <w:tc>
          <w:tcPr>
            <w:tcW w:w="1300" w:type="dxa"/>
            <w:vMerge w:val="restart"/>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r w:rsidRPr="002C00D4">
              <w:rPr>
                <w:rFonts w:ascii="Palatino Linotype" w:hAnsi="Palatino Linotype"/>
                <w:b/>
                <w:sz w:val="19"/>
                <w:szCs w:val="19"/>
              </w:rPr>
              <w:t>COS PB %</w:t>
            </w:r>
          </w:p>
        </w:tc>
        <w:tc>
          <w:tcPr>
            <w:tcW w:w="1417" w:type="dxa"/>
            <w:vMerge w:val="restart"/>
          </w:tcPr>
          <w:p w:rsidR="00FC6C9A" w:rsidRPr="002C00D4" w:rsidRDefault="00FC6C9A" w:rsidP="00FC6C9A">
            <w:pPr>
              <w:pStyle w:val="Textodebloque"/>
              <w:spacing w:after="240" w:line="276" w:lineRule="auto"/>
              <w:ind w:left="0" w:right="0" w:firstLine="0"/>
              <w:rPr>
                <w:rFonts w:ascii="Palatino Linotype" w:hAnsi="Palatino Linotype"/>
                <w:b/>
                <w:sz w:val="19"/>
                <w:szCs w:val="19"/>
              </w:rPr>
            </w:pPr>
            <w:r w:rsidRPr="002C00D4">
              <w:rPr>
                <w:rFonts w:ascii="Palatino Linotype" w:hAnsi="Palatino Linotype"/>
                <w:b/>
                <w:sz w:val="19"/>
                <w:szCs w:val="19"/>
              </w:rPr>
              <w:t>COS TOTAL %</w:t>
            </w:r>
          </w:p>
        </w:tc>
      </w:tr>
      <w:tr w:rsidR="00133690" w:rsidRPr="002C00D4" w:rsidTr="002C00D4">
        <w:trPr>
          <w:trHeight w:val="120"/>
          <w:jc w:val="center"/>
        </w:trPr>
        <w:tc>
          <w:tcPr>
            <w:tcW w:w="1000"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1107"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970"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1198"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889" w:type="dxa"/>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r w:rsidRPr="002C00D4">
              <w:rPr>
                <w:rFonts w:ascii="Palatino Linotype" w:hAnsi="Palatino Linotype"/>
                <w:b/>
                <w:sz w:val="19"/>
                <w:szCs w:val="19"/>
              </w:rPr>
              <w:t>Pisos</w:t>
            </w:r>
          </w:p>
        </w:tc>
        <w:tc>
          <w:tcPr>
            <w:tcW w:w="889" w:type="dxa"/>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r w:rsidRPr="002C00D4">
              <w:rPr>
                <w:rFonts w:ascii="Palatino Linotype" w:hAnsi="Palatino Linotype"/>
                <w:b/>
                <w:sz w:val="19"/>
                <w:szCs w:val="19"/>
              </w:rPr>
              <w:t>m</w:t>
            </w:r>
          </w:p>
        </w:tc>
        <w:tc>
          <w:tcPr>
            <w:tcW w:w="1300" w:type="dxa"/>
            <w:vMerge/>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p>
        </w:tc>
        <w:tc>
          <w:tcPr>
            <w:tcW w:w="1417" w:type="dxa"/>
            <w:vMerge/>
          </w:tcPr>
          <w:p w:rsidR="00FC6C9A" w:rsidRPr="002C00D4" w:rsidRDefault="00FC6C9A" w:rsidP="00FC6C9A">
            <w:pPr>
              <w:pStyle w:val="Textodebloque"/>
              <w:spacing w:after="240" w:line="276" w:lineRule="auto"/>
              <w:ind w:left="0" w:right="0" w:firstLine="0"/>
              <w:jc w:val="center"/>
              <w:rPr>
                <w:rFonts w:ascii="Palatino Linotype" w:hAnsi="Palatino Linotype"/>
                <w:b/>
                <w:sz w:val="19"/>
                <w:szCs w:val="19"/>
              </w:rPr>
            </w:pPr>
          </w:p>
        </w:tc>
      </w:tr>
      <w:tr w:rsidR="00133690" w:rsidRPr="002C00D4" w:rsidTr="002C00D4">
        <w:trPr>
          <w:jc w:val="center"/>
        </w:trPr>
        <w:tc>
          <w:tcPr>
            <w:tcW w:w="1000"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3553162</w:t>
            </w:r>
          </w:p>
        </w:tc>
        <w:tc>
          <w:tcPr>
            <w:tcW w:w="1107" w:type="dxa"/>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3</w:t>
            </w:r>
          </w:p>
        </w:tc>
        <w:tc>
          <w:tcPr>
            <w:tcW w:w="970" w:type="dxa"/>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6.0</w:t>
            </w:r>
          </w:p>
        </w:tc>
        <w:tc>
          <w:tcPr>
            <w:tcW w:w="1198" w:type="dxa"/>
            <w:vMerge w:val="restart"/>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 xml:space="preserve">ESS, ESP y Comercio </w:t>
            </w:r>
          </w:p>
        </w:tc>
        <w:tc>
          <w:tcPr>
            <w:tcW w:w="889"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V</w:t>
            </w:r>
          </w:p>
        </w:tc>
        <w:tc>
          <w:tcPr>
            <w:tcW w:w="889" w:type="dxa"/>
          </w:tcPr>
          <w:p w:rsidR="00FC6C9A" w:rsidRPr="002C00D4" w:rsidRDefault="00FC6C9A" w:rsidP="00FC6C9A">
            <w:pPr>
              <w:pStyle w:val="Textodebloque"/>
              <w:tabs>
                <w:tab w:val="left" w:pos="288"/>
                <w:tab w:val="center" w:pos="337"/>
              </w:tabs>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V hasta 80 m</w:t>
            </w:r>
          </w:p>
        </w:tc>
        <w:tc>
          <w:tcPr>
            <w:tcW w:w="1300"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45</w:t>
            </w:r>
          </w:p>
        </w:tc>
        <w:tc>
          <w:tcPr>
            <w:tcW w:w="1417"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93</w:t>
            </w:r>
          </w:p>
        </w:tc>
      </w:tr>
      <w:tr w:rsidR="00133690" w:rsidRPr="002C00D4" w:rsidTr="002C00D4">
        <w:trPr>
          <w:jc w:val="center"/>
        </w:trPr>
        <w:tc>
          <w:tcPr>
            <w:tcW w:w="1000"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1107" w:type="dxa"/>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3.1</w:t>
            </w:r>
          </w:p>
        </w:tc>
        <w:tc>
          <w:tcPr>
            <w:tcW w:w="970" w:type="dxa"/>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r w:rsidRPr="002C00D4">
              <w:rPr>
                <w:rFonts w:ascii="Palatino Linotype" w:hAnsi="Palatino Linotype"/>
                <w:sz w:val="19"/>
                <w:szCs w:val="19"/>
              </w:rPr>
              <w:t>5.4</w:t>
            </w:r>
          </w:p>
        </w:tc>
        <w:tc>
          <w:tcPr>
            <w:tcW w:w="1198" w:type="dxa"/>
            <w:vMerge/>
          </w:tcPr>
          <w:p w:rsidR="00FC6C9A" w:rsidRPr="002C00D4" w:rsidRDefault="00FC6C9A" w:rsidP="00FC6C9A">
            <w:pPr>
              <w:pStyle w:val="Textodebloque"/>
              <w:spacing w:after="240" w:line="276" w:lineRule="auto"/>
              <w:ind w:left="0" w:right="-1" w:firstLine="0"/>
              <w:jc w:val="center"/>
              <w:rPr>
                <w:rFonts w:ascii="Palatino Linotype" w:hAnsi="Palatino Linotype"/>
                <w:sz w:val="19"/>
                <w:szCs w:val="19"/>
              </w:rPr>
            </w:pPr>
          </w:p>
        </w:tc>
        <w:tc>
          <w:tcPr>
            <w:tcW w:w="889"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V</w:t>
            </w:r>
          </w:p>
        </w:tc>
        <w:tc>
          <w:tcPr>
            <w:tcW w:w="889"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 xml:space="preserve">V hasta </w:t>
            </w:r>
            <w:r w:rsidRPr="002C00D4">
              <w:rPr>
                <w:rFonts w:ascii="Palatino Linotype" w:hAnsi="Palatino Linotype"/>
                <w:sz w:val="19"/>
                <w:szCs w:val="19"/>
              </w:rPr>
              <w:lastRenderedPageBreak/>
              <w:t>80 m</w:t>
            </w:r>
          </w:p>
        </w:tc>
        <w:tc>
          <w:tcPr>
            <w:tcW w:w="1300"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lastRenderedPageBreak/>
              <w:t>45</w:t>
            </w:r>
          </w:p>
        </w:tc>
        <w:tc>
          <w:tcPr>
            <w:tcW w:w="1417" w:type="dxa"/>
          </w:tcPr>
          <w:p w:rsidR="00FC6C9A" w:rsidRPr="002C00D4" w:rsidRDefault="00FC6C9A" w:rsidP="00FC6C9A">
            <w:pPr>
              <w:pStyle w:val="Textodebloque"/>
              <w:spacing w:after="240" w:line="276" w:lineRule="auto"/>
              <w:ind w:left="0" w:right="0" w:firstLine="0"/>
              <w:jc w:val="center"/>
              <w:rPr>
                <w:rFonts w:ascii="Palatino Linotype" w:hAnsi="Palatino Linotype"/>
                <w:sz w:val="19"/>
                <w:szCs w:val="19"/>
              </w:rPr>
            </w:pPr>
            <w:r w:rsidRPr="002C00D4">
              <w:rPr>
                <w:rFonts w:ascii="Palatino Linotype" w:hAnsi="Palatino Linotype"/>
                <w:sz w:val="19"/>
                <w:szCs w:val="19"/>
              </w:rPr>
              <w:t>93</w:t>
            </w:r>
          </w:p>
        </w:tc>
      </w:tr>
    </w:tbl>
    <w:p w:rsidR="00FC6C9A" w:rsidRPr="00133690" w:rsidRDefault="00FC6C9A" w:rsidP="00FC6C9A">
      <w:pPr>
        <w:suppressAutoHyphens w:val="0"/>
        <w:spacing w:after="240" w:line="276" w:lineRule="auto"/>
        <w:ind w:right="-1"/>
        <w:jc w:val="both"/>
        <w:rPr>
          <w:rFonts w:ascii="Palatino Linotype" w:hAnsi="Palatino Linotype"/>
          <w:sz w:val="18"/>
          <w:szCs w:val="18"/>
        </w:rPr>
      </w:pPr>
      <w:r w:rsidRPr="00133690">
        <w:rPr>
          <w:rFonts w:ascii="Palatino Linotype" w:hAnsi="Palatino Linotype"/>
          <w:sz w:val="18"/>
          <w:szCs w:val="18"/>
        </w:rPr>
        <w:lastRenderedPageBreak/>
        <w:t>*Se permite la integración urbanística de los edificios implantados indistintamente en los 2 polígonos de zonificación que conforman a este predio, según lo establecido en el Plano No. 7 de la ordenanza metropolitana No. 352.</w:t>
      </w:r>
    </w:p>
    <w:p w:rsidR="00FC6C9A" w:rsidRPr="00133690" w:rsidRDefault="00FC6C9A" w:rsidP="00FC6C9A">
      <w:pPr>
        <w:suppressAutoHyphens w:val="0"/>
        <w:spacing w:after="240" w:line="276" w:lineRule="auto"/>
        <w:ind w:right="-1"/>
        <w:jc w:val="both"/>
        <w:rPr>
          <w:rFonts w:ascii="Palatino Linotype" w:hAnsi="Palatino Linotype"/>
          <w:sz w:val="18"/>
          <w:szCs w:val="18"/>
        </w:rPr>
      </w:pPr>
      <w:r w:rsidRPr="00133690">
        <w:rPr>
          <w:rFonts w:ascii="Palatino Linotype" w:hAnsi="Palatino Linotype"/>
          <w:sz w:val="18"/>
          <w:szCs w:val="18"/>
        </w:rPr>
        <w:t>**La altura y número de pisos será variable siempre que las edificaciones con volumetría vertical (torres hoteleras y de oficinas, según el anexo 2 Perfil Urbano Referencial de esta ordenanza) no superen los 80 metros de altura ni la edificabilidad total en el predio (COS total).</w:t>
      </w:r>
    </w:p>
    <w:p w:rsidR="00FC6C9A" w:rsidRPr="00133690" w:rsidRDefault="00FC6C9A" w:rsidP="00FC6C9A">
      <w:pPr>
        <w:suppressAutoHyphens w:val="0"/>
        <w:spacing w:after="240" w:line="276" w:lineRule="auto"/>
        <w:ind w:right="-1"/>
        <w:jc w:val="center"/>
        <w:rPr>
          <w:rFonts w:ascii="Palatino Linotype" w:hAnsi="Palatino Linotype"/>
          <w:b/>
          <w:sz w:val="22"/>
          <w:szCs w:val="22"/>
        </w:rPr>
      </w:pPr>
      <w:r w:rsidRPr="00133690">
        <w:rPr>
          <w:rFonts w:ascii="Palatino Linotype" w:hAnsi="Palatino Linotype"/>
          <w:b/>
          <w:sz w:val="22"/>
          <w:szCs w:val="22"/>
        </w:rPr>
        <w:t xml:space="preserve">Cuadro No. 2 </w:t>
      </w:r>
    </w:p>
    <w:p w:rsidR="00FC6C9A" w:rsidRPr="00133690" w:rsidRDefault="00FC6C9A" w:rsidP="00FC6C9A">
      <w:pPr>
        <w:suppressAutoHyphens w:val="0"/>
        <w:spacing w:after="240" w:line="276" w:lineRule="auto"/>
        <w:ind w:right="-1"/>
        <w:jc w:val="center"/>
        <w:rPr>
          <w:rFonts w:ascii="Palatino Linotype" w:hAnsi="Palatino Linotype"/>
          <w:b/>
          <w:sz w:val="22"/>
          <w:szCs w:val="22"/>
        </w:rPr>
      </w:pPr>
      <w:r w:rsidRPr="00133690">
        <w:rPr>
          <w:rFonts w:ascii="Palatino Linotype" w:hAnsi="Palatino Linotype"/>
          <w:b/>
          <w:sz w:val="22"/>
          <w:szCs w:val="22"/>
        </w:rPr>
        <w:t>Usos de Suelo y sus Relaciones de Compatibilidad</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559"/>
        <w:gridCol w:w="2410"/>
        <w:gridCol w:w="2126"/>
      </w:tblGrid>
      <w:tr w:rsidR="00FC6C9A" w:rsidRPr="002C00D4" w:rsidTr="002C00D4">
        <w:trPr>
          <w:jc w:val="center"/>
        </w:trPr>
        <w:tc>
          <w:tcPr>
            <w:tcW w:w="1526"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 xml:space="preserve">USO </w:t>
            </w:r>
          </w:p>
        </w:tc>
        <w:tc>
          <w:tcPr>
            <w:tcW w:w="5386" w:type="dxa"/>
            <w:gridSpan w:val="3"/>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USOS PERMITIDOS</w:t>
            </w:r>
          </w:p>
        </w:tc>
        <w:tc>
          <w:tcPr>
            <w:tcW w:w="2126"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USOS PROHIBIDOS</w:t>
            </w:r>
          </w:p>
        </w:tc>
      </w:tr>
      <w:tr w:rsidR="00FC6C9A" w:rsidRPr="002C00D4" w:rsidTr="002C00D4">
        <w:trPr>
          <w:jc w:val="center"/>
        </w:trPr>
        <w:tc>
          <w:tcPr>
            <w:tcW w:w="1526" w:type="dxa"/>
            <w:vMerge/>
            <w:shd w:val="clear" w:color="auto" w:fill="auto"/>
            <w:vAlign w:val="center"/>
          </w:tcPr>
          <w:p w:rsidR="00FC6C9A" w:rsidRPr="002C00D4" w:rsidRDefault="00FC6C9A" w:rsidP="00FC6C9A">
            <w:pPr>
              <w:spacing w:after="240" w:line="276" w:lineRule="auto"/>
              <w:jc w:val="both"/>
              <w:rPr>
                <w:rFonts w:ascii="Palatino Linotype" w:hAnsi="Palatino Linotype"/>
                <w:b/>
                <w:bCs/>
                <w:sz w:val="19"/>
                <w:szCs w:val="19"/>
              </w:rPr>
            </w:pPr>
          </w:p>
        </w:tc>
        <w:tc>
          <w:tcPr>
            <w:tcW w:w="1417" w:type="dxa"/>
            <w:shd w:val="clear" w:color="auto" w:fill="auto"/>
            <w:vAlign w:val="center"/>
          </w:tcPr>
          <w:p w:rsidR="00FC6C9A" w:rsidRPr="002C00D4" w:rsidRDefault="00FC6C9A" w:rsidP="00FC6C9A">
            <w:pPr>
              <w:spacing w:after="240" w:line="276" w:lineRule="auto"/>
              <w:ind w:right="263"/>
              <w:jc w:val="center"/>
              <w:rPr>
                <w:rFonts w:ascii="Palatino Linotype" w:hAnsi="Palatino Linotype"/>
                <w:b/>
                <w:bCs/>
                <w:sz w:val="19"/>
                <w:szCs w:val="19"/>
              </w:rPr>
            </w:pPr>
            <w:r w:rsidRPr="002C00D4">
              <w:rPr>
                <w:rFonts w:ascii="Palatino Linotype" w:hAnsi="Palatino Linotype"/>
                <w:b/>
                <w:bCs/>
                <w:sz w:val="19"/>
                <w:szCs w:val="19"/>
              </w:rPr>
              <w:t>Tipología</w:t>
            </w:r>
          </w:p>
        </w:tc>
        <w:tc>
          <w:tcPr>
            <w:tcW w:w="1559" w:type="dxa"/>
            <w:shd w:val="clear" w:color="auto" w:fill="auto"/>
            <w:vAlign w:val="center"/>
          </w:tcPr>
          <w:p w:rsidR="00FC6C9A" w:rsidRPr="002C00D4" w:rsidRDefault="00FC6C9A" w:rsidP="00FC6C9A">
            <w:pPr>
              <w:spacing w:after="240" w:line="276" w:lineRule="auto"/>
              <w:ind w:right="263"/>
              <w:jc w:val="center"/>
              <w:rPr>
                <w:rFonts w:ascii="Palatino Linotype" w:hAnsi="Palatino Linotype"/>
                <w:b/>
                <w:bCs/>
                <w:sz w:val="19"/>
                <w:szCs w:val="19"/>
              </w:rPr>
            </w:pPr>
            <w:r w:rsidRPr="002C00D4">
              <w:rPr>
                <w:rFonts w:ascii="Palatino Linotype" w:hAnsi="Palatino Linotype"/>
                <w:b/>
                <w:bCs/>
                <w:sz w:val="19"/>
                <w:szCs w:val="19"/>
              </w:rPr>
              <w:t>Simbología</w:t>
            </w:r>
          </w:p>
        </w:tc>
        <w:tc>
          <w:tcPr>
            <w:tcW w:w="2410"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Actividades y establecimientos</w:t>
            </w:r>
          </w:p>
        </w:tc>
        <w:tc>
          <w:tcPr>
            <w:tcW w:w="2126" w:type="dxa"/>
            <w:vMerge/>
            <w:shd w:val="clear" w:color="auto" w:fill="auto"/>
            <w:vAlign w:val="center"/>
          </w:tcPr>
          <w:p w:rsidR="00FC6C9A" w:rsidRPr="002C00D4" w:rsidRDefault="00FC6C9A" w:rsidP="00FC6C9A">
            <w:pPr>
              <w:spacing w:after="240" w:line="276" w:lineRule="auto"/>
              <w:jc w:val="both"/>
              <w:rPr>
                <w:rFonts w:ascii="Palatino Linotype" w:hAnsi="Palatino Linotype"/>
                <w:b/>
                <w:bCs/>
                <w:sz w:val="19"/>
                <w:szCs w:val="19"/>
              </w:rPr>
            </w:pPr>
          </w:p>
        </w:tc>
      </w:tr>
      <w:tr w:rsidR="00FC6C9A" w:rsidRPr="002C00D4" w:rsidTr="002C00D4">
        <w:trPr>
          <w:jc w:val="center"/>
        </w:trPr>
        <w:tc>
          <w:tcPr>
            <w:tcW w:w="1526" w:type="dxa"/>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r w:rsidRPr="002C00D4">
              <w:rPr>
                <w:rFonts w:ascii="Palatino Linotype" w:hAnsi="Palatino Linotype"/>
                <w:bCs/>
                <w:i/>
                <w:sz w:val="19"/>
                <w:szCs w:val="19"/>
              </w:rPr>
              <w:t>Equipamiento de Servicios Sociales</w:t>
            </w:r>
          </w:p>
          <w:p w:rsidR="00FC6C9A" w:rsidRPr="002C00D4" w:rsidRDefault="00FC6C9A" w:rsidP="00FC6C9A">
            <w:pPr>
              <w:spacing w:after="240" w:line="276" w:lineRule="auto"/>
              <w:jc w:val="center"/>
              <w:rPr>
                <w:rFonts w:ascii="Palatino Linotype" w:hAnsi="Palatino Linotype"/>
                <w:b/>
                <w:bCs/>
                <w:sz w:val="19"/>
                <w:szCs w:val="19"/>
              </w:rPr>
            </w:pP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Cultural</w:t>
            </w:r>
          </w:p>
        </w:tc>
        <w:tc>
          <w:tcPr>
            <w:tcW w:w="1559" w:type="dxa"/>
            <w:shd w:val="clear" w:color="auto" w:fill="auto"/>
            <w:vAlign w:val="center"/>
          </w:tcPr>
          <w:p w:rsidR="00FC6C9A" w:rsidRPr="002C00D4" w:rsidRDefault="00FC6C9A" w:rsidP="00FC6C9A">
            <w:pPr>
              <w:spacing w:after="240" w:line="276" w:lineRule="auto"/>
              <w:ind w:right="263"/>
              <w:jc w:val="center"/>
              <w:rPr>
                <w:rFonts w:ascii="Palatino Linotype" w:hAnsi="Palatino Linotype"/>
                <w:b/>
                <w:bCs/>
                <w:sz w:val="19"/>
                <w:szCs w:val="19"/>
              </w:rPr>
            </w:pPr>
            <w:r w:rsidRPr="002C00D4">
              <w:rPr>
                <w:rFonts w:ascii="Palatino Linotype" w:hAnsi="Palatino Linotype"/>
                <w:b/>
                <w:bCs/>
                <w:sz w:val="19"/>
                <w:szCs w:val="19"/>
              </w:rPr>
              <w:t>ECM</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ind w:left="-108"/>
              <w:jc w:val="both"/>
              <w:rPr>
                <w:rFonts w:ascii="Palatino Linotype" w:hAnsi="Palatino Linotype"/>
                <w:sz w:val="19"/>
                <w:szCs w:val="19"/>
                <w:lang w:val="es-EC"/>
              </w:rPr>
            </w:pPr>
            <w:r w:rsidRPr="002C00D4">
              <w:rPr>
                <w:rFonts w:ascii="Palatino Linotype" w:hAnsi="Palatino Linotype"/>
                <w:sz w:val="19"/>
                <w:szCs w:val="19"/>
                <w:lang w:val="es-EC"/>
              </w:rPr>
              <w:t>Centro de Convenciones:</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Recinto ferial.</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Área de convenciones y congresos.</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trike/>
                <w:sz w:val="19"/>
                <w:szCs w:val="19"/>
                <w:lang w:val="es-EC"/>
              </w:rPr>
            </w:pPr>
            <w:r w:rsidRPr="002C00D4">
              <w:rPr>
                <w:rFonts w:ascii="Palatino Linotype" w:hAnsi="Palatino Linotype"/>
                <w:sz w:val="19"/>
                <w:szCs w:val="19"/>
                <w:lang w:val="es-EC"/>
              </w:rPr>
              <w:t xml:space="preserve">Servicios vinculados al centro de convenciones: oficinas, catering, bodegas, servicios higiénicos, seguridad, salas de reuniones, auditorio, áreas logísticas y de almacenamiento, </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Mediateca, cinemateca,</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Salas de cine especializado,</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 xml:space="preserve">Centro interactivo u otro equipamiento destinado a la difusión, conocimiento </w:t>
            </w:r>
            <w:r w:rsidRPr="002C00D4">
              <w:rPr>
                <w:rFonts w:ascii="Palatino Linotype" w:hAnsi="Palatino Linotype"/>
                <w:sz w:val="19"/>
                <w:szCs w:val="19"/>
                <w:lang w:val="es-EC"/>
              </w:rPr>
              <w:lastRenderedPageBreak/>
              <w:t>y creación cultural.</w:t>
            </w:r>
          </w:p>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b/>
                <w:bCs/>
                <w:sz w:val="19"/>
                <w:szCs w:val="19"/>
                <w:lang w:val="es-EC"/>
              </w:rPr>
            </w:pPr>
            <w:r w:rsidRPr="002C00D4">
              <w:rPr>
                <w:rFonts w:ascii="Palatino Linotype" w:hAnsi="Palatino Linotype"/>
                <w:sz w:val="19"/>
                <w:szCs w:val="19"/>
                <w:lang w:val="es-EC"/>
              </w:rPr>
              <w:t>Centros de promoción popular.</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lastRenderedPageBreak/>
              <w:t>Casa de la Cultura.</w:t>
            </w:r>
          </w:p>
        </w:tc>
      </w:tr>
      <w:tr w:rsidR="00FC6C9A" w:rsidRPr="002C00D4" w:rsidTr="002C00D4">
        <w:trPr>
          <w:jc w:val="center"/>
        </w:trPr>
        <w:tc>
          <w:tcPr>
            <w:tcW w:w="1526"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r w:rsidRPr="002C00D4">
              <w:rPr>
                <w:rFonts w:ascii="Palatino Linotype" w:hAnsi="Palatino Linotype"/>
                <w:bCs/>
                <w:i/>
                <w:sz w:val="19"/>
                <w:szCs w:val="19"/>
              </w:rPr>
              <w:lastRenderedPageBreak/>
              <w:t>Comercio Zonal</w:t>
            </w: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Alojamiento 3</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CZ6</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b/>
                <w:bCs/>
                <w:sz w:val="19"/>
                <w:szCs w:val="19"/>
                <w:lang w:val="es-EC"/>
              </w:rPr>
            </w:pPr>
            <w:r w:rsidRPr="002C00D4">
              <w:rPr>
                <w:rFonts w:ascii="Palatino Linotype" w:hAnsi="Palatino Linotype"/>
                <w:sz w:val="19"/>
                <w:szCs w:val="19"/>
                <w:lang w:val="es-EC"/>
              </w:rPr>
              <w:t>Hotel</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Complejo Hotelero con o sin Centro Comercial, Apart. Hotel.</w:t>
            </w:r>
          </w:p>
        </w:tc>
      </w:tr>
      <w:tr w:rsidR="00FC6C9A" w:rsidRPr="002C00D4" w:rsidTr="002C00D4">
        <w:trPr>
          <w:jc w:val="center"/>
        </w:trPr>
        <w:tc>
          <w:tcPr>
            <w:tcW w:w="1526" w:type="dxa"/>
            <w:vMerge/>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Centros de diversión</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CZ1A</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Bares*</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t>Otros establecimientos de la tipología CZ1A del cuadro homologado del CIIU vigente.</w:t>
            </w:r>
          </w:p>
        </w:tc>
      </w:tr>
      <w:tr w:rsidR="00FC6C9A" w:rsidRPr="002C00D4" w:rsidTr="002C00D4">
        <w:trPr>
          <w:jc w:val="center"/>
        </w:trPr>
        <w:tc>
          <w:tcPr>
            <w:tcW w:w="1526" w:type="dxa"/>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r w:rsidRPr="002C00D4">
              <w:rPr>
                <w:rFonts w:ascii="Palatino Linotype" w:hAnsi="Palatino Linotype"/>
                <w:bCs/>
                <w:i/>
                <w:sz w:val="19"/>
                <w:szCs w:val="19"/>
              </w:rPr>
              <w:t>Comercio Sectorial</w:t>
            </w: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Oficinas Administrativas 2</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CS6</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 xml:space="preserve">Oficinas públicas y privadas </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t>Oficinas corporativas.</w:t>
            </w:r>
          </w:p>
        </w:tc>
      </w:tr>
      <w:tr w:rsidR="00FC6C9A" w:rsidRPr="002C00D4" w:rsidTr="002C00D4">
        <w:trPr>
          <w:trHeight w:val="655"/>
          <w:jc w:val="center"/>
        </w:trPr>
        <w:tc>
          <w:tcPr>
            <w:tcW w:w="1526"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sz w:val="19"/>
                <w:szCs w:val="19"/>
              </w:rPr>
            </w:pPr>
            <w:r w:rsidRPr="002C00D4">
              <w:rPr>
                <w:rFonts w:ascii="Palatino Linotype" w:hAnsi="Palatino Linotype"/>
                <w:bCs/>
                <w:i/>
                <w:sz w:val="19"/>
                <w:szCs w:val="19"/>
              </w:rPr>
              <w:t>Comercio barrial</w:t>
            </w:r>
          </w:p>
        </w:tc>
        <w:tc>
          <w:tcPr>
            <w:tcW w:w="1417"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Comercio Básico</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CB1B</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bCs/>
                <w:sz w:val="19"/>
                <w:szCs w:val="19"/>
              </w:rPr>
              <w:t xml:space="preserve">Restaurante, </w:t>
            </w:r>
            <w:r w:rsidRPr="002C00D4">
              <w:rPr>
                <w:rFonts w:ascii="Palatino Linotype" w:hAnsi="Palatino Linotype"/>
                <w:sz w:val="19"/>
                <w:szCs w:val="19"/>
                <w:lang w:val="es-EC"/>
              </w:rPr>
              <w:t>cafeterías,</w:t>
            </w:r>
            <w:r w:rsidRPr="002C00D4">
              <w:rPr>
                <w:rFonts w:ascii="Palatino Linotype" w:hAnsi="Palatino Linotype"/>
                <w:bCs/>
                <w:sz w:val="19"/>
                <w:szCs w:val="19"/>
                <w:lang w:val="es-EC"/>
              </w:rPr>
              <w:t xml:space="preserve"> kioscos</w:t>
            </w:r>
            <w:r w:rsidRPr="002C00D4">
              <w:rPr>
                <w:rFonts w:ascii="Palatino Linotype" w:hAnsi="Palatino Linotype"/>
                <w:sz w:val="19"/>
                <w:szCs w:val="19"/>
                <w:lang w:val="es-EC"/>
              </w:rPr>
              <w:t xml:space="preserve">. </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t>Otros establecimientos de la tipología CB1B del cuadro homologado del CIIU vigente.</w:t>
            </w:r>
          </w:p>
        </w:tc>
      </w:tr>
      <w:tr w:rsidR="00FC6C9A" w:rsidRPr="002C00D4" w:rsidTr="002C00D4">
        <w:trPr>
          <w:jc w:val="center"/>
        </w:trPr>
        <w:tc>
          <w:tcPr>
            <w:tcW w:w="1526" w:type="dxa"/>
            <w:vMerge/>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p>
        </w:tc>
        <w:tc>
          <w:tcPr>
            <w:tcW w:w="1417" w:type="dxa"/>
            <w:vMerge/>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CB1A</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bCs/>
                <w:sz w:val="19"/>
                <w:szCs w:val="19"/>
              </w:rPr>
            </w:pPr>
            <w:r w:rsidRPr="002C00D4">
              <w:rPr>
                <w:rFonts w:ascii="Palatino Linotype" w:hAnsi="Palatino Linotype"/>
                <w:bCs/>
                <w:sz w:val="19"/>
                <w:szCs w:val="19"/>
              </w:rPr>
              <w:t>Fruterías, pastelerías, heladerías, farmacias,  floristerías.</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t>Otros establecimientos de la tipología CB1A del cuadro homologado del CIIU vigente.</w:t>
            </w:r>
          </w:p>
        </w:tc>
      </w:tr>
      <w:tr w:rsidR="00FC6C9A" w:rsidRPr="002C00D4" w:rsidTr="002C00D4">
        <w:trPr>
          <w:jc w:val="center"/>
        </w:trPr>
        <w:tc>
          <w:tcPr>
            <w:tcW w:w="1526" w:type="dxa"/>
            <w:vMerge w:val="restart"/>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r w:rsidRPr="002C00D4">
              <w:rPr>
                <w:rFonts w:ascii="Palatino Linotype" w:hAnsi="Palatino Linotype"/>
                <w:bCs/>
                <w:i/>
                <w:sz w:val="19"/>
                <w:szCs w:val="19"/>
              </w:rPr>
              <w:t>Comercio sectorial</w:t>
            </w: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Comercio especializado</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CS1A</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sz w:val="19"/>
                <w:szCs w:val="19"/>
                <w:lang w:val="es-EC"/>
              </w:rPr>
            </w:pPr>
            <w:r w:rsidRPr="002C00D4">
              <w:rPr>
                <w:rFonts w:ascii="Palatino Linotype" w:hAnsi="Palatino Linotype"/>
                <w:sz w:val="19"/>
                <w:szCs w:val="19"/>
                <w:lang w:val="es-EC"/>
              </w:rPr>
              <w:t>Cafenet y similares, Librerías, antigüedades y regalos, artículos de decoración.</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t>Otros establecimientos de la tipología CS1A del cuadro homologado del CIIU vigente.</w:t>
            </w:r>
          </w:p>
        </w:tc>
      </w:tr>
      <w:tr w:rsidR="00FC6C9A" w:rsidRPr="002C00D4" w:rsidTr="002C00D4">
        <w:trPr>
          <w:jc w:val="center"/>
        </w:trPr>
        <w:tc>
          <w:tcPr>
            <w:tcW w:w="1526" w:type="dxa"/>
            <w:vMerge/>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CS1B</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bCs/>
                <w:sz w:val="19"/>
                <w:szCs w:val="19"/>
              </w:rPr>
            </w:pPr>
            <w:r w:rsidRPr="002C00D4">
              <w:rPr>
                <w:rFonts w:ascii="Palatino Linotype" w:hAnsi="Palatino Linotype"/>
                <w:bCs/>
                <w:sz w:val="19"/>
                <w:szCs w:val="19"/>
              </w:rPr>
              <w:t xml:space="preserve">Venta de artículos de recuerdo,  souvenirs, </w:t>
            </w:r>
            <w:r w:rsidRPr="002C00D4">
              <w:rPr>
                <w:rFonts w:ascii="Palatino Linotype" w:hAnsi="Palatino Linotype"/>
                <w:bCs/>
                <w:sz w:val="19"/>
                <w:szCs w:val="19"/>
              </w:rPr>
              <w:lastRenderedPageBreak/>
              <w:t>artesanías.</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lang w:val="es-EC"/>
              </w:rPr>
            </w:pPr>
            <w:r w:rsidRPr="002C00D4">
              <w:rPr>
                <w:rFonts w:ascii="Palatino Linotype" w:hAnsi="Palatino Linotype"/>
                <w:bCs/>
                <w:sz w:val="19"/>
                <w:szCs w:val="19"/>
                <w:lang w:val="es-EC"/>
              </w:rPr>
              <w:lastRenderedPageBreak/>
              <w:t xml:space="preserve">Fabricación o preparación artesanal de productos </w:t>
            </w:r>
            <w:r w:rsidRPr="002C00D4">
              <w:rPr>
                <w:rFonts w:ascii="Palatino Linotype" w:hAnsi="Palatino Linotype"/>
                <w:bCs/>
                <w:sz w:val="19"/>
                <w:szCs w:val="19"/>
                <w:lang w:val="es-EC"/>
              </w:rPr>
              <w:lastRenderedPageBreak/>
              <w:t xml:space="preserve">manufacturados y alimenticios. </w:t>
            </w:r>
          </w:p>
        </w:tc>
      </w:tr>
      <w:tr w:rsidR="00FC6C9A" w:rsidRPr="002C00D4" w:rsidTr="002C00D4">
        <w:trPr>
          <w:jc w:val="center"/>
        </w:trPr>
        <w:tc>
          <w:tcPr>
            <w:tcW w:w="1526" w:type="dxa"/>
            <w:shd w:val="clear" w:color="auto" w:fill="auto"/>
            <w:vAlign w:val="center"/>
          </w:tcPr>
          <w:p w:rsidR="00FC6C9A" w:rsidRPr="002C00D4" w:rsidRDefault="00FC6C9A" w:rsidP="00FC6C9A">
            <w:pPr>
              <w:spacing w:after="240" w:line="276" w:lineRule="auto"/>
              <w:jc w:val="center"/>
              <w:rPr>
                <w:rFonts w:ascii="Palatino Linotype" w:hAnsi="Palatino Linotype"/>
                <w:bCs/>
                <w:i/>
                <w:sz w:val="19"/>
                <w:szCs w:val="19"/>
              </w:rPr>
            </w:pPr>
            <w:r w:rsidRPr="002C00D4">
              <w:rPr>
                <w:rFonts w:ascii="Palatino Linotype" w:hAnsi="Palatino Linotype"/>
                <w:bCs/>
                <w:i/>
                <w:sz w:val="19"/>
                <w:szCs w:val="19"/>
              </w:rPr>
              <w:lastRenderedPageBreak/>
              <w:t>Equipamiento de Servicios Públicos</w:t>
            </w:r>
          </w:p>
        </w:tc>
        <w:tc>
          <w:tcPr>
            <w:tcW w:w="1417" w:type="dxa"/>
            <w:shd w:val="clear" w:color="auto" w:fill="auto"/>
            <w:vAlign w:val="center"/>
          </w:tcPr>
          <w:p w:rsidR="00FC6C9A" w:rsidRPr="002C00D4" w:rsidRDefault="00FC6C9A" w:rsidP="00FC6C9A">
            <w:pPr>
              <w:spacing w:after="240" w:line="276" w:lineRule="auto"/>
              <w:jc w:val="center"/>
              <w:rPr>
                <w:rFonts w:ascii="Palatino Linotype" w:hAnsi="Palatino Linotype"/>
                <w:bCs/>
                <w:sz w:val="19"/>
                <w:szCs w:val="19"/>
              </w:rPr>
            </w:pPr>
            <w:r w:rsidRPr="002C00D4">
              <w:rPr>
                <w:rFonts w:ascii="Palatino Linotype" w:hAnsi="Palatino Linotype"/>
                <w:bCs/>
                <w:sz w:val="19"/>
                <w:szCs w:val="19"/>
              </w:rPr>
              <w:t>Transporte barrial y sectorial</w:t>
            </w:r>
          </w:p>
        </w:tc>
        <w:tc>
          <w:tcPr>
            <w:tcW w:w="1559" w:type="dxa"/>
            <w:shd w:val="clear" w:color="auto" w:fill="auto"/>
            <w:vAlign w:val="center"/>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ET</w:t>
            </w:r>
          </w:p>
        </w:tc>
        <w:tc>
          <w:tcPr>
            <w:tcW w:w="2410" w:type="dxa"/>
            <w:shd w:val="clear" w:color="auto" w:fill="auto"/>
            <w:vAlign w:val="center"/>
          </w:tcPr>
          <w:p w:rsidR="00FC6C9A" w:rsidRPr="002C00D4" w:rsidRDefault="00FC6C9A" w:rsidP="00FC6C9A">
            <w:pPr>
              <w:suppressAutoHyphens w:val="0"/>
              <w:autoSpaceDE w:val="0"/>
              <w:autoSpaceDN w:val="0"/>
              <w:adjustRightInd w:val="0"/>
              <w:spacing w:after="240" w:line="276" w:lineRule="auto"/>
              <w:jc w:val="both"/>
              <w:rPr>
                <w:rFonts w:ascii="Palatino Linotype" w:hAnsi="Palatino Linotype"/>
                <w:bCs/>
                <w:sz w:val="19"/>
                <w:szCs w:val="19"/>
              </w:rPr>
            </w:pPr>
            <w:r w:rsidRPr="002C00D4">
              <w:rPr>
                <w:rFonts w:ascii="Palatino Linotype" w:hAnsi="Palatino Linotype"/>
                <w:bCs/>
                <w:sz w:val="19"/>
                <w:szCs w:val="19"/>
              </w:rPr>
              <w:t>Parqueadero público motorizado y no motorizado, estación de taxis, paradas de transferencia.</w:t>
            </w:r>
          </w:p>
        </w:tc>
        <w:tc>
          <w:tcPr>
            <w:tcW w:w="2126" w:type="dxa"/>
            <w:shd w:val="clear" w:color="auto" w:fill="auto"/>
            <w:vAlign w:val="center"/>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Estacionamiento de camionetas, buses urbanos, centros de revisión vehicular.</w:t>
            </w:r>
          </w:p>
        </w:tc>
      </w:tr>
    </w:tbl>
    <w:p w:rsidR="00FC6C9A" w:rsidRPr="00133690" w:rsidRDefault="00FC6C9A" w:rsidP="00FC6C9A">
      <w:pPr>
        <w:suppressAutoHyphens w:val="0"/>
        <w:spacing w:after="240" w:line="276" w:lineRule="auto"/>
        <w:ind w:right="-1"/>
        <w:jc w:val="both"/>
        <w:rPr>
          <w:rFonts w:ascii="Palatino Linotype" w:hAnsi="Palatino Linotype"/>
          <w:sz w:val="18"/>
          <w:szCs w:val="18"/>
        </w:rPr>
      </w:pPr>
      <w:r w:rsidRPr="00133690">
        <w:rPr>
          <w:rFonts w:ascii="Palatino Linotype" w:hAnsi="Palatino Linotype"/>
          <w:sz w:val="18"/>
          <w:szCs w:val="18"/>
        </w:rPr>
        <w:t>* Únicamente si están físicamente asociados a los establecimientos hoteleros, restaurantes o edificio del centro de convenciones.</w:t>
      </w:r>
    </w:p>
    <w:p w:rsidR="00FC6C9A" w:rsidRPr="00133690" w:rsidRDefault="00FC6C9A" w:rsidP="00FC6C9A">
      <w:pPr>
        <w:spacing w:after="240" w:line="276" w:lineRule="auto"/>
        <w:jc w:val="both"/>
        <w:rPr>
          <w:rFonts w:ascii="Palatino Linotype" w:eastAsia="Times New Roman" w:hAnsi="Palatino Linotype"/>
          <w:kern w:val="0"/>
          <w:sz w:val="22"/>
          <w:szCs w:val="22"/>
          <w:lang w:val="es-EC" w:eastAsia="es-ES"/>
        </w:rPr>
      </w:pPr>
      <w:r w:rsidRPr="00133690">
        <w:rPr>
          <w:rFonts w:ascii="Palatino Linotype" w:hAnsi="Palatino Linotype"/>
          <w:b/>
          <w:bCs/>
          <w:sz w:val="22"/>
          <w:szCs w:val="22"/>
        </w:rPr>
        <w:t xml:space="preserve">Artículo 7.- Etapas de </w:t>
      </w:r>
      <w:r w:rsidR="00133690">
        <w:rPr>
          <w:rFonts w:ascii="Palatino Linotype" w:hAnsi="Palatino Linotype"/>
          <w:b/>
          <w:bCs/>
          <w:sz w:val="22"/>
          <w:szCs w:val="22"/>
        </w:rPr>
        <w:t>c</w:t>
      </w:r>
      <w:r w:rsidRPr="00133690">
        <w:rPr>
          <w:rFonts w:ascii="Palatino Linotype" w:hAnsi="Palatino Linotype"/>
          <w:b/>
          <w:bCs/>
          <w:sz w:val="22"/>
          <w:szCs w:val="22"/>
        </w:rPr>
        <w:t>onsolidación</w:t>
      </w:r>
      <w:r w:rsidRPr="00133690">
        <w:rPr>
          <w:rFonts w:ascii="Palatino Linotype" w:hAnsi="Palatino Linotype"/>
          <w:bCs/>
          <w:sz w:val="22"/>
          <w:szCs w:val="22"/>
        </w:rPr>
        <w:t xml:space="preserve">.- </w:t>
      </w:r>
      <w:r w:rsidRPr="00133690">
        <w:rPr>
          <w:rFonts w:ascii="Palatino Linotype" w:eastAsia="Times New Roman" w:hAnsi="Palatino Linotype"/>
          <w:kern w:val="0"/>
          <w:sz w:val="22"/>
          <w:szCs w:val="22"/>
          <w:lang w:val="es-EC" w:eastAsia="es-ES"/>
        </w:rPr>
        <w:t>El proyecto Centro de Convenciones Metropolitano de la Ciudad de Quito podrá consolidarse por etapas, teniendo como referencia lo previsto en el anexo No. 3 de la presente ordenanza, cada una de las cuales garantizará, a costa del promotor, la conclusión de las edificaciones así como de los espacios y equipamientos públicos, estacionamientos, áreas verdes, componentes ambientales y obras complementarias previstas en cada etapa.</w:t>
      </w: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
          <w:bCs/>
          <w:sz w:val="22"/>
          <w:szCs w:val="22"/>
        </w:rPr>
        <w:t xml:space="preserve">Artículo 8.- Condiciones </w:t>
      </w:r>
      <w:r w:rsidR="00133690">
        <w:rPr>
          <w:rFonts w:ascii="Palatino Linotype" w:hAnsi="Palatino Linotype"/>
          <w:b/>
          <w:bCs/>
          <w:sz w:val="22"/>
          <w:szCs w:val="22"/>
        </w:rPr>
        <w:t>u</w:t>
      </w:r>
      <w:r w:rsidRPr="00133690">
        <w:rPr>
          <w:rFonts w:ascii="Palatino Linotype" w:hAnsi="Palatino Linotype"/>
          <w:b/>
          <w:bCs/>
          <w:sz w:val="22"/>
          <w:szCs w:val="22"/>
        </w:rPr>
        <w:t xml:space="preserve">rbanísticas </w:t>
      </w:r>
      <w:r w:rsidR="00133690">
        <w:rPr>
          <w:rFonts w:ascii="Palatino Linotype" w:hAnsi="Palatino Linotype"/>
          <w:b/>
          <w:bCs/>
          <w:sz w:val="22"/>
          <w:szCs w:val="22"/>
        </w:rPr>
        <w:t>c</w:t>
      </w:r>
      <w:r w:rsidRPr="00133690">
        <w:rPr>
          <w:rFonts w:ascii="Palatino Linotype" w:hAnsi="Palatino Linotype"/>
          <w:b/>
          <w:bCs/>
          <w:sz w:val="22"/>
          <w:szCs w:val="22"/>
        </w:rPr>
        <w:t>omplementarias</w:t>
      </w:r>
      <w:r w:rsidRPr="00133690">
        <w:rPr>
          <w:rFonts w:ascii="Palatino Linotype" w:hAnsi="Palatino Linotype"/>
          <w:bCs/>
          <w:sz w:val="22"/>
          <w:szCs w:val="22"/>
        </w:rPr>
        <w:t>: El proyecto contemplará las siguientes condiciones urbanísticas complementarias:</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t>El proyecto evitará fachadas de servicio y culatas ciegas hacia el parque y hacia la avenida Amazonas; generando un frente urbano tanto hacia el occidente como hacia el oriente. El diseño de los edificios propenderá a incorporar fachadas transparentes y activas.</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t>Los espacios públicos planteados por el proyecto deberán integrarse a los espacios públicos circundantes, y permitir su accesibilidad y uso sin restricciones ni cerramientos que impidan su continuidad, garantizando el acceso universal. En las plantas bajas con frente a los espacios públicos se localizarán comercios y servicios accesibles directamente desde el espacio público y con horario ampliado de atención.</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t>Los locales y recintos con frente a espacios públicos de acceso público podrán implementar medidas de seguridad y control sin por tanto restringir la libre circulación de las personas.</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t>Para efectos de seguridad y mantenimiento, los espacios y locales estarán sujetos a horarios y condiciones de uso para lo cual la administración del Centro de Convenciones establecerá un reglamento interno, mismo que será revisado y aprobado por la</w:t>
      </w:r>
      <w:r w:rsidRPr="00133690">
        <w:rPr>
          <w:rFonts w:ascii="Palatino Linotype" w:hAnsi="Palatino Linotype" w:cs="Arial"/>
          <w:sz w:val="22"/>
          <w:szCs w:val="22"/>
        </w:rPr>
        <w:t xml:space="preserve"> Empresa Pública Metropolitana de Gestión de Destino Turístico (Quito Turismo).</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lastRenderedPageBreak/>
        <w:t>Los edificios a desarrollarse en el predio 3553162 objeto de esta ordenanza, deberán localizar los ingresos y salidas de vehículos privados, públicos, servicio de transporte institucional y vehículos de emergencia, de suerte a que no interrumpir la continuidad de la imagen urbana ni obstaculizar la funcionalidad del complejo urbanístico, dando prioridad a la circulación peatonal. Se propondrán diseños y rutas específicas para el transporte no motorizado, vinculándolo al parque Bicentenario.</w:t>
      </w:r>
    </w:p>
    <w:p w:rsidR="00FC6C9A" w:rsidRPr="00133690" w:rsidRDefault="00FC6C9A" w:rsidP="00FC6C9A">
      <w:pPr>
        <w:numPr>
          <w:ilvl w:val="0"/>
          <w:numId w:val="5"/>
        </w:numPr>
        <w:spacing w:after="240" w:line="276" w:lineRule="auto"/>
        <w:jc w:val="both"/>
        <w:rPr>
          <w:rFonts w:ascii="Palatino Linotype" w:hAnsi="Palatino Linotype"/>
          <w:bCs/>
          <w:sz w:val="22"/>
          <w:szCs w:val="22"/>
        </w:rPr>
      </w:pPr>
      <w:r w:rsidRPr="00133690">
        <w:rPr>
          <w:rFonts w:ascii="Palatino Linotype" w:hAnsi="Palatino Linotype"/>
          <w:bCs/>
          <w:sz w:val="22"/>
          <w:szCs w:val="22"/>
        </w:rPr>
        <w:t>Se permitirá servidumbres de espacio aéreo, para los casos en los cuales el proyecto requiera conectar circulación aérea entre edificios, por medio de puentes o estructuras situadas sobre espacios públicos.</w:t>
      </w:r>
    </w:p>
    <w:p w:rsidR="00FC6C9A" w:rsidRPr="00133690" w:rsidRDefault="00FC6C9A" w:rsidP="00FC6C9A">
      <w:pPr>
        <w:spacing w:after="240" w:line="276" w:lineRule="auto"/>
        <w:jc w:val="both"/>
        <w:rPr>
          <w:rFonts w:ascii="Palatino Linotype" w:hAnsi="Palatino Linotype"/>
          <w:bCs/>
          <w:strike/>
          <w:sz w:val="22"/>
          <w:szCs w:val="22"/>
        </w:rPr>
      </w:pPr>
      <w:r w:rsidRPr="00133690">
        <w:rPr>
          <w:rFonts w:ascii="Palatino Linotype" w:hAnsi="Palatino Linotype"/>
          <w:b/>
          <w:bCs/>
          <w:sz w:val="22"/>
          <w:szCs w:val="22"/>
        </w:rPr>
        <w:t xml:space="preserve">Artículo 9.-  Elementos de conservación.- </w:t>
      </w:r>
      <w:r w:rsidRPr="00133690">
        <w:rPr>
          <w:rFonts w:ascii="Palatino Linotype" w:hAnsi="Palatino Linotype"/>
          <w:bCs/>
          <w:sz w:val="22"/>
          <w:szCs w:val="22"/>
        </w:rPr>
        <w:t>El proyecto</w:t>
      </w:r>
      <w:r w:rsidRPr="00133690">
        <w:rPr>
          <w:rFonts w:ascii="Palatino Linotype" w:hAnsi="Palatino Linotype"/>
          <w:b/>
          <w:bCs/>
          <w:sz w:val="22"/>
          <w:szCs w:val="22"/>
        </w:rPr>
        <w:t xml:space="preserve"> </w:t>
      </w:r>
      <w:r w:rsidRPr="00133690">
        <w:rPr>
          <w:rFonts w:ascii="Palatino Linotype" w:hAnsi="Palatino Linotype"/>
          <w:bCs/>
          <w:sz w:val="22"/>
          <w:szCs w:val="22"/>
        </w:rPr>
        <w:t xml:space="preserve">Centro de Convenciones Metropolitano de la Ciudad de Quito conservará, recuperará y pondrá en valor las siguientes edificaciones de valor testimonial: la Torre de Control original y la Terminal original. </w:t>
      </w: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Cs/>
          <w:sz w:val="22"/>
          <w:szCs w:val="22"/>
        </w:rPr>
        <w:t>Las obras de arte tendrán los siguientes tratamientos:</w:t>
      </w:r>
    </w:p>
    <w:p w:rsidR="00133690" w:rsidRDefault="00FC6C9A" w:rsidP="00FC6C9A">
      <w:pPr>
        <w:spacing w:after="240" w:line="276" w:lineRule="auto"/>
        <w:jc w:val="center"/>
        <w:rPr>
          <w:rFonts w:ascii="Palatino Linotype" w:hAnsi="Palatino Linotype"/>
          <w:b/>
          <w:bCs/>
          <w:sz w:val="22"/>
          <w:szCs w:val="22"/>
        </w:rPr>
      </w:pPr>
      <w:r w:rsidRPr="00133690">
        <w:rPr>
          <w:rFonts w:ascii="Palatino Linotype" w:hAnsi="Palatino Linotype"/>
          <w:b/>
          <w:bCs/>
          <w:sz w:val="22"/>
          <w:szCs w:val="22"/>
        </w:rPr>
        <w:t xml:space="preserve">Cuadro No. 3  </w:t>
      </w:r>
    </w:p>
    <w:p w:rsidR="00FC6C9A" w:rsidRPr="00133690" w:rsidRDefault="00FC6C9A" w:rsidP="00FC6C9A">
      <w:pPr>
        <w:spacing w:after="240" w:line="276" w:lineRule="auto"/>
        <w:jc w:val="center"/>
        <w:rPr>
          <w:rFonts w:ascii="Palatino Linotype" w:hAnsi="Palatino Linotype"/>
          <w:b/>
          <w:bCs/>
          <w:sz w:val="22"/>
          <w:szCs w:val="22"/>
        </w:rPr>
      </w:pPr>
      <w:r w:rsidRPr="00133690">
        <w:rPr>
          <w:rFonts w:ascii="Palatino Linotype" w:hAnsi="Palatino Linotype"/>
          <w:b/>
          <w:bCs/>
          <w:sz w:val="22"/>
          <w:szCs w:val="22"/>
        </w:rPr>
        <w:t>Tratamientos de los elementos artísticos sujetos a conservación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634"/>
        <w:gridCol w:w="1647"/>
        <w:gridCol w:w="2085"/>
        <w:gridCol w:w="2550"/>
      </w:tblGrid>
      <w:tr w:rsidR="00133690" w:rsidRPr="002C00D4" w:rsidTr="00133690">
        <w:tc>
          <w:tcPr>
            <w:tcW w:w="1737" w:type="dxa"/>
            <w:shd w:val="clear" w:color="auto" w:fill="auto"/>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Obra</w:t>
            </w:r>
          </w:p>
        </w:tc>
        <w:tc>
          <w:tcPr>
            <w:tcW w:w="1634" w:type="dxa"/>
            <w:shd w:val="clear" w:color="auto" w:fill="auto"/>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Título</w:t>
            </w:r>
          </w:p>
        </w:tc>
        <w:tc>
          <w:tcPr>
            <w:tcW w:w="1647" w:type="dxa"/>
            <w:shd w:val="clear" w:color="auto" w:fill="auto"/>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Autor</w:t>
            </w:r>
          </w:p>
        </w:tc>
        <w:tc>
          <w:tcPr>
            <w:tcW w:w="2085" w:type="dxa"/>
            <w:shd w:val="clear" w:color="auto" w:fill="auto"/>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Ubicación actual</w:t>
            </w:r>
          </w:p>
        </w:tc>
        <w:tc>
          <w:tcPr>
            <w:tcW w:w="2550" w:type="dxa"/>
            <w:shd w:val="clear" w:color="auto" w:fill="auto"/>
          </w:tcPr>
          <w:p w:rsidR="00FC6C9A" w:rsidRPr="002C00D4" w:rsidRDefault="00FC6C9A" w:rsidP="00FC6C9A">
            <w:pPr>
              <w:spacing w:after="240" w:line="276" w:lineRule="auto"/>
              <w:jc w:val="center"/>
              <w:rPr>
                <w:rFonts w:ascii="Palatino Linotype" w:hAnsi="Palatino Linotype"/>
                <w:b/>
                <w:bCs/>
                <w:sz w:val="19"/>
                <w:szCs w:val="19"/>
              </w:rPr>
            </w:pPr>
            <w:r w:rsidRPr="002C00D4">
              <w:rPr>
                <w:rFonts w:ascii="Palatino Linotype" w:hAnsi="Palatino Linotype"/>
                <w:b/>
                <w:bCs/>
                <w:sz w:val="19"/>
                <w:szCs w:val="19"/>
              </w:rPr>
              <w:t>Tratamiento</w:t>
            </w:r>
          </w:p>
        </w:tc>
      </w:tr>
      <w:tr w:rsidR="00133690" w:rsidRPr="002C00D4" w:rsidTr="00133690">
        <w:tc>
          <w:tcPr>
            <w:tcW w:w="173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Pintura Mural</w:t>
            </w:r>
          </w:p>
        </w:tc>
        <w:tc>
          <w:tcPr>
            <w:tcW w:w="1634"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Primer vuelo sobre los Andes</w:t>
            </w:r>
          </w:p>
        </w:tc>
        <w:tc>
          <w:tcPr>
            <w:tcW w:w="164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Galo Galecio</w:t>
            </w:r>
          </w:p>
        </w:tc>
        <w:tc>
          <w:tcPr>
            <w:tcW w:w="2085"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Muros sur, al interior de la terminal original</w:t>
            </w:r>
          </w:p>
        </w:tc>
        <w:tc>
          <w:tcPr>
            <w:tcW w:w="2550"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Conservación en sitio del mural y de la estructura que lo soporta, incorporándolos a la nueva propuesta de recuperación de la terminal original.</w:t>
            </w:r>
          </w:p>
        </w:tc>
      </w:tr>
      <w:tr w:rsidR="00133690" w:rsidRPr="002C00D4" w:rsidTr="00133690">
        <w:tc>
          <w:tcPr>
            <w:tcW w:w="173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Mural</w:t>
            </w:r>
          </w:p>
        </w:tc>
        <w:tc>
          <w:tcPr>
            <w:tcW w:w="1634"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S/T</w:t>
            </w:r>
          </w:p>
        </w:tc>
        <w:tc>
          <w:tcPr>
            <w:tcW w:w="164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Jaime Andrade</w:t>
            </w:r>
          </w:p>
        </w:tc>
        <w:tc>
          <w:tcPr>
            <w:tcW w:w="2085"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Muro norte, al interior de la terminal original</w:t>
            </w:r>
          </w:p>
        </w:tc>
        <w:tc>
          <w:tcPr>
            <w:tcW w:w="2550"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Conservación en sitio del mural y de la estructura que lo soporta, incorporándolos a la nueva propuesta de recuperación de la terminal original.</w:t>
            </w:r>
          </w:p>
        </w:tc>
      </w:tr>
      <w:tr w:rsidR="00133690" w:rsidRPr="002C00D4" w:rsidTr="00133690">
        <w:tc>
          <w:tcPr>
            <w:tcW w:w="173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Panel Escultórico</w:t>
            </w:r>
          </w:p>
        </w:tc>
        <w:tc>
          <w:tcPr>
            <w:tcW w:w="1634"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S/T</w:t>
            </w:r>
          </w:p>
        </w:tc>
        <w:tc>
          <w:tcPr>
            <w:tcW w:w="164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 xml:space="preserve">Oswaldo Vallejo </w:t>
            </w:r>
          </w:p>
        </w:tc>
        <w:tc>
          <w:tcPr>
            <w:tcW w:w="2085"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 xml:space="preserve">Sala de arribo </w:t>
            </w:r>
            <w:r w:rsidRPr="002C00D4">
              <w:rPr>
                <w:rFonts w:ascii="Palatino Linotype" w:hAnsi="Palatino Linotype"/>
                <w:bCs/>
                <w:sz w:val="19"/>
                <w:szCs w:val="19"/>
              </w:rPr>
              <w:lastRenderedPageBreak/>
              <w:t>internacional</w:t>
            </w:r>
          </w:p>
        </w:tc>
        <w:tc>
          <w:tcPr>
            <w:tcW w:w="2550"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lastRenderedPageBreak/>
              <w:t xml:space="preserve">Traslado al interior de la terminal original y puesta </w:t>
            </w:r>
            <w:r w:rsidRPr="002C00D4">
              <w:rPr>
                <w:rFonts w:ascii="Palatino Linotype" w:hAnsi="Palatino Linotype"/>
                <w:bCs/>
                <w:sz w:val="19"/>
                <w:szCs w:val="19"/>
              </w:rPr>
              <w:lastRenderedPageBreak/>
              <w:t>en valor de esta obra.</w:t>
            </w:r>
          </w:p>
        </w:tc>
      </w:tr>
      <w:tr w:rsidR="00133690" w:rsidRPr="002C00D4" w:rsidTr="00133690">
        <w:tc>
          <w:tcPr>
            <w:tcW w:w="173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lastRenderedPageBreak/>
              <w:t>Placa conmemorativa</w:t>
            </w:r>
          </w:p>
        </w:tc>
        <w:tc>
          <w:tcPr>
            <w:tcW w:w="1634"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S/T</w:t>
            </w:r>
          </w:p>
        </w:tc>
        <w:tc>
          <w:tcPr>
            <w:tcW w:w="1647"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S/N</w:t>
            </w:r>
          </w:p>
        </w:tc>
        <w:tc>
          <w:tcPr>
            <w:tcW w:w="2085"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Área de arribo de vuelos internacionales</w:t>
            </w:r>
          </w:p>
        </w:tc>
        <w:tc>
          <w:tcPr>
            <w:tcW w:w="2550" w:type="dxa"/>
            <w:shd w:val="clear" w:color="auto" w:fill="auto"/>
          </w:tcPr>
          <w:p w:rsidR="00FC6C9A" w:rsidRPr="002C00D4" w:rsidRDefault="00FC6C9A" w:rsidP="00FC6C9A">
            <w:pPr>
              <w:spacing w:after="240" w:line="276" w:lineRule="auto"/>
              <w:jc w:val="both"/>
              <w:rPr>
                <w:rFonts w:ascii="Palatino Linotype" w:hAnsi="Palatino Linotype"/>
                <w:bCs/>
                <w:sz w:val="19"/>
                <w:szCs w:val="19"/>
              </w:rPr>
            </w:pPr>
            <w:r w:rsidRPr="002C00D4">
              <w:rPr>
                <w:rFonts w:ascii="Palatino Linotype" w:hAnsi="Palatino Linotype"/>
                <w:bCs/>
                <w:sz w:val="19"/>
                <w:szCs w:val="19"/>
              </w:rPr>
              <w:t xml:space="preserve">Proteger y Trasladarla al interior de la terminal original </w:t>
            </w:r>
          </w:p>
        </w:tc>
      </w:tr>
    </w:tbl>
    <w:p w:rsidR="00485EFC" w:rsidRDefault="00485EFC" w:rsidP="00FC6C9A">
      <w:pPr>
        <w:spacing w:after="240" w:line="276" w:lineRule="auto"/>
        <w:jc w:val="both"/>
        <w:rPr>
          <w:rFonts w:ascii="Palatino Linotype" w:hAnsi="Palatino Linotype"/>
          <w:bCs/>
          <w:sz w:val="22"/>
          <w:szCs w:val="22"/>
        </w:rPr>
      </w:pP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Cs/>
          <w:sz w:val="22"/>
          <w:szCs w:val="22"/>
        </w:rPr>
        <w:t>Los tratamientos de conservación o restauración de estas piezas artísticas se llevarán a cabo en atención a las recomendaciones y tratamientos dispuestos en el oficio No.4147-STHV del 28 de agosto del 2015, que contiene el informe técnico con planos y fichas de evaluación, anexo No. 6 a la presente ordenanza.</w:t>
      </w: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
          <w:bCs/>
          <w:sz w:val="22"/>
          <w:szCs w:val="22"/>
        </w:rPr>
        <w:t>Artículo 10.-</w:t>
      </w:r>
      <w:r w:rsidRPr="00133690">
        <w:rPr>
          <w:rFonts w:ascii="Palatino Linotype" w:hAnsi="Palatino Linotype"/>
          <w:bCs/>
          <w:sz w:val="22"/>
          <w:szCs w:val="22"/>
        </w:rPr>
        <w:t xml:space="preserve"> </w:t>
      </w:r>
      <w:r w:rsidRPr="00133690">
        <w:rPr>
          <w:rFonts w:ascii="Palatino Linotype" w:hAnsi="Palatino Linotype"/>
          <w:b/>
          <w:bCs/>
          <w:sz w:val="22"/>
          <w:szCs w:val="22"/>
        </w:rPr>
        <w:t>Normativa constructiva de las edificaciones.-</w:t>
      </w:r>
      <w:r w:rsidRPr="00133690">
        <w:rPr>
          <w:rFonts w:ascii="Palatino Linotype" w:hAnsi="Palatino Linotype"/>
          <w:bCs/>
          <w:sz w:val="22"/>
          <w:szCs w:val="22"/>
        </w:rPr>
        <w:t xml:space="preserve"> El Proyecto Centro de Convenciones Metropolitano de la Ciudad de Quito se diseñará y construirá conforme a lo establecido en la Norma Ecuatoriana de la Construcción (NEC)</w:t>
      </w:r>
      <w:r w:rsidR="006E5C83">
        <w:rPr>
          <w:rFonts w:ascii="Palatino Linotype" w:hAnsi="Palatino Linotype"/>
          <w:bCs/>
          <w:sz w:val="22"/>
          <w:szCs w:val="22"/>
        </w:rPr>
        <w:t xml:space="preserve">, y podrá acogerse a normas de </w:t>
      </w:r>
      <w:r w:rsidR="00FB6CD6">
        <w:rPr>
          <w:rFonts w:ascii="Palatino Linotype" w:hAnsi="Palatino Linotype"/>
          <w:bCs/>
          <w:sz w:val="22"/>
          <w:szCs w:val="22"/>
        </w:rPr>
        <w:t xml:space="preserve">carácter </w:t>
      </w:r>
      <w:r w:rsidR="006E5C83">
        <w:rPr>
          <w:rFonts w:ascii="Palatino Linotype" w:hAnsi="Palatino Linotype"/>
          <w:bCs/>
          <w:sz w:val="22"/>
          <w:szCs w:val="22"/>
        </w:rPr>
        <w:t xml:space="preserve">nacional e internacional, si estas mejoran la calidad constructiva </w:t>
      </w:r>
      <w:r w:rsidR="00FB6CD6">
        <w:rPr>
          <w:rFonts w:ascii="Palatino Linotype" w:hAnsi="Palatino Linotype"/>
          <w:bCs/>
          <w:sz w:val="22"/>
          <w:szCs w:val="22"/>
        </w:rPr>
        <w:t xml:space="preserve">o llenan vacíos de la norma </w:t>
      </w:r>
      <w:r w:rsidR="006E5C83">
        <w:rPr>
          <w:rFonts w:ascii="Palatino Linotype" w:hAnsi="Palatino Linotype"/>
          <w:bCs/>
          <w:sz w:val="22"/>
          <w:szCs w:val="22"/>
        </w:rPr>
        <w:t>metropolitana</w:t>
      </w:r>
      <w:r w:rsidRPr="00133690">
        <w:rPr>
          <w:rFonts w:ascii="Palatino Linotype" w:hAnsi="Palatino Linotype"/>
          <w:bCs/>
          <w:sz w:val="22"/>
          <w:szCs w:val="22"/>
        </w:rPr>
        <w:t xml:space="preserve">. </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CAPÍTULO II</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DEL ESPACIO PÚBLICO, ÁREAS VERDES Y MOBILIARIO URBANO</w:t>
      </w:r>
    </w:p>
    <w:p w:rsidR="00FC6C9A" w:rsidRPr="00133690" w:rsidRDefault="00FC6C9A" w:rsidP="00FC6C9A">
      <w:pPr>
        <w:pStyle w:val="Textodebloque"/>
        <w:tabs>
          <w:tab w:val="left" w:pos="993"/>
        </w:tabs>
        <w:spacing w:after="240" w:line="276" w:lineRule="auto"/>
        <w:ind w:left="0" w:right="-1" w:firstLine="0"/>
        <w:rPr>
          <w:rFonts w:ascii="Palatino Linotype" w:hAnsi="Palatino Linotype"/>
          <w:b/>
          <w:bCs/>
        </w:rPr>
      </w:pPr>
      <w:r w:rsidRPr="00133690">
        <w:rPr>
          <w:rFonts w:ascii="Palatino Linotype" w:hAnsi="Palatino Linotype"/>
          <w:b/>
          <w:bCs/>
        </w:rPr>
        <w:t xml:space="preserve">Artículo 11.- Espacio público y áreas verdes.- </w:t>
      </w:r>
      <w:r w:rsidRPr="00133690">
        <w:rPr>
          <w:rFonts w:ascii="Palatino Linotype" w:hAnsi="Palatino Linotype"/>
          <w:bCs/>
        </w:rPr>
        <w:t xml:space="preserve">El proyecto concebirá espacios públicos y áreas verdes que se integrarán a las vías y al espacio público del entorno, generando una continuidad morfológica y espacial hacia los bulevares propuestos en las avenidas Amazonas y Florida, así como hacia el parque Bicentenario. </w:t>
      </w: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Cs/>
          <w:sz w:val="22"/>
          <w:szCs w:val="22"/>
        </w:rPr>
        <w:t>Dichos espacios permitirán su accesibilidad y uso sin restricciones ni cerramientos que impidan su conexión con el parque Bicentenario.</w:t>
      </w:r>
    </w:p>
    <w:p w:rsidR="00FC6C9A" w:rsidRPr="00133690" w:rsidRDefault="00FC6C9A" w:rsidP="00FC6C9A">
      <w:pPr>
        <w:spacing w:after="240" w:line="276" w:lineRule="auto"/>
        <w:jc w:val="both"/>
        <w:rPr>
          <w:rFonts w:ascii="Palatino Linotype" w:hAnsi="Palatino Linotype"/>
          <w:bCs/>
          <w:sz w:val="22"/>
          <w:szCs w:val="22"/>
        </w:rPr>
      </w:pPr>
      <w:r w:rsidRPr="00133690">
        <w:rPr>
          <w:rFonts w:ascii="Palatino Linotype" w:hAnsi="Palatino Linotype"/>
          <w:bCs/>
          <w:sz w:val="22"/>
          <w:szCs w:val="22"/>
        </w:rPr>
        <w:t xml:space="preserve">La construcción de estos espacios estará ligada a las condiciones de financiamiento y a las etapas de consolidación expuestas en el artículo 7 de la presente ordenanza. </w:t>
      </w:r>
    </w:p>
    <w:p w:rsidR="00FC6C9A" w:rsidRPr="00133690" w:rsidRDefault="00FC6C9A" w:rsidP="00FC6C9A">
      <w:pPr>
        <w:pStyle w:val="Textodebloque"/>
        <w:tabs>
          <w:tab w:val="left" w:pos="993"/>
        </w:tabs>
        <w:spacing w:after="240" w:line="276" w:lineRule="auto"/>
        <w:ind w:left="0" w:right="-1" w:firstLine="0"/>
        <w:rPr>
          <w:rFonts w:ascii="Palatino Linotype" w:hAnsi="Palatino Linotype"/>
          <w:b/>
          <w:bCs/>
        </w:rPr>
      </w:pPr>
      <w:r w:rsidRPr="00133690">
        <w:rPr>
          <w:rFonts w:ascii="Palatino Linotype" w:hAnsi="Palatino Linotype"/>
          <w:bCs/>
        </w:rPr>
        <w:t>Dichas áreas serán mantenidas bajo la responsabilidad y costo de la administración del Centro de Convenciones o de las edificaciones, prohibiéndose su cambio de uso y ocupación de suelo.</w:t>
      </w:r>
    </w:p>
    <w:p w:rsidR="00FC6C9A" w:rsidRPr="00133690" w:rsidRDefault="00FC6C9A" w:rsidP="00FC6C9A">
      <w:pPr>
        <w:tabs>
          <w:tab w:val="left" w:pos="993"/>
        </w:tabs>
        <w:spacing w:after="240" w:line="276" w:lineRule="auto"/>
        <w:ind w:right="-1"/>
        <w:jc w:val="both"/>
        <w:rPr>
          <w:rFonts w:ascii="Palatino Linotype" w:eastAsia="Times New Roman" w:hAnsi="Palatino Linotype"/>
          <w:bCs/>
          <w:kern w:val="0"/>
          <w:sz w:val="22"/>
          <w:szCs w:val="22"/>
          <w:lang w:val="es-ES" w:eastAsia="es-ES"/>
        </w:rPr>
      </w:pPr>
      <w:r w:rsidRPr="00133690">
        <w:rPr>
          <w:rFonts w:ascii="Palatino Linotype" w:eastAsia="Times New Roman" w:hAnsi="Palatino Linotype"/>
          <w:b/>
          <w:bCs/>
          <w:kern w:val="0"/>
          <w:sz w:val="22"/>
          <w:szCs w:val="22"/>
          <w:lang w:val="es-ES" w:eastAsia="es-ES"/>
        </w:rPr>
        <w:t xml:space="preserve">Artículo 12.- Mobiliario </w:t>
      </w:r>
      <w:r w:rsidR="00133690">
        <w:rPr>
          <w:rFonts w:ascii="Palatino Linotype" w:eastAsia="Times New Roman" w:hAnsi="Palatino Linotype"/>
          <w:b/>
          <w:bCs/>
          <w:kern w:val="0"/>
          <w:sz w:val="22"/>
          <w:szCs w:val="22"/>
          <w:lang w:val="es-ES" w:eastAsia="es-ES"/>
        </w:rPr>
        <w:t>u</w:t>
      </w:r>
      <w:r w:rsidRPr="00133690">
        <w:rPr>
          <w:rFonts w:ascii="Palatino Linotype" w:eastAsia="Times New Roman" w:hAnsi="Palatino Linotype"/>
          <w:b/>
          <w:bCs/>
          <w:kern w:val="0"/>
          <w:sz w:val="22"/>
          <w:szCs w:val="22"/>
          <w:lang w:val="es-ES" w:eastAsia="es-ES"/>
        </w:rPr>
        <w:t>rbano.-</w:t>
      </w:r>
      <w:r w:rsidRPr="00133690">
        <w:rPr>
          <w:rFonts w:ascii="Palatino Linotype" w:hAnsi="Palatino Linotype"/>
          <w:b/>
          <w:bCs/>
          <w:sz w:val="22"/>
          <w:szCs w:val="22"/>
        </w:rPr>
        <w:t xml:space="preserve"> </w:t>
      </w:r>
      <w:r w:rsidRPr="00133690">
        <w:rPr>
          <w:rFonts w:ascii="Palatino Linotype" w:eastAsia="Times New Roman" w:hAnsi="Palatino Linotype"/>
          <w:bCs/>
          <w:kern w:val="0"/>
          <w:sz w:val="22"/>
          <w:szCs w:val="22"/>
          <w:lang w:val="es-ES" w:eastAsia="es-ES"/>
        </w:rPr>
        <w:t xml:space="preserve">La provisión y ubicación de mobiliario urbano cumplirá con lo establecido en las Normas de Arquitectura y Urbanismo del Municipio del Distrito Metropolitano de </w:t>
      </w:r>
      <w:r w:rsidRPr="00133690">
        <w:rPr>
          <w:rFonts w:ascii="Palatino Linotype" w:eastAsia="Times New Roman" w:hAnsi="Palatino Linotype"/>
          <w:bCs/>
          <w:kern w:val="0"/>
          <w:sz w:val="22"/>
          <w:szCs w:val="22"/>
          <w:lang w:val="es-ES" w:eastAsia="es-ES"/>
        </w:rPr>
        <w:lastRenderedPageBreak/>
        <w:t>Quito y adicionalmente con las siguientes características: diseños cómodos y eficientes, uso de materiales amigables con el medio ambiente y resistentes a usos intensos; colocación de receptores de papeles o de basura en la zona previstas de las aceras, con características especiales para clasificación de desechos con el propósito de ser reciclados. De requerirse, se preverá otro tipo de mobiliario urbano orientado a asegurar un adecuado uso, higiene, permanencia y disfrute del espacio público.</w:t>
      </w:r>
    </w:p>
    <w:p w:rsidR="00FC6C9A" w:rsidRPr="00133690" w:rsidRDefault="00133690" w:rsidP="00FC6C9A">
      <w:pPr>
        <w:pStyle w:val="Textodebloque"/>
        <w:tabs>
          <w:tab w:val="left" w:pos="851"/>
        </w:tabs>
        <w:spacing w:after="240" w:line="276" w:lineRule="auto"/>
        <w:ind w:left="0" w:right="-1" w:firstLine="0"/>
        <w:jc w:val="center"/>
        <w:rPr>
          <w:rFonts w:ascii="Palatino Linotype" w:eastAsia="Arial Unicode MS" w:hAnsi="Palatino Linotype"/>
          <w:b/>
          <w:kern w:val="1"/>
          <w:lang w:val="es-ES_tradnl" w:eastAsia="ar-SA"/>
        </w:rPr>
      </w:pPr>
      <w:r w:rsidRPr="00133690">
        <w:rPr>
          <w:rFonts w:ascii="Palatino Linotype" w:eastAsia="Arial Unicode MS" w:hAnsi="Palatino Linotype"/>
          <w:b/>
          <w:kern w:val="1"/>
          <w:lang w:val="es-ES_tradnl" w:eastAsia="ar-SA"/>
        </w:rPr>
        <w:t>CAPÍTULO III</w:t>
      </w:r>
    </w:p>
    <w:p w:rsidR="00FC6C9A" w:rsidRPr="00133690" w:rsidRDefault="00133690" w:rsidP="00FC6C9A">
      <w:pPr>
        <w:pStyle w:val="Textodebloque"/>
        <w:tabs>
          <w:tab w:val="left" w:pos="851"/>
        </w:tabs>
        <w:spacing w:after="240" w:line="276" w:lineRule="auto"/>
        <w:ind w:left="0" w:right="-1" w:firstLine="0"/>
        <w:jc w:val="center"/>
        <w:rPr>
          <w:rFonts w:ascii="Palatino Linotype" w:eastAsia="Arial Unicode MS" w:hAnsi="Palatino Linotype"/>
          <w:b/>
          <w:kern w:val="1"/>
          <w:lang w:val="es-ES_tradnl" w:eastAsia="ar-SA"/>
        </w:rPr>
      </w:pPr>
      <w:r w:rsidRPr="00133690">
        <w:rPr>
          <w:rFonts w:ascii="Palatino Linotype" w:eastAsia="Arial Unicode MS" w:hAnsi="Palatino Linotype"/>
          <w:b/>
          <w:kern w:val="1"/>
          <w:lang w:val="es-ES_tradnl" w:eastAsia="ar-SA"/>
        </w:rPr>
        <w:t>DE LOS SISTEMAS COLECTIVOS DE SOPORTE</w:t>
      </w:r>
    </w:p>
    <w:p w:rsidR="00FC6C9A" w:rsidRPr="00133690" w:rsidRDefault="00FC6C9A" w:rsidP="00FC6C9A">
      <w:pPr>
        <w:pStyle w:val="Textodebloque"/>
        <w:tabs>
          <w:tab w:val="left" w:pos="851"/>
        </w:tabs>
        <w:spacing w:after="240" w:line="276" w:lineRule="auto"/>
        <w:ind w:left="0" w:right="-1" w:firstLine="0"/>
        <w:rPr>
          <w:rFonts w:ascii="Palatino Linotype" w:eastAsia="Arial Unicode MS" w:hAnsi="Palatino Linotype"/>
          <w:bCs/>
          <w:kern w:val="1"/>
          <w:lang w:val="es-ES_tradnl" w:eastAsia="ar-SA"/>
        </w:rPr>
      </w:pPr>
      <w:r w:rsidRPr="00133690">
        <w:rPr>
          <w:rFonts w:ascii="Palatino Linotype" w:eastAsia="Arial Unicode MS" w:hAnsi="Palatino Linotype"/>
          <w:b/>
          <w:kern w:val="1"/>
          <w:lang w:val="es-ES_tradnl" w:eastAsia="ar-SA"/>
        </w:rPr>
        <w:t xml:space="preserve">Artículo 13.- Sistemas </w:t>
      </w:r>
      <w:r w:rsidR="00133690">
        <w:rPr>
          <w:rFonts w:ascii="Palatino Linotype" w:eastAsia="Arial Unicode MS" w:hAnsi="Palatino Linotype"/>
          <w:b/>
          <w:kern w:val="1"/>
          <w:lang w:val="es-ES_tradnl" w:eastAsia="ar-SA"/>
        </w:rPr>
        <w:t>c</w:t>
      </w:r>
      <w:r w:rsidRPr="00133690">
        <w:rPr>
          <w:rFonts w:ascii="Palatino Linotype" w:eastAsia="Arial Unicode MS" w:hAnsi="Palatino Linotype"/>
          <w:b/>
          <w:kern w:val="1"/>
          <w:lang w:val="es-ES_tradnl" w:eastAsia="ar-SA"/>
        </w:rPr>
        <w:t xml:space="preserve">olectivos de </w:t>
      </w:r>
      <w:r w:rsidR="00133690">
        <w:rPr>
          <w:rFonts w:ascii="Palatino Linotype" w:eastAsia="Arial Unicode MS" w:hAnsi="Palatino Linotype"/>
          <w:b/>
          <w:kern w:val="1"/>
          <w:lang w:val="es-ES_tradnl" w:eastAsia="ar-SA"/>
        </w:rPr>
        <w:t>s</w:t>
      </w:r>
      <w:r w:rsidRPr="00133690">
        <w:rPr>
          <w:rFonts w:ascii="Palatino Linotype" w:eastAsia="Arial Unicode MS" w:hAnsi="Palatino Linotype"/>
          <w:b/>
          <w:kern w:val="1"/>
          <w:lang w:val="es-ES_tradnl" w:eastAsia="ar-SA"/>
        </w:rPr>
        <w:t xml:space="preserve">oporte.- </w:t>
      </w:r>
      <w:r w:rsidRPr="00133690">
        <w:rPr>
          <w:rFonts w:ascii="Palatino Linotype" w:eastAsia="Arial Unicode MS" w:hAnsi="Palatino Linotype"/>
          <w:bCs/>
          <w:kern w:val="1"/>
          <w:lang w:val="es-ES_tradnl" w:eastAsia="ar-SA"/>
        </w:rPr>
        <w:t>Los Sistemas Colectivos de Soporte compuestos por el sistema vial, las redes y servicios básicos, el sistema de espacio público y la red de áreas verdes, cumplirán con las siguientes condiciones generales y específicas:</w:t>
      </w:r>
    </w:p>
    <w:p w:rsidR="00FC6C9A" w:rsidRPr="00133690" w:rsidRDefault="00FC6C9A" w:rsidP="00FC6C9A">
      <w:pPr>
        <w:pStyle w:val="Prrafodelista"/>
        <w:tabs>
          <w:tab w:val="left" w:pos="851"/>
        </w:tabs>
        <w:suppressAutoHyphens w:val="0"/>
        <w:spacing w:after="240" w:line="276" w:lineRule="auto"/>
        <w:ind w:left="0"/>
        <w:jc w:val="both"/>
        <w:rPr>
          <w:rFonts w:ascii="Palatino Linotype" w:hAnsi="Palatino Linotype"/>
          <w:bCs/>
          <w:sz w:val="22"/>
          <w:szCs w:val="22"/>
        </w:rPr>
      </w:pPr>
      <w:r w:rsidRPr="00133690">
        <w:rPr>
          <w:rFonts w:ascii="Palatino Linotype" w:hAnsi="Palatino Linotype"/>
          <w:bCs/>
          <w:sz w:val="22"/>
          <w:szCs w:val="22"/>
        </w:rPr>
        <w:t>Adecuar, a costa del promotor, la capacidad de carga de las redes y servicios básicos para soportar la demanda del proyecto.</w:t>
      </w:r>
    </w:p>
    <w:p w:rsidR="00FC6C9A" w:rsidRPr="00133690" w:rsidRDefault="00FC6C9A" w:rsidP="00FC6C9A">
      <w:pPr>
        <w:pStyle w:val="Prrafodelista"/>
        <w:tabs>
          <w:tab w:val="left" w:pos="851"/>
        </w:tabs>
        <w:suppressAutoHyphens w:val="0"/>
        <w:spacing w:after="240" w:line="276" w:lineRule="auto"/>
        <w:ind w:left="0"/>
        <w:jc w:val="both"/>
        <w:rPr>
          <w:rFonts w:ascii="Palatino Linotype" w:hAnsi="Palatino Linotype"/>
          <w:bCs/>
          <w:sz w:val="22"/>
          <w:szCs w:val="22"/>
        </w:rPr>
      </w:pPr>
      <w:r w:rsidRPr="00133690">
        <w:rPr>
          <w:rFonts w:ascii="Palatino Linotype" w:hAnsi="Palatino Linotype"/>
          <w:bCs/>
          <w:sz w:val="22"/>
          <w:szCs w:val="22"/>
        </w:rPr>
        <w:t>Integrar el proyecto a los sistemas generales de servicios básicos, movilidad, espacio público y red verde urbana de la zona.</w:t>
      </w:r>
    </w:p>
    <w:p w:rsidR="00FC6C9A" w:rsidRPr="00133690" w:rsidRDefault="00FC6C9A" w:rsidP="00FC6C9A">
      <w:pPr>
        <w:pStyle w:val="Prrafodelista"/>
        <w:tabs>
          <w:tab w:val="left" w:pos="851"/>
        </w:tabs>
        <w:suppressAutoHyphens w:val="0"/>
        <w:spacing w:after="240" w:line="276" w:lineRule="auto"/>
        <w:ind w:left="0"/>
        <w:jc w:val="both"/>
        <w:rPr>
          <w:rFonts w:ascii="Palatino Linotype" w:hAnsi="Palatino Linotype"/>
          <w:bCs/>
          <w:sz w:val="22"/>
          <w:szCs w:val="22"/>
        </w:rPr>
      </w:pPr>
      <w:r w:rsidRPr="00133690">
        <w:rPr>
          <w:rFonts w:ascii="Palatino Linotype" w:hAnsi="Palatino Linotype"/>
          <w:bCs/>
          <w:sz w:val="22"/>
          <w:szCs w:val="22"/>
        </w:rPr>
        <w:t xml:space="preserve">Mejorar la funcionalidad y calidad de los sistemas locales de movilidad, espacio público y áreas verdes. </w:t>
      </w:r>
    </w:p>
    <w:p w:rsidR="00FC6C9A" w:rsidRPr="00133690" w:rsidRDefault="00FC6C9A" w:rsidP="00FC6C9A">
      <w:pPr>
        <w:pStyle w:val="Textodebloque"/>
        <w:tabs>
          <w:tab w:val="left" w:pos="0"/>
        </w:tabs>
        <w:spacing w:after="240" w:line="276" w:lineRule="auto"/>
        <w:ind w:left="0" w:right="-1"/>
        <w:rPr>
          <w:rFonts w:ascii="Palatino Linotype" w:hAnsi="Palatino Linotype"/>
          <w:lang w:val="es-EC"/>
        </w:rPr>
      </w:pPr>
      <w:r w:rsidRPr="00133690">
        <w:rPr>
          <w:rFonts w:ascii="Palatino Linotype" w:hAnsi="Palatino Linotype"/>
          <w:b/>
          <w:lang w:val="es-EC"/>
        </w:rPr>
        <w:tab/>
        <w:t>Red de agua potable:</w:t>
      </w:r>
      <w:r w:rsidRPr="00133690">
        <w:rPr>
          <w:rFonts w:ascii="Palatino Linotype" w:hAnsi="Palatino Linotype"/>
          <w:lang w:val="es-EC"/>
        </w:rPr>
        <w:t xml:space="preserve"> El promotor construirá a su costo el sistema de provisión de agua potable según lo dispuesto en el artículo 19 de la presente ordenanza, mismo que contará con la aprobación de la empresa competente. </w:t>
      </w:r>
    </w:p>
    <w:p w:rsidR="00FC6C9A" w:rsidRPr="00133690" w:rsidRDefault="00FC6C9A" w:rsidP="00FC6C9A">
      <w:pPr>
        <w:pStyle w:val="Textodebloque"/>
        <w:tabs>
          <w:tab w:val="left" w:pos="0"/>
        </w:tabs>
        <w:spacing w:after="240" w:line="276" w:lineRule="auto"/>
        <w:ind w:left="0" w:right="-1"/>
        <w:rPr>
          <w:rFonts w:ascii="Palatino Linotype" w:hAnsi="Palatino Linotype"/>
          <w:lang w:val="es-EC"/>
        </w:rPr>
      </w:pPr>
      <w:r w:rsidRPr="00133690">
        <w:rPr>
          <w:rFonts w:ascii="Palatino Linotype" w:hAnsi="Palatino Linotype"/>
          <w:b/>
          <w:lang w:val="es-EC"/>
        </w:rPr>
        <w:tab/>
        <w:t xml:space="preserve">Red de alcantarillado: </w:t>
      </w:r>
      <w:r w:rsidRPr="00133690">
        <w:rPr>
          <w:rFonts w:ascii="Palatino Linotype" w:hAnsi="Palatino Linotype"/>
          <w:lang w:val="es-EC"/>
        </w:rPr>
        <w:t>El promotor construirá a su costo el sistema de alcantarillado según lo dispuesto en el artículo 19 de la presente ordenanza</w:t>
      </w:r>
      <w:r w:rsidRPr="00133690">
        <w:rPr>
          <w:rFonts w:ascii="Palatino Linotype" w:hAnsi="Palatino Linotype"/>
        </w:rPr>
        <w:t>.</w:t>
      </w:r>
      <w:r w:rsidRPr="00133690">
        <w:rPr>
          <w:rFonts w:ascii="Palatino Linotype" w:hAnsi="Palatino Linotype"/>
          <w:lang w:val="es-EC"/>
        </w:rPr>
        <w:t xml:space="preserve"> El sistema contará con la aprobación de la empresa competente.</w:t>
      </w:r>
      <w:r w:rsidRPr="00133690">
        <w:rPr>
          <w:rFonts w:ascii="Palatino Linotype" w:hAnsi="Palatino Linotype"/>
        </w:rPr>
        <w:t xml:space="preserve"> </w:t>
      </w:r>
    </w:p>
    <w:p w:rsidR="00FC6C9A" w:rsidRPr="00133690" w:rsidRDefault="00FC6C9A" w:rsidP="00FC6C9A">
      <w:pPr>
        <w:pStyle w:val="Textodebloque"/>
        <w:tabs>
          <w:tab w:val="left" w:pos="0"/>
        </w:tabs>
        <w:spacing w:after="240" w:line="276" w:lineRule="auto"/>
        <w:ind w:left="0" w:right="-1"/>
        <w:rPr>
          <w:rFonts w:ascii="Palatino Linotype" w:hAnsi="Palatino Linotype"/>
          <w:lang w:val="es-EC"/>
        </w:rPr>
      </w:pPr>
      <w:r w:rsidRPr="00133690">
        <w:rPr>
          <w:rFonts w:ascii="Palatino Linotype" w:hAnsi="Palatino Linotype"/>
          <w:b/>
          <w:lang w:val="es-EC"/>
        </w:rPr>
        <w:tab/>
        <w:t>Red eléctrica:</w:t>
      </w:r>
      <w:r w:rsidRPr="00133690">
        <w:rPr>
          <w:rFonts w:ascii="Palatino Linotype" w:hAnsi="Palatino Linotype"/>
          <w:lang w:val="es-EC"/>
        </w:rPr>
        <w:t xml:space="preserve"> El promotor implementará a su costo el sistema de energía eléctrica, el cual deberá prever un sistema de autoabastecimiento parcial de energía renovable según lo establecido en el artículo 19 de la presente ordenanza y cuyos estudios técnicos deberán contar con las aprobaciones de la Empresa Eléctrica de Quito.</w:t>
      </w:r>
    </w:p>
    <w:p w:rsidR="00FC6C9A" w:rsidRPr="00133690" w:rsidRDefault="00FC6C9A" w:rsidP="00FC6C9A">
      <w:pPr>
        <w:pStyle w:val="Textodebloque"/>
        <w:tabs>
          <w:tab w:val="left" w:pos="0"/>
        </w:tabs>
        <w:spacing w:after="240" w:line="276" w:lineRule="auto"/>
        <w:ind w:left="0" w:right="-1"/>
        <w:rPr>
          <w:rFonts w:ascii="Palatino Linotype" w:hAnsi="Palatino Linotype"/>
          <w:lang w:val="es-EC"/>
        </w:rPr>
      </w:pPr>
      <w:r w:rsidRPr="00133690">
        <w:rPr>
          <w:rFonts w:ascii="Palatino Linotype" w:hAnsi="Palatino Linotype"/>
          <w:lang w:val="es-EC"/>
        </w:rPr>
        <w:lastRenderedPageBreak/>
        <w:tab/>
        <w:t>El soterramiento de las redes de energía eléctrica se hará conforme a la normativa vigente siendo una obligación del promotor.</w:t>
      </w:r>
    </w:p>
    <w:p w:rsidR="00FC6C9A" w:rsidRPr="00133690" w:rsidRDefault="00FC6C9A" w:rsidP="00FC6C9A">
      <w:pPr>
        <w:pStyle w:val="Textodebloque"/>
        <w:tabs>
          <w:tab w:val="left" w:pos="0"/>
        </w:tabs>
        <w:spacing w:after="240" w:line="276" w:lineRule="auto"/>
        <w:ind w:left="0" w:right="-1"/>
        <w:rPr>
          <w:rFonts w:ascii="Palatino Linotype" w:hAnsi="Palatino Linotype"/>
          <w:lang w:val="es-EC"/>
        </w:rPr>
      </w:pPr>
      <w:r w:rsidRPr="00133690">
        <w:rPr>
          <w:rFonts w:ascii="Palatino Linotype" w:hAnsi="Palatino Linotype"/>
          <w:lang w:val="es-EC"/>
        </w:rPr>
        <w:tab/>
      </w:r>
      <w:r w:rsidRPr="00133690">
        <w:rPr>
          <w:rFonts w:ascii="Palatino Linotype" w:hAnsi="Palatino Linotype"/>
          <w:b/>
          <w:lang w:val="es-EC"/>
        </w:rPr>
        <w:t>Telecomunicaciones:</w:t>
      </w:r>
      <w:r w:rsidRPr="00133690">
        <w:rPr>
          <w:rFonts w:ascii="Palatino Linotype" w:hAnsi="Palatino Linotype"/>
          <w:lang w:val="es-EC"/>
        </w:rPr>
        <w:t xml:space="preserve"> El promotor dotará a su costo del sistema de telecomunicaciones necesario para el proyecto, mismo que contará con la aprobación de la institución municipal competente y se realizará mediante el sistema de soterramiento de acuerdo a la normativa vigente.</w:t>
      </w:r>
    </w:p>
    <w:p w:rsidR="00FC6C9A" w:rsidRPr="00133690" w:rsidRDefault="00FC6C9A" w:rsidP="00FC6C9A">
      <w:pPr>
        <w:pStyle w:val="Textodebloque"/>
        <w:tabs>
          <w:tab w:val="left" w:pos="426"/>
        </w:tabs>
        <w:spacing w:after="240" w:line="276" w:lineRule="auto"/>
        <w:ind w:left="0" w:right="-1" w:firstLine="0"/>
        <w:rPr>
          <w:rFonts w:ascii="Palatino Linotype" w:hAnsi="Palatino Linotype"/>
        </w:rPr>
      </w:pPr>
      <w:r w:rsidRPr="00133690">
        <w:rPr>
          <w:rFonts w:ascii="Palatino Linotype" w:hAnsi="Palatino Linotype"/>
          <w:b/>
        </w:rPr>
        <w:t>Recolección de basura:</w:t>
      </w:r>
      <w:r w:rsidRPr="00133690">
        <w:rPr>
          <w:rFonts w:ascii="Palatino Linotype" w:hAnsi="Palatino Linotype"/>
        </w:rPr>
        <w:t xml:space="preserve"> El proyecto implementará un sistema especial de clasificación y recolección de basura de fácil acceso para los usuarios y carros recolectores. Para la implementación de este sistema se deberá contar con la aprobación de la entidad municipal competente.</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CAPÍTULO IV</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DE LA ACCESIBILIDAD, MOVILIDAD Y MEDIDAS DE MITIGACIÓN A LA CIRCULACIÓN DE TRÁFICO</w:t>
      </w:r>
    </w:p>
    <w:p w:rsidR="00FC6C9A" w:rsidRPr="00133690" w:rsidRDefault="00FC6C9A" w:rsidP="00FC6C9A">
      <w:p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b/>
          <w:kern w:val="0"/>
          <w:sz w:val="22"/>
          <w:szCs w:val="22"/>
          <w:lang w:val="es-ES" w:eastAsia="es-ES"/>
        </w:rPr>
        <w:t xml:space="preserve">Artículo 14.- Accesibilidad y </w:t>
      </w:r>
      <w:r w:rsidR="00133690">
        <w:rPr>
          <w:rFonts w:ascii="Palatino Linotype" w:eastAsia="Times New Roman" w:hAnsi="Palatino Linotype"/>
          <w:b/>
          <w:kern w:val="0"/>
          <w:sz w:val="22"/>
          <w:szCs w:val="22"/>
          <w:lang w:val="es-ES" w:eastAsia="es-ES"/>
        </w:rPr>
        <w:t>m</w:t>
      </w:r>
      <w:r w:rsidRPr="00133690">
        <w:rPr>
          <w:rFonts w:ascii="Palatino Linotype" w:eastAsia="Times New Roman" w:hAnsi="Palatino Linotype"/>
          <w:b/>
          <w:kern w:val="0"/>
          <w:sz w:val="22"/>
          <w:szCs w:val="22"/>
          <w:lang w:val="es-ES" w:eastAsia="es-ES"/>
        </w:rPr>
        <w:t>ovilidad</w:t>
      </w:r>
      <w:r w:rsidRPr="00133690">
        <w:rPr>
          <w:rFonts w:ascii="Palatino Linotype" w:eastAsia="Times New Roman" w:hAnsi="Palatino Linotype"/>
          <w:kern w:val="0"/>
          <w:sz w:val="22"/>
          <w:szCs w:val="22"/>
          <w:lang w:val="es-ES" w:eastAsia="es-ES"/>
        </w:rPr>
        <w:t>.- El proyecto preverá los diseños de los espacios destinados para:</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Transporte público: asegurando un cómodo y seguro embarque y desembarque de personas mediante paradas de transporte público previstas sobre la prolongación de las avenidas Amazonas y Florida.</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Transporte institucional: asegurando un cómodo y seguro embarque y desembarque de personas mediante espacios de embarque y desembarque previstos en los parqueaderos.</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Transporte privado: mediante bahías de embarque y desembarque a nivel de calle y los parqueaderos previstos.</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Transporte pesado: asegurando los espacios necesarios de maniobra de los vehículos de carga y descarga.</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Acceso peatonal a través de las aceras, plazas y áreas verdes, alrededor del proyecto.</w:t>
      </w:r>
    </w:p>
    <w:p w:rsidR="00FC6C9A" w:rsidRPr="00133690" w:rsidRDefault="00FC6C9A" w:rsidP="00FC6C9A">
      <w:pPr>
        <w:numPr>
          <w:ilvl w:val="0"/>
          <w:numId w:val="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Su futura conexión con el Metro de Quito, en la prolongación prevista hacia el norte de su primera línea.</w:t>
      </w:r>
    </w:p>
    <w:p w:rsidR="00FC6C9A" w:rsidRPr="00133690" w:rsidRDefault="00FC6C9A" w:rsidP="00FC6C9A">
      <w:pPr>
        <w:numPr>
          <w:ilvl w:val="0"/>
          <w:numId w:val="4"/>
        </w:numPr>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Se  establecerá un sistema de parqueo de bicicletas, con mecanismos de  seguridad.</w:t>
      </w:r>
    </w:p>
    <w:p w:rsidR="00FC6C9A" w:rsidRPr="00133690" w:rsidRDefault="00FC6C9A" w:rsidP="00FC6C9A">
      <w:pPr>
        <w:tabs>
          <w:tab w:val="left" w:pos="993"/>
        </w:tabs>
        <w:spacing w:after="240" w:line="276" w:lineRule="auto"/>
        <w:ind w:right="-1"/>
        <w:jc w:val="both"/>
        <w:rPr>
          <w:rFonts w:ascii="Palatino Linotype" w:eastAsia="Times New Roman" w:hAnsi="Palatino Linotype"/>
          <w:bCs/>
          <w:kern w:val="0"/>
          <w:sz w:val="22"/>
          <w:szCs w:val="22"/>
          <w:lang w:val="es-ES" w:eastAsia="es-ES"/>
        </w:rPr>
      </w:pPr>
      <w:r w:rsidRPr="00133690">
        <w:rPr>
          <w:rFonts w:ascii="Palatino Linotype" w:eastAsia="Times New Roman" w:hAnsi="Palatino Linotype"/>
          <w:bCs/>
          <w:kern w:val="0"/>
          <w:sz w:val="22"/>
          <w:szCs w:val="22"/>
          <w:lang w:val="es-ES" w:eastAsia="es-ES"/>
        </w:rPr>
        <w:lastRenderedPageBreak/>
        <w:t>Todas las edificaciones y espacios públicos observarán la normativa vigente de accesibilidad universal al medio físico.</w:t>
      </w: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rPr>
      </w:pPr>
      <w:r w:rsidRPr="00133690">
        <w:rPr>
          <w:rFonts w:ascii="Palatino Linotype" w:eastAsia="Times New Roman" w:hAnsi="Palatino Linotype"/>
          <w:b/>
          <w:kern w:val="0"/>
          <w:sz w:val="22"/>
          <w:szCs w:val="22"/>
          <w:lang w:val="es-ES" w:eastAsia="es-ES"/>
        </w:rPr>
        <w:t>Artículo 15.- Sistema vial.-</w:t>
      </w:r>
      <w:r w:rsidRPr="00133690">
        <w:rPr>
          <w:rFonts w:ascii="Palatino Linotype" w:eastAsia="Times New Roman" w:hAnsi="Palatino Linotype"/>
          <w:bCs/>
          <w:kern w:val="0"/>
          <w:sz w:val="22"/>
          <w:szCs w:val="22"/>
          <w:lang w:val="es-ES" w:eastAsia="es-ES"/>
        </w:rPr>
        <w:t xml:space="preserve"> </w:t>
      </w:r>
      <w:r w:rsidRPr="00133690">
        <w:rPr>
          <w:rFonts w:ascii="Palatino Linotype" w:hAnsi="Palatino Linotype"/>
          <w:sz w:val="22"/>
          <w:szCs w:val="22"/>
          <w:lang w:val="es-EC"/>
        </w:rPr>
        <w:t xml:space="preserve">El proyecto se desarrollará observando el sistema vial proyectado en la Ordenanza Metropolitana No. 352 del Plan Especial Bicentenario (artículo 15, planos y anexo 1). </w:t>
      </w:r>
    </w:p>
    <w:p w:rsidR="00FC6C9A" w:rsidRPr="00133690" w:rsidRDefault="00FC6C9A" w:rsidP="00FC6C9A">
      <w:pPr>
        <w:tabs>
          <w:tab w:val="left" w:pos="993"/>
        </w:tabs>
        <w:spacing w:after="240" w:line="276" w:lineRule="auto"/>
        <w:ind w:right="-1"/>
        <w:jc w:val="both"/>
        <w:rPr>
          <w:rFonts w:ascii="Palatino Linotype" w:eastAsia="Times New Roman" w:hAnsi="Palatino Linotype"/>
          <w:bCs/>
          <w:kern w:val="0"/>
          <w:sz w:val="22"/>
          <w:szCs w:val="22"/>
          <w:lang w:val="es-ES" w:eastAsia="es-ES"/>
        </w:rPr>
      </w:pPr>
      <w:r w:rsidRPr="00133690">
        <w:rPr>
          <w:rFonts w:ascii="Palatino Linotype" w:hAnsi="Palatino Linotype"/>
          <w:sz w:val="22"/>
          <w:szCs w:val="22"/>
          <w:lang w:val="es-EC"/>
        </w:rPr>
        <w:t xml:space="preserve">El </w:t>
      </w:r>
      <w:r w:rsidRPr="00133690">
        <w:rPr>
          <w:rFonts w:ascii="Palatino Linotype" w:eastAsia="Times New Roman" w:hAnsi="Palatino Linotype"/>
          <w:bCs/>
          <w:kern w:val="0"/>
          <w:sz w:val="22"/>
          <w:szCs w:val="22"/>
          <w:lang w:val="es-ES" w:eastAsia="es-ES"/>
        </w:rPr>
        <w:t>sistema de movilidad del proyecto preverá los siguientes componentes:</w:t>
      </w:r>
    </w:p>
    <w:p w:rsidR="00FC6C9A" w:rsidRPr="00133690" w:rsidRDefault="00FC6C9A" w:rsidP="00FC6C9A">
      <w:pPr>
        <w:numPr>
          <w:ilvl w:val="0"/>
          <w:numId w:val="1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Implementación de bahías de embarque y desembarque de pasajeros, sean de taxis o de vehículos privados, distribuidas en el frente que da hacia al Av. Amazonas y su prolongación, con una longitud total de 280 m aprox., lo que equivale a una oferta aproximada de 50 plazas. A lo largo de la Av. Amazonas y su prolongación en el costado occidental, se incorporarán franjas de estacionamiento, correspondientes al tramo frontal del Centro de Convenciones en una longitud de aproximadamente 500 m, con una oferta de 90 plazas.</w:t>
      </w:r>
    </w:p>
    <w:p w:rsidR="00FC6C9A" w:rsidRPr="00133690" w:rsidRDefault="00FC6C9A" w:rsidP="00FC6C9A">
      <w:pPr>
        <w:numPr>
          <w:ilvl w:val="0"/>
          <w:numId w:val="1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 xml:space="preserve">Con al menos cuatro ejes de acceso peatonal desde la Av. Amazonas, distribuidos a lo largo del frente del proyecto, que atraviesan transversalmente a dicha avenida, lo cual requerirá implementar las correspondientes facilidades que garanticen la seguridad del cruce de los peatones. </w:t>
      </w:r>
    </w:p>
    <w:p w:rsidR="00FC6C9A" w:rsidRPr="00133690" w:rsidRDefault="00FC6C9A" w:rsidP="00FC6C9A">
      <w:pPr>
        <w:numPr>
          <w:ilvl w:val="0"/>
          <w:numId w:val="1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 xml:space="preserve">En el frente de las edificaciones del proyecto que dan hacia la Av. Amazonas se dispondrán de amplias áreas de espacio público destinado a la circulación y punto de encuentro de peatones. </w:t>
      </w:r>
    </w:p>
    <w:p w:rsidR="00FC6C9A" w:rsidRPr="00133690" w:rsidRDefault="00FC6C9A" w:rsidP="00FC6C9A">
      <w:pPr>
        <w:numPr>
          <w:ilvl w:val="0"/>
          <w:numId w:val="1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Se ha previsto dos pares de paradas de bus ubicadas en el frente del edificio del Centro de Convenciones y frente a la torre del Centro de Negocios.</w:t>
      </w:r>
    </w:p>
    <w:p w:rsidR="00FC6C9A" w:rsidRPr="00133690" w:rsidRDefault="00FC6C9A" w:rsidP="00FC6C9A">
      <w:p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Estos componentes, en lo posible, no interrumpirán la continuidad de los circuitos peatonales y su diseño asegurará la integración con el espacio público.</w:t>
      </w:r>
    </w:p>
    <w:p w:rsidR="00FC6C9A" w:rsidRPr="00133690" w:rsidRDefault="00FC6C9A" w:rsidP="00FC6C9A">
      <w:pPr>
        <w:pStyle w:val="Textodebloque"/>
        <w:tabs>
          <w:tab w:val="left" w:pos="993"/>
        </w:tabs>
        <w:spacing w:after="240" w:line="276" w:lineRule="auto"/>
        <w:ind w:left="0" w:right="-1" w:firstLine="0"/>
        <w:rPr>
          <w:rFonts w:ascii="Palatino Linotype" w:hAnsi="Palatino Linotype"/>
          <w:bCs/>
        </w:rPr>
      </w:pPr>
      <w:r w:rsidRPr="00133690">
        <w:rPr>
          <w:rFonts w:ascii="Palatino Linotype" w:hAnsi="Palatino Linotype"/>
          <w:b/>
          <w:bCs/>
        </w:rPr>
        <w:t xml:space="preserve">Artículo 16.- Aceras.- </w:t>
      </w:r>
      <w:r w:rsidRPr="00133690">
        <w:rPr>
          <w:rFonts w:ascii="Palatino Linotype" w:hAnsi="Palatino Linotype"/>
          <w:bCs/>
        </w:rPr>
        <w:t>Las aceras incluirán tratamientos verdes, arborización, señalización, mobiliario urbano e iluminación, según lo establecido en el Anexo No. 2 Perfiles Viales, de la Ordenanza Metropolitana No. 352.</w:t>
      </w:r>
    </w:p>
    <w:p w:rsidR="00FC6C9A" w:rsidRPr="00133690" w:rsidRDefault="00FC6C9A" w:rsidP="00FC6C9A">
      <w:pPr>
        <w:pStyle w:val="Textodebloque"/>
        <w:tabs>
          <w:tab w:val="left" w:pos="993"/>
        </w:tabs>
        <w:spacing w:after="240" w:line="276" w:lineRule="auto"/>
        <w:ind w:left="0" w:right="-1" w:firstLine="0"/>
        <w:rPr>
          <w:rFonts w:ascii="Palatino Linotype" w:hAnsi="Palatino Linotype"/>
          <w:bCs/>
        </w:rPr>
      </w:pPr>
      <w:r w:rsidRPr="00133690">
        <w:rPr>
          <w:rFonts w:ascii="Palatino Linotype" w:hAnsi="Palatino Linotype"/>
          <w:bCs/>
        </w:rPr>
        <w:t>Sin perjuicio de lo señalado, para el diseño y construcción de las aceras se observarán las siguientes características:</w:t>
      </w:r>
    </w:p>
    <w:p w:rsidR="00FC6C9A" w:rsidRPr="00133690" w:rsidRDefault="00FC6C9A" w:rsidP="00FC6C9A">
      <w:pPr>
        <w:pStyle w:val="Prrafodelista"/>
        <w:numPr>
          <w:ilvl w:val="0"/>
          <w:numId w:val="11"/>
        </w:numPr>
        <w:tabs>
          <w:tab w:val="left" w:pos="851"/>
        </w:tabs>
        <w:suppressAutoHyphens w:val="0"/>
        <w:spacing w:after="240" w:line="276" w:lineRule="auto"/>
        <w:ind w:left="851"/>
        <w:jc w:val="both"/>
        <w:rPr>
          <w:rFonts w:ascii="Palatino Linotype" w:hAnsi="Palatino Linotype"/>
          <w:bCs/>
          <w:sz w:val="22"/>
          <w:szCs w:val="22"/>
        </w:rPr>
      </w:pPr>
      <w:r w:rsidRPr="00133690">
        <w:rPr>
          <w:rFonts w:ascii="Palatino Linotype" w:hAnsi="Palatino Linotype"/>
          <w:bCs/>
          <w:sz w:val="22"/>
          <w:szCs w:val="22"/>
        </w:rPr>
        <w:lastRenderedPageBreak/>
        <w:t>Superficie continua, sin obstáculos a la circulación de personas y/o vehículos no motorizados.</w:t>
      </w:r>
    </w:p>
    <w:p w:rsidR="00FC6C9A" w:rsidRPr="00133690" w:rsidRDefault="00FC6C9A" w:rsidP="00FC6C9A">
      <w:pPr>
        <w:pStyle w:val="Prrafodelista"/>
        <w:numPr>
          <w:ilvl w:val="0"/>
          <w:numId w:val="11"/>
        </w:numPr>
        <w:tabs>
          <w:tab w:val="left" w:pos="851"/>
        </w:tabs>
        <w:suppressAutoHyphens w:val="0"/>
        <w:spacing w:after="240" w:line="276" w:lineRule="auto"/>
        <w:ind w:left="851"/>
        <w:jc w:val="both"/>
        <w:rPr>
          <w:rFonts w:ascii="Palatino Linotype" w:hAnsi="Palatino Linotype"/>
          <w:bCs/>
          <w:sz w:val="22"/>
          <w:szCs w:val="22"/>
        </w:rPr>
      </w:pPr>
      <w:r w:rsidRPr="00133690">
        <w:rPr>
          <w:rFonts w:ascii="Palatino Linotype" w:hAnsi="Palatino Linotype"/>
          <w:bCs/>
          <w:sz w:val="22"/>
          <w:szCs w:val="22"/>
        </w:rPr>
        <w:t xml:space="preserve">Deberán arborizarse bajo los lineamientos y selección de especies arbóreas establecidas en el Anexo 5: Parque Bicentenario – Normas Complementarias Urbanísticas y Paisajísticas de la Ordenanza Metropolitana No. 352.  </w:t>
      </w:r>
    </w:p>
    <w:p w:rsidR="00FC6C9A" w:rsidRPr="00133690" w:rsidRDefault="00FC6C9A" w:rsidP="00FC6C9A">
      <w:pPr>
        <w:pStyle w:val="Prrafodelista"/>
        <w:numPr>
          <w:ilvl w:val="0"/>
          <w:numId w:val="11"/>
        </w:numPr>
        <w:tabs>
          <w:tab w:val="left" w:pos="851"/>
        </w:tabs>
        <w:suppressAutoHyphens w:val="0"/>
        <w:spacing w:after="240" w:line="276" w:lineRule="auto"/>
        <w:ind w:left="851"/>
        <w:jc w:val="both"/>
        <w:rPr>
          <w:rFonts w:ascii="Palatino Linotype" w:hAnsi="Palatino Linotype"/>
          <w:bCs/>
          <w:sz w:val="22"/>
          <w:szCs w:val="22"/>
        </w:rPr>
      </w:pPr>
      <w:r w:rsidRPr="00133690">
        <w:rPr>
          <w:rFonts w:ascii="Palatino Linotype" w:hAnsi="Palatino Linotype"/>
          <w:bCs/>
          <w:sz w:val="22"/>
          <w:szCs w:val="22"/>
        </w:rPr>
        <w:t>Las superficies deberán realizarse con materiales antideslizantes que eviten riesgo para los peatones bajo diversas condiciones climáticas.</w:t>
      </w:r>
    </w:p>
    <w:p w:rsidR="00FC6C9A" w:rsidRPr="00133690" w:rsidRDefault="00FC6C9A" w:rsidP="00FC6C9A">
      <w:pPr>
        <w:pStyle w:val="Prrafodelista"/>
        <w:numPr>
          <w:ilvl w:val="0"/>
          <w:numId w:val="11"/>
        </w:numPr>
        <w:tabs>
          <w:tab w:val="left" w:pos="851"/>
        </w:tabs>
        <w:suppressAutoHyphens w:val="0"/>
        <w:spacing w:after="240" w:line="276" w:lineRule="auto"/>
        <w:ind w:left="851"/>
        <w:jc w:val="both"/>
        <w:rPr>
          <w:rFonts w:ascii="Palatino Linotype" w:eastAsia="Times New Roman" w:hAnsi="Palatino Linotype"/>
          <w:kern w:val="0"/>
          <w:sz w:val="22"/>
          <w:szCs w:val="22"/>
          <w:lang w:eastAsia="es-ES"/>
        </w:rPr>
      </w:pPr>
      <w:r w:rsidRPr="00133690">
        <w:rPr>
          <w:rFonts w:ascii="Palatino Linotype" w:hAnsi="Palatino Linotype"/>
          <w:bCs/>
          <w:sz w:val="22"/>
          <w:szCs w:val="22"/>
        </w:rPr>
        <w:t>Observarán la normativa vigente de accesibilidad universal al medio físico.</w:t>
      </w: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rPr>
      </w:pPr>
      <w:r w:rsidRPr="00133690">
        <w:rPr>
          <w:rFonts w:ascii="Palatino Linotype" w:eastAsia="Times New Roman" w:hAnsi="Palatino Linotype"/>
          <w:b/>
          <w:kern w:val="0"/>
          <w:sz w:val="22"/>
          <w:szCs w:val="22"/>
          <w:lang w:val="es-ES" w:eastAsia="es-ES"/>
        </w:rPr>
        <w:t xml:space="preserve">Artículo 17.- Medidas de mitigación a la circulación de tráfico.- </w:t>
      </w:r>
      <w:r w:rsidRPr="00133690">
        <w:rPr>
          <w:rFonts w:ascii="Palatino Linotype" w:eastAsia="Times New Roman" w:hAnsi="Palatino Linotype"/>
          <w:kern w:val="0"/>
          <w:sz w:val="22"/>
          <w:szCs w:val="22"/>
          <w:lang w:val="es-ES" w:eastAsia="es-ES"/>
        </w:rPr>
        <w:t>El promotor del proyecto deberá realizar un estudio general de impacto al tráfico y las correspondientes medidas de mitigación considerando la totalidad del Complejo del Centro de Convenciones sobre la base del Plan Masa aprobado y de lo establecido en el Informe Técnico No. SM-151/15, contenido en el oficio No. SM 2291, del 22 de septiembre de 2015, de la Secretaría de Movilidad, anexo No. 4 de la presente ordenanza. Ajustes particulares al estudio general de impacto de tráfico previamente aprobado deberán ser realizados con el desarrollo de las fases de implementación del Complejo Centro de Convenciones de Quito, los cuales también deberán ser aprobados por la Secretaría de Movilidad.</w:t>
      </w:r>
    </w:p>
    <w:p w:rsidR="00FC6C9A" w:rsidRPr="00133690" w:rsidRDefault="00FC6C9A" w:rsidP="00FC6C9A">
      <w:pPr>
        <w:pStyle w:val="Textodebloque"/>
        <w:tabs>
          <w:tab w:val="left" w:pos="993"/>
        </w:tabs>
        <w:spacing w:after="240" w:line="276" w:lineRule="auto"/>
        <w:ind w:left="0" w:right="-1" w:firstLine="0"/>
        <w:rPr>
          <w:rFonts w:ascii="Palatino Linotype" w:hAnsi="Palatino Linotype"/>
        </w:rPr>
      </w:pPr>
      <w:r w:rsidRPr="00133690">
        <w:rPr>
          <w:rFonts w:ascii="Palatino Linotype" w:hAnsi="Palatino Linotype"/>
          <w:b/>
          <w:lang w:val="es-EC"/>
        </w:rPr>
        <w:t>Artículo 18.- Estacionamientos.-</w:t>
      </w:r>
      <w:r w:rsidRPr="00133690">
        <w:rPr>
          <w:rFonts w:ascii="Palatino Linotype" w:hAnsi="Palatino Linotype"/>
          <w:lang w:val="es-EC"/>
        </w:rPr>
        <w:t xml:space="preserve"> </w:t>
      </w:r>
      <w:r w:rsidRPr="00133690">
        <w:rPr>
          <w:rFonts w:ascii="Palatino Linotype" w:hAnsi="Palatino Linotype"/>
        </w:rPr>
        <w:t>Las plazas de estacionamiento se calcularán en función de la normativa vigente o de estudios de demanda específicos correspondientes a cada etapa de consolidación del proyecto. Las áreas de estacionamiento estarán distribuidas en dos sitios:</w:t>
      </w:r>
    </w:p>
    <w:p w:rsidR="00FC6C9A" w:rsidRPr="00133690" w:rsidRDefault="00FC6C9A" w:rsidP="00FC6C9A">
      <w:pPr>
        <w:numPr>
          <w:ilvl w:val="0"/>
          <w:numId w:val="13"/>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Parqueadero subterráneo en el parque Bicentenario (no forma parte del predio No.</w:t>
      </w:r>
      <w:r w:rsidRPr="00133690">
        <w:rPr>
          <w:rFonts w:ascii="Palatino Linotype" w:hAnsi="Palatino Linotype"/>
          <w:sz w:val="22"/>
          <w:szCs w:val="22"/>
        </w:rPr>
        <w:t xml:space="preserve"> </w:t>
      </w:r>
      <w:r w:rsidRPr="00133690">
        <w:rPr>
          <w:rFonts w:ascii="Palatino Linotype" w:eastAsia="Times New Roman" w:hAnsi="Palatino Linotype"/>
          <w:kern w:val="0"/>
          <w:sz w:val="22"/>
          <w:szCs w:val="22"/>
          <w:lang w:val="es-ES" w:eastAsia="es-ES"/>
        </w:rPr>
        <w:t xml:space="preserve">3553162), situado al costado sur del predio del Centro de Convenciones, cuyo acceso y salida deberá ubicarse hacia la Av. Amazonas, complementado la intersección con la calle Río Curaray. En la superficie de este sector se preverá una playa de estacionamiento para vehículos de autoridades y de buses. </w:t>
      </w:r>
    </w:p>
    <w:p w:rsidR="00FC6C9A" w:rsidRPr="00133690" w:rsidRDefault="00FC6C9A" w:rsidP="00FC6C9A">
      <w:pPr>
        <w:numPr>
          <w:ilvl w:val="0"/>
          <w:numId w:val="13"/>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Parqueadero subterráneo en el costado norte del complejo del Centro de Convenciones, pudiendo situarse su acceso y salida hacia la futura prolongación de la Av. Florida.</w:t>
      </w:r>
    </w:p>
    <w:p w:rsidR="00FC6C9A" w:rsidRPr="00133690" w:rsidRDefault="00FC6C9A" w:rsidP="00FC6C9A">
      <w:pPr>
        <w:tabs>
          <w:tab w:val="left" w:pos="993"/>
        </w:tabs>
        <w:spacing w:after="240" w:line="276" w:lineRule="auto"/>
        <w:ind w:right="-1"/>
        <w:jc w:val="both"/>
        <w:rPr>
          <w:rFonts w:ascii="Palatino Linotype" w:eastAsia="Times New Roman" w:hAnsi="Palatino Linotype"/>
          <w:bCs/>
          <w:kern w:val="0"/>
          <w:sz w:val="22"/>
          <w:szCs w:val="22"/>
          <w:lang w:val="es-ES" w:eastAsia="es-ES"/>
        </w:rPr>
      </w:pPr>
      <w:r w:rsidRPr="00133690">
        <w:rPr>
          <w:rFonts w:ascii="Palatino Linotype" w:eastAsia="Times New Roman" w:hAnsi="Palatino Linotype"/>
          <w:bCs/>
          <w:kern w:val="0"/>
          <w:sz w:val="22"/>
          <w:szCs w:val="22"/>
          <w:lang w:val="es-ES" w:eastAsia="es-ES"/>
        </w:rPr>
        <w:lastRenderedPageBreak/>
        <w:t>En ambos casos, el ingreso se realizará a través de carriles de servicio que conectarán la vía principal con los parqueaderos, los cuales permitirán alojar vehículos al interior del predio antes del punto de control.</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CAPÍTULO V</w:t>
      </w:r>
    </w:p>
    <w:p w:rsidR="00FC6C9A" w:rsidRPr="00133690" w:rsidRDefault="00133690" w:rsidP="00FC6C9A">
      <w:pPr>
        <w:pStyle w:val="Textodebloque"/>
        <w:tabs>
          <w:tab w:val="left" w:pos="993"/>
        </w:tabs>
        <w:spacing w:after="240" w:line="276" w:lineRule="auto"/>
        <w:ind w:left="0" w:right="-1" w:firstLine="0"/>
        <w:jc w:val="center"/>
        <w:rPr>
          <w:rFonts w:ascii="Palatino Linotype" w:hAnsi="Palatino Linotype"/>
          <w:b/>
          <w:lang w:val="es-EC"/>
        </w:rPr>
      </w:pPr>
      <w:r w:rsidRPr="00133690">
        <w:rPr>
          <w:rFonts w:ascii="Palatino Linotype" w:hAnsi="Palatino Linotype"/>
          <w:b/>
          <w:lang w:val="es-EC"/>
        </w:rPr>
        <w:t>DE LAS MEDIDAS DE MITIGACIÓN AL IMPACTO AMBIENTAL Y COMPONENTES DE CONSTRUCCIÓN SUSTENTABLE</w:t>
      </w:r>
    </w:p>
    <w:p w:rsidR="00FC6C9A" w:rsidRPr="00133690" w:rsidRDefault="00FC6C9A" w:rsidP="00FC6C9A">
      <w:pPr>
        <w:tabs>
          <w:tab w:val="left" w:pos="993"/>
        </w:tabs>
        <w:spacing w:after="240" w:line="276" w:lineRule="auto"/>
        <w:ind w:right="-1"/>
        <w:jc w:val="both"/>
        <w:rPr>
          <w:rFonts w:ascii="Palatino Linotype" w:eastAsia="Times New Roman" w:hAnsi="Palatino Linotype"/>
          <w:bCs/>
          <w:kern w:val="0"/>
          <w:sz w:val="22"/>
          <w:szCs w:val="22"/>
          <w:lang w:val="es-ES" w:eastAsia="es-ES"/>
        </w:rPr>
      </w:pPr>
      <w:r w:rsidRPr="00133690">
        <w:rPr>
          <w:rFonts w:ascii="Palatino Linotype" w:eastAsia="Times New Roman" w:hAnsi="Palatino Linotype"/>
          <w:b/>
          <w:kern w:val="0"/>
          <w:sz w:val="22"/>
          <w:szCs w:val="22"/>
          <w:lang w:val="es-ES" w:eastAsia="es-ES"/>
        </w:rPr>
        <w:t xml:space="preserve">Artículo 19.- Medidas de </w:t>
      </w:r>
      <w:r w:rsidR="00133690">
        <w:rPr>
          <w:rFonts w:ascii="Palatino Linotype" w:eastAsia="Times New Roman" w:hAnsi="Palatino Linotype"/>
          <w:b/>
          <w:kern w:val="0"/>
          <w:sz w:val="22"/>
          <w:szCs w:val="22"/>
          <w:lang w:val="es-ES" w:eastAsia="es-ES"/>
        </w:rPr>
        <w:t>m</w:t>
      </w:r>
      <w:r w:rsidRPr="00133690">
        <w:rPr>
          <w:rFonts w:ascii="Palatino Linotype" w:eastAsia="Times New Roman" w:hAnsi="Palatino Linotype"/>
          <w:b/>
          <w:kern w:val="0"/>
          <w:sz w:val="22"/>
          <w:szCs w:val="22"/>
          <w:lang w:val="es-ES" w:eastAsia="es-ES"/>
        </w:rPr>
        <w:t xml:space="preserve">itigación al </w:t>
      </w:r>
      <w:r w:rsidR="00133690">
        <w:rPr>
          <w:rFonts w:ascii="Palatino Linotype" w:eastAsia="Times New Roman" w:hAnsi="Palatino Linotype"/>
          <w:b/>
          <w:kern w:val="0"/>
          <w:sz w:val="22"/>
          <w:szCs w:val="22"/>
          <w:lang w:val="es-ES" w:eastAsia="es-ES"/>
        </w:rPr>
        <w:t>i</w:t>
      </w:r>
      <w:r w:rsidRPr="00133690">
        <w:rPr>
          <w:rFonts w:ascii="Palatino Linotype" w:eastAsia="Times New Roman" w:hAnsi="Palatino Linotype"/>
          <w:b/>
          <w:kern w:val="0"/>
          <w:sz w:val="22"/>
          <w:szCs w:val="22"/>
          <w:lang w:val="es-ES" w:eastAsia="es-ES"/>
        </w:rPr>
        <w:t xml:space="preserve">mpacto </w:t>
      </w:r>
      <w:r w:rsidR="00133690">
        <w:rPr>
          <w:rFonts w:ascii="Palatino Linotype" w:eastAsia="Times New Roman" w:hAnsi="Palatino Linotype"/>
          <w:b/>
          <w:kern w:val="0"/>
          <w:sz w:val="22"/>
          <w:szCs w:val="22"/>
          <w:lang w:val="es-ES" w:eastAsia="es-ES"/>
        </w:rPr>
        <w:t>a</w:t>
      </w:r>
      <w:r w:rsidRPr="00133690">
        <w:rPr>
          <w:rFonts w:ascii="Palatino Linotype" w:eastAsia="Times New Roman" w:hAnsi="Palatino Linotype"/>
          <w:b/>
          <w:kern w:val="0"/>
          <w:sz w:val="22"/>
          <w:szCs w:val="22"/>
          <w:lang w:val="es-ES" w:eastAsia="es-ES"/>
        </w:rPr>
        <w:t xml:space="preserve">mbiental.- </w:t>
      </w:r>
      <w:r w:rsidRPr="00133690">
        <w:rPr>
          <w:rFonts w:ascii="Palatino Linotype" w:eastAsia="Times New Roman" w:hAnsi="Palatino Linotype"/>
          <w:bCs/>
          <w:kern w:val="0"/>
          <w:sz w:val="22"/>
          <w:szCs w:val="22"/>
          <w:lang w:val="es-ES" w:eastAsia="es-ES"/>
        </w:rPr>
        <w:t xml:space="preserve">Los promotores  del proyecto, en base a lo establecido en el </w:t>
      </w:r>
      <w:r w:rsidRPr="00133690">
        <w:rPr>
          <w:rFonts w:ascii="Palatino Linotype" w:hAnsi="Palatino Linotype" w:cs="Arial"/>
          <w:sz w:val="22"/>
          <w:szCs w:val="22"/>
        </w:rPr>
        <w:t>oficio No. SA-POL-5960, del 24 de septiembre de 2015, de la Secretar</w:t>
      </w:r>
      <w:r w:rsidR="00283A09">
        <w:rPr>
          <w:rFonts w:ascii="Palatino Linotype" w:hAnsi="Palatino Linotype" w:cs="Arial"/>
          <w:sz w:val="22"/>
          <w:szCs w:val="22"/>
        </w:rPr>
        <w:t>í</w:t>
      </w:r>
      <w:r w:rsidRPr="00133690">
        <w:rPr>
          <w:rFonts w:ascii="Palatino Linotype" w:hAnsi="Palatino Linotype" w:cs="Arial"/>
          <w:sz w:val="22"/>
          <w:szCs w:val="22"/>
        </w:rPr>
        <w:t xml:space="preserve">a de Ambiente, </w:t>
      </w:r>
      <w:r w:rsidRPr="00133690">
        <w:rPr>
          <w:rFonts w:ascii="Palatino Linotype" w:eastAsia="Times New Roman" w:hAnsi="Palatino Linotype"/>
          <w:bCs/>
          <w:kern w:val="0"/>
          <w:sz w:val="22"/>
          <w:szCs w:val="22"/>
          <w:lang w:val="es-ES" w:eastAsia="es-ES"/>
        </w:rPr>
        <w:t xml:space="preserve">anexo No.5 de la presente ordenanza, deberán contemplar a su costo los siguientes componentes ambientales: </w:t>
      </w:r>
    </w:p>
    <w:p w:rsidR="00FC6C9A" w:rsidRPr="00133690" w:rsidRDefault="00FC6C9A" w:rsidP="00FC6C9A">
      <w:pPr>
        <w:numPr>
          <w:ilvl w:val="0"/>
          <w:numId w:val="22"/>
        </w:numPr>
        <w:suppressAutoHyphens w:val="0"/>
        <w:spacing w:after="240" w:line="276" w:lineRule="auto"/>
        <w:jc w:val="both"/>
        <w:rPr>
          <w:rFonts w:ascii="Palatino Linotype" w:hAnsi="Palatino Linotype"/>
          <w:sz w:val="22"/>
          <w:szCs w:val="22"/>
          <w:lang w:val="es-ES"/>
        </w:rPr>
      </w:pPr>
      <w:r w:rsidRPr="00133690">
        <w:rPr>
          <w:rFonts w:ascii="Palatino Linotype" w:eastAsia="Times New Roman" w:hAnsi="Palatino Linotype"/>
          <w:kern w:val="0"/>
          <w:sz w:val="22"/>
          <w:szCs w:val="22"/>
          <w:lang w:val="es-ES" w:eastAsia="es-ES"/>
        </w:rPr>
        <w:t>Paisaje y áreas verdes: Área destinada como espacio verde exterior con una superficie de hasta 20.000 m</w:t>
      </w:r>
      <w:r w:rsidRPr="00133690">
        <w:rPr>
          <w:rFonts w:ascii="Palatino Linotype" w:eastAsia="Times New Roman" w:hAnsi="Palatino Linotype"/>
          <w:kern w:val="0"/>
          <w:sz w:val="22"/>
          <w:szCs w:val="22"/>
          <w:vertAlign w:val="superscript"/>
          <w:lang w:val="es-ES" w:eastAsia="es-ES"/>
        </w:rPr>
        <w:t>2</w:t>
      </w:r>
      <w:r w:rsidRPr="00133690">
        <w:rPr>
          <w:rFonts w:ascii="Palatino Linotype" w:eastAsia="Times New Roman" w:hAnsi="Palatino Linotype"/>
          <w:kern w:val="0"/>
          <w:sz w:val="22"/>
          <w:szCs w:val="22"/>
          <w:lang w:val="es-ES" w:eastAsia="es-ES"/>
        </w:rPr>
        <w:t>; jardín botánico con una superficie de hasta 9.600 m2; terrazas verdes (intensivas y extensivas) en una relación del 30% a la superficie cubierta (incluye el centro de convenciones, hoteles y otras edificaciones); red verde urbana integrada a los espacios públicos del complejo urbanístico.</w:t>
      </w:r>
    </w:p>
    <w:p w:rsidR="00FC6C9A" w:rsidRPr="00133690" w:rsidRDefault="00FC6C9A" w:rsidP="00FC6C9A">
      <w:pPr>
        <w:numPr>
          <w:ilvl w:val="0"/>
          <w:numId w:val="2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Uso y eficiencia de consumo de agua: Se deberá prever sistemas de aprovechamiento de agua lluvia para actividades que habiliten funciones de los diferentes edificios y permitan generar un ahorro en el consumo de agua potable en el riego de terrazas verdes y labores de limpieza. De igual manera, se utilizarán artefactos sanitarios y grifos de bajo consumo y mayor eficiencia. Por otro lado, para efectos del desalojo de aguas residuales y servidas, el promotor deberá contemplar dos redes de saneamiento:</w:t>
      </w:r>
    </w:p>
    <w:p w:rsidR="00FC6C9A" w:rsidRPr="00133690" w:rsidRDefault="00FC6C9A" w:rsidP="00FC6C9A">
      <w:pPr>
        <w:numPr>
          <w:ilvl w:val="0"/>
          <w:numId w:val="23"/>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 xml:space="preserve">Aguas residuales (exceso de agua lluvia sin contaminar):  Serán dispuestas hacia una red de agua pluvial para incorporarse en el humedal que se tiene previsto el Parque Bicentenario y a un reservorio de agua para utilización de riego y limpieza de exteriores; </w:t>
      </w:r>
    </w:p>
    <w:p w:rsidR="00FC6C9A" w:rsidRPr="00133690" w:rsidRDefault="00FC6C9A" w:rsidP="00FC6C9A">
      <w:pPr>
        <w:numPr>
          <w:ilvl w:val="0"/>
          <w:numId w:val="23"/>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 xml:space="preserve">Aguas servidas: Serán dispuestas hacia el sistema de alcantarillado, una vez que hayan sido debidamente tratadas. </w:t>
      </w:r>
    </w:p>
    <w:p w:rsidR="00FC6C9A" w:rsidRPr="00133690" w:rsidRDefault="00FC6C9A" w:rsidP="00FC6C9A">
      <w:pPr>
        <w:numPr>
          <w:ilvl w:val="0"/>
          <w:numId w:val="2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lastRenderedPageBreak/>
        <w:t>Uso y eficiencia energética.- Para el presente componente se establecen dos estrategias: Consumo y producción de energía.</w:t>
      </w:r>
    </w:p>
    <w:p w:rsidR="00FC6C9A" w:rsidRPr="00133690" w:rsidRDefault="00FC6C9A" w:rsidP="00FC6C9A">
      <w:pPr>
        <w:numPr>
          <w:ilvl w:val="0"/>
          <w:numId w:val="2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Consumo: Los edificios incorporarán estrategias pasivas y tecnologías que permitan lograr una eficiencia en el consumo de energía, sin limitar los servicios prestados.</w:t>
      </w:r>
    </w:p>
    <w:p w:rsidR="00FC6C9A" w:rsidRPr="00133690" w:rsidRDefault="00FC6C9A" w:rsidP="00FC6C9A">
      <w:pPr>
        <w:numPr>
          <w:ilvl w:val="2"/>
          <w:numId w:val="25"/>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Estrategias pasivas: parte del diseño bioclimático, estarán enfocadas en un adecuado control del asoleamiento para evitar cargas externas de calor y la priorización de la ventilación natural para el acondicionamiento de los diferentes espacios, priorizando éstas al uso de sistemas mecánicos.</w:t>
      </w:r>
    </w:p>
    <w:p w:rsidR="00FC6C9A" w:rsidRPr="00133690" w:rsidRDefault="00FC6C9A" w:rsidP="00FC6C9A">
      <w:pPr>
        <w:numPr>
          <w:ilvl w:val="2"/>
          <w:numId w:val="25"/>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Tecnologías: Se preverá accesorios, como luminarias o equipos eléctricos, con un alto estándar en la eficiencia del consumo de energía.</w:t>
      </w:r>
    </w:p>
    <w:p w:rsidR="00FC6C9A" w:rsidRPr="00133690" w:rsidRDefault="00FC6C9A" w:rsidP="00FC6C9A">
      <w:pPr>
        <w:numPr>
          <w:ilvl w:val="2"/>
          <w:numId w:val="25"/>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Adicionalmente, se establecerá un plan de ahorro de energía en  luminarias exteriores, en coordinación con la Empresa Eléctrica Quito.</w:t>
      </w:r>
    </w:p>
    <w:p w:rsidR="00FC6C9A" w:rsidRPr="00133690" w:rsidRDefault="00FC6C9A" w:rsidP="00FC6C9A">
      <w:pPr>
        <w:numPr>
          <w:ilvl w:val="0"/>
          <w:numId w:val="2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Producción: Los edificios contarán con sistemas de generación de energía que les permita un autoabastecimiento parcial de energías renovables para su funcionamiento.</w:t>
      </w:r>
    </w:p>
    <w:p w:rsidR="00FC6C9A" w:rsidRPr="00133690" w:rsidRDefault="00FC6C9A" w:rsidP="00FC6C9A">
      <w:pPr>
        <w:numPr>
          <w:ilvl w:val="0"/>
          <w:numId w:val="2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Manejo de residuos sólidos.- Se destinará un sitio de acopio para residuos clasificados, el mismo que estará equipado y tendrá una adecuada señalización y accesibilidad.</w:t>
      </w:r>
    </w:p>
    <w:p w:rsidR="00FC6C9A" w:rsidRPr="00133690" w:rsidRDefault="00FC6C9A" w:rsidP="00FC6C9A">
      <w:pPr>
        <w:numPr>
          <w:ilvl w:val="0"/>
          <w:numId w:val="2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Se destinará un área de compostaje e invernadero para la provisión plantas en todas las instalaciones del Centro de Convenciones, la misma que tendrá una adecuada señalización y accesibilidad.</w:t>
      </w:r>
    </w:p>
    <w:p w:rsidR="00FC6C9A" w:rsidRPr="00133690" w:rsidRDefault="00FC6C9A" w:rsidP="00FC6C9A">
      <w:pPr>
        <w:numPr>
          <w:ilvl w:val="0"/>
          <w:numId w:val="22"/>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Materiales.- En lo posible, las áreas de superficies duras deberán ser tratadas de manera tal que se evite el sellado masivo y la impermeabilización de suelos, o el empleo de materiales poco saludables, con el objeto de evitar el incremento del efecto de la isla de calor urbano, la interrupción del ciclo hídrico o la contaminación atmosférica. Para estos efectos, los pavimentos se clasifican de la siguiente manera:</w:t>
      </w:r>
    </w:p>
    <w:p w:rsidR="00FC6C9A" w:rsidRPr="00133690" w:rsidRDefault="00FC6C9A" w:rsidP="00FC6C9A">
      <w:pPr>
        <w:numPr>
          <w:ilvl w:val="0"/>
          <w:numId w:val="2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t>Superficies parcialmente impermeabilizadas (Índice de Permeabilidad 0,3): Pavimentos que permiten el traspaso de aire y agua, normalmente sin plantaciones (como pavimentos de adoquín de hormigón,  adoquín de piedra,  piedra, etc.)</w:t>
      </w:r>
    </w:p>
    <w:p w:rsidR="00FC6C9A" w:rsidRPr="00133690" w:rsidRDefault="00FC6C9A" w:rsidP="00FC6C9A">
      <w:pPr>
        <w:numPr>
          <w:ilvl w:val="0"/>
          <w:numId w:val="24"/>
        </w:numPr>
        <w:suppressAutoHyphens w:val="0"/>
        <w:spacing w:after="240" w:line="276" w:lineRule="auto"/>
        <w:jc w:val="both"/>
        <w:rPr>
          <w:rFonts w:ascii="Palatino Linotype" w:eastAsia="Times New Roman" w:hAnsi="Palatino Linotype"/>
          <w:kern w:val="0"/>
          <w:sz w:val="22"/>
          <w:szCs w:val="22"/>
          <w:lang w:val="es-ES" w:eastAsia="es-ES"/>
        </w:rPr>
      </w:pPr>
      <w:r w:rsidRPr="00133690">
        <w:rPr>
          <w:rFonts w:ascii="Palatino Linotype" w:eastAsia="Times New Roman" w:hAnsi="Palatino Linotype"/>
          <w:kern w:val="0"/>
          <w:sz w:val="22"/>
          <w:szCs w:val="22"/>
          <w:lang w:val="es-ES" w:eastAsia="es-ES"/>
        </w:rPr>
        <w:lastRenderedPageBreak/>
        <w:t>Superficies semipermeables (Índice de Permeabilidad 0,5): Pavimentos que permiten el traspaso de aire y agua y su infiltración. Estas pueden contar con espacios de cobertura vegetal que coadyuven al índice de permeabilidad (ej: losas caladas con tierra vegetal fértil)”.</w:t>
      </w:r>
    </w:p>
    <w:p w:rsidR="00FC6C9A" w:rsidRPr="00133690" w:rsidRDefault="00133690" w:rsidP="00FC6C9A">
      <w:pPr>
        <w:spacing w:after="240" w:line="276" w:lineRule="auto"/>
        <w:jc w:val="center"/>
        <w:rPr>
          <w:rFonts w:ascii="Palatino Linotype" w:hAnsi="Palatino Linotype"/>
          <w:b/>
          <w:sz w:val="22"/>
          <w:szCs w:val="22"/>
          <w:lang w:val="es-EC"/>
        </w:rPr>
      </w:pPr>
      <w:r w:rsidRPr="00133690">
        <w:rPr>
          <w:rFonts w:ascii="Palatino Linotype" w:hAnsi="Palatino Linotype"/>
          <w:b/>
          <w:sz w:val="22"/>
          <w:szCs w:val="22"/>
          <w:lang w:val="es-EC"/>
        </w:rPr>
        <w:t>CAPÍTULO VI</w:t>
      </w:r>
    </w:p>
    <w:p w:rsidR="00FC6C9A" w:rsidRPr="00133690" w:rsidRDefault="00133690" w:rsidP="00FC6C9A">
      <w:pPr>
        <w:spacing w:after="240" w:line="276" w:lineRule="auto"/>
        <w:jc w:val="center"/>
        <w:rPr>
          <w:rFonts w:ascii="Palatino Linotype" w:hAnsi="Palatino Linotype"/>
          <w:b/>
          <w:sz w:val="22"/>
          <w:szCs w:val="22"/>
          <w:lang w:val="es-EC"/>
        </w:rPr>
      </w:pPr>
      <w:r w:rsidRPr="00133690">
        <w:rPr>
          <w:rFonts w:ascii="Palatino Linotype" w:hAnsi="Palatino Linotype"/>
          <w:b/>
          <w:sz w:val="22"/>
          <w:szCs w:val="22"/>
          <w:lang w:val="es-EC"/>
        </w:rPr>
        <w:t>MODELO DE GESTIÓN Y OBLIGACIONES DE LOS PROMOTORES</w:t>
      </w: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lang w:val="es-EC"/>
        </w:rPr>
      </w:pPr>
      <w:r w:rsidRPr="00133690">
        <w:rPr>
          <w:rFonts w:ascii="Palatino Linotype" w:hAnsi="Palatino Linotype"/>
          <w:b/>
          <w:sz w:val="22"/>
          <w:szCs w:val="22"/>
          <w:lang w:val="es-EC"/>
        </w:rPr>
        <w:t xml:space="preserve">Artículo 20.- Modelo de </w:t>
      </w:r>
      <w:r w:rsidR="00133690">
        <w:rPr>
          <w:rFonts w:ascii="Palatino Linotype" w:hAnsi="Palatino Linotype"/>
          <w:b/>
          <w:sz w:val="22"/>
          <w:szCs w:val="22"/>
          <w:lang w:val="es-EC"/>
        </w:rPr>
        <w:t>g</w:t>
      </w:r>
      <w:r w:rsidRPr="00133690">
        <w:rPr>
          <w:rFonts w:ascii="Palatino Linotype" w:hAnsi="Palatino Linotype"/>
          <w:b/>
          <w:sz w:val="22"/>
          <w:szCs w:val="22"/>
          <w:lang w:val="es-EC"/>
        </w:rPr>
        <w:t xml:space="preserve">estión.- </w:t>
      </w:r>
      <w:r w:rsidRPr="00133690">
        <w:rPr>
          <w:rFonts w:ascii="Palatino Linotype" w:hAnsi="Palatino Linotype" w:cs="Arial"/>
          <w:sz w:val="22"/>
          <w:szCs w:val="22"/>
        </w:rPr>
        <w:t>C</w:t>
      </w:r>
      <w:r w:rsidRPr="00133690">
        <w:rPr>
          <w:rFonts w:ascii="Palatino Linotype" w:hAnsi="Palatino Linotype"/>
          <w:sz w:val="22"/>
          <w:szCs w:val="22"/>
          <w:lang w:val="es-EC"/>
        </w:rPr>
        <w:t>on el propósito de garantizar la ejecución, mantenimiento y administración de las obras arquitectónicas, de infraestructura y espacios públicos generados en el proyecto, se determinará el modelo de gestión</w:t>
      </w:r>
      <w:r w:rsidRPr="00133690">
        <w:rPr>
          <w:rFonts w:ascii="Palatino Linotype" w:hAnsi="Palatino Linotype" w:cs="Arial"/>
          <w:sz w:val="22"/>
          <w:szCs w:val="22"/>
          <w:lang w:val="es-EC"/>
        </w:rPr>
        <w:t xml:space="preserve"> mediante la figura de fideicomisos, contratos de arrendamiento, comodatos, donaciones, derechos de desarrollo, capital semilla, transferencias entre gobiernos, asociaciones público-privadas y demás mecanismos contemplados en el régimen jurídico</w:t>
      </w:r>
      <w:r w:rsidRPr="00133690">
        <w:rPr>
          <w:rFonts w:ascii="Palatino Linotype" w:hAnsi="Palatino Linotype"/>
          <w:sz w:val="22"/>
          <w:szCs w:val="22"/>
          <w:lang w:val="es-EC"/>
        </w:rPr>
        <w:t xml:space="preserve">, para lo cual se delega esta gestión a la Empresa Pública Metropolitana de Gestión de Destino Turístico, de acuerdo con el marco jurídico vigente. </w:t>
      </w: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lang w:val="es-EC"/>
        </w:rPr>
      </w:pP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lang w:val="es-EC"/>
        </w:rPr>
      </w:pPr>
      <w:r w:rsidRPr="00133690">
        <w:rPr>
          <w:rFonts w:ascii="Palatino Linotype" w:hAnsi="Palatino Linotype"/>
          <w:sz w:val="22"/>
          <w:szCs w:val="22"/>
          <w:lang w:val="es-EC"/>
        </w:rPr>
        <w:t>Estas figuras de gestión podrán asociar o incorporar al sector privado, al sector público o a los actores de la economía popular y solidaria.</w:t>
      </w: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lang w:val="es-EC"/>
        </w:rPr>
      </w:pPr>
    </w:p>
    <w:p w:rsidR="00FC6C9A" w:rsidRPr="00133690" w:rsidRDefault="00FC6C9A" w:rsidP="00FC6C9A">
      <w:pPr>
        <w:pStyle w:val="Prrafodelista"/>
        <w:suppressAutoHyphens w:val="0"/>
        <w:spacing w:after="240" w:line="276" w:lineRule="auto"/>
        <w:ind w:left="0"/>
        <w:contextualSpacing/>
        <w:jc w:val="both"/>
        <w:rPr>
          <w:rFonts w:ascii="Palatino Linotype" w:hAnsi="Palatino Linotype"/>
          <w:sz w:val="22"/>
          <w:szCs w:val="22"/>
          <w:lang w:val="es-EC"/>
        </w:rPr>
      </w:pPr>
      <w:r w:rsidRPr="00133690">
        <w:rPr>
          <w:rFonts w:ascii="Palatino Linotype" w:hAnsi="Palatino Linotype"/>
          <w:sz w:val="22"/>
          <w:szCs w:val="22"/>
          <w:lang w:val="es-EC"/>
        </w:rPr>
        <w:t>La formalización de los acuerdos derivados del modelo de gestión incorporará los derechos y obligaciones de las partes, dejando explícitamente establecidas las responsabilidades de los promotores o desarrolladores en función de lo establecido en el artículo 21 de la presente ordenanza.</w:t>
      </w:r>
    </w:p>
    <w:p w:rsidR="00FC6C9A" w:rsidRPr="00133690" w:rsidRDefault="00FC6C9A" w:rsidP="00FC6C9A">
      <w:pPr>
        <w:spacing w:after="240" w:line="276" w:lineRule="auto"/>
        <w:jc w:val="both"/>
        <w:rPr>
          <w:rFonts w:ascii="Palatino Linotype" w:hAnsi="Palatino Linotype"/>
          <w:sz w:val="22"/>
          <w:szCs w:val="22"/>
          <w:lang w:val="es-EC"/>
        </w:rPr>
      </w:pPr>
      <w:r w:rsidRPr="00133690">
        <w:rPr>
          <w:rFonts w:ascii="Palatino Linotype" w:hAnsi="Palatino Linotype"/>
          <w:b/>
          <w:sz w:val="22"/>
          <w:szCs w:val="22"/>
          <w:lang w:val="es-EC"/>
        </w:rPr>
        <w:t>Artículo 21.-</w:t>
      </w:r>
      <w:r w:rsidR="009A5F5D">
        <w:rPr>
          <w:rFonts w:ascii="Palatino Linotype" w:hAnsi="Palatino Linotype"/>
          <w:b/>
          <w:sz w:val="22"/>
          <w:szCs w:val="22"/>
          <w:lang w:val="es-EC"/>
        </w:rPr>
        <w:t xml:space="preserve"> </w:t>
      </w:r>
      <w:r w:rsidRPr="00133690">
        <w:rPr>
          <w:rFonts w:ascii="Palatino Linotype" w:hAnsi="Palatino Linotype"/>
          <w:b/>
          <w:sz w:val="22"/>
          <w:szCs w:val="22"/>
          <w:lang w:val="es-EC"/>
        </w:rPr>
        <w:t xml:space="preserve">Obligaciones de los promotores.- </w:t>
      </w:r>
      <w:r w:rsidRPr="00133690">
        <w:rPr>
          <w:rFonts w:ascii="Palatino Linotype" w:hAnsi="Palatino Linotype"/>
          <w:sz w:val="22"/>
          <w:szCs w:val="22"/>
          <w:lang w:val="es-EC"/>
        </w:rPr>
        <w:t>Los promotores harán aportes a los costos del Plan Especial Bicentenario</w:t>
      </w:r>
      <w:r w:rsidRPr="00133690">
        <w:rPr>
          <w:rFonts w:ascii="Palatino Linotype" w:hAnsi="Palatino Linotype"/>
          <w:b/>
          <w:sz w:val="22"/>
          <w:szCs w:val="22"/>
          <w:lang w:val="es-EC"/>
        </w:rPr>
        <w:t xml:space="preserve"> </w:t>
      </w:r>
      <w:r w:rsidRPr="00133690">
        <w:rPr>
          <w:rFonts w:ascii="Palatino Linotype" w:hAnsi="Palatino Linotype"/>
          <w:sz w:val="22"/>
          <w:szCs w:val="22"/>
          <w:lang w:val="es-EC"/>
        </w:rPr>
        <w:t xml:space="preserve">observando lo establecido en literal b. Proyecto Urbanístico Arquitectónico Especial (PUAE) del artículo 36.- Instrumentos de Planeación del capítulo tercero, Estrategia de Gestión Urbanística y de Suelo, de la </w:t>
      </w:r>
      <w:r w:rsidR="00155CEE">
        <w:rPr>
          <w:rFonts w:ascii="Palatino Linotype" w:hAnsi="Palatino Linotype"/>
          <w:sz w:val="22"/>
          <w:szCs w:val="22"/>
          <w:lang w:val="es-EC"/>
        </w:rPr>
        <w:t>O</w:t>
      </w:r>
      <w:r w:rsidRPr="00133690">
        <w:rPr>
          <w:rFonts w:ascii="Palatino Linotype" w:hAnsi="Palatino Linotype"/>
          <w:sz w:val="22"/>
          <w:szCs w:val="22"/>
          <w:lang w:val="es-EC"/>
        </w:rPr>
        <w:t xml:space="preserve">rdenanza </w:t>
      </w:r>
      <w:r w:rsidR="00155CEE">
        <w:rPr>
          <w:rFonts w:ascii="Palatino Linotype" w:hAnsi="Palatino Linotype"/>
          <w:sz w:val="22"/>
          <w:szCs w:val="22"/>
          <w:lang w:val="es-EC"/>
        </w:rPr>
        <w:t>M</w:t>
      </w:r>
      <w:r w:rsidRPr="00133690">
        <w:rPr>
          <w:rFonts w:ascii="Palatino Linotype" w:hAnsi="Palatino Linotype"/>
          <w:sz w:val="22"/>
          <w:szCs w:val="22"/>
          <w:lang w:val="es-EC"/>
        </w:rPr>
        <w:t>etropolitana No. 352. Estos aportes se realizarán de manera proporcional a cada etapa de consolidación del proyecto según lo establecido en el artículo 7 de la presente ordenanza.</w:t>
      </w:r>
    </w:p>
    <w:p w:rsidR="00FC6C9A" w:rsidRPr="00133690" w:rsidRDefault="00FC6C9A" w:rsidP="00FC6C9A">
      <w:p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Adicionalmente</w:t>
      </w:r>
      <w:r w:rsidR="00133690">
        <w:rPr>
          <w:rFonts w:ascii="Palatino Linotype" w:hAnsi="Palatino Linotype"/>
          <w:sz w:val="22"/>
          <w:szCs w:val="22"/>
          <w:lang w:val="es-EC"/>
        </w:rPr>
        <w:t>,</w:t>
      </w:r>
      <w:r w:rsidRPr="00133690">
        <w:rPr>
          <w:rFonts w:ascii="Palatino Linotype" w:hAnsi="Palatino Linotype"/>
          <w:sz w:val="22"/>
          <w:szCs w:val="22"/>
          <w:lang w:val="es-EC"/>
        </w:rPr>
        <w:t xml:space="preserve"> los promotores deberán cubrir los costos de mantenimiento, seguridad y operación de los espacios y equipamientos públicos, áreas verdes, componentes ambientales y edificios designados bajo su responsabilidad en cada etapa de desarrollo del proyecto. </w:t>
      </w:r>
    </w:p>
    <w:p w:rsidR="00FC6C9A" w:rsidRPr="00133690" w:rsidRDefault="00FC6C9A" w:rsidP="00FC6C9A">
      <w:pPr>
        <w:spacing w:after="240" w:line="276" w:lineRule="auto"/>
        <w:jc w:val="both"/>
        <w:rPr>
          <w:rFonts w:ascii="Palatino Linotype" w:hAnsi="Palatino Linotype"/>
          <w:b/>
          <w:sz w:val="22"/>
          <w:szCs w:val="22"/>
          <w:lang w:val="es-EC"/>
        </w:rPr>
      </w:pPr>
      <w:r w:rsidRPr="00133690">
        <w:rPr>
          <w:rFonts w:ascii="Palatino Linotype" w:hAnsi="Palatino Linotype"/>
          <w:sz w:val="22"/>
          <w:szCs w:val="22"/>
          <w:lang w:val="es-EC"/>
        </w:rPr>
        <w:lastRenderedPageBreak/>
        <w:t>El seguimiento al cumplimiento de las obligaciones y compromisos de los promotores, estará a cargo de la Empresa Pública Metropolitana de Gestión de Destino Turístico y se plasmará explícitamente en los instrumentos que formalicen los acuerdos entre dicha entidad y los promotores.</w:t>
      </w:r>
    </w:p>
    <w:p w:rsidR="00FC6C9A" w:rsidRPr="00133690" w:rsidRDefault="00133690" w:rsidP="00FC6C9A">
      <w:pPr>
        <w:spacing w:after="240" w:line="276" w:lineRule="auto"/>
        <w:jc w:val="both"/>
        <w:rPr>
          <w:rFonts w:ascii="Palatino Linotype" w:hAnsi="Palatino Linotype"/>
          <w:b/>
          <w:sz w:val="22"/>
          <w:szCs w:val="22"/>
          <w:lang w:val="es-EC"/>
        </w:rPr>
      </w:pPr>
      <w:r w:rsidRPr="00133690">
        <w:rPr>
          <w:rFonts w:ascii="Palatino Linotype" w:hAnsi="Palatino Linotype"/>
          <w:b/>
          <w:sz w:val="22"/>
          <w:szCs w:val="22"/>
          <w:lang w:val="es-EC"/>
        </w:rPr>
        <w:t>Disposiciones Generales:</w:t>
      </w:r>
    </w:p>
    <w:p w:rsidR="00FC6C9A" w:rsidRPr="00133690" w:rsidRDefault="00FC6C9A" w:rsidP="00FC6C9A">
      <w:pPr>
        <w:spacing w:after="240" w:line="276" w:lineRule="auto"/>
        <w:jc w:val="both"/>
        <w:rPr>
          <w:rFonts w:ascii="Palatino Linotype" w:hAnsi="Palatino Linotype"/>
          <w:sz w:val="22"/>
          <w:szCs w:val="22"/>
          <w:lang w:val="es-EC"/>
        </w:rPr>
      </w:pPr>
      <w:r w:rsidRPr="00133690">
        <w:rPr>
          <w:rFonts w:ascii="Palatino Linotype" w:hAnsi="Palatino Linotype"/>
          <w:b/>
          <w:bCs/>
          <w:sz w:val="22"/>
          <w:szCs w:val="22"/>
          <w:lang w:val="es-EC"/>
        </w:rPr>
        <w:t xml:space="preserve">Primera.- </w:t>
      </w:r>
      <w:r w:rsidRPr="00133690">
        <w:rPr>
          <w:rFonts w:ascii="Palatino Linotype" w:hAnsi="Palatino Linotype"/>
          <w:sz w:val="22"/>
          <w:szCs w:val="22"/>
          <w:lang w:val="es-EC"/>
        </w:rPr>
        <w:t xml:space="preserve">Los aspectos técnicos no previstos en esta ordenanza serán </w:t>
      </w:r>
      <w:r w:rsidR="003C37DE">
        <w:rPr>
          <w:rFonts w:ascii="Palatino Linotype" w:hAnsi="Palatino Linotype"/>
          <w:sz w:val="22"/>
          <w:szCs w:val="22"/>
          <w:lang w:val="es-EC"/>
        </w:rPr>
        <w:t xml:space="preserve">resueltos por parte de </w:t>
      </w:r>
      <w:r w:rsidRPr="00133690">
        <w:rPr>
          <w:rFonts w:ascii="Palatino Linotype" w:hAnsi="Palatino Linotype"/>
          <w:sz w:val="22"/>
          <w:szCs w:val="22"/>
          <w:lang w:val="es-EC"/>
        </w:rPr>
        <w:t xml:space="preserve">la </w:t>
      </w:r>
      <w:r w:rsidR="006E5C83" w:rsidRPr="00133690">
        <w:rPr>
          <w:rFonts w:ascii="Palatino Linotype" w:hAnsi="Palatino Linotype"/>
          <w:sz w:val="22"/>
          <w:szCs w:val="22"/>
          <w:lang w:val="es-EC"/>
        </w:rPr>
        <w:t>Secretar</w:t>
      </w:r>
      <w:r w:rsidR="006E5C83">
        <w:rPr>
          <w:rFonts w:ascii="Palatino Linotype" w:hAnsi="Palatino Linotype"/>
          <w:sz w:val="22"/>
          <w:szCs w:val="22"/>
          <w:lang w:val="es-EC"/>
        </w:rPr>
        <w:t>í</w:t>
      </w:r>
      <w:r w:rsidR="006E5C83" w:rsidRPr="00133690">
        <w:rPr>
          <w:rFonts w:ascii="Palatino Linotype" w:hAnsi="Palatino Linotype"/>
          <w:sz w:val="22"/>
          <w:szCs w:val="22"/>
          <w:lang w:val="es-EC"/>
        </w:rPr>
        <w:t xml:space="preserve">a </w:t>
      </w:r>
      <w:r w:rsidRPr="00133690">
        <w:rPr>
          <w:rFonts w:ascii="Palatino Linotype" w:hAnsi="Palatino Linotype"/>
          <w:sz w:val="22"/>
          <w:szCs w:val="22"/>
          <w:lang w:val="es-EC"/>
        </w:rPr>
        <w:t>de Territorio</w:t>
      </w:r>
      <w:r w:rsidR="006E5C83">
        <w:rPr>
          <w:rFonts w:ascii="Palatino Linotype" w:hAnsi="Palatino Linotype"/>
          <w:sz w:val="22"/>
          <w:szCs w:val="22"/>
          <w:lang w:val="es-EC"/>
        </w:rPr>
        <w:t>,</w:t>
      </w:r>
      <w:r w:rsidRPr="00133690">
        <w:rPr>
          <w:rFonts w:ascii="Palatino Linotype" w:hAnsi="Palatino Linotype"/>
          <w:sz w:val="22"/>
          <w:szCs w:val="22"/>
          <w:lang w:val="es-EC"/>
        </w:rPr>
        <w:t xml:space="preserve"> Hábitat y Vivienda</w:t>
      </w:r>
      <w:r w:rsidR="006E5C83">
        <w:rPr>
          <w:rFonts w:ascii="Palatino Linotype" w:hAnsi="Palatino Linotype"/>
          <w:sz w:val="22"/>
          <w:szCs w:val="22"/>
          <w:lang w:val="es-EC"/>
        </w:rPr>
        <w:t>,</w:t>
      </w:r>
      <w:r w:rsidRPr="00133690">
        <w:rPr>
          <w:rFonts w:ascii="Palatino Linotype" w:hAnsi="Palatino Linotype"/>
          <w:sz w:val="22"/>
          <w:szCs w:val="22"/>
          <w:lang w:val="es-EC"/>
        </w:rPr>
        <w:t xml:space="preserve"> de acuerdo con la normativa metropolitana vigente, incluyendo aspectos técnicos que, por la especificidad funcional del proyecto Centro de Convenciones Metropolitano de la Ciudad de Quito, requieran se</w:t>
      </w:r>
      <w:r w:rsidR="00F06FB9">
        <w:rPr>
          <w:rFonts w:ascii="Palatino Linotype" w:hAnsi="Palatino Linotype"/>
          <w:sz w:val="22"/>
          <w:szCs w:val="22"/>
          <w:lang w:val="es-EC"/>
        </w:rPr>
        <w:t>r tratados de manera particular</w:t>
      </w:r>
      <w:r w:rsidR="008C313E">
        <w:rPr>
          <w:rFonts w:ascii="Palatino Linotype" w:hAnsi="Palatino Linotype"/>
          <w:sz w:val="22"/>
          <w:szCs w:val="22"/>
          <w:lang w:val="es-EC"/>
        </w:rPr>
        <w:t>.</w:t>
      </w:r>
      <w:r w:rsidR="00F06FB9">
        <w:rPr>
          <w:rFonts w:ascii="Palatino Linotype" w:hAnsi="Palatino Linotype"/>
          <w:sz w:val="22"/>
          <w:szCs w:val="22"/>
          <w:lang w:val="es-EC"/>
        </w:rPr>
        <w:t xml:space="preserve"> </w:t>
      </w:r>
      <w:r w:rsidR="008C313E">
        <w:rPr>
          <w:rFonts w:ascii="Palatino Linotype" w:hAnsi="Palatino Linotype"/>
          <w:sz w:val="22"/>
          <w:szCs w:val="22"/>
          <w:lang w:val="es-EC"/>
        </w:rPr>
        <w:t>Inmediatamente al licenciamiento de cada proyecto, la Secretaría de Territorio, Hábitat y Vivienda, a través de la Alcaldía, informará al Concejo Metropolitano sobre los proyectos aprobados</w:t>
      </w:r>
      <w:r w:rsidR="00F06FB9">
        <w:rPr>
          <w:rFonts w:ascii="Palatino Linotype" w:hAnsi="Palatino Linotype"/>
          <w:sz w:val="22"/>
          <w:szCs w:val="22"/>
          <w:lang w:val="es-EC"/>
        </w:rPr>
        <w:t>.</w:t>
      </w:r>
    </w:p>
    <w:p w:rsidR="00FC6C9A" w:rsidRPr="00133690" w:rsidRDefault="00FC6C9A" w:rsidP="00FC6C9A">
      <w:pPr>
        <w:spacing w:after="240" w:line="276" w:lineRule="auto"/>
        <w:jc w:val="both"/>
        <w:rPr>
          <w:rFonts w:ascii="Palatino Linotype" w:hAnsi="Palatino Linotype"/>
          <w:sz w:val="22"/>
          <w:szCs w:val="22"/>
          <w:lang w:val="es-EC"/>
        </w:rPr>
      </w:pPr>
      <w:r w:rsidRPr="00133690">
        <w:rPr>
          <w:rFonts w:ascii="Palatino Linotype" w:hAnsi="Palatino Linotype"/>
          <w:b/>
          <w:sz w:val="22"/>
          <w:szCs w:val="22"/>
          <w:lang w:val="es-EC"/>
        </w:rPr>
        <w:t xml:space="preserve">Segunda.-  </w:t>
      </w:r>
      <w:r w:rsidRPr="00133690">
        <w:rPr>
          <w:rFonts w:ascii="Palatino Linotype" w:hAnsi="Palatino Linotype"/>
          <w:sz w:val="22"/>
          <w:szCs w:val="22"/>
          <w:lang w:val="es-EC"/>
        </w:rPr>
        <w:t>Los permisos, autorizaciones o licencias metropolitanas requeridas para emprender las tareas constructivas tendrán el siguiente procedimiento:</w:t>
      </w:r>
    </w:p>
    <w:p w:rsidR="00FC6C9A" w:rsidRPr="00133690" w:rsidRDefault="00FC6C9A" w:rsidP="00FC6C9A">
      <w:pPr>
        <w:numPr>
          <w:ilvl w:val="0"/>
          <w:numId w:val="17"/>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Las obras a ser construidas por las entidades pertenecientes al Municipio del Distrito Metropolitano de Quito, deberán obtener un informe preceptivo otorgado por la Secretaría de Territorio, Hábitat y Vivienda, documento que tendrá valor de licencia metropolitana urbanística</w:t>
      </w:r>
      <w:r w:rsidR="00D10315">
        <w:rPr>
          <w:rFonts w:ascii="Palatino Linotype" w:hAnsi="Palatino Linotype"/>
          <w:sz w:val="22"/>
          <w:szCs w:val="22"/>
          <w:lang w:val="es-EC"/>
        </w:rPr>
        <w:t>. De igual manera, las obras deberán cumplir con las Reglas Técnicas y normas administrativas que garanticen la seguridad de las personas, bienes y el ambiente, y a coadyuvar con sus intervenciones al orden público y a la convivencia ciudadana.</w:t>
      </w:r>
    </w:p>
    <w:p w:rsidR="00FC6C9A" w:rsidRPr="00133690" w:rsidRDefault="00FC6C9A" w:rsidP="00FC6C9A">
      <w:pPr>
        <w:numPr>
          <w:ilvl w:val="0"/>
          <w:numId w:val="17"/>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 xml:space="preserve">Las obras que conlleven usufructo privado deberán obtener los permisos administrativos bajo el procedimiento ordinario establecido por la normativa vigente, previo informe técnico de la </w:t>
      </w:r>
      <w:r w:rsidR="00660ACC" w:rsidRPr="00133690">
        <w:rPr>
          <w:rFonts w:ascii="Palatino Linotype" w:hAnsi="Palatino Linotype"/>
          <w:sz w:val="22"/>
          <w:szCs w:val="22"/>
          <w:lang w:val="es-EC"/>
        </w:rPr>
        <w:t>Secretar</w:t>
      </w:r>
      <w:r w:rsidR="00660ACC">
        <w:rPr>
          <w:rFonts w:ascii="Palatino Linotype" w:hAnsi="Palatino Linotype"/>
          <w:sz w:val="22"/>
          <w:szCs w:val="22"/>
          <w:lang w:val="es-EC"/>
        </w:rPr>
        <w:t>í</w:t>
      </w:r>
      <w:r w:rsidR="00660ACC" w:rsidRPr="00133690">
        <w:rPr>
          <w:rFonts w:ascii="Palatino Linotype" w:hAnsi="Palatino Linotype"/>
          <w:sz w:val="22"/>
          <w:szCs w:val="22"/>
          <w:lang w:val="es-EC"/>
        </w:rPr>
        <w:t xml:space="preserve">a </w:t>
      </w:r>
      <w:r w:rsidRPr="00133690">
        <w:rPr>
          <w:rFonts w:ascii="Palatino Linotype" w:hAnsi="Palatino Linotype"/>
          <w:sz w:val="22"/>
          <w:szCs w:val="22"/>
          <w:lang w:val="es-EC"/>
        </w:rPr>
        <w:t>de Territorio, Hábitat y Vivienda.</w:t>
      </w:r>
    </w:p>
    <w:p w:rsidR="00FC6C9A" w:rsidRPr="00133690" w:rsidRDefault="00FC6C9A" w:rsidP="00FC6C9A">
      <w:pPr>
        <w:numPr>
          <w:ilvl w:val="0"/>
          <w:numId w:val="17"/>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 xml:space="preserve">En todos los casos, previa la autorización o licenciamiento de cada componente, etapa o conjunto de edificios, el promotor presentará a la </w:t>
      </w:r>
      <w:r w:rsidR="00660ACC" w:rsidRPr="00133690">
        <w:rPr>
          <w:rFonts w:ascii="Palatino Linotype" w:hAnsi="Palatino Linotype"/>
          <w:sz w:val="22"/>
          <w:szCs w:val="22"/>
          <w:lang w:val="es-EC"/>
        </w:rPr>
        <w:t>Secretar</w:t>
      </w:r>
      <w:r w:rsidR="00660ACC">
        <w:rPr>
          <w:rFonts w:ascii="Palatino Linotype" w:hAnsi="Palatino Linotype"/>
          <w:sz w:val="22"/>
          <w:szCs w:val="22"/>
          <w:lang w:val="es-EC"/>
        </w:rPr>
        <w:t>í</w:t>
      </w:r>
      <w:r w:rsidR="00660ACC" w:rsidRPr="00133690">
        <w:rPr>
          <w:rFonts w:ascii="Palatino Linotype" w:hAnsi="Palatino Linotype"/>
          <w:sz w:val="22"/>
          <w:szCs w:val="22"/>
          <w:lang w:val="es-EC"/>
        </w:rPr>
        <w:t xml:space="preserve">a </w:t>
      </w:r>
      <w:r w:rsidRPr="00133690">
        <w:rPr>
          <w:rFonts w:ascii="Palatino Linotype" w:hAnsi="Palatino Linotype"/>
          <w:sz w:val="22"/>
          <w:szCs w:val="22"/>
          <w:lang w:val="es-EC"/>
        </w:rPr>
        <w:t>de Territorio, Hábitat y Vivienda informes de las entidades municipales competentes relacionados a los siguientes estudios:</w:t>
      </w:r>
    </w:p>
    <w:p w:rsidR="00FC6C9A" w:rsidRPr="00133690" w:rsidRDefault="00FC6C9A" w:rsidP="00FC6C9A">
      <w:pPr>
        <w:numPr>
          <w:ilvl w:val="0"/>
          <w:numId w:val="18"/>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Estudio de mercado, debidamente aprobado por la Empresa Pública Metropolitana de Gestión del Destino Turístico</w:t>
      </w:r>
      <w:r w:rsidR="00D10315">
        <w:rPr>
          <w:rFonts w:ascii="Palatino Linotype" w:hAnsi="Palatino Linotype"/>
          <w:sz w:val="22"/>
          <w:szCs w:val="22"/>
          <w:lang w:val="es-EC"/>
        </w:rPr>
        <w:t xml:space="preserve"> (Quito Turismo)</w:t>
      </w:r>
      <w:r w:rsidR="00B97BC1">
        <w:rPr>
          <w:rFonts w:ascii="Palatino Linotype" w:hAnsi="Palatino Linotype"/>
          <w:sz w:val="22"/>
          <w:szCs w:val="22"/>
          <w:lang w:val="es-EC"/>
        </w:rPr>
        <w:t xml:space="preserve"> y la Secretaría de Desarrollo Productivo y Competitividad</w:t>
      </w:r>
      <w:r w:rsidRPr="00133690">
        <w:rPr>
          <w:rFonts w:ascii="Palatino Linotype" w:hAnsi="Palatino Linotype"/>
          <w:sz w:val="22"/>
          <w:szCs w:val="22"/>
          <w:lang w:val="es-EC"/>
        </w:rPr>
        <w:t>.</w:t>
      </w:r>
    </w:p>
    <w:p w:rsidR="00FC6C9A" w:rsidRPr="00133690" w:rsidRDefault="00FC6C9A" w:rsidP="00FC6C9A">
      <w:pPr>
        <w:numPr>
          <w:ilvl w:val="0"/>
          <w:numId w:val="18"/>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Estudio de impactos a la movilidad aprobado por la Secretaría de Movilidad.</w:t>
      </w:r>
    </w:p>
    <w:p w:rsidR="00FC6C9A" w:rsidRPr="00133690" w:rsidRDefault="00FC6C9A" w:rsidP="00FC6C9A">
      <w:pPr>
        <w:numPr>
          <w:ilvl w:val="0"/>
          <w:numId w:val="18"/>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lastRenderedPageBreak/>
        <w:t>Estudio de componentes ambientales con cr</w:t>
      </w:r>
      <w:r w:rsidR="00283A09">
        <w:rPr>
          <w:rFonts w:ascii="Palatino Linotype" w:hAnsi="Palatino Linotype"/>
          <w:sz w:val="22"/>
          <w:szCs w:val="22"/>
          <w:lang w:val="es-EC"/>
        </w:rPr>
        <w:t>iterio favorable de la Secretarí</w:t>
      </w:r>
      <w:r w:rsidRPr="00133690">
        <w:rPr>
          <w:rFonts w:ascii="Palatino Linotype" w:hAnsi="Palatino Linotype"/>
          <w:sz w:val="22"/>
          <w:szCs w:val="22"/>
          <w:lang w:val="es-EC"/>
        </w:rPr>
        <w:t xml:space="preserve">a de Ambiente. </w:t>
      </w:r>
    </w:p>
    <w:p w:rsidR="00FC6C9A" w:rsidRPr="00133690" w:rsidRDefault="00FC6C9A" w:rsidP="00FC6C9A">
      <w:pPr>
        <w:numPr>
          <w:ilvl w:val="0"/>
          <w:numId w:val="18"/>
        </w:numPr>
        <w:spacing w:after="240" w:line="276" w:lineRule="auto"/>
        <w:jc w:val="both"/>
        <w:rPr>
          <w:rFonts w:ascii="Palatino Linotype" w:hAnsi="Palatino Linotype"/>
          <w:sz w:val="22"/>
          <w:szCs w:val="22"/>
          <w:lang w:val="es-EC"/>
        </w:rPr>
      </w:pPr>
      <w:r w:rsidRPr="00133690">
        <w:rPr>
          <w:rFonts w:ascii="Palatino Linotype" w:hAnsi="Palatino Linotype"/>
          <w:sz w:val="22"/>
          <w:szCs w:val="22"/>
          <w:lang w:val="es-EC"/>
        </w:rPr>
        <w:t>Revisión por la Secretaría de Territorio, Hábitat y Vivienda de los parámetros de accesibilidad universal contemplados en la normativa vigente.</w:t>
      </w:r>
    </w:p>
    <w:p w:rsidR="00FC6C9A" w:rsidRPr="00133690" w:rsidRDefault="00133690" w:rsidP="00FC6C9A">
      <w:pPr>
        <w:spacing w:after="240" w:line="276" w:lineRule="auto"/>
        <w:jc w:val="both"/>
        <w:rPr>
          <w:rFonts w:ascii="Palatino Linotype" w:hAnsi="Palatino Linotype"/>
          <w:sz w:val="22"/>
          <w:szCs w:val="22"/>
        </w:rPr>
      </w:pPr>
      <w:r w:rsidRPr="00133690">
        <w:rPr>
          <w:rFonts w:ascii="Palatino Linotype" w:hAnsi="Palatino Linotype"/>
          <w:b/>
          <w:sz w:val="22"/>
          <w:szCs w:val="22"/>
          <w:lang w:val="es-EC"/>
        </w:rPr>
        <w:t>Disposición Transitoria</w:t>
      </w:r>
      <w:r>
        <w:rPr>
          <w:rFonts w:ascii="Palatino Linotype" w:hAnsi="Palatino Linotype"/>
          <w:b/>
          <w:sz w:val="22"/>
          <w:szCs w:val="22"/>
          <w:lang w:val="es-EC"/>
        </w:rPr>
        <w:t xml:space="preserve"> Única.- </w:t>
      </w:r>
      <w:r w:rsidR="00FC6C9A" w:rsidRPr="00133690">
        <w:rPr>
          <w:rFonts w:ascii="Palatino Linotype" w:hAnsi="Palatino Linotype"/>
          <w:sz w:val="22"/>
          <w:szCs w:val="22"/>
        </w:rPr>
        <w:t xml:space="preserve">Previo a la obtención de la LMU 20, la entidad </w:t>
      </w:r>
      <w:r w:rsidR="009958C6">
        <w:rPr>
          <w:rFonts w:ascii="Palatino Linotype" w:hAnsi="Palatino Linotype"/>
          <w:sz w:val="22"/>
          <w:szCs w:val="22"/>
        </w:rPr>
        <w:t xml:space="preserve">encargada del desarrollo del proyecto o de las tareas constructivas, </w:t>
      </w:r>
      <w:r w:rsidR="00FC6C9A" w:rsidRPr="00133690">
        <w:rPr>
          <w:rFonts w:ascii="Palatino Linotype" w:hAnsi="Palatino Linotype"/>
          <w:sz w:val="22"/>
          <w:szCs w:val="22"/>
        </w:rPr>
        <w:t>deberá resolver la diferencia de cabida el lote con predio No. 3553162, según lo establecido en la normativa municipal vigente.</w:t>
      </w:r>
    </w:p>
    <w:p w:rsidR="00FC6C9A" w:rsidRPr="00133690" w:rsidRDefault="00133690" w:rsidP="00FC6C9A">
      <w:pPr>
        <w:spacing w:after="240" w:line="276" w:lineRule="auto"/>
        <w:jc w:val="both"/>
        <w:rPr>
          <w:rFonts w:ascii="Palatino Linotype" w:hAnsi="Palatino Linotype"/>
          <w:sz w:val="22"/>
          <w:szCs w:val="22"/>
          <w:lang w:val="es-EC"/>
        </w:rPr>
      </w:pPr>
      <w:r w:rsidRPr="00133690">
        <w:rPr>
          <w:rFonts w:ascii="Palatino Linotype" w:hAnsi="Palatino Linotype"/>
          <w:b/>
          <w:sz w:val="22"/>
          <w:szCs w:val="22"/>
          <w:lang w:val="es-EC"/>
        </w:rPr>
        <w:t>Disposiciones Finales</w:t>
      </w:r>
      <w:r w:rsidR="00FC6C9A" w:rsidRPr="00133690">
        <w:rPr>
          <w:rFonts w:ascii="Palatino Linotype" w:hAnsi="Palatino Linotype"/>
          <w:b/>
          <w:sz w:val="22"/>
          <w:szCs w:val="22"/>
          <w:lang w:val="es-EC"/>
        </w:rPr>
        <w:t>.-</w:t>
      </w:r>
      <w:r w:rsidR="00FC6C9A" w:rsidRPr="00133690">
        <w:rPr>
          <w:rFonts w:ascii="Palatino Linotype" w:hAnsi="Palatino Linotype"/>
          <w:sz w:val="22"/>
          <w:szCs w:val="22"/>
          <w:lang w:val="es-EC"/>
        </w:rPr>
        <w:t xml:space="preserve"> </w:t>
      </w:r>
    </w:p>
    <w:p w:rsidR="00FC6C9A" w:rsidRPr="00133690" w:rsidRDefault="00FC6C9A" w:rsidP="00FC6C9A">
      <w:pPr>
        <w:spacing w:after="240" w:line="276" w:lineRule="auto"/>
        <w:jc w:val="both"/>
        <w:rPr>
          <w:rFonts w:ascii="Palatino Linotype" w:hAnsi="Palatino Linotype"/>
          <w:sz w:val="22"/>
          <w:szCs w:val="22"/>
        </w:rPr>
      </w:pPr>
      <w:r w:rsidRPr="00133690">
        <w:rPr>
          <w:rFonts w:ascii="Palatino Linotype" w:hAnsi="Palatino Linotype"/>
          <w:b/>
          <w:sz w:val="22"/>
          <w:szCs w:val="22"/>
        </w:rPr>
        <w:t>Primera.-</w:t>
      </w:r>
      <w:r w:rsidRPr="00133690">
        <w:rPr>
          <w:rFonts w:ascii="Palatino Linotype" w:hAnsi="Palatino Linotype"/>
          <w:sz w:val="22"/>
          <w:szCs w:val="22"/>
        </w:rPr>
        <w:t xml:space="preserve"> Según lo establecido en el literal a</w:t>
      </w:r>
      <w:r w:rsidR="00133690">
        <w:rPr>
          <w:rFonts w:ascii="Palatino Linotype" w:hAnsi="Palatino Linotype"/>
          <w:sz w:val="22"/>
          <w:szCs w:val="22"/>
        </w:rPr>
        <w:t>)</w:t>
      </w:r>
      <w:r w:rsidRPr="00133690">
        <w:rPr>
          <w:rFonts w:ascii="Palatino Linotype" w:hAnsi="Palatino Linotype"/>
          <w:sz w:val="22"/>
          <w:szCs w:val="22"/>
        </w:rPr>
        <w:t xml:space="preserve"> del artículo 18, se autoriza a la </w:t>
      </w:r>
      <w:r w:rsidRPr="00133690">
        <w:rPr>
          <w:rFonts w:ascii="Palatino Linotype" w:hAnsi="Palatino Linotype" w:cs="Arial"/>
          <w:sz w:val="22"/>
          <w:szCs w:val="22"/>
        </w:rPr>
        <w:t>Empresa Pública Metropolitana de Gestión de Destino Turístico (Quito Turismo) la</w:t>
      </w:r>
      <w:r w:rsidRPr="00133690">
        <w:rPr>
          <w:rFonts w:ascii="Palatino Linotype" w:hAnsi="Palatino Linotype"/>
          <w:sz w:val="22"/>
          <w:szCs w:val="22"/>
        </w:rPr>
        <w:t xml:space="preserve"> ocupación del suelo y del subsuelo con fines de estacionamiento público del área donde se localiza el actual parqueadero del </w:t>
      </w:r>
      <w:r w:rsidR="009F47FA">
        <w:rPr>
          <w:rFonts w:ascii="Palatino Linotype" w:hAnsi="Palatino Linotype"/>
          <w:sz w:val="22"/>
          <w:szCs w:val="22"/>
        </w:rPr>
        <w:t>P</w:t>
      </w:r>
      <w:r w:rsidR="009F47FA" w:rsidRPr="00133690">
        <w:rPr>
          <w:rFonts w:ascii="Palatino Linotype" w:hAnsi="Palatino Linotype"/>
          <w:sz w:val="22"/>
          <w:szCs w:val="22"/>
        </w:rPr>
        <w:t xml:space="preserve">arque </w:t>
      </w:r>
      <w:r w:rsidRPr="00133690">
        <w:rPr>
          <w:rFonts w:ascii="Palatino Linotype" w:hAnsi="Palatino Linotype"/>
          <w:sz w:val="22"/>
          <w:szCs w:val="22"/>
        </w:rPr>
        <w:t xml:space="preserve">Bicentenario situado sobre la avenida Amazonas, propiedad del Distrito Metropolitano de Quito. </w:t>
      </w:r>
    </w:p>
    <w:p w:rsidR="00FC6C9A" w:rsidRPr="00133690" w:rsidRDefault="00FC6C9A" w:rsidP="00FC6C9A">
      <w:pPr>
        <w:spacing w:after="240" w:line="276" w:lineRule="auto"/>
        <w:jc w:val="both"/>
        <w:rPr>
          <w:rFonts w:ascii="Palatino Linotype" w:hAnsi="Palatino Linotype"/>
          <w:sz w:val="22"/>
          <w:szCs w:val="22"/>
          <w:lang w:val="es-EC"/>
        </w:rPr>
      </w:pPr>
      <w:r w:rsidRPr="00133690">
        <w:rPr>
          <w:rFonts w:ascii="Palatino Linotype" w:hAnsi="Palatino Linotype"/>
          <w:b/>
          <w:sz w:val="22"/>
          <w:szCs w:val="22"/>
          <w:lang w:val="es-EC"/>
        </w:rPr>
        <w:t>Segunda.-</w:t>
      </w:r>
      <w:r w:rsidRPr="00133690">
        <w:rPr>
          <w:rFonts w:ascii="Palatino Linotype" w:hAnsi="Palatino Linotype"/>
          <w:sz w:val="22"/>
          <w:szCs w:val="22"/>
          <w:lang w:val="es-EC"/>
        </w:rPr>
        <w:t xml:space="preserve"> Esta Ordenanza entrará en vigencia a partir de la fecha de su </w:t>
      </w:r>
      <w:r w:rsidR="00283A09">
        <w:rPr>
          <w:rFonts w:ascii="Palatino Linotype" w:hAnsi="Palatino Linotype"/>
          <w:sz w:val="22"/>
          <w:szCs w:val="22"/>
          <w:lang w:val="es-EC"/>
        </w:rPr>
        <w:t>sanción</w:t>
      </w:r>
      <w:r w:rsidRPr="00133690">
        <w:rPr>
          <w:rFonts w:ascii="Palatino Linotype" w:hAnsi="Palatino Linotype"/>
          <w:sz w:val="22"/>
          <w:szCs w:val="22"/>
          <w:lang w:val="es-EC"/>
        </w:rPr>
        <w:t xml:space="preserve">, sin perjuicio de su publicación en </w:t>
      </w:r>
      <w:r w:rsidR="00283A09">
        <w:rPr>
          <w:rFonts w:ascii="Palatino Linotype" w:hAnsi="Palatino Linotype"/>
          <w:sz w:val="22"/>
          <w:szCs w:val="22"/>
          <w:lang w:val="es-EC"/>
        </w:rPr>
        <w:t>la Gaceta Oficial y en la página web institucional de la Municipalidad</w:t>
      </w:r>
      <w:r w:rsidRPr="00133690">
        <w:rPr>
          <w:rFonts w:ascii="Palatino Linotype" w:hAnsi="Palatino Linotype"/>
          <w:sz w:val="22"/>
          <w:szCs w:val="22"/>
          <w:lang w:val="es-EC"/>
        </w:rPr>
        <w:t>.</w:t>
      </w:r>
    </w:p>
    <w:p w:rsidR="00F14D2F" w:rsidRDefault="00F14D2F" w:rsidP="008A5ABE">
      <w:pPr>
        <w:spacing w:after="240" w:line="276" w:lineRule="auto"/>
        <w:jc w:val="both"/>
        <w:rPr>
          <w:rFonts w:ascii="Palatino Linotype" w:hAnsi="Palatino Linotype"/>
          <w:sz w:val="22"/>
          <w:szCs w:val="22"/>
        </w:rPr>
      </w:pPr>
      <w:r w:rsidRPr="00133690">
        <w:rPr>
          <w:rFonts w:ascii="Palatino Linotype" w:hAnsi="Palatino Linotype"/>
          <w:sz w:val="22"/>
          <w:szCs w:val="22"/>
        </w:rPr>
        <w:t xml:space="preserve">Dada, en la Sala de Sesiones del Concejo Metropolitano de Quito, el </w:t>
      </w:r>
      <w:r w:rsidR="00155CEE">
        <w:rPr>
          <w:rFonts w:ascii="Palatino Linotype" w:hAnsi="Palatino Linotype"/>
          <w:sz w:val="22"/>
          <w:szCs w:val="22"/>
        </w:rPr>
        <w:t>27</w:t>
      </w:r>
      <w:r w:rsidRPr="00133690">
        <w:rPr>
          <w:rFonts w:ascii="Palatino Linotype" w:hAnsi="Palatino Linotype"/>
          <w:sz w:val="22"/>
          <w:szCs w:val="22"/>
        </w:rPr>
        <w:t xml:space="preserve"> de </w:t>
      </w:r>
      <w:r w:rsidR="00155CEE">
        <w:rPr>
          <w:rFonts w:ascii="Palatino Linotype" w:hAnsi="Palatino Linotype"/>
          <w:sz w:val="22"/>
          <w:szCs w:val="22"/>
        </w:rPr>
        <w:t xml:space="preserve">noviembre </w:t>
      </w:r>
      <w:r w:rsidRPr="00133690">
        <w:rPr>
          <w:rFonts w:ascii="Palatino Linotype" w:hAnsi="Palatino Linotype"/>
          <w:sz w:val="22"/>
          <w:szCs w:val="22"/>
        </w:rPr>
        <w:t>de 2015.</w:t>
      </w:r>
    </w:p>
    <w:p w:rsidR="00F14D2F" w:rsidRDefault="00F14D2F" w:rsidP="00F14D2F">
      <w:pPr>
        <w:pStyle w:val="Textopredeterminado"/>
        <w:shd w:val="clear" w:color="auto" w:fill="FFFFFF"/>
        <w:jc w:val="both"/>
        <w:rPr>
          <w:rFonts w:ascii="Palatino Linotype" w:hAnsi="Palatino Linotype"/>
          <w:sz w:val="22"/>
          <w:szCs w:val="22"/>
        </w:rPr>
      </w:pPr>
    </w:p>
    <w:p w:rsidR="00485EFC" w:rsidRDefault="00485EFC" w:rsidP="00F14D2F">
      <w:pPr>
        <w:pStyle w:val="Textopredeterminado"/>
        <w:shd w:val="clear" w:color="auto" w:fill="FFFFFF"/>
        <w:jc w:val="both"/>
        <w:rPr>
          <w:rFonts w:ascii="Palatino Linotype" w:hAnsi="Palatino Linotype"/>
          <w:sz w:val="22"/>
          <w:szCs w:val="22"/>
        </w:rPr>
      </w:pPr>
    </w:p>
    <w:p w:rsidR="00261156" w:rsidRPr="00155CEE" w:rsidRDefault="00261156" w:rsidP="00F14D2F">
      <w:pPr>
        <w:pStyle w:val="Textopredeterminado"/>
        <w:shd w:val="clear" w:color="auto" w:fill="FFFFFF"/>
        <w:jc w:val="both"/>
        <w:rPr>
          <w:rFonts w:ascii="Palatino Linotype" w:hAnsi="Palatino Linotype"/>
          <w:sz w:val="22"/>
          <w:szCs w:val="22"/>
        </w:rPr>
      </w:pPr>
    </w:p>
    <w:tbl>
      <w:tblPr>
        <w:tblW w:w="10899" w:type="dxa"/>
        <w:jc w:val="center"/>
        <w:tblLook w:val="04A0"/>
      </w:tblPr>
      <w:tblGrid>
        <w:gridCol w:w="5575"/>
        <w:gridCol w:w="5324"/>
      </w:tblGrid>
      <w:tr w:rsidR="00133690" w:rsidRPr="00133690" w:rsidTr="008C5F76">
        <w:trPr>
          <w:jc w:val="center"/>
        </w:trPr>
        <w:tc>
          <w:tcPr>
            <w:tcW w:w="5575" w:type="dxa"/>
            <w:hideMark/>
          </w:tcPr>
          <w:p w:rsidR="00F14D2F" w:rsidRPr="00133690" w:rsidRDefault="00F14D2F" w:rsidP="008C5F76">
            <w:pPr>
              <w:pStyle w:val="Textopredeterminado"/>
              <w:jc w:val="center"/>
              <w:rPr>
                <w:rFonts w:ascii="Palatino Linotype" w:hAnsi="Palatino Linotype"/>
                <w:sz w:val="18"/>
                <w:szCs w:val="18"/>
                <w:lang w:val="es-EC"/>
              </w:rPr>
            </w:pPr>
            <w:r w:rsidRPr="00133690">
              <w:rPr>
                <w:rFonts w:ascii="Palatino Linotype" w:hAnsi="Palatino Linotype"/>
                <w:sz w:val="18"/>
                <w:szCs w:val="18"/>
                <w:lang w:val="es-EC"/>
              </w:rPr>
              <w:t>Abg. Daniela Chacón Arias</w:t>
            </w:r>
          </w:p>
          <w:p w:rsidR="00F14D2F" w:rsidRPr="00133690" w:rsidRDefault="00F14D2F" w:rsidP="008C5F76">
            <w:pPr>
              <w:pStyle w:val="Textopredeterminado"/>
              <w:jc w:val="center"/>
              <w:rPr>
                <w:rFonts w:ascii="Palatino Linotype" w:hAnsi="Palatino Linotype"/>
                <w:b/>
                <w:sz w:val="18"/>
                <w:szCs w:val="18"/>
                <w:lang w:val="es-EC"/>
              </w:rPr>
            </w:pPr>
            <w:r w:rsidRPr="00133690">
              <w:rPr>
                <w:rFonts w:ascii="Palatino Linotype" w:hAnsi="Palatino Linotype"/>
                <w:b/>
                <w:sz w:val="18"/>
                <w:szCs w:val="18"/>
                <w:lang w:val="es-EC"/>
              </w:rPr>
              <w:t>Primera Vicepresidenta del Concejo Metropolitano de Quito</w:t>
            </w:r>
          </w:p>
        </w:tc>
        <w:tc>
          <w:tcPr>
            <w:tcW w:w="5324" w:type="dxa"/>
            <w:hideMark/>
          </w:tcPr>
          <w:p w:rsidR="00F14D2F" w:rsidRPr="00133690" w:rsidRDefault="00F14D2F" w:rsidP="008C5F76">
            <w:pPr>
              <w:pStyle w:val="Textopredeterminado"/>
              <w:jc w:val="center"/>
              <w:rPr>
                <w:rFonts w:ascii="Palatino Linotype" w:hAnsi="Palatino Linotype"/>
                <w:sz w:val="18"/>
                <w:szCs w:val="18"/>
                <w:lang w:val="es-EC"/>
              </w:rPr>
            </w:pPr>
            <w:r w:rsidRPr="00133690">
              <w:rPr>
                <w:rFonts w:ascii="Palatino Linotype" w:hAnsi="Palatino Linotype"/>
                <w:sz w:val="18"/>
                <w:szCs w:val="18"/>
                <w:lang w:val="es-EC"/>
              </w:rPr>
              <w:t>Dr. Mauricio Bustamante Holguín</w:t>
            </w:r>
          </w:p>
          <w:p w:rsidR="00F14D2F" w:rsidRPr="00133690" w:rsidRDefault="00F14D2F" w:rsidP="008C5F76">
            <w:pPr>
              <w:pStyle w:val="Textopredeterminado"/>
              <w:jc w:val="center"/>
              <w:rPr>
                <w:rFonts w:ascii="Palatino Linotype" w:hAnsi="Palatino Linotype"/>
                <w:b/>
                <w:sz w:val="18"/>
                <w:szCs w:val="18"/>
                <w:lang w:val="es-EC"/>
              </w:rPr>
            </w:pPr>
            <w:r w:rsidRPr="00133690">
              <w:rPr>
                <w:rFonts w:ascii="Palatino Linotype" w:hAnsi="Palatino Linotype"/>
                <w:b/>
                <w:sz w:val="18"/>
                <w:szCs w:val="18"/>
                <w:lang w:val="es-EC"/>
              </w:rPr>
              <w:t>Secretario General del Concejo Metropolitano de Quito</w:t>
            </w:r>
          </w:p>
          <w:p w:rsidR="00485EFC" w:rsidRPr="00133690" w:rsidRDefault="00485EFC" w:rsidP="008C5F76">
            <w:pPr>
              <w:pStyle w:val="Textopredeterminado"/>
              <w:rPr>
                <w:rFonts w:ascii="Palatino Linotype" w:hAnsi="Palatino Linotype"/>
                <w:b/>
                <w:sz w:val="18"/>
                <w:szCs w:val="18"/>
                <w:lang w:val="es-EC"/>
              </w:rPr>
            </w:pPr>
          </w:p>
        </w:tc>
      </w:tr>
    </w:tbl>
    <w:p w:rsidR="00F14D2F" w:rsidRPr="00133690" w:rsidRDefault="00F14D2F" w:rsidP="00F14D2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133690">
        <w:rPr>
          <w:rFonts w:ascii="Palatino Linotype" w:eastAsia="MS Mincho" w:hAnsi="Palatino Linotype"/>
          <w:b/>
          <w:bCs/>
          <w:sz w:val="22"/>
          <w:szCs w:val="22"/>
          <w:lang w:val="es-EC"/>
        </w:rPr>
        <w:t>CERTIFICADO DE DISCUSIÓN</w:t>
      </w:r>
    </w:p>
    <w:p w:rsidR="00F14D2F" w:rsidRPr="00133690" w:rsidRDefault="00F14D2F" w:rsidP="00F14D2F">
      <w:pPr>
        <w:pStyle w:val="Textosinformato"/>
        <w:jc w:val="both"/>
        <w:rPr>
          <w:rFonts w:ascii="Palatino Linotype" w:eastAsia="MS Mincho" w:hAnsi="Palatino Linotype"/>
          <w:sz w:val="22"/>
          <w:szCs w:val="22"/>
          <w:lang w:val="es-EC"/>
        </w:rPr>
      </w:pPr>
    </w:p>
    <w:p w:rsidR="00F14D2F" w:rsidRPr="00133690" w:rsidRDefault="00F14D2F" w:rsidP="00F14D2F">
      <w:pPr>
        <w:pStyle w:val="Textosinformato"/>
        <w:jc w:val="both"/>
        <w:rPr>
          <w:rFonts w:ascii="Palatino Linotype" w:eastAsia="MS Mincho" w:hAnsi="Palatino Linotype"/>
          <w:sz w:val="22"/>
          <w:szCs w:val="22"/>
          <w:lang w:val="es-EC"/>
        </w:rPr>
      </w:pPr>
      <w:r w:rsidRPr="00133690">
        <w:rPr>
          <w:rFonts w:ascii="Palatino Linotype" w:eastAsia="MS Mincho" w:hAnsi="Palatino Linotype"/>
          <w:sz w:val="22"/>
          <w:szCs w:val="22"/>
          <w:lang w:val="es-EC"/>
        </w:rPr>
        <w:t xml:space="preserve">El infrascrito Secretario General del Concejo Metropolitano de Quito, certifica que la presente ordenanza fue discutida y aprobada en dos debates, en sesiones de </w:t>
      </w:r>
      <w:r w:rsidR="00155CEE">
        <w:rPr>
          <w:rFonts w:ascii="Palatino Linotype" w:eastAsia="MS Mincho" w:hAnsi="Palatino Linotype"/>
          <w:sz w:val="22"/>
          <w:szCs w:val="22"/>
          <w:lang w:val="es-EC"/>
        </w:rPr>
        <w:t xml:space="preserve">30 de octubre </w:t>
      </w:r>
      <w:r w:rsidRPr="00133690">
        <w:rPr>
          <w:rFonts w:ascii="Palatino Linotype" w:eastAsia="MS Mincho" w:hAnsi="Palatino Linotype"/>
          <w:sz w:val="22"/>
          <w:szCs w:val="22"/>
          <w:lang w:val="es-EC"/>
        </w:rPr>
        <w:t xml:space="preserve">y </w:t>
      </w:r>
      <w:r w:rsidR="00155CEE">
        <w:rPr>
          <w:rFonts w:ascii="Palatino Linotype" w:eastAsia="MS Mincho" w:hAnsi="Palatino Linotype"/>
          <w:sz w:val="22"/>
          <w:szCs w:val="22"/>
          <w:lang w:val="es-EC"/>
        </w:rPr>
        <w:t>27</w:t>
      </w:r>
      <w:r w:rsidRPr="00133690">
        <w:rPr>
          <w:rFonts w:ascii="Palatino Linotype" w:eastAsia="MS Mincho" w:hAnsi="Palatino Linotype"/>
          <w:sz w:val="22"/>
          <w:szCs w:val="22"/>
          <w:lang w:val="es-EC"/>
        </w:rPr>
        <w:t xml:space="preserve"> de </w:t>
      </w:r>
      <w:r w:rsidR="00155CEE">
        <w:rPr>
          <w:rFonts w:ascii="Palatino Linotype" w:eastAsia="MS Mincho" w:hAnsi="Palatino Linotype"/>
          <w:sz w:val="22"/>
          <w:szCs w:val="22"/>
          <w:lang w:val="es-EC"/>
        </w:rPr>
        <w:t xml:space="preserve">noviembre </w:t>
      </w:r>
      <w:r w:rsidRPr="00133690">
        <w:rPr>
          <w:rFonts w:ascii="Palatino Linotype" w:eastAsia="MS Mincho" w:hAnsi="Palatino Linotype"/>
          <w:sz w:val="22"/>
          <w:szCs w:val="22"/>
          <w:lang w:val="es-EC"/>
        </w:rPr>
        <w:t>de 2015.- Quito,</w:t>
      </w:r>
    </w:p>
    <w:p w:rsidR="00F14D2F" w:rsidRPr="00133690" w:rsidRDefault="00F14D2F" w:rsidP="00F14D2F">
      <w:pPr>
        <w:pStyle w:val="Textosinformato"/>
        <w:jc w:val="both"/>
        <w:rPr>
          <w:rFonts w:ascii="Palatino Linotype" w:eastAsia="MS Mincho" w:hAnsi="Palatino Linotype"/>
          <w:sz w:val="22"/>
          <w:szCs w:val="22"/>
          <w:lang w:val="es-EC"/>
        </w:rPr>
      </w:pPr>
    </w:p>
    <w:p w:rsidR="00F14D2F" w:rsidRPr="00133690" w:rsidRDefault="00F14D2F" w:rsidP="00F14D2F">
      <w:pPr>
        <w:pStyle w:val="Textosinformato"/>
        <w:jc w:val="both"/>
        <w:rPr>
          <w:rFonts w:ascii="Palatino Linotype" w:eastAsia="MS Mincho" w:hAnsi="Palatino Linotype"/>
          <w:sz w:val="22"/>
          <w:szCs w:val="22"/>
          <w:lang w:val="es-EC"/>
        </w:rPr>
      </w:pPr>
    </w:p>
    <w:p w:rsidR="00F14D2F" w:rsidRDefault="00F14D2F" w:rsidP="00F14D2F">
      <w:pPr>
        <w:pStyle w:val="Textosinformato"/>
        <w:jc w:val="both"/>
        <w:rPr>
          <w:rFonts w:ascii="Palatino Linotype" w:eastAsia="MS Mincho" w:hAnsi="Palatino Linotype"/>
          <w:sz w:val="22"/>
          <w:szCs w:val="22"/>
          <w:lang w:val="es-EC"/>
        </w:rPr>
      </w:pPr>
    </w:p>
    <w:p w:rsidR="00485EFC" w:rsidRPr="00133690" w:rsidRDefault="00485EFC" w:rsidP="00F14D2F">
      <w:pPr>
        <w:pStyle w:val="Textosinformato"/>
        <w:jc w:val="both"/>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r w:rsidRPr="00133690">
        <w:rPr>
          <w:rFonts w:ascii="Palatino Linotype" w:eastAsia="MS Mincho" w:hAnsi="Palatino Linotype"/>
          <w:sz w:val="22"/>
          <w:szCs w:val="22"/>
          <w:lang w:val="es-EC"/>
        </w:rPr>
        <w:t>Dr. Mauricio Bustamante Holguín</w:t>
      </w:r>
    </w:p>
    <w:p w:rsidR="00F14D2F" w:rsidRPr="00133690" w:rsidRDefault="00F14D2F" w:rsidP="00F14D2F">
      <w:pPr>
        <w:pStyle w:val="Textosinformato"/>
        <w:jc w:val="center"/>
        <w:rPr>
          <w:rFonts w:ascii="Palatino Linotype" w:eastAsia="MS Mincho" w:hAnsi="Palatino Linotype"/>
          <w:b/>
          <w:bCs/>
          <w:sz w:val="22"/>
          <w:szCs w:val="22"/>
          <w:lang w:val="es-EC"/>
        </w:rPr>
      </w:pPr>
      <w:r w:rsidRPr="00133690">
        <w:rPr>
          <w:rFonts w:ascii="Palatino Linotype" w:eastAsia="MS Mincho" w:hAnsi="Palatino Linotype"/>
          <w:b/>
          <w:bCs/>
          <w:sz w:val="22"/>
          <w:szCs w:val="22"/>
          <w:lang w:val="es-EC"/>
        </w:rPr>
        <w:t>SECRETARIO GENERAL DEL CONCEJO METROPOLITANO DE QUITO</w:t>
      </w:r>
    </w:p>
    <w:p w:rsidR="00F14D2F" w:rsidRPr="00133690" w:rsidRDefault="00F14D2F" w:rsidP="00F14D2F">
      <w:pPr>
        <w:pStyle w:val="Textosinformato"/>
        <w:jc w:val="center"/>
        <w:rPr>
          <w:rFonts w:ascii="Palatino Linotype" w:eastAsia="MS Mincho" w:hAnsi="Palatino Linotype"/>
          <w:sz w:val="22"/>
          <w:szCs w:val="22"/>
          <w:lang w:val="es-EC"/>
        </w:rPr>
      </w:pPr>
      <w:r w:rsidRPr="00133690">
        <w:rPr>
          <w:rFonts w:ascii="Palatino Linotype" w:eastAsia="MS Mincho" w:hAnsi="Palatino Linotype"/>
          <w:b/>
          <w:bCs/>
          <w:sz w:val="22"/>
          <w:szCs w:val="22"/>
          <w:lang w:val="es-EC"/>
        </w:rPr>
        <w:lastRenderedPageBreak/>
        <w:t>ALCALDÍA DEL DISTRITO METROPOLITANO.-</w:t>
      </w:r>
      <w:r w:rsidRPr="00133690">
        <w:rPr>
          <w:rFonts w:ascii="Palatino Linotype" w:eastAsia="MS Mincho" w:hAnsi="Palatino Linotype"/>
          <w:sz w:val="22"/>
          <w:szCs w:val="22"/>
          <w:lang w:val="es-EC"/>
        </w:rPr>
        <w:t xml:space="preserve">  Distrito Metropolitano de Quito,</w:t>
      </w:r>
    </w:p>
    <w:p w:rsidR="00F14D2F" w:rsidRPr="00133690" w:rsidRDefault="00F14D2F" w:rsidP="00F14D2F">
      <w:pPr>
        <w:pStyle w:val="Textosinformato"/>
        <w:jc w:val="center"/>
        <w:rPr>
          <w:rFonts w:ascii="Palatino Linotype" w:eastAsia="MS Mincho" w:hAnsi="Palatino Linotype"/>
          <w:b/>
          <w:sz w:val="22"/>
          <w:szCs w:val="22"/>
          <w:lang w:val="es-EC"/>
        </w:rPr>
      </w:pPr>
    </w:p>
    <w:p w:rsidR="00F14D2F" w:rsidRPr="00133690" w:rsidRDefault="00F14D2F" w:rsidP="00F14D2F">
      <w:pPr>
        <w:pStyle w:val="Textosinformato"/>
        <w:jc w:val="center"/>
        <w:rPr>
          <w:rFonts w:ascii="Palatino Linotype" w:eastAsia="MS Mincho" w:hAnsi="Palatino Linotype"/>
          <w:b/>
          <w:sz w:val="22"/>
          <w:szCs w:val="22"/>
          <w:lang w:val="es-EC"/>
        </w:rPr>
      </w:pPr>
      <w:r w:rsidRPr="00133690">
        <w:rPr>
          <w:rFonts w:ascii="Palatino Linotype" w:eastAsia="MS Mincho" w:hAnsi="Palatino Linotype"/>
          <w:b/>
          <w:sz w:val="22"/>
          <w:szCs w:val="22"/>
          <w:lang w:val="es-EC"/>
        </w:rPr>
        <w:t>EJECÚTESE:</w:t>
      </w:r>
    </w:p>
    <w:p w:rsidR="00F14D2F" w:rsidRPr="00133690" w:rsidRDefault="00F14D2F" w:rsidP="00F14D2F">
      <w:pPr>
        <w:pStyle w:val="Textosinformato"/>
        <w:jc w:val="center"/>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p>
    <w:p w:rsidR="00F14D2F" w:rsidRDefault="00F14D2F" w:rsidP="00F14D2F">
      <w:pPr>
        <w:pStyle w:val="Textosinformato"/>
        <w:jc w:val="center"/>
        <w:rPr>
          <w:rFonts w:ascii="Palatino Linotype" w:eastAsia="MS Mincho" w:hAnsi="Palatino Linotype"/>
          <w:sz w:val="22"/>
          <w:szCs w:val="22"/>
          <w:lang w:val="es-EC"/>
        </w:rPr>
      </w:pPr>
    </w:p>
    <w:p w:rsidR="00261156" w:rsidRPr="00133690" w:rsidRDefault="00261156" w:rsidP="00F14D2F">
      <w:pPr>
        <w:pStyle w:val="Textosinformato"/>
        <w:jc w:val="center"/>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r w:rsidRPr="00133690">
        <w:rPr>
          <w:rFonts w:ascii="Palatino Linotype" w:eastAsia="MS Mincho" w:hAnsi="Palatino Linotype"/>
          <w:sz w:val="22"/>
          <w:szCs w:val="22"/>
          <w:lang w:val="es-EC"/>
        </w:rPr>
        <w:t>Dr. Mauricio Rodas Espinel</w:t>
      </w:r>
    </w:p>
    <w:p w:rsidR="00F14D2F" w:rsidRPr="00133690" w:rsidRDefault="00F14D2F" w:rsidP="00F14D2F">
      <w:pPr>
        <w:pStyle w:val="Textosinformato"/>
        <w:jc w:val="center"/>
        <w:rPr>
          <w:rFonts w:ascii="Palatino Linotype" w:eastAsia="MS Mincho" w:hAnsi="Palatino Linotype"/>
          <w:b/>
          <w:bCs/>
          <w:sz w:val="22"/>
          <w:szCs w:val="22"/>
          <w:lang w:val="es-EC"/>
        </w:rPr>
      </w:pPr>
      <w:r w:rsidRPr="00133690">
        <w:rPr>
          <w:rFonts w:ascii="Palatino Linotype" w:eastAsia="MS Mincho" w:hAnsi="Palatino Linotype"/>
          <w:b/>
          <w:bCs/>
          <w:sz w:val="22"/>
          <w:szCs w:val="22"/>
          <w:lang w:val="es-EC"/>
        </w:rPr>
        <w:t>ALCALDE DEL DISTRITO METROPOLITANO DE QUITO</w:t>
      </w:r>
    </w:p>
    <w:p w:rsidR="00F14D2F" w:rsidRPr="00133690" w:rsidRDefault="00F14D2F" w:rsidP="00F14D2F">
      <w:pPr>
        <w:pStyle w:val="Textosinformato"/>
        <w:jc w:val="both"/>
        <w:rPr>
          <w:rFonts w:ascii="Palatino Linotype" w:eastAsia="MS Mincho" w:hAnsi="Palatino Linotype"/>
          <w:b/>
          <w:bCs/>
          <w:sz w:val="22"/>
          <w:szCs w:val="22"/>
          <w:lang w:val="es-EC"/>
        </w:rPr>
      </w:pPr>
    </w:p>
    <w:p w:rsidR="00F14D2F" w:rsidRPr="00133690" w:rsidRDefault="00F14D2F" w:rsidP="00F14D2F">
      <w:pPr>
        <w:pStyle w:val="Textosinformato"/>
        <w:jc w:val="both"/>
        <w:rPr>
          <w:rFonts w:ascii="Palatino Linotype" w:eastAsia="MS Mincho" w:hAnsi="Palatino Linotype"/>
          <w:sz w:val="22"/>
          <w:szCs w:val="22"/>
          <w:lang w:val="es-EC"/>
        </w:rPr>
      </w:pPr>
      <w:r w:rsidRPr="00133690">
        <w:rPr>
          <w:rFonts w:ascii="Palatino Linotype" w:eastAsia="MS Mincho" w:hAnsi="Palatino Linotype"/>
          <w:b/>
          <w:bCs/>
          <w:sz w:val="22"/>
          <w:szCs w:val="22"/>
          <w:lang w:val="es-EC"/>
        </w:rPr>
        <w:t>CERTIFICO,</w:t>
      </w:r>
      <w:r w:rsidRPr="00133690">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4D2F" w:rsidRPr="00133690" w:rsidRDefault="00F14D2F" w:rsidP="00F14D2F">
      <w:pPr>
        <w:pStyle w:val="Textosinformato"/>
        <w:tabs>
          <w:tab w:val="right" w:pos="8504"/>
        </w:tabs>
        <w:jc w:val="both"/>
        <w:rPr>
          <w:rFonts w:ascii="Palatino Linotype" w:eastAsia="MS Mincho" w:hAnsi="Palatino Linotype"/>
          <w:sz w:val="22"/>
          <w:szCs w:val="22"/>
          <w:lang w:val="es-EC"/>
        </w:rPr>
      </w:pPr>
      <w:r w:rsidRPr="00133690">
        <w:rPr>
          <w:rFonts w:ascii="Palatino Linotype" w:eastAsia="MS Mincho" w:hAnsi="Palatino Linotype"/>
          <w:sz w:val="22"/>
          <w:szCs w:val="22"/>
          <w:lang w:val="es-EC"/>
        </w:rPr>
        <w:t>.- Distrito Metropolitano de Quito,</w:t>
      </w:r>
    </w:p>
    <w:p w:rsidR="00F14D2F" w:rsidRPr="00133690" w:rsidRDefault="00F14D2F" w:rsidP="00F14D2F">
      <w:pPr>
        <w:pStyle w:val="Textosinformato"/>
        <w:jc w:val="center"/>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p>
    <w:p w:rsidR="00F14D2F" w:rsidRDefault="00F14D2F" w:rsidP="00F14D2F">
      <w:pPr>
        <w:pStyle w:val="Textosinformato"/>
        <w:jc w:val="center"/>
        <w:rPr>
          <w:rFonts w:ascii="Palatino Linotype" w:eastAsia="MS Mincho" w:hAnsi="Palatino Linotype"/>
          <w:sz w:val="22"/>
          <w:szCs w:val="22"/>
          <w:lang w:val="es-EC"/>
        </w:rPr>
      </w:pPr>
    </w:p>
    <w:p w:rsidR="00261156" w:rsidRDefault="00261156" w:rsidP="00F14D2F">
      <w:pPr>
        <w:pStyle w:val="Textosinformato"/>
        <w:jc w:val="center"/>
        <w:rPr>
          <w:rFonts w:ascii="Palatino Linotype" w:eastAsia="MS Mincho" w:hAnsi="Palatino Linotype"/>
          <w:sz w:val="22"/>
          <w:szCs w:val="22"/>
          <w:lang w:val="es-EC"/>
        </w:rPr>
      </w:pPr>
    </w:p>
    <w:p w:rsidR="00485EFC" w:rsidRDefault="00485EFC" w:rsidP="00F14D2F">
      <w:pPr>
        <w:pStyle w:val="Textosinformato"/>
        <w:jc w:val="center"/>
        <w:rPr>
          <w:rFonts w:ascii="Palatino Linotype" w:eastAsia="MS Mincho" w:hAnsi="Palatino Linotype"/>
          <w:sz w:val="22"/>
          <w:szCs w:val="22"/>
          <w:lang w:val="es-EC"/>
        </w:rPr>
      </w:pPr>
    </w:p>
    <w:p w:rsidR="00485EFC" w:rsidRPr="00133690" w:rsidRDefault="00485EFC" w:rsidP="00F14D2F">
      <w:pPr>
        <w:pStyle w:val="Textosinformato"/>
        <w:jc w:val="center"/>
        <w:rPr>
          <w:rFonts w:ascii="Palatino Linotype" w:eastAsia="MS Mincho" w:hAnsi="Palatino Linotype"/>
          <w:sz w:val="22"/>
          <w:szCs w:val="22"/>
          <w:lang w:val="es-EC"/>
        </w:rPr>
      </w:pPr>
    </w:p>
    <w:p w:rsidR="00F14D2F" w:rsidRPr="00133690" w:rsidRDefault="00F14D2F" w:rsidP="00F14D2F">
      <w:pPr>
        <w:pStyle w:val="Textosinformato"/>
        <w:jc w:val="center"/>
        <w:rPr>
          <w:rFonts w:ascii="Palatino Linotype" w:eastAsia="MS Mincho" w:hAnsi="Palatino Linotype"/>
          <w:sz w:val="22"/>
          <w:szCs w:val="22"/>
          <w:lang w:val="es-EC"/>
        </w:rPr>
      </w:pPr>
      <w:r w:rsidRPr="00133690">
        <w:rPr>
          <w:rFonts w:ascii="Palatino Linotype" w:eastAsia="MS Mincho" w:hAnsi="Palatino Linotype"/>
          <w:sz w:val="22"/>
          <w:szCs w:val="22"/>
          <w:lang w:val="es-EC"/>
        </w:rPr>
        <w:t>Dr. Mauricio Bustamante Holguín</w:t>
      </w:r>
    </w:p>
    <w:p w:rsidR="00F14D2F" w:rsidRPr="00133690" w:rsidRDefault="00F14D2F" w:rsidP="00F14D2F">
      <w:pPr>
        <w:pStyle w:val="Textosinformato"/>
        <w:jc w:val="center"/>
        <w:rPr>
          <w:rFonts w:ascii="Palatino Linotype" w:eastAsia="MS Mincho" w:hAnsi="Palatino Linotype" w:cs="Arial"/>
          <w:bCs/>
          <w:sz w:val="22"/>
          <w:szCs w:val="22"/>
          <w:lang w:val="es-EC"/>
        </w:rPr>
      </w:pPr>
      <w:r w:rsidRPr="00133690">
        <w:rPr>
          <w:rFonts w:ascii="Palatino Linotype" w:eastAsia="MS Mincho" w:hAnsi="Palatino Linotype"/>
          <w:b/>
          <w:bCs/>
          <w:sz w:val="22"/>
          <w:szCs w:val="22"/>
          <w:lang w:val="es-EC"/>
        </w:rPr>
        <w:t>SECRETARIO GENERAL DEL CONCEJO METROPOLITANO DE QUITO</w:t>
      </w:r>
    </w:p>
    <w:p w:rsidR="00EA697E" w:rsidRPr="00155CEE" w:rsidRDefault="00155CEE" w:rsidP="00EA697E">
      <w:pPr>
        <w:spacing w:after="240" w:line="276" w:lineRule="auto"/>
        <w:jc w:val="both"/>
        <w:rPr>
          <w:rFonts w:ascii="Palatino Linotype" w:hAnsi="Palatino Linotype"/>
          <w:sz w:val="14"/>
          <w:szCs w:val="14"/>
          <w:lang w:val="es-EC"/>
        </w:rPr>
      </w:pPr>
      <w:r>
        <w:rPr>
          <w:rFonts w:ascii="Palatino Linotype" w:hAnsi="Palatino Linotype"/>
          <w:sz w:val="14"/>
          <w:szCs w:val="14"/>
          <w:lang w:val="es-EC"/>
        </w:rPr>
        <w:t>DSCS</w:t>
      </w:r>
    </w:p>
    <w:p w:rsidR="002D1002" w:rsidRDefault="002D1002" w:rsidP="00EA697E">
      <w:pPr>
        <w:spacing w:after="240" w:line="276" w:lineRule="auto"/>
        <w:jc w:val="both"/>
        <w:rPr>
          <w:rFonts w:ascii="Palatino Linotype" w:hAnsi="Palatino Linotype"/>
          <w:b/>
          <w:sz w:val="22"/>
          <w:szCs w:val="22"/>
          <w:lang w:val="es-EC"/>
        </w:rPr>
        <w:sectPr w:rsidR="002D1002" w:rsidSect="00261156">
          <w:headerReference w:type="default" r:id="rId9"/>
          <w:footerReference w:type="default" r:id="rId10"/>
          <w:pgSz w:w="12240" w:h="15840"/>
          <w:pgMar w:top="1417" w:right="1041" w:bottom="1417" w:left="1276" w:header="708" w:footer="708" w:gutter="0"/>
          <w:pgNumType w:start="1"/>
          <w:cols w:space="708"/>
          <w:docGrid w:linePitch="360"/>
        </w:sectPr>
      </w:pPr>
    </w:p>
    <w:p w:rsidR="00EA697E" w:rsidRPr="004E3DD3" w:rsidRDefault="00F14D2F" w:rsidP="000C082C">
      <w:pPr>
        <w:spacing w:after="240" w:line="276" w:lineRule="auto"/>
        <w:jc w:val="center"/>
        <w:rPr>
          <w:rFonts w:ascii="Palatino Linotype" w:hAnsi="Palatino Linotype"/>
          <w:b/>
          <w:sz w:val="28"/>
          <w:szCs w:val="28"/>
          <w:lang w:val="es-EC"/>
        </w:rPr>
      </w:pPr>
      <w:r w:rsidRPr="004E3DD3">
        <w:rPr>
          <w:rFonts w:ascii="Palatino Linotype" w:hAnsi="Palatino Linotype"/>
          <w:b/>
          <w:sz w:val="28"/>
          <w:szCs w:val="28"/>
          <w:lang w:val="es-EC"/>
        </w:rPr>
        <w:lastRenderedPageBreak/>
        <w:t>ANEXOS</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Implantación Referencial del Proyecto Urbanístico Arquitectónico Especial “Centro de Convenciones Metropolitano de la Ciudad de Quito”.</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Perfil Urbano Referencial del Proyecto Urbanístico Arquitectónico Especial “Centro de Convenciones Metropolitano de la Ciudad de Quito”.</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Etapas de consolidación Proyecto Urbanístico Arquitectónico Especial “Centro de Convenciones Metropolitano de la Ciudad de Quito”.</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Informe técnico No. SM-151/15 de la Secretaría de Movilidad expresado en el oficio No.SM-2291 del 22 de septiembre de 2015.</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Oficio de la Secretaría de Amiente del Distrito Metropolitano de Quito, No. SA-POL-5960 del 24 de septiembre de 2015.</w:t>
      </w:r>
    </w:p>
    <w:p w:rsidR="00155CEE" w:rsidRPr="00155CEE" w:rsidRDefault="00155CEE" w:rsidP="00155CEE">
      <w:pPr>
        <w:numPr>
          <w:ilvl w:val="0"/>
          <w:numId w:val="16"/>
        </w:numPr>
        <w:spacing w:after="240" w:line="276" w:lineRule="auto"/>
        <w:jc w:val="both"/>
        <w:rPr>
          <w:rFonts w:ascii="Palatino Linotype" w:hAnsi="Palatino Linotype"/>
          <w:sz w:val="22"/>
          <w:szCs w:val="22"/>
          <w:lang w:val="es-EC"/>
        </w:rPr>
      </w:pPr>
      <w:r w:rsidRPr="00155CEE">
        <w:rPr>
          <w:rFonts w:ascii="Palatino Linotype" w:hAnsi="Palatino Linotype"/>
          <w:sz w:val="22"/>
          <w:szCs w:val="22"/>
          <w:lang w:val="es-EC"/>
        </w:rPr>
        <w:t>Oficio No.</w:t>
      </w:r>
      <w:r w:rsidR="00A60003">
        <w:rPr>
          <w:rFonts w:ascii="Palatino Linotype" w:hAnsi="Palatino Linotype"/>
          <w:sz w:val="22"/>
          <w:szCs w:val="22"/>
          <w:lang w:val="es-EC"/>
        </w:rPr>
        <w:t xml:space="preserve"> </w:t>
      </w:r>
      <w:r w:rsidRPr="00155CEE">
        <w:rPr>
          <w:rFonts w:ascii="Palatino Linotype" w:hAnsi="Palatino Linotype"/>
          <w:sz w:val="22"/>
          <w:szCs w:val="22"/>
          <w:lang w:val="es-EC"/>
        </w:rPr>
        <w:t>414</w:t>
      </w:r>
      <w:r w:rsidR="00A60003">
        <w:rPr>
          <w:rFonts w:ascii="Palatino Linotype" w:hAnsi="Palatino Linotype"/>
          <w:sz w:val="22"/>
          <w:szCs w:val="22"/>
          <w:lang w:val="es-EC"/>
        </w:rPr>
        <w:t>7</w:t>
      </w:r>
      <w:r w:rsidRPr="00155CEE">
        <w:rPr>
          <w:rFonts w:ascii="Palatino Linotype" w:hAnsi="Palatino Linotype"/>
          <w:sz w:val="22"/>
          <w:szCs w:val="22"/>
          <w:lang w:val="es-EC"/>
        </w:rPr>
        <w:t>-STHV, del 28 de agosto de 2015, de la Secretaría de Territorio, Hábitat y Vivienda, que contiene el informe técnico con planos y fichas de evaluación.</w:t>
      </w:r>
    </w:p>
    <w:p w:rsidR="00EA697E" w:rsidRPr="00155CEE" w:rsidRDefault="00EA697E" w:rsidP="00EA697E">
      <w:pPr>
        <w:spacing w:after="240" w:line="276" w:lineRule="auto"/>
        <w:jc w:val="both"/>
        <w:rPr>
          <w:rFonts w:ascii="Palatino Linotype" w:hAnsi="Palatino Linotype" w:cs="Arial"/>
          <w:sz w:val="22"/>
          <w:szCs w:val="22"/>
          <w:lang w:val="es-EC"/>
        </w:rPr>
      </w:pPr>
    </w:p>
    <w:p w:rsidR="00EA697E" w:rsidRPr="00133690" w:rsidRDefault="00EA697E" w:rsidP="00EA697E">
      <w:pPr>
        <w:spacing w:after="240" w:line="276" w:lineRule="auto"/>
        <w:jc w:val="both"/>
        <w:rPr>
          <w:rFonts w:ascii="Palatino Linotype" w:hAnsi="Palatino Linotype" w:cs="Arial"/>
          <w:sz w:val="22"/>
          <w:szCs w:val="22"/>
        </w:rPr>
      </w:pPr>
    </w:p>
    <w:p w:rsidR="00EA697E" w:rsidRPr="00133690" w:rsidRDefault="00EA697E" w:rsidP="00EA697E">
      <w:pPr>
        <w:spacing w:after="240" w:line="276" w:lineRule="auto"/>
        <w:jc w:val="both"/>
        <w:rPr>
          <w:rFonts w:ascii="Palatino Linotype" w:hAnsi="Palatino Linotype" w:cs="Arial"/>
          <w:sz w:val="22"/>
          <w:szCs w:val="22"/>
        </w:rPr>
      </w:pPr>
    </w:p>
    <w:p w:rsidR="00EA697E" w:rsidRPr="00133690" w:rsidRDefault="00EA697E" w:rsidP="00EA697E">
      <w:pPr>
        <w:spacing w:after="240" w:line="276" w:lineRule="auto"/>
        <w:jc w:val="both"/>
        <w:rPr>
          <w:rFonts w:ascii="Palatino Linotype" w:hAnsi="Palatino Linotype" w:cs="Arial"/>
          <w:sz w:val="22"/>
          <w:szCs w:val="22"/>
        </w:rPr>
      </w:pPr>
    </w:p>
    <w:p w:rsidR="00EA697E" w:rsidRPr="00133690" w:rsidRDefault="00EA697E" w:rsidP="00EA697E">
      <w:pPr>
        <w:spacing w:after="240" w:line="276" w:lineRule="auto"/>
        <w:jc w:val="both"/>
        <w:rPr>
          <w:rFonts w:ascii="Palatino Linotype" w:hAnsi="Palatino Linotype" w:cs="Arial"/>
          <w:sz w:val="22"/>
          <w:szCs w:val="22"/>
        </w:rPr>
      </w:pPr>
    </w:p>
    <w:sectPr w:rsidR="00EA697E" w:rsidRPr="00133690" w:rsidSect="00133690">
      <w:headerReference w:type="default" r:id="rId11"/>
      <w:footerReference w:type="default" r:id="rId12"/>
      <w:pgSz w:w="12240" w:h="15840"/>
      <w:pgMar w:top="1417" w:right="1183" w:bottom="1417"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E1" w:rsidRDefault="00056BE1" w:rsidP="00EA697E">
      <w:pPr>
        <w:spacing w:line="240" w:lineRule="auto"/>
      </w:pPr>
      <w:r>
        <w:separator/>
      </w:r>
    </w:p>
  </w:endnote>
  <w:endnote w:type="continuationSeparator" w:id="1">
    <w:p w:rsidR="00056BE1" w:rsidRDefault="00056BE1" w:rsidP="00EA69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76" w:rsidRDefault="008C5F76">
    <w:pPr>
      <w:pStyle w:val="Piedepgina"/>
      <w:jc w:val="right"/>
    </w:pPr>
  </w:p>
  <w:p w:rsidR="008C5F76" w:rsidRDefault="008C5F7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4114"/>
      <w:docPartObj>
        <w:docPartGallery w:val="Page Numbers (Bottom of Page)"/>
        <w:docPartUnique/>
      </w:docPartObj>
    </w:sdtPr>
    <w:sdtContent>
      <w:sdt>
        <w:sdtPr>
          <w:id w:val="34994115"/>
          <w:docPartObj>
            <w:docPartGallery w:val="Page Numbers (Top of Page)"/>
            <w:docPartUnique/>
          </w:docPartObj>
        </w:sdtPr>
        <w:sdtContent>
          <w:p w:rsidR="008617E0" w:rsidRDefault="008617E0">
            <w:pPr>
              <w:pStyle w:val="Piedepgina"/>
              <w:jc w:val="right"/>
            </w:pPr>
            <w:r w:rsidRPr="00F14D2F">
              <w:rPr>
                <w:rFonts w:ascii="Palatino Linotype" w:hAnsi="Palatino Linotype"/>
                <w:sz w:val="22"/>
                <w:szCs w:val="22"/>
              </w:rPr>
              <w:t xml:space="preserve">Página </w:t>
            </w:r>
            <w:r w:rsidR="00E30719" w:rsidRPr="00F14D2F">
              <w:rPr>
                <w:rFonts w:ascii="Palatino Linotype" w:hAnsi="Palatino Linotype"/>
                <w:b/>
                <w:sz w:val="22"/>
                <w:szCs w:val="22"/>
              </w:rPr>
              <w:fldChar w:fldCharType="begin"/>
            </w:r>
            <w:r w:rsidRPr="00F14D2F">
              <w:rPr>
                <w:rFonts w:ascii="Palatino Linotype" w:hAnsi="Palatino Linotype"/>
                <w:b/>
                <w:sz w:val="22"/>
                <w:szCs w:val="22"/>
              </w:rPr>
              <w:instrText>PAGE</w:instrText>
            </w:r>
            <w:r w:rsidR="00E30719" w:rsidRPr="00F14D2F">
              <w:rPr>
                <w:rFonts w:ascii="Palatino Linotype" w:hAnsi="Palatino Linotype"/>
                <w:b/>
                <w:sz w:val="22"/>
                <w:szCs w:val="22"/>
              </w:rPr>
              <w:fldChar w:fldCharType="separate"/>
            </w:r>
            <w:r w:rsidR="00A60003">
              <w:rPr>
                <w:rFonts w:ascii="Palatino Linotype" w:hAnsi="Palatino Linotype"/>
                <w:b/>
                <w:noProof/>
                <w:sz w:val="22"/>
                <w:szCs w:val="22"/>
              </w:rPr>
              <w:t>22</w:t>
            </w:r>
            <w:r w:rsidR="00E30719" w:rsidRPr="00F14D2F">
              <w:rPr>
                <w:rFonts w:ascii="Palatino Linotype" w:hAnsi="Palatino Linotype"/>
                <w:b/>
                <w:sz w:val="22"/>
                <w:szCs w:val="22"/>
              </w:rPr>
              <w:fldChar w:fldCharType="end"/>
            </w:r>
            <w:r w:rsidRPr="00F14D2F">
              <w:rPr>
                <w:rFonts w:ascii="Palatino Linotype" w:hAnsi="Palatino Linotype"/>
                <w:sz w:val="22"/>
                <w:szCs w:val="22"/>
              </w:rPr>
              <w:t xml:space="preserve"> de</w:t>
            </w:r>
            <w:r>
              <w:rPr>
                <w:rFonts w:ascii="Palatino Linotype" w:hAnsi="Palatino Linotype"/>
                <w:sz w:val="22"/>
                <w:szCs w:val="22"/>
              </w:rPr>
              <w:t xml:space="preserve"> </w:t>
            </w:r>
            <w:r>
              <w:rPr>
                <w:rFonts w:ascii="Palatino Linotype" w:hAnsi="Palatino Linotype"/>
                <w:b/>
                <w:sz w:val="22"/>
                <w:szCs w:val="22"/>
              </w:rPr>
              <w:t>22</w:t>
            </w:r>
          </w:p>
        </w:sdtContent>
      </w:sdt>
    </w:sdtContent>
  </w:sdt>
  <w:p w:rsidR="008617E0" w:rsidRDefault="008617E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76" w:rsidRDefault="008C5F76">
    <w:pPr>
      <w:pStyle w:val="Piedepgina"/>
      <w:jc w:val="right"/>
    </w:pPr>
  </w:p>
  <w:p w:rsidR="008C5F76" w:rsidRDefault="008C5F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E1" w:rsidRDefault="00056BE1" w:rsidP="00EA697E">
      <w:pPr>
        <w:spacing w:line="240" w:lineRule="auto"/>
      </w:pPr>
      <w:r>
        <w:separator/>
      </w:r>
    </w:p>
  </w:footnote>
  <w:footnote w:type="continuationSeparator" w:id="1">
    <w:p w:rsidR="00056BE1" w:rsidRDefault="00056BE1" w:rsidP="00EA69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Pr="00EA697E" w:rsidRDefault="008C5F76" w:rsidP="00EA697E">
    <w:pPr>
      <w:pStyle w:val="Encabezado"/>
      <w:spacing w:after="240" w:line="276" w:lineRule="auto"/>
      <w:jc w:val="center"/>
      <w:rPr>
        <w:rFonts w:ascii="Palatino Linotype" w:hAnsi="Palatino Linotype"/>
        <w:b/>
        <w:sz w:val="22"/>
        <w:szCs w:val="22"/>
        <w:lang w:val="es-EC"/>
      </w:rPr>
    </w:pPr>
    <w:r>
      <w:rPr>
        <w:rFonts w:ascii="Palatino Linotype" w:hAnsi="Palatino Linotype"/>
        <w:b/>
        <w:sz w:val="22"/>
        <w:szCs w:val="22"/>
        <w:lang w:val="es-EC"/>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0" w:rsidRDefault="008617E0">
    <w:pPr>
      <w:pStyle w:val="Encabezado"/>
      <w:rPr>
        <w:lang w:val="es-EC"/>
      </w:rPr>
    </w:pPr>
  </w:p>
  <w:p w:rsidR="008617E0" w:rsidRDefault="008617E0">
    <w:pPr>
      <w:pStyle w:val="Encabezado"/>
      <w:rPr>
        <w:lang w:val="es-EC"/>
      </w:rPr>
    </w:pPr>
  </w:p>
  <w:p w:rsidR="008617E0" w:rsidRDefault="008617E0">
    <w:pPr>
      <w:pStyle w:val="Encabezado"/>
      <w:rPr>
        <w:lang w:val="es-EC"/>
      </w:rPr>
    </w:pPr>
  </w:p>
  <w:p w:rsidR="008617E0" w:rsidRDefault="008617E0">
    <w:pPr>
      <w:pStyle w:val="Encabezado"/>
      <w:rPr>
        <w:lang w:val="es-EC"/>
      </w:rPr>
    </w:pPr>
  </w:p>
  <w:p w:rsidR="008617E0" w:rsidRDefault="008617E0">
    <w:pPr>
      <w:pStyle w:val="Encabezado"/>
      <w:rPr>
        <w:lang w:val="es-EC"/>
      </w:rPr>
    </w:pPr>
  </w:p>
  <w:p w:rsidR="008617E0" w:rsidRPr="00EA697E" w:rsidRDefault="008617E0" w:rsidP="00EA697E">
    <w:pPr>
      <w:pStyle w:val="Encabezado"/>
      <w:spacing w:after="240" w:line="276" w:lineRule="auto"/>
      <w:jc w:val="center"/>
      <w:rPr>
        <w:rFonts w:ascii="Palatino Linotype" w:hAnsi="Palatino Linotype"/>
        <w:b/>
        <w:sz w:val="22"/>
        <w:szCs w:val="22"/>
        <w:lang w:val="es-EC"/>
      </w:rPr>
    </w:pPr>
    <w:r>
      <w:rPr>
        <w:rFonts w:ascii="Palatino Linotype" w:hAnsi="Palatino Linotype"/>
        <w:b/>
        <w:sz w:val="22"/>
        <w:szCs w:val="22"/>
        <w:lang w:val="es-EC"/>
      </w:rPr>
      <w:t>ORDENANZA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Default="008C5F76">
    <w:pPr>
      <w:pStyle w:val="Encabezado"/>
      <w:rPr>
        <w:lang w:val="es-EC"/>
      </w:rPr>
    </w:pPr>
  </w:p>
  <w:p w:rsidR="008C5F76" w:rsidRPr="00EA697E" w:rsidRDefault="008C5F76" w:rsidP="00EA697E">
    <w:pPr>
      <w:pStyle w:val="Encabezado"/>
      <w:spacing w:after="240" w:line="276" w:lineRule="auto"/>
      <w:jc w:val="center"/>
      <w:rPr>
        <w:rFonts w:ascii="Palatino Linotype" w:hAnsi="Palatino Linotype"/>
        <w:b/>
        <w:sz w:val="22"/>
        <w:szCs w:val="22"/>
        <w:lang w:val="es-EC"/>
      </w:rPr>
    </w:pPr>
    <w:r>
      <w:rPr>
        <w:rFonts w:ascii="Palatino Linotype" w:hAnsi="Palatino Linotype"/>
        <w:b/>
        <w:sz w:val="22"/>
        <w:szCs w:val="22"/>
        <w:lang w:val="es-EC"/>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C07"/>
    <w:multiLevelType w:val="hybridMultilevel"/>
    <w:tmpl w:val="963CDFFA"/>
    <w:lvl w:ilvl="0" w:tplc="F5F8F064">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1D7187"/>
    <w:multiLevelType w:val="hybridMultilevel"/>
    <w:tmpl w:val="906879B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0C5F5575"/>
    <w:multiLevelType w:val="hybridMultilevel"/>
    <w:tmpl w:val="6E08BF5E"/>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0E8F2FF1"/>
    <w:multiLevelType w:val="hybridMultilevel"/>
    <w:tmpl w:val="A4A49CB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0E982082"/>
    <w:multiLevelType w:val="hybridMultilevel"/>
    <w:tmpl w:val="2F52C402"/>
    <w:lvl w:ilvl="0" w:tplc="29285990">
      <w:start w:val="1"/>
      <w:numFmt w:val="lowerLetter"/>
      <w:lvlText w:val="%1)"/>
      <w:lvlJc w:val="left"/>
      <w:pPr>
        <w:ind w:left="1440" w:hanging="360"/>
      </w:pPr>
      <w:rPr>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0EFF7539"/>
    <w:multiLevelType w:val="hybridMultilevel"/>
    <w:tmpl w:val="D8D6424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25A013BA"/>
    <w:multiLevelType w:val="hybridMultilevel"/>
    <w:tmpl w:val="D3CE0F36"/>
    <w:lvl w:ilvl="0" w:tplc="F9A01DF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6246468"/>
    <w:multiLevelType w:val="hybridMultilevel"/>
    <w:tmpl w:val="87FAEB5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nsid w:val="2C6E45CB"/>
    <w:multiLevelType w:val="hybridMultilevel"/>
    <w:tmpl w:val="67F804BA"/>
    <w:lvl w:ilvl="0" w:tplc="AF4C6914">
      <w:start w:val="1"/>
      <w:numFmt w:val="lowerLetter"/>
      <w:lvlText w:val="%1)"/>
      <w:lvlJc w:val="left"/>
      <w:pPr>
        <w:ind w:left="720" w:hanging="360"/>
      </w:pPr>
      <w:rPr>
        <w:rFonts w:ascii="Palatino Linotype" w:hAnsi="Palatino Linotype" w:hint="default"/>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EF8165B"/>
    <w:multiLevelType w:val="hybridMultilevel"/>
    <w:tmpl w:val="4A08ACCA"/>
    <w:lvl w:ilvl="0" w:tplc="35EC2D2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13F73B0"/>
    <w:multiLevelType w:val="hybridMultilevel"/>
    <w:tmpl w:val="F2A067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3538AF"/>
    <w:multiLevelType w:val="hybridMultilevel"/>
    <w:tmpl w:val="D4EC1F92"/>
    <w:lvl w:ilvl="0" w:tplc="AE66F096">
      <w:start w:val="1"/>
      <w:numFmt w:val="lowerLetter"/>
      <w:lvlText w:val="%1)"/>
      <w:lvlJc w:val="left"/>
      <w:pPr>
        <w:ind w:left="720" w:hanging="360"/>
      </w:pPr>
      <w:rPr>
        <w:rFonts w:hint="default"/>
        <w:b/>
        <w:i w:val="0"/>
        <w:lang w:val="es-EC"/>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0DE479C"/>
    <w:multiLevelType w:val="hybridMultilevel"/>
    <w:tmpl w:val="E494A0F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nsid w:val="4413576B"/>
    <w:multiLevelType w:val="hybridMultilevel"/>
    <w:tmpl w:val="F29AC71E"/>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4">
    <w:nsid w:val="48BC05F4"/>
    <w:multiLevelType w:val="hybridMultilevel"/>
    <w:tmpl w:val="1E38A2E8"/>
    <w:lvl w:ilvl="0" w:tplc="B85C2DCE">
      <w:start w:val="7"/>
      <w:numFmt w:val="bullet"/>
      <w:lvlText w:val="-"/>
      <w:lvlJc w:val="left"/>
      <w:pPr>
        <w:ind w:left="720" w:hanging="360"/>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B85C2DCE">
      <w:start w:val="7"/>
      <w:numFmt w:val="bullet"/>
      <w:lvlText w:val="-"/>
      <w:lvlJc w:val="left"/>
      <w:pPr>
        <w:ind w:left="2160" w:hanging="360"/>
      </w:pPr>
      <w:rPr>
        <w:rFonts w:ascii="Calibri" w:eastAsia="Times New Roman" w:hAnsi="Calibri" w:cs="Times New Roman"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9BF6EA6"/>
    <w:multiLevelType w:val="hybridMultilevel"/>
    <w:tmpl w:val="583C8008"/>
    <w:lvl w:ilvl="0" w:tplc="DF823A5C">
      <w:numFmt w:val="bullet"/>
      <w:lvlText w:val="-"/>
      <w:lvlJc w:val="left"/>
      <w:pPr>
        <w:ind w:left="720" w:hanging="360"/>
      </w:pPr>
      <w:rPr>
        <w:rFonts w:ascii="Times New Roman" w:eastAsia="Arial Unicode MS"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BFF2B82"/>
    <w:multiLevelType w:val="hybridMultilevel"/>
    <w:tmpl w:val="E7148EC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nsid w:val="4D81211B"/>
    <w:multiLevelType w:val="hybridMultilevel"/>
    <w:tmpl w:val="292AB6E8"/>
    <w:lvl w:ilvl="0" w:tplc="797CE9B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30F2FB8"/>
    <w:multiLevelType w:val="hybridMultilevel"/>
    <w:tmpl w:val="56D8FD3E"/>
    <w:lvl w:ilvl="0" w:tplc="F886B06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E8D1832"/>
    <w:multiLevelType w:val="hybridMultilevel"/>
    <w:tmpl w:val="888867CA"/>
    <w:lvl w:ilvl="0" w:tplc="16ECD9C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EF36DA9"/>
    <w:multiLevelType w:val="hybridMultilevel"/>
    <w:tmpl w:val="80522AD4"/>
    <w:lvl w:ilvl="0" w:tplc="300A0001">
      <w:start w:val="1"/>
      <w:numFmt w:val="bullet"/>
      <w:lvlText w:val=""/>
      <w:lvlJc w:val="left"/>
      <w:pPr>
        <w:ind w:left="783" w:hanging="360"/>
      </w:pPr>
      <w:rPr>
        <w:rFonts w:ascii="Symbol" w:hAnsi="Symbol" w:hint="default"/>
      </w:rPr>
    </w:lvl>
    <w:lvl w:ilvl="1" w:tplc="300A0003" w:tentative="1">
      <w:start w:val="1"/>
      <w:numFmt w:val="bullet"/>
      <w:lvlText w:val="o"/>
      <w:lvlJc w:val="left"/>
      <w:pPr>
        <w:ind w:left="1503" w:hanging="360"/>
      </w:pPr>
      <w:rPr>
        <w:rFonts w:ascii="Courier New" w:hAnsi="Courier New" w:cs="Courier New" w:hint="default"/>
      </w:rPr>
    </w:lvl>
    <w:lvl w:ilvl="2" w:tplc="300A0005" w:tentative="1">
      <w:start w:val="1"/>
      <w:numFmt w:val="bullet"/>
      <w:lvlText w:val=""/>
      <w:lvlJc w:val="left"/>
      <w:pPr>
        <w:ind w:left="2223" w:hanging="360"/>
      </w:pPr>
      <w:rPr>
        <w:rFonts w:ascii="Wingdings" w:hAnsi="Wingdings" w:hint="default"/>
      </w:rPr>
    </w:lvl>
    <w:lvl w:ilvl="3" w:tplc="300A0001" w:tentative="1">
      <w:start w:val="1"/>
      <w:numFmt w:val="bullet"/>
      <w:lvlText w:val=""/>
      <w:lvlJc w:val="left"/>
      <w:pPr>
        <w:ind w:left="2943" w:hanging="360"/>
      </w:pPr>
      <w:rPr>
        <w:rFonts w:ascii="Symbol" w:hAnsi="Symbol" w:hint="default"/>
      </w:rPr>
    </w:lvl>
    <w:lvl w:ilvl="4" w:tplc="300A0003" w:tentative="1">
      <w:start w:val="1"/>
      <w:numFmt w:val="bullet"/>
      <w:lvlText w:val="o"/>
      <w:lvlJc w:val="left"/>
      <w:pPr>
        <w:ind w:left="3663" w:hanging="360"/>
      </w:pPr>
      <w:rPr>
        <w:rFonts w:ascii="Courier New" w:hAnsi="Courier New" w:cs="Courier New" w:hint="default"/>
      </w:rPr>
    </w:lvl>
    <w:lvl w:ilvl="5" w:tplc="300A0005" w:tentative="1">
      <w:start w:val="1"/>
      <w:numFmt w:val="bullet"/>
      <w:lvlText w:val=""/>
      <w:lvlJc w:val="left"/>
      <w:pPr>
        <w:ind w:left="4383" w:hanging="360"/>
      </w:pPr>
      <w:rPr>
        <w:rFonts w:ascii="Wingdings" w:hAnsi="Wingdings" w:hint="default"/>
      </w:rPr>
    </w:lvl>
    <w:lvl w:ilvl="6" w:tplc="300A0001" w:tentative="1">
      <w:start w:val="1"/>
      <w:numFmt w:val="bullet"/>
      <w:lvlText w:val=""/>
      <w:lvlJc w:val="left"/>
      <w:pPr>
        <w:ind w:left="5103" w:hanging="360"/>
      </w:pPr>
      <w:rPr>
        <w:rFonts w:ascii="Symbol" w:hAnsi="Symbol" w:hint="default"/>
      </w:rPr>
    </w:lvl>
    <w:lvl w:ilvl="7" w:tplc="300A0003" w:tentative="1">
      <w:start w:val="1"/>
      <w:numFmt w:val="bullet"/>
      <w:lvlText w:val="o"/>
      <w:lvlJc w:val="left"/>
      <w:pPr>
        <w:ind w:left="5823" w:hanging="360"/>
      </w:pPr>
      <w:rPr>
        <w:rFonts w:ascii="Courier New" w:hAnsi="Courier New" w:cs="Courier New" w:hint="default"/>
      </w:rPr>
    </w:lvl>
    <w:lvl w:ilvl="8" w:tplc="300A0005" w:tentative="1">
      <w:start w:val="1"/>
      <w:numFmt w:val="bullet"/>
      <w:lvlText w:val=""/>
      <w:lvlJc w:val="left"/>
      <w:pPr>
        <w:ind w:left="6543" w:hanging="360"/>
      </w:pPr>
      <w:rPr>
        <w:rFonts w:ascii="Wingdings" w:hAnsi="Wingdings" w:hint="default"/>
      </w:rPr>
    </w:lvl>
  </w:abstractNum>
  <w:abstractNum w:abstractNumId="21">
    <w:nsid w:val="604E5B2F"/>
    <w:multiLevelType w:val="hybridMultilevel"/>
    <w:tmpl w:val="457E4FB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26169DE"/>
    <w:multiLevelType w:val="hybridMultilevel"/>
    <w:tmpl w:val="36B646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BA57936"/>
    <w:multiLevelType w:val="hybridMultilevel"/>
    <w:tmpl w:val="DE6C57DA"/>
    <w:lvl w:ilvl="0" w:tplc="C0946B22">
      <w:start w:val="1"/>
      <w:numFmt w:val="lowerLetter"/>
      <w:lvlText w:val="%1)"/>
      <w:lvlJc w:val="left"/>
      <w:pPr>
        <w:ind w:left="908" w:hanging="360"/>
      </w:pPr>
      <w:rPr>
        <w:b/>
      </w:rPr>
    </w:lvl>
    <w:lvl w:ilvl="1" w:tplc="300A0019">
      <w:start w:val="1"/>
      <w:numFmt w:val="lowerLetter"/>
      <w:lvlText w:val="%2."/>
      <w:lvlJc w:val="left"/>
      <w:pPr>
        <w:ind w:left="1628" w:hanging="360"/>
      </w:pPr>
    </w:lvl>
    <w:lvl w:ilvl="2" w:tplc="300A001B" w:tentative="1">
      <w:start w:val="1"/>
      <w:numFmt w:val="lowerRoman"/>
      <w:lvlText w:val="%3."/>
      <w:lvlJc w:val="right"/>
      <w:pPr>
        <w:ind w:left="2348" w:hanging="180"/>
      </w:pPr>
    </w:lvl>
    <w:lvl w:ilvl="3" w:tplc="300A000F" w:tentative="1">
      <w:start w:val="1"/>
      <w:numFmt w:val="decimal"/>
      <w:lvlText w:val="%4."/>
      <w:lvlJc w:val="left"/>
      <w:pPr>
        <w:ind w:left="3068" w:hanging="360"/>
      </w:pPr>
    </w:lvl>
    <w:lvl w:ilvl="4" w:tplc="300A0019" w:tentative="1">
      <w:start w:val="1"/>
      <w:numFmt w:val="lowerLetter"/>
      <w:lvlText w:val="%5."/>
      <w:lvlJc w:val="left"/>
      <w:pPr>
        <w:ind w:left="3788" w:hanging="360"/>
      </w:pPr>
    </w:lvl>
    <w:lvl w:ilvl="5" w:tplc="300A001B" w:tentative="1">
      <w:start w:val="1"/>
      <w:numFmt w:val="lowerRoman"/>
      <w:lvlText w:val="%6."/>
      <w:lvlJc w:val="right"/>
      <w:pPr>
        <w:ind w:left="4508" w:hanging="180"/>
      </w:pPr>
    </w:lvl>
    <w:lvl w:ilvl="6" w:tplc="300A000F" w:tentative="1">
      <w:start w:val="1"/>
      <w:numFmt w:val="decimal"/>
      <w:lvlText w:val="%7."/>
      <w:lvlJc w:val="left"/>
      <w:pPr>
        <w:ind w:left="5228" w:hanging="360"/>
      </w:pPr>
    </w:lvl>
    <w:lvl w:ilvl="7" w:tplc="300A0019" w:tentative="1">
      <w:start w:val="1"/>
      <w:numFmt w:val="lowerLetter"/>
      <w:lvlText w:val="%8."/>
      <w:lvlJc w:val="left"/>
      <w:pPr>
        <w:ind w:left="5948" w:hanging="360"/>
      </w:pPr>
    </w:lvl>
    <w:lvl w:ilvl="8" w:tplc="300A001B" w:tentative="1">
      <w:start w:val="1"/>
      <w:numFmt w:val="lowerRoman"/>
      <w:lvlText w:val="%9."/>
      <w:lvlJc w:val="right"/>
      <w:pPr>
        <w:ind w:left="6668" w:hanging="180"/>
      </w:pPr>
    </w:lvl>
  </w:abstractNum>
  <w:abstractNum w:abstractNumId="24">
    <w:nsid w:val="725A4404"/>
    <w:multiLevelType w:val="hybridMultilevel"/>
    <w:tmpl w:val="88C80420"/>
    <w:lvl w:ilvl="0" w:tplc="B1BCED1C">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9F208C"/>
    <w:multiLevelType w:val="hybridMultilevel"/>
    <w:tmpl w:val="A1720896"/>
    <w:lvl w:ilvl="0" w:tplc="E7AEACD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1"/>
  </w:num>
  <w:num w:numId="4">
    <w:abstractNumId w:val="6"/>
  </w:num>
  <w:num w:numId="5">
    <w:abstractNumId w:val="18"/>
  </w:num>
  <w:num w:numId="6">
    <w:abstractNumId w:val="0"/>
  </w:num>
  <w:num w:numId="7">
    <w:abstractNumId w:val="2"/>
  </w:num>
  <w:num w:numId="8">
    <w:abstractNumId w:val="13"/>
  </w:num>
  <w:num w:numId="9">
    <w:abstractNumId w:val="16"/>
  </w:num>
  <w:num w:numId="10">
    <w:abstractNumId w:val="21"/>
  </w:num>
  <w:num w:numId="11">
    <w:abstractNumId w:val="5"/>
  </w:num>
  <w:num w:numId="12">
    <w:abstractNumId w:val="17"/>
  </w:num>
  <w:num w:numId="13">
    <w:abstractNumId w:val="9"/>
  </w:num>
  <w:num w:numId="14">
    <w:abstractNumId w:val="19"/>
  </w:num>
  <w:num w:numId="15">
    <w:abstractNumId w:val="1"/>
  </w:num>
  <w:num w:numId="16">
    <w:abstractNumId w:val="24"/>
  </w:num>
  <w:num w:numId="17">
    <w:abstractNumId w:val="25"/>
  </w:num>
  <w:num w:numId="18">
    <w:abstractNumId w:val="4"/>
  </w:num>
  <w:num w:numId="19">
    <w:abstractNumId w:val="15"/>
  </w:num>
  <w:num w:numId="20">
    <w:abstractNumId w:val="7"/>
  </w:num>
  <w:num w:numId="21">
    <w:abstractNumId w:val="10"/>
  </w:num>
  <w:num w:numId="22">
    <w:abstractNumId w:val="8"/>
  </w:num>
  <w:num w:numId="23">
    <w:abstractNumId w:val="3"/>
  </w:num>
  <w:num w:numId="24">
    <w:abstractNumId w:val="12"/>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1379FB"/>
    <w:rsid w:val="00056BE1"/>
    <w:rsid w:val="000C082C"/>
    <w:rsid w:val="00133690"/>
    <w:rsid w:val="001379FB"/>
    <w:rsid w:val="00155CEE"/>
    <w:rsid w:val="00174A5C"/>
    <w:rsid w:val="00261156"/>
    <w:rsid w:val="0026437E"/>
    <w:rsid w:val="00276B29"/>
    <w:rsid w:val="002770B3"/>
    <w:rsid w:val="00283A09"/>
    <w:rsid w:val="002C00D4"/>
    <w:rsid w:val="002D1002"/>
    <w:rsid w:val="003338F3"/>
    <w:rsid w:val="00352E2C"/>
    <w:rsid w:val="003C37DE"/>
    <w:rsid w:val="003E65F0"/>
    <w:rsid w:val="0040544E"/>
    <w:rsid w:val="00427074"/>
    <w:rsid w:val="00485EFC"/>
    <w:rsid w:val="004D0AAE"/>
    <w:rsid w:val="004E3DD3"/>
    <w:rsid w:val="00613231"/>
    <w:rsid w:val="00622640"/>
    <w:rsid w:val="00660ACC"/>
    <w:rsid w:val="006E5C83"/>
    <w:rsid w:val="006F662E"/>
    <w:rsid w:val="0072526C"/>
    <w:rsid w:val="00766860"/>
    <w:rsid w:val="007E2181"/>
    <w:rsid w:val="00826F6B"/>
    <w:rsid w:val="00857432"/>
    <w:rsid w:val="008617E0"/>
    <w:rsid w:val="008A5ABE"/>
    <w:rsid w:val="008B0FB8"/>
    <w:rsid w:val="008C062E"/>
    <w:rsid w:val="008C313E"/>
    <w:rsid w:val="008C5F76"/>
    <w:rsid w:val="008F505C"/>
    <w:rsid w:val="009958C6"/>
    <w:rsid w:val="009A5F5D"/>
    <w:rsid w:val="009F47FA"/>
    <w:rsid w:val="00A60003"/>
    <w:rsid w:val="00AB0987"/>
    <w:rsid w:val="00AF4322"/>
    <w:rsid w:val="00B97BC1"/>
    <w:rsid w:val="00BA65BC"/>
    <w:rsid w:val="00BE49A6"/>
    <w:rsid w:val="00BF078B"/>
    <w:rsid w:val="00C90C06"/>
    <w:rsid w:val="00C96F05"/>
    <w:rsid w:val="00CF3CF2"/>
    <w:rsid w:val="00D10315"/>
    <w:rsid w:val="00D87FCF"/>
    <w:rsid w:val="00D920E1"/>
    <w:rsid w:val="00E13874"/>
    <w:rsid w:val="00E30719"/>
    <w:rsid w:val="00EA697E"/>
    <w:rsid w:val="00EC5D57"/>
    <w:rsid w:val="00EF1E29"/>
    <w:rsid w:val="00EF587B"/>
    <w:rsid w:val="00F06FB9"/>
    <w:rsid w:val="00F14D2F"/>
    <w:rsid w:val="00F90E28"/>
    <w:rsid w:val="00FB6CD6"/>
    <w:rsid w:val="00FC6C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FB"/>
    <w:pPr>
      <w:suppressAutoHyphens/>
      <w:spacing w:after="0" w:line="100" w:lineRule="atLeast"/>
    </w:pPr>
    <w:rPr>
      <w:rFonts w:ascii="Times New Roman" w:eastAsia="Arial Unicode MS" w:hAnsi="Times New Roman" w:cs="Times New Roman"/>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1379FB"/>
    <w:pPr>
      <w:ind w:left="708"/>
    </w:pPr>
  </w:style>
  <w:style w:type="character" w:customStyle="1" w:styleId="PrrafodelistaCar">
    <w:name w:val="Párrafo de lista Car"/>
    <w:aliases w:val="TIT 2 IND Car"/>
    <w:link w:val="Prrafodelista"/>
    <w:uiPriority w:val="34"/>
    <w:rsid w:val="001379FB"/>
    <w:rPr>
      <w:rFonts w:ascii="Times New Roman" w:eastAsia="Arial Unicode MS" w:hAnsi="Times New Roman" w:cs="Times New Roman"/>
      <w:kern w:val="1"/>
      <w:sz w:val="24"/>
      <w:szCs w:val="24"/>
      <w:lang w:val="es-ES_tradnl" w:eastAsia="ar-SA"/>
    </w:rPr>
  </w:style>
  <w:style w:type="paragraph" w:styleId="Encabezado">
    <w:name w:val="header"/>
    <w:basedOn w:val="Normal"/>
    <w:link w:val="EncabezadoCar"/>
    <w:uiPriority w:val="99"/>
    <w:unhideWhenUsed/>
    <w:rsid w:val="00EA69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697E"/>
    <w:rPr>
      <w:rFonts w:ascii="Times New Roman" w:eastAsia="Arial Unicode MS" w:hAnsi="Times New Roman" w:cs="Times New Roman"/>
      <w:kern w:val="1"/>
      <w:sz w:val="24"/>
      <w:szCs w:val="24"/>
      <w:lang w:val="es-ES_tradnl" w:eastAsia="ar-SA"/>
    </w:rPr>
  </w:style>
  <w:style w:type="paragraph" w:styleId="Piedepgina">
    <w:name w:val="footer"/>
    <w:basedOn w:val="Normal"/>
    <w:link w:val="PiedepginaCar"/>
    <w:uiPriority w:val="99"/>
    <w:unhideWhenUsed/>
    <w:rsid w:val="00EA69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697E"/>
    <w:rPr>
      <w:rFonts w:ascii="Times New Roman" w:eastAsia="Arial Unicode MS" w:hAnsi="Times New Roman" w:cs="Times New Roman"/>
      <w:kern w:val="1"/>
      <w:sz w:val="24"/>
      <w:szCs w:val="24"/>
      <w:lang w:val="es-ES_tradnl" w:eastAsia="ar-SA"/>
    </w:rPr>
  </w:style>
  <w:style w:type="paragraph" w:styleId="Textodebloque">
    <w:name w:val="Block Text"/>
    <w:basedOn w:val="Normal"/>
    <w:uiPriority w:val="99"/>
    <w:semiHidden/>
    <w:rsid w:val="00EA697E"/>
    <w:pPr>
      <w:suppressAutoHyphens w:val="0"/>
      <w:spacing w:line="240" w:lineRule="atLeast"/>
      <w:ind w:left="567" w:right="49" w:hanging="567"/>
      <w:jc w:val="both"/>
    </w:pPr>
    <w:rPr>
      <w:rFonts w:eastAsia="Times New Roman"/>
      <w:kern w:val="0"/>
      <w:sz w:val="22"/>
      <w:szCs w:val="22"/>
      <w:lang w:val="es-ES" w:eastAsia="es-ES"/>
    </w:rPr>
  </w:style>
  <w:style w:type="paragraph" w:styleId="Textosinformato">
    <w:name w:val="Plain Text"/>
    <w:basedOn w:val="Normal"/>
    <w:link w:val="TextosinformatoCar"/>
    <w:rsid w:val="00F14D2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F14D2F"/>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14D2F"/>
    <w:pPr>
      <w:suppressAutoHyphens w:val="0"/>
      <w:spacing w:line="240" w:lineRule="auto"/>
    </w:pPr>
    <w:rPr>
      <w:rFonts w:eastAsia="Times New Roman"/>
      <w:kern w:val="0"/>
      <w:szCs w:val="20"/>
      <w:lang w:eastAsia="es-ES"/>
    </w:rPr>
  </w:style>
  <w:style w:type="character" w:customStyle="1" w:styleId="WW8Num1z0">
    <w:name w:val="WW8Num1z0"/>
    <w:rsid w:val="008A5ABE"/>
    <w:rPr>
      <w:rFonts w:ascii="Symbol" w:hAnsi="Symbol" w:cs="StarSymbol"/>
      <w:sz w:val="18"/>
      <w:szCs w:val="18"/>
    </w:rPr>
  </w:style>
  <w:style w:type="character" w:customStyle="1" w:styleId="WW8Num1z2">
    <w:name w:val="WW8Num1z2"/>
    <w:rsid w:val="008A5ABE"/>
    <w:rPr>
      <w:rFonts w:ascii="Wingdings" w:hAnsi="Wingdings"/>
    </w:rPr>
  </w:style>
  <w:style w:type="character" w:customStyle="1" w:styleId="WW8Num1z3">
    <w:name w:val="WW8Num1z3"/>
    <w:rsid w:val="008A5ABE"/>
    <w:rPr>
      <w:rFonts w:ascii="Symbol" w:hAnsi="Symbol"/>
    </w:rPr>
  </w:style>
  <w:style w:type="character" w:customStyle="1" w:styleId="WW8Num4z0">
    <w:name w:val="WW8Num4z0"/>
    <w:rsid w:val="008A5ABE"/>
    <w:rPr>
      <w:rFonts w:ascii="Symbol" w:hAnsi="Symbol" w:cs="OpenSymbol"/>
    </w:rPr>
  </w:style>
  <w:style w:type="character" w:customStyle="1" w:styleId="WW8Num6z0">
    <w:name w:val="WW8Num6z0"/>
    <w:rsid w:val="008A5ABE"/>
    <w:rPr>
      <w:rFonts w:ascii="Symbol" w:hAnsi="Symbol" w:cs="StarSymbol"/>
      <w:sz w:val="18"/>
      <w:szCs w:val="18"/>
    </w:rPr>
  </w:style>
  <w:style w:type="character" w:customStyle="1" w:styleId="WW8Num6z1">
    <w:name w:val="WW8Num6z1"/>
    <w:rsid w:val="008A5ABE"/>
    <w:rPr>
      <w:rFonts w:ascii="OpenSymbol" w:hAnsi="OpenSymbol" w:cs="OpenSymbol"/>
    </w:rPr>
  </w:style>
  <w:style w:type="character" w:customStyle="1" w:styleId="WW8Num6z2">
    <w:name w:val="WW8Num6z2"/>
    <w:rsid w:val="008A5ABE"/>
    <w:rPr>
      <w:rFonts w:ascii="Wingdings" w:hAnsi="Wingdings"/>
    </w:rPr>
  </w:style>
  <w:style w:type="character" w:customStyle="1" w:styleId="WW8Num7z0">
    <w:name w:val="WW8Num7z0"/>
    <w:rsid w:val="008A5ABE"/>
    <w:rPr>
      <w:rFonts w:ascii="Symbol" w:hAnsi="Symbol" w:cs="OpenSymbol"/>
    </w:rPr>
  </w:style>
  <w:style w:type="character" w:customStyle="1" w:styleId="Absatz-Standardschriftart">
    <w:name w:val="Absatz-Standardschriftart"/>
    <w:rsid w:val="008A5ABE"/>
  </w:style>
  <w:style w:type="character" w:customStyle="1" w:styleId="WW-Absatz-Standardschriftart">
    <w:name w:val="WW-Absatz-Standardschriftart"/>
    <w:rsid w:val="008A5ABE"/>
  </w:style>
  <w:style w:type="character" w:customStyle="1" w:styleId="WW-Absatz-Standardschriftart1">
    <w:name w:val="WW-Absatz-Standardschriftart1"/>
    <w:rsid w:val="008A5ABE"/>
  </w:style>
  <w:style w:type="character" w:customStyle="1" w:styleId="WW-Absatz-Standardschriftart11">
    <w:name w:val="WW-Absatz-Standardschriftart11"/>
    <w:rsid w:val="008A5ABE"/>
  </w:style>
  <w:style w:type="character" w:customStyle="1" w:styleId="WW-Absatz-Standardschriftart111">
    <w:name w:val="WW-Absatz-Standardschriftart111"/>
    <w:rsid w:val="008A5ABE"/>
  </w:style>
  <w:style w:type="character" w:customStyle="1" w:styleId="WW-Absatz-Standardschriftart1111">
    <w:name w:val="WW-Absatz-Standardschriftart1111"/>
    <w:rsid w:val="008A5ABE"/>
  </w:style>
  <w:style w:type="character" w:customStyle="1" w:styleId="WW-Absatz-Standardschriftart11111">
    <w:name w:val="WW-Absatz-Standardschriftart11111"/>
    <w:rsid w:val="008A5ABE"/>
  </w:style>
  <w:style w:type="character" w:customStyle="1" w:styleId="WW-Absatz-Standardschriftart111111">
    <w:name w:val="WW-Absatz-Standardschriftart111111"/>
    <w:rsid w:val="008A5ABE"/>
  </w:style>
  <w:style w:type="character" w:customStyle="1" w:styleId="WW8Num1z1">
    <w:name w:val="WW8Num1z1"/>
    <w:rsid w:val="008A5ABE"/>
    <w:rPr>
      <w:rFonts w:ascii="OpenSymbol" w:hAnsi="OpenSymbol" w:cs="OpenSymbol"/>
    </w:rPr>
  </w:style>
  <w:style w:type="character" w:customStyle="1" w:styleId="WW8Num5z0">
    <w:name w:val="WW8Num5z0"/>
    <w:rsid w:val="008A5ABE"/>
    <w:rPr>
      <w:rFonts w:ascii="Courier New" w:hAnsi="Courier New" w:cs="StarSymbol"/>
      <w:sz w:val="18"/>
      <w:szCs w:val="18"/>
    </w:rPr>
  </w:style>
  <w:style w:type="character" w:customStyle="1" w:styleId="WW8Num5z2">
    <w:name w:val="WW8Num5z2"/>
    <w:rsid w:val="008A5ABE"/>
    <w:rPr>
      <w:rFonts w:ascii="Wingdings" w:hAnsi="Wingdings"/>
    </w:rPr>
  </w:style>
  <w:style w:type="character" w:customStyle="1" w:styleId="WW8Num5z3">
    <w:name w:val="WW8Num5z3"/>
    <w:rsid w:val="008A5ABE"/>
    <w:rPr>
      <w:rFonts w:ascii="Symbol" w:hAnsi="Symbol"/>
    </w:rPr>
  </w:style>
  <w:style w:type="character" w:customStyle="1" w:styleId="WW8Num8z0">
    <w:name w:val="WW8Num8z0"/>
    <w:rsid w:val="008A5ABE"/>
    <w:rPr>
      <w:rFonts w:ascii="Symbol" w:hAnsi="Symbol" w:cs="OpenSymbol"/>
    </w:rPr>
  </w:style>
  <w:style w:type="character" w:customStyle="1" w:styleId="WW8Num10z0">
    <w:name w:val="WW8Num10z0"/>
    <w:rsid w:val="008A5ABE"/>
    <w:rPr>
      <w:rFonts w:ascii="Wingdings" w:hAnsi="Wingdings" w:cs="StarSymbol"/>
      <w:sz w:val="18"/>
      <w:szCs w:val="18"/>
    </w:rPr>
  </w:style>
  <w:style w:type="character" w:customStyle="1" w:styleId="WW8Num10z1">
    <w:name w:val="WW8Num10z1"/>
    <w:rsid w:val="008A5ABE"/>
    <w:rPr>
      <w:rFonts w:ascii="OpenSymbol" w:hAnsi="OpenSymbol" w:cs="OpenSymbol"/>
    </w:rPr>
  </w:style>
  <w:style w:type="character" w:customStyle="1" w:styleId="WW8Num12z0">
    <w:name w:val="WW8Num12z0"/>
    <w:rsid w:val="008A5ABE"/>
    <w:rPr>
      <w:rFonts w:ascii="Symbol" w:hAnsi="Symbol" w:cs="StarSymbol"/>
      <w:sz w:val="18"/>
      <w:szCs w:val="18"/>
    </w:rPr>
  </w:style>
  <w:style w:type="character" w:customStyle="1" w:styleId="WW8Num12z1">
    <w:name w:val="WW8Num12z1"/>
    <w:rsid w:val="008A5ABE"/>
    <w:rPr>
      <w:rFonts w:ascii="OpenSymbol" w:hAnsi="OpenSymbol" w:cs="OpenSymbol"/>
    </w:rPr>
  </w:style>
  <w:style w:type="character" w:customStyle="1" w:styleId="WW8Num15z0">
    <w:name w:val="WW8Num15z0"/>
    <w:rsid w:val="008A5ABE"/>
    <w:rPr>
      <w:rFonts w:ascii="Courier New" w:hAnsi="Courier New" w:cs="Courier New"/>
    </w:rPr>
  </w:style>
  <w:style w:type="character" w:customStyle="1" w:styleId="WW8Num15z1">
    <w:name w:val="WW8Num15z1"/>
    <w:rsid w:val="008A5ABE"/>
    <w:rPr>
      <w:rFonts w:ascii="Courier New" w:hAnsi="Courier New" w:cs="Courier New"/>
    </w:rPr>
  </w:style>
  <w:style w:type="character" w:customStyle="1" w:styleId="WW8Num15z2">
    <w:name w:val="WW8Num15z2"/>
    <w:rsid w:val="008A5ABE"/>
    <w:rPr>
      <w:rFonts w:ascii="Wingdings" w:hAnsi="Wingdings"/>
    </w:rPr>
  </w:style>
  <w:style w:type="character" w:customStyle="1" w:styleId="WW8Num16z0">
    <w:name w:val="WW8Num16z0"/>
    <w:rsid w:val="008A5ABE"/>
    <w:rPr>
      <w:rFonts w:ascii="Symbol" w:hAnsi="Symbol"/>
    </w:rPr>
  </w:style>
  <w:style w:type="character" w:customStyle="1" w:styleId="WW8Num18z0">
    <w:name w:val="WW8Num18z0"/>
    <w:rsid w:val="008A5ABE"/>
    <w:rPr>
      <w:rFonts w:ascii="Symbol" w:hAnsi="Symbol"/>
    </w:rPr>
  </w:style>
  <w:style w:type="character" w:customStyle="1" w:styleId="WW8Num18z1">
    <w:name w:val="WW8Num18z1"/>
    <w:rsid w:val="008A5ABE"/>
    <w:rPr>
      <w:rFonts w:ascii="Courier New" w:hAnsi="Courier New" w:cs="Courier New"/>
    </w:rPr>
  </w:style>
  <w:style w:type="character" w:customStyle="1" w:styleId="WW8Num18z2">
    <w:name w:val="WW8Num18z2"/>
    <w:rsid w:val="008A5ABE"/>
    <w:rPr>
      <w:rFonts w:ascii="Wingdings" w:hAnsi="Wingdings"/>
    </w:rPr>
  </w:style>
  <w:style w:type="character" w:customStyle="1" w:styleId="WW8Num19z0">
    <w:name w:val="WW8Num19z0"/>
    <w:rsid w:val="008A5ABE"/>
    <w:rPr>
      <w:rFonts w:ascii="Symbol" w:hAnsi="Symbol"/>
    </w:rPr>
  </w:style>
  <w:style w:type="character" w:customStyle="1" w:styleId="WW8Num19z1">
    <w:name w:val="WW8Num19z1"/>
    <w:rsid w:val="008A5ABE"/>
    <w:rPr>
      <w:rFonts w:ascii="Courier New" w:hAnsi="Courier New" w:cs="Courier New"/>
    </w:rPr>
  </w:style>
  <w:style w:type="character" w:customStyle="1" w:styleId="WW8Num19z2">
    <w:name w:val="WW8Num19z2"/>
    <w:rsid w:val="008A5ABE"/>
    <w:rPr>
      <w:rFonts w:ascii="Wingdings" w:hAnsi="Wingdings"/>
    </w:rPr>
  </w:style>
  <w:style w:type="character" w:customStyle="1" w:styleId="WW8Num20z0">
    <w:name w:val="WW8Num20z0"/>
    <w:rsid w:val="008A5ABE"/>
    <w:rPr>
      <w:rFonts w:ascii="Symbol" w:hAnsi="Symbol"/>
    </w:rPr>
  </w:style>
  <w:style w:type="character" w:customStyle="1" w:styleId="WW8Num20z1">
    <w:name w:val="WW8Num20z1"/>
    <w:rsid w:val="008A5ABE"/>
    <w:rPr>
      <w:rFonts w:ascii="Courier New" w:hAnsi="Courier New" w:cs="Courier New"/>
    </w:rPr>
  </w:style>
  <w:style w:type="character" w:customStyle="1" w:styleId="WW8Num20z2">
    <w:name w:val="WW8Num20z2"/>
    <w:rsid w:val="008A5ABE"/>
    <w:rPr>
      <w:rFonts w:ascii="Wingdings" w:hAnsi="Wingdings"/>
    </w:rPr>
  </w:style>
  <w:style w:type="character" w:customStyle="1" w:styleId="WW8Num20z3">
    <w:name w:val="WW8Num20z3"/>
    <w:rsid w:val="008A5ABE"/>
    <w:rPr>
      <w:rFonts w:ascii="Symbol" w:hAnsi="Symbol"/>
    </w:rPr>
  </w:style>
  <w:style w:type="character" w:customStyle="1" w:styleId="Fuentedeprrafopredeter3">
    <w:name w:val="Fuente de párrafo predeter.3"/>
    <w:rsid w:val="008A5ABE"/>
  </w:style>
  <w:style w:type="character" w:customStyle="1" w:styleId="WW-Absatz-Standardschriftart1111111">
    <w:name w:val="WW-Absatz-Standardschriftart1111111"/>
    <w:rsid w:val="008A5ABE"/>
  </w:style>
  <w:style w:type="character" w:customStyle="1" w:styleId="WW-Absatz-Standardschriftart11111111">
    <w:name w:val="WW-Absatz-Standardschriftart11111111"/>
    <w:rsid w:val="008A5ABE"/>
  </w:style>
  <w:style w:type="character" w:customStyle="1" w:styleId="WW-Absatz-Standardschriftart111111111">
    <w:name w:val="WW-Absatz-Standardschriftart111111111"/>
    <w:rsid w:val="008A5ABE"/>
  </w:style>
  <w:style w:type="character" w:customStyle="1" w:styleId="WW8Num13z0">
    <w:name w:val="WW8Num13z0"/>
    <w:rsid w:val="008A5ABE"/>
    <w:rPr>
      <w:rFonts w:ascii="Symbol" w:hAnsi="Symbol"/>
    </w:rPr>
  </w:style>
  <w:style w:type="character" w:customStyle="1" w:styleId="WW8Num16z1">
    <w:name w:val="WW8Num16z1"/>
    <w:rsid w:val="008A5ABE"/>
    <w:rPr>
      <w:rFonts w:ascii="Courier New" w:hAnsi="Courier New" w:cs="Courier New"/>
    </w:rPr>
  </w:style>
  <w:style w:type="character" w:customStyle="1" w:styleId="WW8Num16z2">
    <w:name w:val="WW8Num16z2"/>
    <w:rsid w:val="008A5ABE"/>
    <w:rPr>
      <w:rFonts w:ascii="Wingdings" w:hAnsi="Wingdings"/>
    </w:rPr>
  </w:style>
  <w:style w:type="character" w:customStyle="1" w:styleId="Fuentedeprrafopredeter2">
    <w:name w:val="Fuente de párrafo predeter.2"/>
    <w:rsid w:val="008A5ABE"/>
  </w:style>
  <w:style w:type="character" w:customStyle="1" w:styleId="WW8Num7z1">
    <w:name w:val="WW8Num7z1"/>
    <w:rsid w:val="008A5ABE"/>
    <w:rPr>
      <w:rFonts w:ascii="OpenSymbol" w:hAnsi="OpenSymbol" w:cs="OpenSymbol"/>
    </w:rPr>
  </w:style>
  <w:style w:type="character" w:customStyle="1" w:styleId="WW8Num7z2">
    <w:name w:val="WW8Num7z2"/>
    <w:rsid w:val="008A5ABE"/>
    <w:rPr>
      <w:rFonts w:ascii="Wingdings" w:hAnsi="Wingdings"/>
    </w:rPr>
  </w:style>
  <w:style w:type="character" w:customStyle="1" w:styleId="WW8Num9z0">
    <w:name w:val="WW8Num9z0"/>
    <w:rsid w:val="008A5ABE"/>
    <w:rPr>
      <w:rFonts w:ascii="Symbol" w:hAnsi="Symbol" w:cs="StarSymbol"/>
      <w:sz w:val="18"/>
      <w:szCs w:val="18"/>
    </w:rPr>
  </w:style>
  <w:style w:type="character" w:customStyle="1" w:styleId="WW8Num11z0">
    <w:name w:val="WW8Num11z0"/>
    <w:rsid w:val="008A5ABE"/>
    <w:rPr>
      <w:rFonts w:ascii="Wingdings" w:hAnsi="Wingdings" w:cs="StarSymbol"/>
      <w:sz w:val="18"/>
      <w:szCs w:val="18"/>
    </w:rPr>
  </w:style>
  <w:style w:type="character" w:customStyle="1" w:styleId="WW8Num11z1">
    <w:name w:val="WW8Num11z1"/>
    <w:rsid w:val="008A5ABE"/>
    <w:rPr>
      <w:rFonts w:ascii="OpenSymbol" w:hAnsi="OpenSymbol" w:cs="OpenSymbol"/>
    </w:rPr>
  </w:style>
  <w:style w:type="character" w:customStyle="1" w:styleId="WW8Num13z1">
    <w:name w:val="WW8Num13z1"/>
    <w:rsid w:val="008A5ABE"/>
    <w:rPr>
      <w:rFonts w:ascii="Courier New" w:hAnsi="Courier New" w:cs="Courier New"/>
    </w:rPr>
  </w:style>
  <w:style w:type="character" w:customStyle="1" w:styleId="WW8Num14z0">
    <w:name w:val="WW8Num14z0"/>
    <w:rsid w:val="008A5ABE"/>
    <w:rPr>
      <w:rFonts w:ascii="Symbol" w:hAnsi="Symbol"/>
    </w:rPr>
  </w:style>
  <w:style w:type="character" w:customStyle="1" w:styleId="WW8Num17z0">
    <w:name w:val="WW8Num17z0"/>
    <w:rsid w:val="008A5ABE"/>
    <w:rPr>
      <w:rFonts w:ascii="Symbol" w:hAnsi="Symbol"/>
    </w:rPr>
  </w:style>
  <w:style w:type="character" w:customStyle="1" w:styleId="WW8Num17z1">
    <w:name w:val="WW8Num17z1"/>
    <w:rsid w:val="008A5ABE"/>
    <w:rPr>
      <w:rFonts w:ascii="Courier New" w:hAnsi="Courier New" w:cs="Courier New"/>
    </w:rPr>
  </w:style>
  <w:style w:type="character" w:customStyle="1" w:styleId="WW8Num17z2">
    <w:name w:val="WW8Num17z2"/>
    <w:rsid w:val="008A5ABE"/>
    <w:rPr>
      <w:rFonts w:ascii="Wingdings" w:hAnsi="Wingdings"/>
    </w:rPr>
  </w:style>
  <w:style w:type="character" w:customStyle="1" w:styleId="WW-Absatz-Standardschriftart1111111111">
    <w:name w:val="WW-Absatz-Standardschriftart1111111111"/>
    <w:rsid w:val="008A5ABE"/>
  </w:style>
  <w:style w:type="character" w:customStyle="1" w:styleId="WW-Absatz-Standardschriftart11111111111">
    <w:name w:val="WW-Absatz-Standardschriftart11111111111"/>
    <w:rsid w:val="008A5ABE"/>
  </w:style>
  <w:style w:type="character" w:customStyle="1" w:styleId="WW8Num6z3">
    <w:name w:val="WW8Num6z3"/>
    <w:rsid w:val="008A5ABE"/>
    <w:rPr>
      <w:rFonts w:ascii="Symbol" w:hAnsi="Symbol"/>
    </w:rPr>
  </w:style>
  <w:style w:type="character" w:customStyle="1" w:styleId="WW8Num8z1">
    <w:name w:val="WW8Num8z1"/>
    <w:rsid w:val="008A5ABE"/>
    <w:rPr>
      <w:rFonts w:ascii="OpenSymbol" w:hAnsi="OpenSymbol" w:cs="OpenSymbol"/>
    </w:rPr>
  </w:style>
  <w:style w:type="character" w:customStyle="1" w:styleId="WW8Num8z2">
    <w:name w:val="WW8Num8z2"/>
    <w:rsid w:val="008A5ABE"/>
    <w:rPr>
      <w:rFonts w:ascii="Wingdings" w:hAnsi="Wingdings"/>
    </w:rPr>
  </w:style>
  <w:style w:type="character" w:customStyle="1" w:styleId="WW8Num14z1">
    <w:name w:val="WW8Num14z1"/>
    <w:rsid w:val="008A5ABE"/>
    <w:rPr>
      <w:rFonts w:ascii="Courier New" w:hAnsi="Courier New" w:cs="Courier New"/>
    </w:rPr>
  </w:style>
  <w:style w:type="character" w:customStyle="1" w:styleId="WW-Absatz-Standardschriftart111111111111">
    <w:name w:val="WW-Absatz-Standardschriftart111111111111"/>
    <w:rsid w:val="008A5ABE"/>
  </w:style>
  <w:style w:type="character" w:customStyle="1" w:styleId="WW-Absatz-Standardschriftart1111111111111">
    <w:name w:val="WW-Absatz-Standardschriftart1111111111111"/>
    <w:rsid w:val="008A5ABE"/>
  </w:style>
  <w:style w:type="character" w:customStyle="1" w:styleId="WW-Absatz-Standardschriftart11111111111111">
    <w:name w:val="WW-Absatz-Standardschriftart11111111111111"/>
    <w:rsid w:val="008A5ABE"/>
  </w:style>
  <w:style w:type="character" w:customStyle="1" w:styleId="WW-Absatz-Standardschriftart111111111111111">
    <w:name w:val="WW-Absatz-Standardschriftart111111111111111"/>
    <w:rsid w:val="008A5ABE"/>
  </w:style>
  <w:style w:type="character" w:customStyle="1" w:styleId="WW8Num3z0">
    <w:name w:val="WW8Num3z0"/>
    <w:rsid w:val="008A5ABE"/>
    <w:rPr>
      <w:rFonts w:ascii="Symbol" w:hAnsi="Symbol" w:cs="StarSymbol"/>
      <w:sz w:val="18"/>
      <w:szCs w:val="18"/>
    </w:rPr>
  </w:style>
  <w:style w:type="character" w:customStyle="1" w:styleId="WW8Num3z1">
    <w:name w:val="WW8Num3z1"/>
    <w:rsid w:val="008A5ABE"/>
    <w:rPr>
      <w:rFonts w:ascii="OpenSymbol" w:hAnsi="OpenSymbol" w:cs="OpenSymbol"/>
    </w:rPr>
  </w:style>
  <w:style w:type="character" w:customStyle="1" w:styleId="WW8Num4z1">
    <w:name w:val="WW8Num4z1"/>
    <w:rsid w:val="008A5ABE"/>
    <w:rPr>
      <w:rFonts w:ascii="OpenSymbol" w:hAnsi="OpenSymbol" w:cs="OpenSymbol"/>
    </w:rPr>
  </w:style>
  <w:style w:type="character" w:customStyle="1" w:styleId="WW8Num13z2">
    <w:name w:val="WW8Num13z2"/>
    <w:rsid w:val="008A5ABE"/>
    <w:rPr>
      <w:rFonts w:ascii="Wingdings" w:hAnsi="Wingdings"/>
    </w:rPr>
  </w:style>
  <w:style w:type="character" w:customStyle="1" w:styleId="WW8Num14z2">
    <w:name w:val="WW8Num14z2"/>
    <w:rsid w:val="008A5ABE"/>
    <w:rPr>
      <w:rFonts w:ascii="Wingdings" w:hAnsi="Wingdings"/>
    </w:rPr>
  </w:style>
  <w:style w:type="character" w:customStyle="1" w:styleId="WW8Num14z3">
    <w:name w:val="WW8Num14z3"/>
    <w:rsid w:val="008A5ABE"/>
    <w:rPr>
      <w:rFonts w:ascii="Symbol" w:hAnsi="Symbol"/>
    </w:rPr>
  </w:style>
  <w:style w:type="character" w:customStyle="1" w:styleId="WW8Num21z0">
    <w:name w:val="WW8Num21z0"/>
    <w:rsid w:val="008A5ABE"/>
    <w:rPr>
      <w:rFonts w:ascii="Symbol" w:hAnsi="Symbol" w:cs="StarSymbol"/>
      <w:sz w:val="18"/>
      <w:szCs w:val="18"/>
    </w:rPr>
  </w:style>
  <w:style w:type="character" w:customStyle="1" w:styleId="WW8Num21z1">
    <w:name w:val="WW8Num21z1"/>
    <w:rsid w:val="008A5ABE"/>
    <w:rPr>
      <w:rFonts w:ascii="OpenSymbol" w:hAnsi="OpenSymbol" w:cs="OpenSymbol"/>
    </w:rPr>
  </w:style>
  <w:style w:type="character" w:customStyle="1" w:styleId="WW8Num23z0">
    <w:name w:val="WW8Num23z0"/>
    <w:rsid w:val="008A5ABE"/>
    <w:rPr>
      <w:rFonts w:ascii="Symbol" w:hAnsi="Symbol" w:cs="StarSymbol"/>
      <w:sz w:val="18"/>
      <w:szCs w:val="18"/>
    </w:rPr>
  </w:style>
  <w:style w:type="character" w:customStyle="1" w:styleId="WW8Num23z1">
    <w:name w:val="WW8Num23z1"/>
    <w:rsid w:val="008A5ABE"/>
    <w:rPr>
      <w:rFonts w:ascii="OpenSymbol" w:hAnsi="OpenSymbol" w:cs="OpenSymbol"/>
    </w:rPr>
  </w:style>
  <w:style w:type="character" w:customStyle="1" w:styleId="WW8Num24z0">
    <w:name w:val="WW8Num24z0"/>
    <w:rsid w:val="008A5ABE"/>
    <w:rPr>
      <w:rFonts w:ascii="Symbol" w:hAnsi="Symbol" w:cs="OpenSymbol"/>
    </w:rPr>
  </w:style>
  <w:style w:type="character" w:customStyle="1" w:styleId="WW8Num24z1">
    <w:name w:val="WW8Num24z1"/>
    <w:rsid w:val="008A5ABE"/>
    <w:rPr>
      <w:rFonts w:ascii="OpenSymbol" w:hAnsi="OpenSymbol" w:cs="OpenSymbol"/>
    </w:rPr>
  </w:style>
  <w:style w:type="character" w:customStyle="1" w:styleId="WW8Num24z3">
    <w:name w:val="WW8Num24z3"/>
    <w:rsid w:val="008A5ABE"/>
    <w:rPr>
      <w:rFonts w:ascii="Symbol" w:hAnsi="Symbol"/>
    </w:rPr>
  </w:style>
  <w:style w:type="character" w:customStyle="1" w:styleId="WW8Num25z0">
    <w:name w:val="WW8Num25z0"/>
    <w:rsid w:val="008A5ABE"/>
    <w:rPr>
      <w:rFonts w:ascii="Symbol" w:hAnsi="Symbol" w:cs="OpenSymbol"/>
    </w:rPr>
  </w:style>
  <w:style w:type="character" w:customStyle="1" w:styleId="WW8Num30z0">
    <w:name w:val="WW8Num30z0"/>
    <w:rsid w:val="008A5ABE"/>
    <w:rPr>
      <w:rFonts w:ascii="Symbol" w:hAnsi="Symbol" w:cs="StarSymbol"/>
      <w:sz w:val="18"/>
      <w:szCs w:val="18"/>
    </w:rPr>
  </w:style>
  <w:style w:type="character" w:customStyle="1" w:styleId="WW8Num30z1">
    <w:name w:val="WW8Num30z1"/>
    <w:rsid w:val="008A5ABE"/>
    <w:rPr>
      <w:rFonts w:ascii="OpenSymbol" w:hAnsi="OpenSymbol" w:cs="OpenSymbol"/>
    </w:rPr>
  </w:style>
  <w:style w:type="character" w:customStyle="1" w:styleId="WW8Num31z0">
    <w:name w:val="WW8Num31z0"/>
    <w:rsid w:val="008A5ABE"/>
    <w:rPr>
      <w:rFonts w:ascii="Symbol" w:hAnsi="Symbol"/>
    </w:rPr>
  </w:style>
  <w:style w:type="character" w:customStyle="1" w:styleId="WW8Num31z1">
    <w:name w:val="WW8Num31z1"/>
    <w:rsid w:val="008A5ABE"/>
    <w:rPr>
      <w:rFonts w:ascii="Courier New" w:hAnsi="Courier New" w:cs="Courier New"/>
    </w:rPr>
  </w:style>
  <w:style w:type="character" w:customStyle="1" w:styleId="WW8Num31z2">
    <w:name w:val="WW8Num31z2"/>
    <w:rsid w:val="008A5ABE"/>
    <w:rPr>
      <w:rFonts w:ascii="Wingdings" w:hAnsi="Wingdings"/>
    </w:rPr>
  </w:style>
  <w:style w:type="character" w:customStyle="1" w:styleId="Fuentedeprrafopredeter1">
    <w:name w:val="Fuente de párrafo predeter.1"/>
    <w:rsid w:val="008A5ABE"/>
  </w:style>
  <w:style w:type="character" w:customStyle="1" w:styleId="WW-Absatz-Standardschriftart1111111111111111">
    <w:name w:val="WW-Absatz-Standardschriftart1111111111111111"/>
    <w:rsid w:val="008A5ABE"/>
  </w:style>
  <w:style w:type="character" w:customStyle="1" w:styleId="WW-Absatz-Standardschriftart11111111111111111">
    <w:name w:val="WW-Absatz-Standardschriftart11111111111111111"/>
    <w:rsid w:val="008A5ABE"/>
  </w:style>
  <w:style w:type="character" w:customStyle="1" w:styleId="WW-Absatz-Standardschriftart111111111111111111">
    <w:name w:val="WW-Absatz-Standardschriftart111111111111111111"/>
    <w:rsid w:val="008A5ABE"/>
  </w:style>
  <w:style w:type="character" w:customStyle="1" w:styleId="WW-Absatz-Standardschriftart1111111111111111111">
    <w:name w:val="WW-Absatz-Standardschriftart1111111111111111111"/>
    <w:rsid w:val="008A5ABE"/>
  </w:style>
  <w:style w:type="character" w:customStyle="1" w:styleId="WW-Absatz-Standardschriftart11111111111111111111">
    <w:name w:val="WW-Absatz-Standardschriftart11111111111111111111"/>
    <w:rsid w:val="008A5ABE"/>
  </w:style>
  <w:style w:type="character" w:customStyle="1" w:styleId="WW-Absatz-Standardschriftart111111111111111111111">
    <w:name w:val="WW-Absatz-Standardschriftart111111111111111111111"/>
    <w:rsid w:val="008A5ABE"/>
  </w:style>
  <w:style w:type="character" w:customStyle="1" w:styleId="WW8Num15z3">
    <w:name w:val="WW8Num15z3"/>
    <w:rsid w:val="008A5ABE"/>
    <w:rPr>
      <w:rFonts w:ascii="Symbol" w:hAnsi="Symbol"/>
    </w:rPr>
  </w:style>
  <w:style w:type="character" w:customStyle="1" w:styleId="WW8Num22z0">
    <w:name w:val="WW8Num22z0"/>
    <w:rsid w:val="008A5ABE"/>
    <w:rPr>
      <w:rFonts w:ascii="Symbol" w:hAnsi="Symbol" w:cs="StarSymbol"/>
      <w:sz w:val="18"/>
      <w:szCs w:val="18"/>
    </w:rPr>
  </w:style>
  <w:style w:type="character" w:customStyle="1" w:styleId="WW8Num22z1">
    <w:name w:val="WW8Num22z1"/>
    <w:rsid w:val="008A5ABE"/>
    <w:rPr>
      <w:rFonts w:ascii="OpenSymbol" w:hAnsi="OpenSymbol" w:cs="OpenSymbol"/>
    </w:rPr>
  </w:style>
  <w:style w:type="character" w:customStyle="1" w:styleId="WW8Num25z1">
    <w:name w:val="WW8Num25z1"/>
    <w:rsid w:val="008A5ABE"/>
    <w:rPr>
      <w:rFonts w:ascii="OpenSymbol" w:hAnsi="OpenSymbol" w:cs="OpenSymbol"/>
    </w:rPr>
  </w:style>
  <w:style w:type="character" w:customStyle="1" w:styleId="WW8Num25z3">
    <w:name w:val="WW8Num25z3"/>
    <w:rsid w:val="008A5ABE"/>
    <w:rPr>
      <w:rFonts w:ascii="Symbol" w:hAnsi="Symbol"/>
    </w:rPr>
  </w:style>
  <w:style w:type="character" w:customStyle="1" w:styleId="WW8Num26z0">
    <w:name w:val="WW8Num26z0"/>
    <w:rsid w:val="008A5ABE"/>
    <w:rPr>
      <w:rFonts w:ascii="Symbol" w:hAnsi="Symbol" w:cs="OpenSymbol"/>
    </w:rPr>
  </w:style>
  <w:style w:type="character" w:customStyle="1" w:styleId="WW-Absatz-Standardschriftart1111111111111111111111">
    <w:name w:val="WW-Absatz-Standardschriftart1111111111111111111111"/>
    <w:rsid w:val="008A5ABE"/>
  </w:style>
  <w:style w:type="character" w:customStyle="1" w:styleId="WW8Num27z0">
    <w:name w:val="WW8Num27z0"/>
    <w:rsid w:val="008A5ABE"/>
    <w:rPr>
      <w:rFonts w:ascii="Wingdings" w:hAnsi="Wingdings" w:cs="OpenSymbol"/>
    </w:rPr>
  </w:style>
  <w:style w:type="character" w:customStyle="1" w:styleId="WW8Num27z1">
    <w:name w:val="WW8Num27z1"/>
    <w:rsid w:val="008A5ABE"/>
    <w:rPr>
      <w:rFonts w:ascii="OpenSymbol" w:hAnsi="OpenSymbol"/>
    </w:rPr>
  </w:style>
  <w:style w:type="character" w:customStyle="1" w:styleId="WW8Num27z3">
    <w:name w:val="WW8Num27z3"/>
    <w:rsid w:val="008A5ABE"/>
    <w:rPr>
      <w:rFonts w:ascii="Symbol" w:hAnsi="Symbol"/>
    </w:rPr>
  </w:style>
  <w:style w:type="character" w:customStyle="1" w:styleId="WW8Num28z0">
    <w:name w:val="WW8Num28z0"/>
    <w:rsid w:val="008A5ABE"/>
    <w:rPr>
      <w:rFonts w:ascii="Wingdings" w:hAnsi="Wingdings" w:cs="OpenSymbol"/>
    </w:rPr>
  </w:style>
  <w:style w:type="character" w:customStyle="1" w:styleId="WW-Absatz-Standardschriftart11111111111111111111111">
    <w:name w:val="WW-Absatz-Standardschriftart11111111111111111111111"/>
    <w:rsid w:val="008A5ABE"/>
  </w:style>
  <w:style w:type="character" w:customStyle="1" w:styleId="WW-Absatz-Standardschriftart111111111111111111111111">
    <w:name w:val="WW-Absatz-Standardschriftart111111111111111111111111"/>
    <w:rsid w:val="008A5ABE"/>
  </w:style>
  <w:style w:type="character" w:customStyle="1" w:styleId="WW-Absatz-Standardschriftart1111111111111111111111111">
    <w:name w:val="WW-Absatz-Standardschriftart1111111111111111111111111"/>
    <w:rsid w:val="008A5ABE"/>
  </w:style>
  <w:style w:type="character" w:customStyle="1" w:styleId="WW-Absatz-Standardschriftart11111111111111111111111111">
    <w:name w:val="WW-Absatz-Standardschriftart11111111111111111111111111"/>
    <w:rsid w:val="008A5ABE"/>
  </w:style>
  <w:style w:type="character" w:customStyle="1" w:styleId="WW-Absatz-Standardschriftart111111111111111111111111111">
    <w:name w:val="WW-Absatz-Standardschriftart111111111111111111111111111"/>
    <w:rsid w:val="008A5ABE"/>
  </w:style>
  <w:style w:type="character" w:customStyle="1" w:styleId="WW-Absatz-Standardschriftart1111111111111111111111111111">
    <w:name w:val="WW-Absatz-Standardschriftart1111111111111111111111111111"/>
    <w:rsid w:val="008A5ABE"/>
  </w:style>
  <w:style w:type="character" w:customStyle="1" w:styleId="WW-Absatz-Standardschriftart11111111111111111111111111111">
    <w:name w:val="WW-Absatz-Standardschriftart11111111111111111111111111111"/>
    <w:rsid w:val="008A5ABE"/>
  </w:style>
  <w:style w:type="character" w:customStyle="1" w:styleId="WW-Absatz-Standardschriftart111111111111111111111111111111">
    <w:name w:val="WW-Absatz-Standardschriftart111111111111111111111111111111"/>
    <w:rsid w:val="008A5ABE"/>
  </w:style>
  <w:style w:type="character" w:customStyle="1" w:styleId="WW8Num28z1">
    <w:name w:val="WW8Num28z1"/>
    <w:rsid w:val="008A5ABE"/>
    <w:rPr>
      <w:rFonts w:ascii="OpenSymbol" w:hAnsi="OpenSymbol"/>
    </w:rPr>
  </w:style>
  <w:style w:type="character" w:customStyle="1" w:styleId="WW8Num28z3">
    <w:name w:val="WW8Num28z3"/>
    <w:rsid w:val="008A5ABE"/>
    <w:rPr>
      <w:rFonts w:ascii="Symbol" w:hAnsi="Symbol"/>
    </w:rPr>
  </w:style>
  <w:style w:type="character" w:customStyle="1" w:styleId="WW-Absatz-Standardschriftart1111111111111111111111111111111">
    <w:name w:val="WW-Absatz-Standardschriftart1111111111111111111111111111111"/>
    <w:rsid w:val="008A5ABE"/>
  </w:style>
  <w:style w:type="character" w:customStyle="1" w:styleId="WW8Num29z0">
    <w:name w:val="WW8Num29z0"/>
    <w:rsid w:val="008A5ABE"/>
    <w:rPr>
      <w:rFonts w:ascii="Wingdings" w:hAnsi="Wingdings" w:cs="OpenSymbol"/>
    </w:rPr>
  </w:style>
  <w:style w:type="character" w:customStyle="1" w:styleId="WW8Num29z1">
    <w:name w:val="WW8Num29z1"/>
    <w:rsid w:val="008A5ABE"/>
    <w:rPr>
      <w:rFonts w:ascii="OpenSymbol" w:hAnsi="OpenSymbol"/>
    </w:rPr>
  </w:style>
  <w:style w:type="character" w:customStyle="1" w:styleId="WW8Num29z3">
    <w:name w:val="WW8Num29z3"/>
    <w:rsid w:val="008A5ABE"/>
    <w:rPr>
      <w:rFonts w:ascii="Symbol" w:hAnsi="Symbol"/>
    </w:rPr>
  </w:style>
  <w:style w:type="character" w:customStyle="1" w:styleId="WW-Absatz-Standardschriftart11111111111111111111111111111111">
    <w:name w:val="WW-Absatz-Standardschriftart11111111111111111111111111111111"/>
    <w:rsid w:val="008A5ABE"/>
  </w:style>
  <w:style w:type="character" w:customStyle="1" w:styleId="WW-Absatz-Standardschriftart111111111111111111111111111111111">
    <w:name w:val="WW-Absatz-Standardschriftart111111111111111111111111111111111"/>
    <w:rsid w:val="008A5ABE"/>
  </w:style>
  <w:style w:type="character" w:customStyle="1" w:styleId="WW-Absatz-Standardschriftart1111111111111111111111111111111111">
    <w:name w:val="WW-Absatz-Standardschriftart1111111111111111111111111111111111"/>
    <w:rsid w:val="008A5ABE"/>
  </w:style>
  <w:style w:type="character" w:customStyle="1" w:styleId="WW-Absatz-Standardschriftart11111111111111111111111111111111111">
    <w:name w:val="WW-Absatz-Standardschriftart11111111111111111111111111111111111"/>
    <w:rsid w:val="008A5ABE"/>
  </w:style>
  <w:style w:type="character" w:customStyle="1" w:styleId="DefaultParagraphFont1">
    <w:name w:val="Default Paragraph Font1"/>
    <w:rsid w:val="008A5ABE"/>
  </w:style>
  <w:style w:type="character" w:customStyle="1" w:styleId="Smbolodenotaalpie">
    <w:name w:val="Símbolo de nota al pie"/>
    <w:rsid w:val="008A5ABE"/>
    <w:rPr>
      <w:rFonts w:ascii="Century Gothic" w:hAnsi="Century Gothic"/>
      <w:color w:val="000080"/>
      <w:sz w:val="16"/>
      <w:lang w:val="es-ES_tradnl"/>
    </w:rPr>
  </w:style>
  <w:style w:type="character" w:customStyle="1" w:styleId="TextoindependienteCar">
    <w:name w:val="Texto independiente Car"/>
    <w:rsid w:val="008A5ABE"/>
    <w:rPr>
      <w:rFonts w:ascii="Times New Roman" w:eastAsia="Arial Unicode MS" w:hAnsi="Times New Roman" w:cs="Times New Roman"/>
      <w:kern w:val="1"/>
      <w:sz w:val="24"/>
      <w:szCs w:val="24"/>
      <w:lang w:val="es-ES_tradnl"/>
    </w:rPr>
  </w:style>
  <w:style w:type="character" w:customStyle="1" w:styleId="ListLabel1">
    <w:name w:val="ListLabel 1"/>
    <w:rsid w:val="008A5ABE"/>
    <w:rPr>
      <w:rFonts w:cs="StarSymbol"/>
      <w:sz w:val="18"/>
      <w:szCs w:val="18"/>
    </w:rPr>
  </w:style>
  <w:style w:type="character" w:customStyle="1" w:styleId="ListLabel2">
    <w:name w:val="ListLabel 2"/>
    <w:rsid w:val="008A5ABE"/>
    <w:rPr>
      <w:rFonts w:cs="OpenSymbol"/>
    </w:rPr>
  </w:style>
  <w:style w:type="character" w:customStyle="1" w:styleId="ListLabel3">
    <w:name w:val="ListLabel 3"/>
    <w:rsid w:val="008A5ABE"/>
    <w:rPr>
      <w:rFonts w:cs="Courier New"/>
    </w:rPr>
  </w:style>
  <w:style w:type="character" w:customStyle="1" w:styleId="Vietas">
    <w:name w:val="Viñetas"/>
    <w:rsid w:val="008A5ABE"/>
    <w:rPr>
      <w:rFonts w:ascii="OpenSymbol" w:eastAsia="OpenSymbol" w:hAnsi="OpenSymbol" w:cs="OpenSymbol"/>
    </w:rPr>
  </w:style>
  <w:style w:type="character" w:customStyle="1" w:styleId="Carcterdenumeracin">
    <w:name w:val="Carácter de numeración"/>
    <w:rsid w:val="008A5ABE"/>
  </w:style>
  <w:style w:type="character" w:customStyle="1" w:styleId="Smbolosdenumeracin">
    <w:name w:val="Símbolos de numeración"/>
    <w:rsid w:val="008A5ABE"/>
  </w:style>
  <w:style w:type="character" w:customStyle="1" w:styleId="Refdecomentario1">
    <w:name w:val="Ref. de comentario1"/>
    <w:rsid w:val="008A5ABE"/>
    <w:rPr>
      <w:rFonts w:cs="Times New Roman"/>
      <w:sz w:val="16"/>
      <w:szCs w:val="16"/>
    </w:rPr>
  </w:style>
  <w:style w:type="character" w:customStyle="1" w:styleId="TextocomentarioCar">
    <w:name w:val="Texto comentario Car"/>
    <w:rsid w:val="008A5ABE"/>
    <w:rPr>
      <w:lang w:val="en-US"/>
    </w:rPr>
  </w:style>
  <w:style w:type="character" w:customStyle="1" w:styleId="TextodegloboCar">
    <w:name w:val="Texto de globo Car"/>
    <w:rsid w:val="008A5ABE"/>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8A5ABE"/>
    <w:pPr>
      <w:keepNext/>
      <w:spacing w:before="240" w:after="120"/>
    </w:pPr>
    <w:rPr>
      <w:rFonts w:ascii="Arial" w:hAnsi="Arial" w:cs="Tahoma"/>
      <w:sz w:val="28"/>
      <w:szCs w:val="28"/>
    </w:rPr>
  </w:style>
  <w:style w:type="paragraph" w:styleId="Textoindependiente">
    <w:name w:val="Body Text"/>
    <w:basedOn w:val="Normal"/>
    <w:link w:val="TextoindependienteCar1"/>
    <w:rsid w:val="008A5ABE"/>
    <w:pPr>
      <w:spacing w:after="120"/>
    </w:pPr>
  </w:style>
  <w:style w:type="character" w:customStyle="1" w:styleId="TextoindependienteCar1">
    <w:name w:val="Texto independiente Car1"/>
    <w:basedOn w:val="Fuentedeprrafopredeter"/>
    <w:link w:val="Textoindependiente"/>
    <w:rsid w:val="008A5ABE"/>
    <w:rPr>
      <w:rFonts w:ascii="Times New Roman" w:eastAsia="Arial Unicode MS" w:hAnsi="Times New Roman" w:cs="Times New Roman"/>
      <w:kern w:val="1"/>
      <w:sz w:val="24"/>
      <w:szCs w:val="24"/>
      <w:lang w:val="es-ES_tradnl" w:eastAsia="ar-SA"/>
    </w:rPr>
  </w:style>
  <w:style w:type="paragraph" w:styleId="Lista">
    <w:name w:val="List"/>
    <w:basedOn w:val="Textoindependiente"/>
    <w:rsid w:val="008A5ABE"/>
    <w:rPr>
      <w:rFonts w:cs="Tahoma"/>
    </w:rPr>
  </w:style>
  <w:style w:type="paragraph" w:customStyle="1" w:styleId="Etiqueta">
    <w:name w:val="Etiqueta"/>
    <w:basedOn w:val="Normal"/>
    <w:rsid w:val="008A5ABE"/>
    <w:pPr>
      <w:suppressLineNumbers/>
      <w:spacing w:before="120" w:after="120"/>
    </w:pPr>
    <w:rPr>
      <w:rFonts w:cs="Tahoma"/>
      <w:i/>
      <w:iCs/>
    </w:rPr>
  </w:style>
  <w:style w:type="paragraph" w:customStyle="1" w:styleId="ndice">
    <w:name w:val="Índice"/>
    <w:basedOn w:val="Normal"/>
    <w:rsid w:val="008A5ABE"/>
    <w:pPr>
      <w:suppressLineNumbers/>
    </w:pPr>
    <w:rPr>
      <w:rFonts w:cs="Tahoma"/>
    </w:rPr>
  </w:style>
  <w:style w:type="paragraph" w:customStyle="1" w:styleId="Encabezado3">
    <w:name w:val="Encabezado3"/>
    <w:basedOn w:val="Normal"/>
    <w:next w:val="Textoindependiente"/>
    <w:rsid w:val="008A5ABE"/>
    <w:pPr>
      <w:keepNext/>
      <w:spacing w:before="240" w:after="120"/>
    </w:pPr>
    <w:rPr>
      <w:rFonts w:ascii="Arial" w:hAnsi="Arial" w:cs="Tahoma"/>
      <w:sz w:val="28"/>
      <w:szCs w:val="28"/>
    </w:rPr>
  </w:style>
  <w:style w:type="paragraph" w:customStyle="1" w:styleId="Encabezado2">
    <w:name w:val="Encabezado2"/>
    <w:basedOn w:val="Normal"/>
    <w:next w:val="Textoindependiente"/>
    <w:rsid w:val="008A5ABE"/>
    <w:pPr>
      <w:keepNext/>
      <w:spacing w:before="240" w:after="120"/>
    </w:pPr>
    <w:rPr>
      <w:rFonts w:ascii="Arial" w:hAnsi="Arial" w:cs="Tahoma"/>
      <w:sz w:val="28"/>
      <w:szCs w:val="28"/>
    </w:rPr>
  </w:style>
  <w:style w:type="paragraph" w:customStyle="1" w:styleId="Encabezado1">
    <w:name w:val="Encabezado1"/>
    <w:basedOn w:val="Normal"/>
    <w:next w:val="Textoindependiente"/>
    <w:rsid w:val="008A5ABE"/>
    <w:pPr>
      <w:keepNext/>
      <w:spacing w:before="240" w:after="120"/>
    </w:pPr>
    <w:rPr>
      <w:rFonts w:ascii="Arial" w:hAnsi="Arial" w:cs="Tahoma"/>
      <w:sz w:val="28"/>
      <w:szCs w:val="28"/>
    </w:rPr>
  </w:style>
  <w:style w:type="paragraph" w:customStyle="1" w:styleId="ListParagraph1">
    <w:name w:val="List Paragraph1"/>
    <w:basedOn w:val="Normal"/>
    <w:rsid w:val="008A5ABE"/>
    <w:pPr>
      <w:ind w:left="708"/>
    </w:pPr>
  </w:style>
  <w:style w:type="paragraph" w:customStyle="1" w:styleId="Default">
    <w:name w:val="Default"/>
    <w:rsid w:val="008A5ABE"/>
    <w:pPr>
      <w:suppressAutoHyphens/>
      <w:autoSpaceDE w:val="0"/>
      <w:spacing w:after="0" w:line="240" w:lineRule="auto"/>
    </w:pPr>
    <w:rPr>
      <w:rFonts w:ascii="Arial" w:eastAsia="Arial" w:hAnsi="Arial" w:cs="Arial"/>
      <w:color w:val="000000"/>
      <w:sz w:val="24"/>
      <w:szCs w:val="24"/>
      <w:lang w:val="en-US" w:eastAsia="ar-SA"/>
    </w:rPr>
  </w:style>
  <w:style w:type="paragraph" w:customStyle="1" w:styleId="Textocomentario1">
    <w:name w:val="Texto comentario1"/>
    <w:basedOn w:val="Normal"/>
    <w:rsid w:val="008A5ABE"/>
    <w:pPr>
      <w:suppressAutoHyphens w:val="0"/>
      <w:spacing w:line="240" w:lineRule="auto"/>
    </w:pPr>
    <w:rPr>
      <w:rFonts w:eastAsia="Times New Roman"/>
      <w:sz w:val="20"/>
      <w:szCs w:val="20"/>
      <w:lang w:val="en-US"/>
    </w:rPr>
  </w:style>
  <w:style w:type="paragraph" w:styleId="Textodeglobo">
    <w:name w:val="Balloon Text"/>
    <w:basedOn w:val="Normal"/>
    <w:link w:val="TextodegloboCar1"/>
    <w:rsid w:val="008A5ABE"/>
    <w:pPr>
      <w:spacing w:line="240" w:lineRule="auto"/>
    </w:pPr>
    <w:rPr>
      <w:rFonts w:ascii="Tahoma" w:hAnsi="Tahoma" w:cs="Tahoma"/>
      <w:sz w:val="16"/>
      <w:szCs w:val="16"/>
    </w:rPr>
  </w:style>
  <w:style w:type="character" w:customStyle="1" w:styleId="TextodegloboCar1">
    <w:name w:val="Texto de globo Car1"/>
    <w:basedOn w:val="Fuentedeprrafopredeter"/>
    <w:link w:val="Textodeglobo"/>
    <w:rsid w:val="008A5ABE"/>
    <w:rPr>
      <w:rFonts w:ascii="Tahoma" w:eastAsia="Arial Unicode MS" w:hAnsi="Tahoma" w:cs="Tahoma"/>
      <w:kern w:val="1"/>
      <w:sz w:val="16"/>
      <w:szCs w:val="16"/>
      <w:lang w:val="es-ES_tradnl" w:eastAsia="ar-SA"/>
    </w:rPr>
  </w:style>
  <w:style w:type="paragraph" w:customStyle="1" w:styleId="Contenidodelatabla">
    <w:name w:val="Contenido de la tabla"/>
    <w:basedOn w:val="Normal"/>
    <w:rsid w:val="008A5ABE"/>
    <w:pPr>
      <w:suppressLineNumbers/>
    </w:pPr>
  </w:style>
  <w:style w:type="paragraph" w:customStyle="1" w:styleId="Encabezadodelatabla">
    <w:name w:val="Encabezado de la tabla"/>
    <w:basedOn w:val="Contenidodelatabla"/>
    <w:rsid w:val="008A5ABE"/>
    <w:pPr>
      <w:jc w:val="center"/>
    </w:pPr>
    <w:rPr>
      <w:b/>
      <w:bCs/>
    </w:rPr>
  </w:style>
  <w:style w:type="table" w:styleId="Tablaconcuadrcula">
    <w:name w:val="Table Grid"/>
    <w:basedOn w:val="Tablanormal"/>
    <w:uiPriority w:val="39"/>
    <w:rsid w:val="008A5ABE"/>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 22"/>
    <w:uiPriority w:val="99"/>
    <w:rsid w:val="008A5AB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extodebloque2">
    <w:name w:val="Texto de bloque2"/>
    <w:basedOn w:val="Normal"/>
    <w:rsid w:val="008A5ABE"/>
    <w:pPr>
      <w:suppressAutoHyphens w:val="0"/>
      <w:spacing w:line="240" w:lineRule="atLeast"/>
      <w:ind w:left="567" w:right="49" w:hanging="567"/>
      <w:jc w:val="both"/>
    </w:pPr>
    <w:rPr>
      <w:rFonts w:eastAsia="Times New Roman"/>
      <w:sz w:val="22"/>
      <w:szCs w:val="22"/>
      <w:lang w:val="es-ES"/>
    </w:rPr>
  </w:style>
  <w:style w:type="paragraph" w:customStyle="1" w:styleId="Estilo">
    <w:name w:val="Estilo"/>
    <w:rsid w:val="008A5ABE"/>
    <w:pPr>
      <w:widowControl w:val="0"/>
      <w:autoSpaceDE w:val="0"/>
      <w:autoSpaceDN w:val="0"/>
      <w:adjustRightInd w:val="0"/>
      <w:spacing w:after="0" w:line="240" w:lineRule="auto"/>
    </w:pPr>
    <w:rPr>
      <w:rFonts w:ascii="Times New Roman" w:eastAsia="Times New Roman" w:hAnsi="Times New Roman" w:cs="Times New Roman"/>
      <w:sz w:val="24"/>
      <w:szCs w:val="24"/>
      <w:lang w:eastAsia="es-EC"/>
    </w:rPr>
  </w:style>
  <w:style w:type="character" w:styleId="Refdecomentario">
    <w:name w:val="annotation reference"/>
    <w:uiPriority w:val="99"/>
    <w:semiHidden/>
    <w:unhideWhenUsed/>
    <w:rsid w:val="008A5ABE"/>
    <w:rPr>
      <w:sz w:val="16"/>
      <w:szCs w:val="16"/>
    </w:rPr>
  </w:style>
  <w:style w:type="paragraph" w:styleId="Textocomentario">
    <w:name w:val="annotation text"/>
    <w:basedOn w:val="Normal"/>
    <w:link w:val="TextocomentarioCar1"/>
    <w:uiPriority w:val="99"/>
    <w:semiHidden/>
    <w:unhideWhenUsed/>
    <w:rsid w:val="008A5ABE"/>
    <w:rPr>
      <w:sz w:val="20"/>
      <w:szCs w:val="20"/>
    </w:rPr>
  </w:style>
  <w:style w:type="character" w:customStyle="1" w:styleId="TextocomentarioCar1">
    <w:name w:val="Texto comentario Car1"/>
    <w:basedOn w:val="Fuentedeprrafopredeter"/>
    <w:link w:val="Textocomentario"/>
    <w:uiPriority w:val="99"/>
    <w:semiHidden/>
    <w:rsid w:val="008A5ABE"/>
    <w:rPr>
      <w:rFonts w:ascii="Times New Roman" w:eastAsia="Arial Unicode MS"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8A5ABE"/>
    <w:rPr>
      <w:b/>
      <w:bCs/>
    </w:rPr>
  </w:style>
  <w:style w:type="character" w:customStyle="1" w:styleId="AsuntodelcomentarioCar">
    <w:name w:val="Asunto del comentario Car"/>
    <w:basedOn w:val="TextocomentarioCar1"/>
    <w:link w:val="Asuntodelcomentario"/>
    <w:uiPriority w:val="99"/>
    <w:semiHidden/>
    <w:rsid w:val="008A5ABE"/>
    <w:rPr>
      <w:rFonts w:ascii="Times New Roman" w:eastAsia="Arial Unicode MS" w:hAnsi="Times New Roman" w:cs="Times New Roman"/>
      <w:b/>
      <w:bCs/>
      <w:kern w:val="1"/>
      <w:sz w:val="20"/>
      <w:szCs w:val="20"/>
      <w:lang w:val="es-ES_tradnl" w:eastAsia="ar-SA"/>
    </w:rPr>
  </w:style>
  <w:style w:type="paragraph" w:styleId="NormalWeb">
    <w:name w:val="Normal (Web)"/>
    <w:basedOn w:val="Normal"/>
    <w:uiPriority w:val="99"/>
    <w:semiHidden/>
    <w:unhideWhenUsed/>
    <w:rsid w:val="008A5ABE"/>
    <w:pPr>
      <w:suppressAutoHyphens w:val="0"/>
      <w:spacing w:before="100" w:beforeAutospacing="1" w:after="100" w:afterAutospacing="1" w:line="240" w:lineRule="auto"/>
    </w:pPr>
    <w:rPr>
      <w:rFonts w:eastAsia="Calibri"/>
      <w:kern w:val="0"/>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27</Pages>
  <Words>7700</Words>
  <Characters>42353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pmacanchi</dc:creator>
  <cp:lastModifiedBy>dcevallos</cp:lastModifiedBy>
  <cp:revision>33</cp:revision>
  <cp:lastPrinted>2015-12-16T17:02:00Z</cp:lastPrinted>
  <dcterms:created xsi:type="dcterms:W3CDTF">2015-11-23T14:47:00Z</dcterms:created>
  <dcterms:modified xsi:type="dcterms:W3CDTF">2015-12-16T17:07:00Z</dcterms:modified>
</cp:coreProperties>
</file>