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Pr="00184A73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  <w:r w:rsidRPr="00184A73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184A73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84A73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184A73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184A73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Pr="00184A73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El </w:t>
      </w:r>
      <w:r w:rsidR="00BE4F22" w:rsidRPr="00184A73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A86186" w:rsidRPr="00184A73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A86186" w:rsidRPr="00184A73">
        <w:rPr>
          <w:rFonts w:ascii="Palatino Linotype" w:hAnsi="Palatino Linotype" w:cs="Arial"/>
          <w:b w:val="0"/>
          <w:sz w:val="22"/>
          <w:szCs w:val="22"/>
        </w:rPr>
        <w:t>Pro</w:t>
      </w:r>
      <w:r w:rsidR="009231A6">
        <w:rPr>
          <w:rFonts w:ascii="Palatino Linotype" w:hAnsi="Palatino Linotype" w:cs="Arial"/>
          <w:b w:val="0"/>
          <w:sz w:val="22"/>
          <w:szCs w:val="22"/>
        </w:rPr>
        <w:t>m</w:t>
      </w:r>
      <w:r w:rsidR="00A86186" w:rsidRPr="00184A73">
        <w:rPr>
          <w:rFonts w:ascii="Palatino Linotype" w:hAnsi="Palatino Linotype" w:cs="Arial"/>
          <w:b w:val="0"/>
          <w:sz w:val="22"/>
          <w:szCs w:val="22"/>
        </w:rPr>
        <w:t>ejoras</w:t>
      </w:r>
      <w:proofErr w:type="spellEnd"/>
      <w:r w:rsidR="00A86186" w:rsidRPr="00184A73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D2233B" w:rsidRPr="00184A73">
        <w:rPr>
          <w:rFonts w:ascii="Palatino Linotype" w:hAnsi="Palatino Linotype" w:cs="Arial"/>
          <w:b w:val="0"/>
          <w:sz w:val="22"/>
          <w:szCs w:val="22"/>
        </w:rPr>
        <w:t>del barrio “</w:t>
      </w:r>
      <w:r w:rsidR="009231A6">
        <w:rPr>
          <w:rFonts w:ascii="Palatino Linotype" w:hAnsi="Palatino Linotype" w:cs="Arial"/>
          <w:b w:val="0"/>
          <w:sz w:val="22"/>
          <w:szCs w:val="22"/>
        </w:rPr>
        <w:t xml:space="preserve">Sultana de los Andes”, </w:t>
      </w: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 w:rsidR="009231A6">
        <w:rPr>
          <w:rFonts w:ascii="Palatino Linotype" w:hAnsi="Palatino Linotype" w:cs="Arial"/>
          <w:b w:val="0"/>
          <w:sz w:val="22"/>
          <w:szCs w:val="22"/>
        </w:rPr>
        <w:t>19</w:t>
      </w: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9231A6">
        <w:rPr>
          <w:rFonts w:ascii="Palatino Linotype" w:hAnsi="Palatino Linotype" w:cs="Arial"/>
          <w:b w:val="0"/>
          <w:sz w:val="22"/>
          <w:szCs w:val="22"/>
        </w:rPr>
        <w:t>65</w:t>
      </w:r>
      <w:r w:rsidR="00BE4F22" w:rsidRPr="00184A73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6D3AAD" w:rsidRPr="00184A73">
        <w:rPr>
          <w:rFonts w:ascii="Palatino Linotype" w:hAnsi="Palatino Linotype" w:cs="Arial"/>
          <w:b w:val="0"/>
          <w:sz w:val="22"/>
          <w:szCs w:val="22"/>
        </w:rPr>
        <w:t>lotes</w:t>
      </w:r>
      <w:r w:rsidR="009231A6">
        <w:rPr>
          <w:rFonts w:ascii="Palatino Linotype" w:hAnsi="Palatino Linotype" w:cs="Arial"/>
          <w:b w:val="0"/>
          <w:sz w:val="22"/>
          <w:szCs w:val="22"/>
        </w:rPr>
        <w:t>, 65 posesionarios</w:t>
      </w:r>
      <w:r w:rsidR="006D3AAD" w:rsidRPr="00184A73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9231A6">
        <w:rPr>
          <w:rFonts w:ascii="Palatino Linotype" w:hAnsi="Palatino Linotype" w:cs="Arial"/>
          <w:b w:val="0"/>
          <w:sz w:val="22"/>
          <w:szCs w:val="22"/>
        </w:rPr>
        <w:t>260</w:t>
      </w: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D2233B" w:rsidRPr="00184A73">
        <w:rPr>
          <w:rFonts w:ascii="Palatino Linotype" w:hAnsi="Palatino Linotype" w:cs="Arial"/>
          <w:b w:val="0"/>
          <w:sz w:val="22"/>
          <w:szCs w:val="22"/>
        </w:rPr>
        <w:t>habitantes</w:t>
      </w:r>
      <w:r w:rsidRPr="00184A73">
        <w:rPr>
          <w:rFonts w:ascii="Palatino Linotype" w:hAnsi="Palatino Linotype" w:cs="Arial"/>
          <w:b w:val="0"/>
          <w:sz w:val="22"/>
          <w:szCs w:val="22"/>
        </w:rPr>
        <w:t>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Pr="00184A73" w:rsidRDefault="003078EC" w:rsidP="00077615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84A73"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</w:t>
      </w:r>
      <w:r w:rsidR="004D7B61" w:rsidRPr="00184A73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r w:rsidR="009231A6" w:rsidRPr="00184A73">
        <w:rPr>
          <w:rFonts w:ascii="Palatino Linotype" w:hAnsi="Palatino Linotype" w:cs="Arial"/>
          <w:b w:val="0"/>
          <w:sz w:val="22"/>
          <w:szCs w:val="22"/>
        </w:rPr>
        <w:t xml:space="preserve">Comité </w:t>
      </w:r>
      <w:proofErr w:type="spellStart"/>
      <w:r w:rsidR="009231A6" w:rsidRPr="00184A73">
        <w:rPr>
          <w:rFonts w:ascii="Palatino Linotype" w:hAnsi="Palatino Linotype" w:cs="Arial"/>
          <w:b w:val="0"/>
          <w:sz w:val="22"/>
          <w:szCs w:val="22"/>
        </w:rPr>
        <w:t>Pro</w:t>
      </w:r>
      <w:r w:rsidR="009231A6">
        <w:rPr>
          <w:rFonts w:ascii="Palatino Linotype" w:hAnsi="Palatino Linotype" w:cs="Arial"/>
          <w:b w:val="0"/>
          <w:sz w:val="22"/>
          <w:szCs w:val="22"/>
        </w:rPr>
        <w:t>m</w:t>
      </w:r>
      <w:r w:rsidR="009231A6" w:rsidRPr="00184A73">
        <w:rPr>
          <w:rFonts w:ascii="Palatino Linotype" w:hAnsi="Palatino Linotype" w:cs="Arial"/>
          <w:b w:val="0"/>
          <w:sz w:val="22"/>
          <w:szCs w:val="22"/>
        </w:rPr>
        <w:t>ejoras</w:t>
      </w:r>
      <w:proofErr w:type="spellEnd"/>
      <w:r w:rsidR="009231A6" w:rsidRPr="00184A73">
        <w:rPr>
          <w:rFonts w:ascii="Palatino Linotype" w:hAnsi="Palatino Linotype" w:cs="Arial"/>
          <w:b w:val="0"/>
          <w:sz w:val="22"/>
          <w:szCs w:val="22"/>
        </w:rPr>
        <w:t xml:space="preserve"> del barrio “</w:t>
      </w:r>
      <w:r w:rsidR="009231A6">
        <w:rPr>
          <w:rFonts w:ascii="Palatino Linotype" w:hAnsi="Palatino Linotype" w:cs="Arial"/>
          <w:b w:val="0"/>
          <w:sz w:val="22"/>
          <w:szCs w:val="22"/>
        </w:rPr>
        <w:t>Sultana de los Andes”</w:t>
      </w:r>
      <w:r w:rsidRPr="00184A73"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Pr="00184A73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184A73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Pr="00184A73" w:rsidRDefault="003078EC" w:rsidP="00077615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RPr="00184A73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184A73" w:rsidRDefault="00C52450" w:rsidP="00077615">
      <w:pPr>
        <w:pStyle w:val="Ttulo"/>
        <w:spacing w:before="240" w:after="240" w:line="276" w:lineRule="auto"/>
        <w:rPr>
          <w:rFonts w:ascii="Palatino Linotype" w:hAnsi="Palatino Linotype" w:cs="Arial"/>
          <w:sz w:val="22"/>
          <w:szCs w:val="22"/>
        </w:rPr>
      </w:pPr>
      <w:r w:rsidRPr="00184A73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184A73" w:rsidRDefault="00870361" w:rsidP="00077615">
      <w:pPr>
        <w:spacing w:before="240"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84A73">
        <w:rPr>
          <w:rFonts w:ascii="Palatino Linotype" w:hAnsi="Palatino Linotype" w:cs="Arial"/>
          <w:sz w:val="22"/>
          <w:szCs w:val="22"/>
        </w:rPr>
        <w:t xml:space="preserve">Visto </w:t>
      </w:r>
      <w:r w:rsidR="00057D41" w:rsidRPr="00184A73">
        <w:rPr>
          <w:rFonts w:ascii="Palatino Linotype" w:hAnsi="Palatino Linotype" w:cs="Arial"/>
          <w:sz w:val="22"/>
          <w:szCs w:val="22"/>
        </w:rPr>
        <w:t>e</w:t>
      </w:r>
      <w:r w:rsidRPr="00184A73">
        <w:rPr>
          <w:rFonts w:ascii="Palatino Linotype" w:hAnsi="Palatino Linotype" w:cs="Arial"/>
          <w:sz w:val="22"/>
          <w:szCs w:val="22"/>
        </w:rPr>
        <w:t>l Informe No. IC-O-201</w:t>
      </w:r>
      <w:r w:rsidR="00057D41" w:rsidRPr="00184A73">
        <w:rPr>
          <w:rFonts w:ascii="Palatino Linotype" w:hAnsi="Palatino Linotype" w:cs="Arial"/>
          <w:sz w:val="22"/>
          <w:szCs w:val="22"/>
        </w:rPr>
        <w:t>5</w:t>
      </w:r>
      <w:r w:rsidRPr="00184A73">
        <w:rPr>
          <w:rFonts w:ascii="Palatino Linotype" w:hAnsi="Palatino Linotype" w:cs="Arial"/>
          <w:sz w:val="22"/>
          <w:szCs w:val="22"/>
        </w:rPr>
        <w:t>-</w:t>
      </w:r>
      <w:r w:rsidR="006D3AAD" w:rsidRPr="00184A73">
        <w:rPr>
          <w:rFonts w:ascii="Palatino Linotype" w:hAnsi="Palatino Linotype" w:cs="Arial"/>
          <w:sz w:val="22"/>
          <w:szCs w:val="22"/>
        </w:rPr>
        <w:t>1</w:t>
      </w:r>
      <w:r w:rsidR="00D2233B" w:rsidRPr="00184A73">
        <w:rPr>
          <w:rFonts w:ascii="Palatino Linotype" w:hAnsi="Palatino Linotype" w:cs="Arial"/>
          <w:sz w:val="22"/>
          <w:szCs w:val="22"/>
        </w:rPr>
        <w:t>6</w:t>
      </w:r>
      <w:r w:rsidR="009231A6">
        <w:rPr>
          <w:rFonts w:ascii="Palatino Linotype" w:hAnsi="Palatino Linotype" w:cs="Arial"/>
          <w:sz w:val="22"/>
          <w:szCs w:val="22"/>
        </w:rPr>
        <w:t>2</w:t>
      </w:r>
      <w:r w:rsidR="007F3A59" w:rsidRPr="00184A73">
        <w:rPr>
          <w:rFonts w:ascii="Palatino Linotype" w:hAnsi="Palatino Linotype" w:cs="Arial"/>
          <w:sz w:val="22"/>
          <w:szCs w:val="22"/>
        </w:rPr>
        <w:t xml:space="preserve">, de </w:t>
      </w:r>
      <w:r w:rsidR="006D3AAD" w:rsidRPr="00184A73">
        <w:rPr>
          <w:rFonts w:ascii="Palatino Linotype" w:hAnsi="Palatino Linotype" w:cs="Arial"/>
          <w:sz w:val="22"/>
          <w:szCs w:val="22"/>
        </w:rPr>
        <w:t>20</w:t>
      </w:r>
      <w:r w:rsidR="00057D41" w:rsidRPr="00184A73">
        <w:rPr>
          <w:rFonts w:ascii="Palatino Linotype" w:hAnsi="Palatino Linotype" w:cs="Arial"/>
          <w:sz w:val="22"/>
          <w:szCs w:val="22"/>
        </w:rPr>
        <w:t xml:space="preserve"> </w:t>
      </w:r>
      <w:r w:rsidR="007F3A59" w:rsidRPr="00184A73">
        <w:rPr>
          <w:rFonts w:ascii="Palatino Linotype" w:hAnsi="Palatino Linotype" w:cs="Arial"/>
          <w:sz w:val="22"/>
          <w:szCs w:val="22"/>
        </w:rPr>
        <w:t xml:space="preserve">de </w:t>
      </w:r>
      <w:r w:rsidR="006D3AAD" w:rsidRPr="00184A73">
        <w:rPr>
          <w:rFonts w:ascii="Palatino Linotype" w:hAnsi="Palatino Linotype" w:cs="Arial"/>
          <w:sz w:val="22"/>
          <w:szCs w:val="22"/>
        </w:rPr>
        <w:t xml:space="preserve">julio </w:t>
      </w:r>
      <w:r w:rsidR="00057D41" w:rsidRPr="00184A73">
        <w:rPr>
          <w:rFonts w:ascii="Palatino Linotype" w:hAnsi="Palatino Linotype" w:cs="Arial"/>
          <w:sz w:val="22"/>
          <w:szCs w:val="22"/>
        </w:rPr>
        <w:t>de 2015</w:t>
      </w:r>
      <w:r w:rsidR="007F3A59" w:rsidRPr="00184A73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 w:rsidRPr="00184A73"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84A73" w:rsidRDefault="001123C1" w:rsidP="00077615">
      <w:pPr>
        <w:spacing w:before="240"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184A73"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</w:rPr>
        <w:t xml:space="preserve">Que, </w:t>
      </w:r>
      <w:r w:rsidRPr="00184A73">
        <w:rPr>
          <w:rFonts w:ascii="Palatino Linotype" w:hAnsi="Palatino Linotype" w:cs="Arial"/>
          <w:b/>
        </w:rPr>
        <w:tab/>
      </w:r>
      <w:r w:rsidRPr="00184A73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A73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A73">
        <w:rPr>
          <w:rFonts w:ascii="Palatino Linotype" w:hAnsi="Palatino Linotype" w:cs="Arial"/>
        </w:rPr>
        <w:t>”;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  <w:bCs/>
        </w:rPr>
        <w:t>el artículo 31 de la Constitución expresa que: “</w:t>
      </w:r>
      <w:r w:rsidRPr="00184A73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A73">
        <w:rPr>
          <w:rFonts w:ascii="Palatino Linotype" w:hAnsi="Palatino Linotype" w:cs="Arial"/>
          <w:bCs/>
        </w:rPr>
        <w:t xml:space="preserve">”; 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</w:rPr>
        <w:t>el artículo 240 de la Constitución establece que: “</w:t>
      </w:r>
      <w:r w:rsidRPr="00184A73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A73">
        <w:rPr>
          <w:rFonts w:ascii="Palatino Linotype" w:hAnsi="Palatino Linotype" w:cs="Arial"/>
        </w:rPr>
        <w:t>”;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="00077615" w:rsidRPr="00184A73">
        <w:rPr>
          <w:rFonts w:ascii="Palatino Linotype" w:hAnsi="Palatino Linotype" w:cs="Arial"/>
        </w:rPr>
        <w:tab/>
        <w:t>el numeral 1 del artí</w:t>
      </w:r>
      <w:r w:rsidRPr="00184A73">
        <w:rPr>
          <w:rFonts w:ascii="Palatino Linotype" w:hAnsi="Palatino Linotype" w:cs="Arial"/>
        </w:rPr>
        <w:t>culo 264 de la Constitución manifiesta que: “</w:t>
      </w:r>
      <w:r w:rsidRPr="00184A73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A73">
        <w:rPr>
          <w:rFonts w:ascii="Palatino Linotype" w:hAnsi="Palatino Linotype" w:cs="Arial"/>
        </w:rPr>
        <w:t>”;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A73">
        <w:rPr>
          <w:rFonts w:ascii="Palatino Linotype" w:hAnsi="Palatino Linotype" w:cs="Arial"/>
          <w:b/>
          <w:bCs/>
        </w:rPr>
        <w:t xml:space="preserve"> </w:t>
      </w:r>
      <w:r w:rsidRPr="00184A73">
        <w:rPr>
          <w:rFonts w:ascii="Palatino Linotype" w:hAnsi="Palatino Linotype" w:cs="Arial"/>
          <w:bCs/>
        </w:rPr>
        <w:t>señala</w:t>
      </w:r>
      <w:r w:rsidRPr="00184A73">
        <w:rPr>
          <w:rFonts w:ascii="Palatino Linotype" w:hAnsi="Palatino Linotype" w:cs="Arial"/>
          <w:b/>
          <w:bCs/>
        </w:rPr>
        <w:t xml:space="preserve"> </w:t>
      </w:r>
      <w:r w:rsidRPr="00184A73">
        <w:rPr>
          <w:rFonts w:ascii="Palatino Linotype" w:hAnsi="Palatino Linotype" w:cs="Arial"/>
          <w:bCs/>
        </w:rPr>
        <w:t>como una función del gobierno autónomo descentralizado municipal</w:t>
      </w:r>
      <w:r w:rsidRPr="00184A73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A73">
        <w:rPr>
          <w:rFonts w:ascii="Palatino Linotype" w:hAnsi="Palatino Linotype" w:cs="Arial"/>
          <w:iCs/>
        </w:rPr>
        <w:t>“</w:t>
      </w:r>
      <w:r w:rsidRPr="00184A73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A73">
        <w:rPr>
          <w:rFonts w:ascii="Palatino Linotype" w:hAnsi="Palatino Linotype" w:cs="Arial"/>
          <w:i/>
        </w:rPr>
        <w:t xml:space="preserve"> </w:t>
      </w:r>
      <w:r w:rsidRPr="00184A73">
        <w:rPr>
          <w:rFonts w:ascii="Palatino Linotype" w:hAnsi="Palatino Linotype" w:cs="Arial"/>
          <w:i/>
          <w:iCs/>
        </w:rPr>
        <w:t xml:space="preserve">x) Regular y </w:t>
      </w:r>
      <w:r w:rsidRPr="00184A73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A73">
        <w:rPr>
          <w:rFonts w:ascii="Palatino Linotype" w:hAnsi="Palatino Linotype" w:cs="Arial"/>
          <w:i/>
        </w:rPr>
        <w:t xml:space="preserve"> y, (…) </w:t>
      </w:r>
      <w:r w:rsidRPr="00184A73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A73">
        <w:rPr>
          <w:rFonts w:ascii="Palatino Linotype" w:hAnsi="Palatino Linotype" w:cs="Arial"/>
          <w:i/>
          <w:iCs/>
        </w:rPr>
        <w:t>interbarrial</w:t>
      </w:r>
      <w:proofErr w:type="spellEnd"/>
      <w:r w:rsidRPr="00184A73">
        <w:rPr>
          <w:rFonts w:ascii="Palatino Linotype" w:hAnsi="Palatino Linotype" w:cs="Arial"/>
          <w:i/>
          <w:iCs/>
        </w:rPr>
        <w:t>.</w:t>
      </w:r>
      <w:r w:rsidRPr="00184A73">
        <w:rPr>
          <w:rFonts w:ascii="Palatino Linotype" w:hAnsi="Palatino Linotype" w:cs="Arial"/>
          <w:iCs/>
        </w:rPr>
        <w:t xml:space="preserve">”; </w:t>
      </w:r>
    </w:p>
    <w:p w:rsidR="003843CA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  <w:bCs/>
        </w:rPr>
        <w:t xml:space="preserve">Que,  </w:t>
      </w:r>
      <w:r w:rsidRPr="00184A73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9231A6" w:rsidRDefault="009231A6" w:rsidP="009231A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486 del COOTAD establece que: “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>
        <w:rPr>
          <w:rFonts w:ascii="Palatino Linotype" w:hAnsi="Palatino Linotype" w:cs="Arial"/>
          <w:bCs/>
          <w:i/>
          <w:lang w:val="es-ES_tradnl"/>
        </w:rPr>
        <w:t xml:space="preserve">de </w:t>
      </w:r>
      <w:r w:rsidRPr="001842A8">
        <w:rPr>
          <w:rFonts w:ascii="Palatino Linotype" w:hAnsi="Palatino Linotype" w:cs="Arial"/>
          <w:bCs/>
          <w:i/>
          <w:lang w:val="es-ES_tradnl"/>
        </w:rPr>
        <w:t>legisla</w:t>
      </w:r>
      <w:r>
        <w:rPr>
          <w:rFonts w:ascii="Palatino Linotype" w:hAnsi="Palatino Linotype" w:cs="Arial"/>
          <w:bCs/>
          <w:i/>
          <w:lang w:val="es-ES_tradnl"/>
        </w:rPr>
        <w:t>ción y fiscalización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>
        <w:rPr>
          <w:rFonts w:ascii="Palatino Linotype" w:hAnsi="Palatino Linotype" w:cs="Arial"/>
          <w:bCs/>
          <w:i/>
          <w:lang w:val="es-ES_tradnl"/>
        </w:rPr>
        <w:t>G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>
        <w:rPr>
          <w:rFonts w:ascii="Palatino Linotype" w:hAnsi="Palatino Linotype" w:cs="Arial"/>
          <w:bCs/>
          <w:i/>
          <w:lang w:val="es-ES_tradnl"/>
        </w:rPr>
        <w:t>Autónomo D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Pr="001842A8">
        <w:rPr>
          <w:rFonts w:ascii="Palatino Linotype" w:hAnsi="Palatino Linotype" w:cs="Arial"/>
          <w:bCs/>
          <w:lang w:val="es-ES_tradnl"/>
        </w:rPr>
        <w:t>”</w:t>
      </w:r>
      <w:r w:rsidRPr="001842A8">
        <w:rPr>
          <w:rFonts w:ascii="Palatino Linotype" w:hAnsi="Palatino Linotype" w:cs="Arial"/>
          <w:b/>
          <w:bCs/>
        </w:rPr>
        <w:t>;</w:t>
      </w:r>
    </w:p>
    <w:p w:rsidR="00C15531" w:rsidRPr="00184A73" w:rsidRDefault="00C15531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  <w:bCs/>
        </w:rPr>
        <w:t>la Disposición Transitoria Décima Cuarta del COOTAD, señala: “</w:t>
      </w:r>
      <w:r w:rsidRPr="00184A73">
        <w:rPr>
          <w:rFonts w:ascii="Palatino Linotype" w:hAnsi="Palatino Linotype" w:cs="Arial"/>
          <w:bCs/>
          <w:i/>
        </w:rPr>
        <w:t xml:space="preserve">(…) </w:t>
      </w:r>
      <w:r w:rsidRPr="00184A73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184A73">
        <w:rPr>
          <w:rFonts w:ascii="Palatino Linotype" w:hAnsi="Palatino Linotype" w:cs="Arial"/>
        </w:rPr>
        <w:t>.”;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A73" w:rsidRDefault="003843CA" w:rsidP="00077615">
      <w:pPr>
        <w:pStyle w:val="Sinespaciado"/>
        <w:spacing w:before="240"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  <w:bCs/>
        </w:rPr>
        <w:t>el</w:t>
      </w:r>
      <w:r w:rsidRPr="00184A73">
        <w:rPr>
          <w:rFonts w:ascii="Palatino Linotype" w:hAnsi="Palatino Linotype" w:cs="Arial"/>
          <w:b/>
          <w:bCs/>
        </w:rPr>
        <w:t xml:space="preserve"> </w:t>
      </w:r>
      <w:r w:rsidRPr="00184A73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9179C7" w:rsidRPr="00184A73" w:rsidRDefault="003843CA" w:rsidP="009231A6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A73">
        <w:rPr>
          <w:rFonts w:ascii="Palatino Linotype" w:hAnsi="Palatino Linotype" w:cs="Arial"/>
          <w:b/>
          <w:bCs/>
        </w:rPr>
        <w:t>Que,</w:t>
      </w:r>
      <w:r w:rsidRPr="00184A73">
        <w:rPr>
          <w:rFonts w:ascii="Palatino Linotype" w:hAnsi="Palatino Linotype" w:cs="Arial"/>
          <w:b/>
          <w:bCs/>
        </w:rPr>
        <w:tab/>
      </w:r>
      <w:r w:rsidRPr="00184A73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9231A6" w:rsidRPr="008C42FE" w:rsidRDefault="009231A6" w:rsidP="009231A6">
      <w:pPr>
        <w:spacing w:after="240" w:line="276" w:lineRule="auto"/>
        <w:ind w:left="708" w:hanging="957"/>
        <w:jc w:val="both"/>
        <w:rPr>
          <w:rFonts w:ascii="Palatino Linotype" w:eastAsia="Calibri" w:hAnsi="Palatino Linotype"/>
          <w:sz w:val="22"/>
          <w:szCs w:val="22"/>
          <w:lang w:val="es-EC" w:eastAsia="en-US"/>
        </w:rPr>
      </w:pPr>
      <w:r w:rsidRPr="00AA4753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>Que,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ab/>
      </w:r>
      <w:r w:rsidRPr="00B87CF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la Mesa Institucional de Trabajo, reunida el 25 de marzo de 2015 en la Administración Zonal Quitumbe, integrada por los siguientes órganos y dependencias: </w:t>
      </w:r>
      <w:r w:rsidRPr="00B87CF0">
        <w:rPr>
          <w:rFonts w:ascii="Palatino Linotype" w:eastAsia="Calibri" w:hAnsi="Palatino Linotype"/>
          <w:sz w:val="22"/>
          <w:szCs w:val="22"/>
          <w:lang w:val="es-EC" w:eastAsia="en-US"/>
        </w:rPr>
        <w:lastRenderedPageBreak/>
        <w:t xml:space="preserve">Administración Zonal Quitumbe; Dirección Zonal de Asesoría Jurídica; Dirección Metropolitana de Catastro; Secretaría de Territorio, Hábitat y Vivienda; Dirección Metropolitana de Gestión de Riesgos; Dirección de Gestión del Territorio Zonal Quitumbe; y,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la </w:t>
      </w:r>
      <w:r w:rsidRPr="00B87CF0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Unidad Especial Regula Tu Barrio, </w:t>
      </w:r>
      <w:r w:rsidRPr="00B87CF0">
        <w:rPr>
          <w:rFonts w:ascii="Palatino Linotype" w:eastAsia="Calibri" w:hAnsi="Palatino Linotype"/>
          <w:iCs/>
          <w:sz w:val="22"/>
          <w:szCs w:val="22"/>
          <w:lang w:val="es-EC" w:eastAsia="en-US"/>
        </w:rPr>
        <w:t xml:space="preserve">emitió el </w:t>
      </w:r>
      <w:r w:rsidRPr="00B87CF0">
        <w:rPr>
          <w:rFonts w:ascii="Palatino Linotype" w:hAnsi="Palatino Linotype" w:cs="Arial"/>
          <w:sz w:val="22"/>
          <w:szCs w:val="22"/>
        </w:rPr>
        <w:t>informe No. 0</w:t>
      </w:r>
      <w:r>
        <w:rPr>
          <w:rFonts w:ascii="Palatino Linotype" w:hAnsi="Palatino Linotype" w:cs="Arial"/>
          <w:sz w:val="22"/>
          <w:szCs w:val="22"/>
        </w:rPr>
        <w:t>06</w:t>
      </w:r>
      <w:r w:rsidRPr="00791794">
        <w:rPr>
          <w:rFonts w:ascii="Palatino Linotype" w:hAnsi="Palatino Linotype" w:cs="Arial"/>
          <w:sz w:val="22"/>
          <w:szCs w:val="22"/>
        </w:rPr>
        <w:t>-</w:t>
      </w:r>
      <w:r w:rsidRPr="00791794">
        <w:rPr>
          <w:rFonts w:ascii="Palatino Linotype" w:hAnsi="Palatino Linotype" w:cs="Arial"/>
          <w:sz w:val="22"/>
          <w:szCs w:val="22"/>
          <w:lang w:val="es-EC"/>
        </w:rPr>
        <w:t>UERB-Q-SOLT-2015</w:t>
      </w:r>
      <w:r w:rsidRPr="00791794">
        <w:rPr>
          <w:rFonts w:ascii="Palatino Linotype" w:hAnsi="Palatino Linotype" w:cs="Arial"/>
          <w:sz w:val="22"/>
          <w:szCs w:val="22"/>
        </w:rPr>
        <w:t xml:space="preserve">, </w:t>
      </w:r>
      <w:r w:rsidRPr="00791794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para la aprobación del Asentamiento Humano de Hecho y Consolidado denominado Comité </w:t>
      </w:r>
      <w:proofErr w:type="spellStart"/>
      <w:r w:rsidRPr="00791794">
        <w:rPr>
          <w:rFonts w:ascii="Palatino Linotype" w:eastAsia="Calibri" w:hAnsi="Palatino Linotype"/>
          <w:sz w:val="22"/>
          <w:szCs w:val="22"/>
          <w:lang w:val="es-EC" w:eastAsia="en-US"/>
        </w:rPr>
        <w:t>Pro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m</w:t>
      </w:r>
      <w:r w:rsidRPr="00791794">
        <w:rPr>
          <w:rFonts w:ascii="Palatino Linotype" w:eastAsia="Calibri" w:hAnsi="Palatino Linotype"/>
          <w:sz w:val="22"/>
          <w:szCs w:val="22"/>
          <w:lang w:val="es-EC" w:eastAsia="en-US"/>
        </w:rPr>
        <w:t>ejoras</w:t>
      </w:r>
      <w:proofErr w:type="spellEnd"/>
      <w:r w:rsidRPr="00791794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“Sultana de los Andes”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a favor de sus copropietarios.</w:t>
      </w:r>
    </w:p>
    <w:p w:rsidR="008079C6" w:rsidRPr="009231A6" w:rsidRDefault="008079C6" w:rsidP="00D2233B">
      <w:pPr>
        <w:pStyle w:val="Sinespaciado"/>
        <w:spacing w:after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184A73">
        <w:rPr>
          <w:rFonts w:ascii="Palatino Linotype" w:hAnsi="Palatino Linotype" w:cs="Arial"/>
          <w:b/>
          <w:bCs/>
        </w:rPr>
        <w:t xml:space="preserve">En </w:t>
      </w:r>
      <w:r w:rsidRPr="00184A73">
        <w:rPr>
          <w:rFonts w:ascii="Palatino Linotype" w:hAnsi="Palatino Linotype" w:cs="Arial"/>
          <w:b/>
        </w:rPr>
        <w:t xml:space="preserve">ejercicio  de  sus  atribuciones  legales  constantes en los artículos 30, 31, 240 y 264 numeral 1 de la Constitución  de la República del Ecuador; 84, literal c), 87, literales a), v) y x), y 322 del Código Orgánico de Organización Territorial Autonomía y Descentralización; </w:t>
      </w:r>
      <w:r w:rsidRPr="009231A6">
        <w:rPr>
          <w:rFonts w:ascii="Palatino Linotype" w:hAnsi="Palatino Linotype" w:cs="Arial"/>
          <w:b/>
        </w:rPr>
        <w:t>2, numeral 1, 8, numeral 1 de la Ley Orgánica de Régimen para el  Distrito Metropolitano de Quito; y, 2 de la  Resolución No. A0010, de 19 de marzo de 2010,</w:t>
      </w:r>
    </w:p>
    <w:p w:rsidR="003667C0" w:rsidRPr="009231A6" w:rsidRDefault="00C52450" w:rsidP="00D2233B">
      <w:pPr>
        <w:spacing w:after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9231A6">
        <w:rPr>
          <w:rFonts w:ascii="Palatino Linotype" w:hAnsi="Palatino Linotype"/>
          <w:b/>
          <w:sz w:val="22"/>
          <w:szCs w:val="22"/>
        </w:rPr>
        <w:t>EXPIDE</w:t>
      </w:r>
      <w:r w:rsidR="00B452F1" w:rsidRPr="009231A6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9231A6">
        <w:rPr>
          <w:rFonts w:ascii="Palatino Linotype" w:hAnsi="Palatino Linotype"/>
          <w:b/>
          <w:sz w:val="22"/>
          <w:szCs w:val="22"/>
        </w:rPr>
        <w:t>:</w:t>
      </w:r>
    </w:p>
    <w:p w:rsidR="004D7B61" w:rsidRPr="009231A6" w:rsidRDefault="004D7B61" w:rsidP="00D2233B">
      <w:pPr>
        <w:pStyle w:val="Sinespaciado"/>
        <w:spacing w:after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9231A6">
        <w:rPr>
          <w:rFonts w:ascii="Palatino Linotype" w:hAnsi="Palatino Linotype" w:cs="Arial"/>
          <w:b/>
        </w:rPr>
        <w:t>ORDENANZA QUE RECONOCE Y APRUEBA EL ASENTAMIENTO HUMANO DE HECHO Y CONSO</w:t>
      </w:r>
      <w:r w:rsidR="009231A6" w:rsidRPr="009231A6">
        <w:rPr>
          <w:rFonts w:ascii="Palatino Linotype" w:hAnsi="Palatino Linotype" w:cs="Arial"/>
          <w:b/>
        </w:rPr>
        <w:t>LIDADO DENOMINADO COMITÉ PRO</w:t>
      </w:r>
      <w:r w:rsidRPr="009231A6">
        <w:rPr>
          <w:rFonts w:ascii="Palatino Linotype" w:hAnsi="Palatino Linotype" w:cs="Arial"/>
          <w:b/>
        </w:rPr>
        <w:t>MEJORAS DEL BARRIO  “</w:t>
      </w:r>
      <w:r w:rsidR="009231A6" w:rsidRPr="009231A6">
        <w:rPr>
          <w:rFonts w:ascii="Palatino Linotype" w:hAnsi="Palatino Linotype" w:cs="Arial"/>
          <w:b/>
        </w:rPr>
        <w:t>SULTANA DE LOS ANDES</w:t>
      </w:r>
      <w:r w:rsidR="00D2233B" w:rsidRPr="009231A6">
        <w:rPr>
          <w:rFonts w:ascii="Palatino Linotype" w:hAnsi="Palatino Linotype" w:cs="Arial"/>
          <w:b/>
        </w:rPr>
        <w:t xml:space="preserve">”, </w:t>
      </w:r>
      <w:r w:rsidR="009231A6" w:rsidRPr="009231A6">
        <w:rPr>
          <w:rFonts w:ascii="Palatino Linotype" w:hAnsi="Palatino Linotype" w:cs="Arial"/>
          <w:b/>
        </w:rPr>
        <w:t>A FAVOR DE SUS COPROPIETARIOS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9231A6">
        <w:rPr>
          <w:rFonts w:ascii="Palatino Linotype" w:hAnsi="Palatino Linotype"/>
          <w:b/>
          <w:sz w:val="22"/>
          <w:szCs w:val="22"/>
          <w:lang w:val="es-EC"/>
        </w:rPr>
        <w:t xml:space="preserve"> 1.- De los planos y documentos presentados.-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Los planos y documentos presentados son de exclusiva responsabilidad del proyectista, y copropietarios del predio donde se encuentra el Asentamiento Humano de Hecho y Consolidado denominado</w:t>
      </w:r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“</w:t>
      </w:r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Sultana de los Andes”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,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sin perjuicio de la responsabilidad de quienes revisaron los planos y los documentos legales, excepto en caso de que hayan sido inducidos a engaño.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>En caso de comprobarse ocultación o falsedad en planos, datos, documentos; o de existir reclamos de terceros afectados, será de exclusiva responsabilidad del técnico y de los copropietarios del predio.</w:t>
      </w:r>
      <w:r w:rsidRPr="009231A6">
        <w:rPr>
          <w:rFonts w:ascii="Palatino Linotype" w:hAnsi="Palatino Linotype"/>
          <w:sz w:val="22"/>
          <w:szCs w:val="22"/>
        </w:rPr>
        <w:t xml:space="preserve"> 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>Por las condiciones de asentamiento humano de hecho y consolidado, se lo aprueba considerándolo de interés social.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highlight w:val="yellow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Zonificación actual</w:t>
      </w:r>
      <w:r>
        <w:rPr>
          <w:rFonts w:ascii="Palatino Linotype" w:hAnsi="Palatino Linotype" w:cs="Arial"/>
          <w:b/>
          <w:sz w:val="22"/>
          <w:szCs w:val="22"/>
        </w:rPr>
        <w:t>:</w:t>
      </w:r>
      <w:r w:rsidRPr="009231A6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b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>D3</w:t>
      </w:r>
      <w:r w:rsidRPr="009231A6">
        <w:rPr>
          <w:rFonts w:ascii="Palatino Linotype" w:hAnsi="Palatino Linotype"/>
          <w:sz w:val="22"/>
          <w:szCs w:val="22"/>
        </w:rPr>
        <w:t xml:space="preserve"> (D203-80) 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lastRenderedPageBreak/>
        <w:t>Lote mínimo:</w:t>
      </w:r>
      <w:r w:rsidRPr="009231A6">
        <w:rPr>
          <w:rFonts w:ascii="Palatino Linotype" w:hAnsi="Palatino Linotype" w:cs="Arial"/>
          <w:b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>200 m</w:t>
      </w:r>
      <w:r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9231A6">
        <w:rPr>
          <w:rFonts w:ascii="Palatino Linotype" w:hAnsi="Palatino Linotype" w:cs="Arial"/>
          <w:sz w:val="22"/>
          <w:szCs w:val="22"/>
        </w:rPr>
        <w:t xml:space="preserve"> 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 xml:space="preserve">Forma de ocupación del suelo: </w:t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/>
          <w:sz w:val="22"/>
          <w:szCs w:val="22"/>
        </w:rPr>
        <w:t>(D) Sobre línea de fábrica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Uso principal del suelo:</w:t>
      </w:r>
      <w:r w:rsidRPr="009231A6">
        <w:rPr>
          <w:rFonts w:ascii="Palatino Linotype" w:hAnsi="Palatino Linotype" w:cs="Arial"/>
          <w:b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/>
          <w:sz w:val="22"/>
          <w:szCs w:val="22"/>
        </w:rPr>
        <w:t xml:space="preserve">(AR) Agrícola Residencial </w:t>
      </w:r>
    </w:p>
    <w:p w:rsidR="009231A6" w:rsidRPr="009231A6" w:rsidRDefault="009231A6" w:rsidP="00923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Número de lotes:</w:t>
      </w:r>
      <w:r w:rsidRPr="009231A6"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>65</w:t>
      </w:r>
    </w:p>
    <w:p w:rsidR="009231A6" w:rsidRPr="009231A6" w:rsidRDefault="009231A6" w:rsidP="00923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Área útil de lotes:</w:t>
      </w:r>
      <w:r w:rsidRPr="009231A6"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            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Calibri"/>
          <w:sz w:val="22"/>
          <w:szCs w:val="22"/>
        </w:rPr>
        <w:t>12.755,55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sz w:val="22"/>
          <w:szCs w:val="22"/>
        </w:rPr>
        <w:t>m</w:t>
      </w:r>
      <w:r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Pr="009231A6">
        <w:rPr>
          <w:rFonts w:ascii="Palatino Linotype" w:hAnsi="Palatino Linotype" w:cs="Arial"/>
          <w:sz w:val="22"/>
          <w:szCs w:val="22"/>
        </w:rPr>
        <w:tab/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Área de vías y pasajes:</w:t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              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Calibri"/>
          <w:sz w:val="22"/>
          <w:szCs w:val="22"/>
        </w:rPr>
        <w:t>4.914,20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sz w:val="22"/>
          <w:szCs w:val="22"/>
        </w:rPr>
        <w:t>m</w:t>
      </w:r>
      <w:r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vertAlign w:val="superscript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sz w:val="22"/>
          <w:szCs w:val="22"/>
        </w:rPr>
        <w:t>v</w:t>
      </w:r>
      <w:r w:rsidRPr="009231A6">
        <w:rPr>
          <w:rFonts w:ascii="Palatino Linotype" w:hAnsi="Palatino Linotype" w:cs="Arial"/>
          <w:b/>
          <w:sz w:val="22"/>
          <w:szCs w:val="22"/>
        </w:rPr>
        <w:t xml:space="preserve">erde y </w:t>
      </w:r>
      <w:r>
        <w:rPr>
          <w:rFonts w:ascii="Palatino Linotype" w:hAnsi="Palatino Linotype" w:cs="Arial"/>
          <w:b/>
          <w:sz w:val="22"/>
          <w:szCs w:val="22"/>
        </w:rPr>
        <w:t>c</w:t>
      </w:r>
      <w:r w:rsidRPr="009231A6">
        <w:rPr>
          <w:rFonts w:ascii="Palatino Linotype" w:hAnsi="Palatino Linotype" w:cs="Arial"/>
          <w:b/>
          <w:sz w:val="22"/>
          <w:szCs w:val="22"/>
        </w:rPr>
        <w:t>omunal:</w:t>
      </w:r>
      <w:r w:rsidRPr="009231A6">
        <w:rPr>
          <w:rFonts w:ascii="Palatino Linotype" w:hAnsi="Palatino Linotype" w:cs="Arial"/>
          <w:sz w:val="22"/>
          <w:szCs w:val="22"/>
        </w:rPr>
        <w:tab/>
        <w:t xml:space="preserve">                </w:t>
      </w:r>
      <w:r>
        <w:rPr>
          <w:rFonts w:ascii="Palatino Linotype" w:hAnsi="Palatino Linotype" w:cs="Arial"/>
          <w:sz w:val="22"/>
          <w:szCs w:val="22"/>
        </w:rPr>
        <w:tab/>
      </w:r>
      <w:r w:rsidRPr="009231A6">
        <w:rPr>
          <w:rFonts w:ascii="Palatino Linotype" w:hAnsi="Palatino Linotype" w:cs="Calibri"/>
          <w:sz w:val="22"/>
          <w:szCs w:val="22"/>
        </w:rPr>
        <w:t>2.584,85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sz w:val="22"/>
          <w:szCs w:val="22"/>
        </w:rPr>
        <w:t>m</w:t>
      </w:r>
      <w:r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b/>
          <w:sz w:val="22"/>
          <w:szCs w:val="22"/>
        </w:rPr>
        <w:t>(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l</w:t>
      </w:r>
      <w:r w:rsidRPr="009231A6">
        <w:rPr>
          <w:rFonts w:ascii="Palatino Linotype" w:hAnsi="Palatino Linotype" w:cs="Arial"/>
          <w:b/>
          <w:sz w:val="22"/>
          <w:szCs w:val="22"/>
        </w:rPr>
        <w:t>ev</w:t>
      </w:r>
      <w:proofErr w:type="spellEnd"/>
      <w:r w:rsidRPr="009231A6">
        <w:rPr>
          <w:rFonts w:ascii="Palatino Linotype" w:hAnsi="Palatino Linotype" w:cs="Arial"/>
          <w:b/>
          <w:sz w:val="22"/>
          <w:szCs w:val="22"/>
        </w:rPr>
        <w:t xml:space="preserve">. </w:t>
      </w:r>
      <w:proofErr w:type="spellStart"/>
      <w:r>
        <w:rPr>
          <w:rFonts w:ascii="Palatino Linotype" w:hAnsi="Palatino Linotype" w:cs="Arial"/>
          <w:b/>
          <w:sz w:val="22"/>
          <w:szCs w:val="22"/>
        </w:rPr>
        <w:t>t</w:t>
      </w:r>
      <w:r w:rsidRPr="009231A6">
        <w:rPr>
          <w:rFonts w:ascii="Palatino Linotype" w:hAnsi="Palatino Linotype" w:cs="Arial"/>
          <w:b/>
          <w:sz w:val="22"/>
          <w:szCs w:val="22"/>
        </w:rPr>
        <w:t>opog</w:t>
      </w:r>
      <w:proofErr w:type="spellEnd"/>
      <w:r w:rsidRPr="009231A6">
        <w:rPr>
          <w:rFonts w:ascii="Palatino Linotype" w:hAnsi="Palatino Linotype" w:cs="Arial"/>
          <w:b/>
          <w:sz w:val="22"/>
          <w:szCs w:val="22"/>
        </w:rPr>
        <w:t>.):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9231A6">
        <w:rPr>
          <w:rFonts w:ascii="Palatino Linotype" w:hAnsi="Palatino Linotype" w:cs="Arial"/>
          <w:sz w:val="22"/>
          <w:szCs w:val="22"/>
        </w:rPr>
        <w:t>20.254,60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sz w:val="22"/>
          <w:szCs w:val="22"/>
        </w:rPr>
        <w:t>m</w:t>
      </w:r>
      <w:r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231A6">
        <w:rPr>
          <w:rFonts w:ascii="Palatino Linotype" w:hAnsi="Palatino Linotype" w:cs="Arial"/>
          <w:b/>
          <w:sz w:val="22"/>
          <w:szCs w:val="22"/>
        </w:rPr>
        <w:t>Área total de predio</w:t>
      </w:r>
      <w:r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b/>
          <w:sz w:val="22"/>
          <w:szCs w:val="22"/>
        </w:rPr>
        <w:t>(</w:t>
      </w:r>
      <w:r>
        <w:rPr>
          <w:rFonts w:ascii="Palatino Linotype" w:hAnsi="Palatino Linotype" w:cs="Arial"/>
          <w:b/>
          <w:sz w:val="22"/>
          <w:szCs w:val="22"/>
        </w:rPr>
        <w:t>e</w:t>
      </w:r>
      <w:r w:rsidRPr="009231A6">
        <w:rPr>
          <w:rFonts w:ascii="Palatino Linotype" w:hAnsi="Palatino Linotype" w:cs="Arial"/>
          <w:b/>
          <w:sz w:val="22"/>
          <w:szCs w:val="22"/>
        </w:rPr>
        <w:t>scritura):</w:t>
      </w:r>
      <w:r>
        <w:rPr>
          <w:rFonts w:ascii="Palatino Linotype" w:hAnsi="Palatino Linotype" w:cs="Arial"/>
          <w:b/>
          <w:sz w:val="22"/>
          <w:szCs w:val="22"/>
        </w:rPr>
        <w:tab/>
      </w:r>
      <w:r>
        <w:rPr>
          <w:rFonts w:ascii="Palatino Linotype" w:hAnsi="Palatino Linotype" w:cs="Arial"/>
          <w:b/>
          <w:sz w:val="22"/>
          <w:szCs w:val="22"/>
        </w:rPr>
        <w:tab/>
      </w:r>
      <w:r w:rsidRPr="00942587">
        <w:rPr>
          <w:rFonts w:ascii="Palatino Linotype" w:hAnsi="Palatino Linotype" w:cs="Arial"/>
          <w:sz w:val="22"/>
          <w:szCs w:val="22"/>
        </w:rPr>
        <w:t>2</w:t>
      </w:r>
      <w:r w:rsidRPr="009231A6">
        <w:rPr>
          <w:rFonts w:ascii="Palatino Linotype" w:hAnsi="Palatino Linotype" w:cs="Arial"/>
          <w:sz w:val="22"/>
          <w:szCs w:val="22"/>
        </w:rPr>
        <w:t>0.000,00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9231A6">
        <w:rPr>
          <w:rFonts w:ascii="Palatino Linotype" w:hAnsi="Palatino Linotype" w:cs="Arial"/>
          <w:sz w:val="22"/>
          <w:szCs w:val="22"/>
        </w:rPr>
        <w:t>m</w:t>
      </w:r>
      <w:r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>El número total de lotes es de 65</w:t>
      </w:r>
      <w:r w:rsidRPr="009231A6">
        <w:rPr>
          <w:rFonts w:ascii="Palatino Linotype" w:hAnsi="Palatino Linotype" w:cs="Arial"/>
          <w:sz w:val="22"/>
          <w:szCs w:val="22"/>
        </w:rPr>
        <w:t>, signados del uno (1) al sesenta y cinco (65)</w:t>
      </w:r>
      <w:r w:rsidRPr="00184A73">
        <w:rPr>
          <w:rFonts w:ascii="Palatino Linotype" w:hAnsi="Palatino Linotype" w:cs="Arial"/>
          <w:sz w:val="22"/>
          <w:szCs w:val="22"/>
        </w:rPr>
        <w:t>, cuyo detalle es el que consta en los planos aprobatorios que forman parte de la presente Ordenanza.</w:t>
      </w:r>
    </w:p>
    <w:p w:rsidR="00942587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>
        <w:rPr>
          <w:rFonts w:ascii="Palatino Linotype" w:hAnsi="Palatino Linotype" w:cs="Arial"/>
          <w:bCs/>
          <w:sz w:val="22"/>
          <w:szCs w:val="22"/>
        </w:rPr>
        <w:t>L</w:t>
      </w:r>
      <w:r w:rsidRPr="009231A6">
        <w:rPr>
          <w:rFonts w:ascii="Palatino Linotype" w:hAnsi="Palatino Linotype" w:cs="Arial"/>
          <w:bCs/>
          <w:sz w:val="22"/>
          <w:szCs w:val="22"/>
        </w:rPr>
        <w:t>os lotes fraccionados mant</w:t>
      </w:r>
      <w:r>
        <w:rPr>
          <w:rFonts w:ascii="Palatino Linotype" w:hAnsi="Palatino Linotype" w:cs="Arial"/>
          <w:bCs/>
          <w:sz w:val="22"/>
          <w:szCs w:val="22"/>
        </w:rPr>
        <w:t>endrán</w:t>
      </w:r>
      <w:r w:rsidRPr="009231A6">
        <w:rPr>
          <w:rFonts w:ascii="Palatino Linotype" w:hAnsi="Palatino Linotype" w:cs="Arial"/>
          <w:bCs/>
          <w:sz w:val="22"/>
          <w:szCs w:val="22"/>
        </w:rPr>
        <w:t xml:space="preserve"> la</w:t>
      </w:r>
      <w:r>
        <w:rPr>
          <w:rFonts w:ascii="Palatino Linotype" w:hAnsi="Palatino Linotype" w:cs="Arial"/>
          <w:bCs/>
          <w:sz w:val="22"/>
          <w:szCs w:val="22"/>
        </w:rPr>
        <w:t xml:space="preserve"> siguiente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zonificación: </w:t>
      </w:r>
      <w:proofErr w:type="gramStart"/>
      <w:r w:rsidR="00942587">
        <w:rPr>
          <w:rFonts w:ascii="Palatino Linotype" w:eastAsia="Calibri" w:hAnsi="Palatino Linotype" w:cs="Arial"/>
          <w:sz w:val="22"/>
          <w:szCs w:val="22"/>
        </w:rPr>
        <w:t>D3</w:t>
      </w:r>
      <w:r w:rsidRPr="009231A6">
        <w:rPr>
          <w:rFonts w:ascii="Palatino Linotype" w:eastAsia="Calibri" w:hAnsi="Palatino Linotype" w:cs="Arial"/>
          <w:sz w:val="22"/>
          <w:szCs w:val="22"/>
        </w:rPr>
        <w:t>(</w:t>
      </w:r>
      <w:proofErr w:type="gramEnd"/>
      <w:r w:rsidRPr="009231A6">
        <w:rPr>
          <w:rFonts w:ascii="Palatino Linotype" w:eastAsia="Calibri" w:hAnsi="Palatino Linotype" w:cs="Arial"/>
          <w:sz w:val="22"/>
          <w:szCs w:val="22"/>
        </w:rPr>
        <w:t>D203-80); forma de ocupación: (D) sobre línea de fábrica; lote mínimo 200,00 m</w:t>
      </w:r>
      <w:r w:rsidRPr="009231A6">
        <w:rPr>
          <w:rFonts w:ascii="Palatino Linotype" w:eastAsia="Calibri" w:hAnsi="Palatino Linotype" w:cs="Arial"/>
          <w:sz w:val="22"/>
          <w:szCs w:val="22"/>
          <w:vertAlign w:val="superscript"/>
        </w:rPr>
        <w:t>2</w:t>
      </w:r>
      <w:r w:rsidRPr="009231A6">
        <w:rPr>
          <w:rFonts w:ascii="Palatino Linotype" w:eastAsia="Calibri" w:hAnsi="Palatino Linotype" w:cs="Arial"/>
          <w:sz w:val="22"/>
          <w:szCs w:val="22"/>
        </w:rPr>
        <w:t>; número de pisos: 3; COS planta baja</w:t>
      </w:r>
      <w:r>
        <w:rPr>
          <w:rFonts w:ascii="Palatino Linotype" w:eastAsia="Calibri" w:hAnsi="Palatino Linotype" w:cs="Arial"/>
          <w:sz w:val="22"/>
          <w:szCs w:val="22"/>
        </w:rPr>
        <w:t>:</w:t>
      </w:r>
      <w:r w:rsidRPr="009231A6">
        <w:rPr>
          <w:rFonts w:ascii="Palatino Linotype" w:eastAsia="Calibri" w:hAnsi="Palatino Linotype" w:cs="Arial"/>
          <w:sz w:val="22"/>
          <w:szCs w:val="22"/>
        </w:rPr>
        <w:t xml:space="preserve"> 80 %, COS total</w:t>
      </w:r>
      <w:r>
        <w:rPr>
          <w:rFonts w:ascii="Palatino Linotype" w:eastAsia="Calibri" w:hAnsi="Palatino Linotype" w:cs="Arial"/>
          <w:sz w:val="22"/>
          <w:szCs w:val="22"/>
        </w:rPr>
        <w:t>:</w:t>
      </w:r>
      <w:r w:rsidRPr="009231A6">
        <w:rPr>
          <w:rFonts w:ascii="Palatino Linotype" w:eastAsia="Calibri" w:hAnsi="Palatino Linotype" w:cs="Arial"/>
          <w:sz w:val="22"/>
          <w:szCs w:val="22"/>
        </w:rPr>
        <w:t xml:space="preserve"> 240%; clasificación del suelo: (SU) Suelo Urbano; Uso principal: (AR)  Agrícola Residencial. </w:t>
      </w:r>
    </w:p>
    <w:p w:rsidR="00942587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sz w:val="22"/>
          <w:szCs w:val="22"/>
          <w:lang w:val="es-EC"/>
        </w:rPr>
        <w:t xml:space="preserve">Artículo 4.- Lotes por excepción.- </w:t>
      </w:r>
      <w:r w:rsidRPr="009231A6">
        <w:rPr>
          <w:rFonts w:ascii="Palatino Linotype" w:hAnsi="Palatino Linotype" w:cs="Arial"/>
          <w:bCs/>
          <w:sz w:val="22"/>
          <w:szCs w:val="22"/>
        </w:rPr>
        <w:t xml:space="preserve">Por tratarse de un </w:t>
      </w:r>
      <w:r>
        <w:rPr>
          <w:rFonts w:ascii="Palatino Linotype" w:hAnsi="Palatino Linotype" w:cs="Arial"/>
          <w:bCs/>
          <w:sz w:val="22"/>
          <w:szCs w:val="22"/>
        </w:rPr>
        <w:t>a</w:t>
      </w:r>
      <w:r w:rsidRPr="009231A6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>
        <w:rPr>
          <w:rFonts w:ascii="Palatino Linotype" w:hAnsi="Palatino Linotype" w:cs="Arial"/>
          <w:bCs/>
          <w:sz w:val="22"/>
          <w:szCs w:val="22"/>
        </w:rPr>
        <w:t>h</w:t>
      </w:r>
      <w:r w:rsidRPr="009231A6">
        <w:rPr>
          <w:rFonts w:ascii="Palatino Linotype" w:hAnsi="Palatino Linotype" w:cs="Arial"/>
          <w:bCs/>
          <w:sz w:val="22"/>
          <w:szCs w:val="22"/>
        </w:rPr>
        <w:t xml:space="preserve">umano de </w:t>
      </w:r>
      <w:r>
        <w:rPr>
          <w:rFonts w:ascii="Palatino Linotype" w:hAnsi="Palatino Linotype" w:cs="Arial"/>
          <w:bCs/>
          <w:sz w:val="22"/>
          <w:szCs w:val="22"/>
        </w:rPr>
        <w:t>h</w:t>
      </w:r>
      <w:r w:rsidRPr="009231A6">
        <w:rPr>
          <w:rFonts w:ascii="Palatino Linotype" w:hAnsi="Palatino Linotype" w:cs="Arial"/>
          <w:bCs/>
          <w:sz w:val="22"/>
          <w:szCs w:val="22"/>
        </w:rPr>
        <w:t xml:space="preserve">echo y </w:t>
      </w:r>
      <w:r>
        <w:rPr>
          <w:rFonts w:ascii="Palatino Linotype" w:hAnsi="Palatino Linotype" w:cs="Arial"/>
          <w:bCs/>
          <w:sz w:val="22"/>
          <w:szCs w:val="22"/>
        </w:rPr>
        <w:t>c</w:t>
      </w:r>
      <w:r w:rsidRPr="009231A6">
        <w:rPr>
          <w:rFonts w:ascii="Palatino Linotype" w:hAnsi="Palatino Linotype" w:cs="Arial"/>
          <w:bCs/>
          <w:sz w:val="22"/>
          <w:szCs w:val="22"/>
        </w:rPr>
        <w:t>onsolidado, se aprueba</w:t>
      </w:r>
      <w:r>
        <w:rPr>
          <w:rFonts w:ascii="Palatino Linotype" w:hAnsi="Palatino Linotype" w:cs="Arial"/>
          <w:bCs/>
          <w:sz w:val="22"/>
          <w:szCs w:val="22"/>
        </w:rPr>
        <w:t xml:space="preserve">n </w:t>
      </w:r>
      <w:r w:rsidRPr="009231A6">
        <w:rPr>
          <w:rFonts w:ascii="Palatino Linotype" w:hAnsi="Palatino Linotype" w:cs="Arial"/>
          <w:bCs/>
          <w:sz w:val="22"/>
          <w:szCs w:val="22"/>
        </w:rPr>
        <w:t>por excepción</w:t>
      </w:r>
      <w:r>
        <w:rPr>
          <w:rFonts w:ascii="Palatino Linotype" w:hAnsi="Palatino Linotype" w:cs="Arial"/>
          <w:bCs/>
          <w:sz w:val="22"/>
          <w:szCs w:val="22"/>
        </w:rPr>
        <w:t xml:space="preserve"> los siguientes lotes de menor superficie con relación a la zonificación asignada</w:t>
      </w:r>
      <w:r w:rsidRPr="009231A6">
        <w:rPr>
          <w:rFonts w:ascii="Palatino Linotype" w:hAnsi="Palatino Linotype" w:cs="Arial"/>
          <w:bCs/>
          <w:sz w:val="22"/>
          <w:szCs w:val="22"/>
        </w:rPr>
        <w:t>:</w:t>
      </w:r>
      <w:r w:rsidRPr="009231A6">
        <w:rPr>
          <w:rFonts w:ascii="Palatino Linotype" w:eastAsia="Calibri" w:hAnsi="Palatino Linotype" w:cs="Calibri"/>
          <w:sz w:val="22"/>
          <w:szCs w:val="22"/>
          <w:lang w:eastAsia="en-US"/>
        </w:rPr>
        <w:t xml:space="preserve"> </w:t>
      </w:r>
      <w:r w:rsidRPr="009231A6">
        <w:rPr>
          <w:rFonts w:ascii="Palatino Linotype" w:hAnsi="Palatino Linotype" w:cs="Arial"/>
          <w:bCs/>
          <w:sz w:val="22"/>
          <w:szCs w:val="22"/>
        </w:rPr>
        <w:t>2, 3, 4, 5, 6, 7, 8, 9, 10, 23, 24, 25, 26, 27, 28, 29, 30, 31, 32, 33, 34, 35, 36, 37, 40, 41, 42, 43, 44, 45, 46, 47, 48, 49, 50, 52, 53, 54, 55, 56, 57, 58, 61 y 65.</w:t>
      </w:r>
    </w:p>
    <w:p w:rsidR="009231A6" w:rsidRPr="00942587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5.- Excedentes y/o </w:t>
      </w:r>
      <w:r w:rsidR="009D42CD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de áreas.- 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Por cuanto dentro del proceso de regularización se detectó la existencia de una variación de área, previo a la protocolización e inscripción de la presente ordenanza se deberá regularizar el área, de conformidad con lo establecido en la Disposición General Segunda de la Ordenanza Metropolitana No. 269, sancionada el 30 de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>j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ulio de 2012.</w:t>
      </w:r>
    </w:p>
    <w:p w:rsidR="009231A6" w:rsidRPr="009231A6" w:rsidRDefault="009D42CD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  <w:lang w:val="es-EC"/>
        </w:rPr>
        <w:t>Artículo 6.- Del á</w:t>
      </w:r>
      <w:r w:rsidR="009231A6"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="009231A6"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 y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 w:rsidR="009231A6"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omunal.- </w:t>
      </w:r>
      <w:r w:rsidR="009231A6"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Los copropietarios del inmueble donde se encuentra el </w:t>
      </w:r>
      <w:r w:rsidR="009231A6" w:rsidRPr="009231A6">
        <w:rPr>
          <w:rFonts w:ascii="Palatino Linotype" w:hAnsi="Palatino Linotype" w:cs="Arial"/>
          <w:sz w:val="22"/>
          <w:szCs w:val="22"/>
        </w:rPr>
        <w:t>Asentamiento Humano de Hecho y Consolidado denominado</w:t>
      </w:r>
      <w:r w:rsidR="009231A6"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 w:rsidR="009231A6"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="009231A6"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“Sultana de los Andes”</w:t>
      </w:r>
      <w:r w:rsidR="009231A6"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, </w:t>
      </w:r>
      <w:r w:rsidR="009231A6" w:rsidRPr="009231A6">
        <w:rPr>
          <w:rFonts w:ascii="Palatino Linotype" w:hAnsi="Palatino Linotype" w:cs="Arial"/>
          <w:sz w:val="22"/>
          <w:szCs w:val="22"/>
        </w:rPr>
        <w:t xml:space="preserve">transfieren al Municipio del Distrito Metropolitano de Quito, </w:t>
      </w:r>
      <w:r w:rsidR="009231A6" w:rsidRPr="009231A6">
        <w:rPr>
          <w:rFonts w:ascii="Palatino Linotype" w:hAnsi="Palatino Linotype" w:cs="Arial"/>
          <w:sz w:val="22"/>
          <w:szCs w:val="22"/>
        </w:rPr>
        <w:lastRenderedPageBreak/>
        <w:t xml:space="preserve">como contribución de área verde, un área total de </w:t>
      </w:r>
      <w:r w:rsidR="009231A6" w:rsidRPr="009231A6">
        <w:rPr>
          <w:rFonts w:ascii="Palatino Linotype" w:hAnsi="Palatino Linotype" w:cs="Calibri"/>
          <w:sz w:val="22"/>
          <w:szCs w:val="22"/>
        </w:rPr>
        <w:t>2.584,85</w:t>
      </w:r>
      <w:r>
        <w:rPr>
          <w:rFonts w:ascii="Palatino Linotype" w:hAnsi="Palatino Linotype" w:cs="Calibri"/>
          <w:sz w:val="22"/>
          <w:szCs w:val="22"/>
        </w:rPr>
        <w:t xml:space="preserve"> </w:t>
      </w:r>
      <w:r w:rsidR="009231A6" w:rsidRPr="009231A6">
        <w:rPr>
          <w:rFonts w:ascii="Palatino Linotype" w:hAnsi="Palatino Linotype" w:cs="Arial"/>
          <w:sz w:val="22"/>
          <w:szCs w:val="22"/>
        </w:rPr>
        <w:t>m</w:t>
      </w:r>
      <w:r w:rsidR="009231A6" w:rsidRPr="009231A6">
        <w:rPr>
          <w:rFonts w:ascii="Palatino Linotype" w:hAnsi="Palatino Linotype" w:cs="Arial"/>
          <w:sz w:val="22"/>
          <w:szCs w:val="22"/>
          <w:vertAlign w:val="superscript"/>
        </w:rPr>
        <w:t>2</w:t>
      </w:r>
      <w:r w:rsidR="009231A6" w:rsidRPr="009231A6">
        <w:rPr>
          <w:rFonts w:ascii="Palatino Linotype" w:hAnsi="Palatino Linotype" w:cs="Arial"/>
          <w:sz w:val="22"/>
          <w:szCs w:val="22"/>
        </w:rPr>
        <w:t xml:space="preserve">, equivalente al 12,76 % del área útil de los lotes, </w:t>
      </w:r>
      <w:r>
        <w:rPr>
          <w:rFonts w:ascii="Palatino Linotype" w:hAnsi="Palatino Linotype" w:cs="Arial"/>
          <w:sz w:val="22"/>
          <w:szCs w:val="22"/>
        </w:rPr>
        <w:t>de conformidad al siguiente detalle</w:t>
      </w:r>
      <w:r w:rsidR="009231A6" w:rsidRPr="009231A6">
        <w:rPr>
          <w:rFonts w:ascii="Palatino Linotype" w:hAnsi="Palatino Linotype" w:cs="Arial"/>
          <w:sz w:val="22"/>
          <w:szCs w:val="22"/>
        </w:rPr>
        <w:t xml:space="preserve">: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2835"/>
        <w:gridCol w:w="1134"/>
        <w:gridCol w:w="1134"/>
        <w:gridCol w:w="1701"/>
      </w:tblGrid>
      <w:tr w:rsidR="009231A6" w:rsidRPr="009231A6" w:rsidTr="009231A6">
        <w:trPr>
          <w:trHeight w:val="305"/>
        </w:trPr>
        <w:tc>
          <w:tcPr>
            <w:tcW w:w="9039" w:type="dxa"/>
            <w:gridSpan w:val="6"/>
            <w:shd w:val="clear" w:color="auto" w:fill="auto"/>
            <w:vAlign w:val="center"/>
          </w:tcPr>
          <w:p w:rsidR="009231A6" w:rsidRPr="009231A6" w:rsidRDefault="009D42CD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Área verde y comunal</w:t>
            </w:r>
          </w:p>
        </w:tc>
      </w:tr>
      <w:tr w:rsidR="009231A6" w:rsidRPr="009231A6" w:rsidTr="009231A6">
        <w:tc>
          <w:tcPr>
            <w:tcW w:w="1384" w:type="dxa"/>
            <w:vMerge w:val="restart"/>
            <w:shd w:val="clear" w:color="auto" w:fill="auto"/>
            <w:vAlign w:val="center"/>
          </w:tcPr>
          <w:p w:rsidR="009231A6" w:rsidRPr="009231A6" w:rsidRDefault="009D42CD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Área verde</w:t>
            </w:r>
          </w:p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31A6" w:rsidRPr="009231A6" w:rsidRDefault="009D42CD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1A6" w:rsidRPr="009231A6" w:rsidRDefault="009D42CD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9231A6" w:rsidRPr="009231A6" w:rsidTr="009231A6">
        <w:trPr>
          <w:trHeight w:val="293"/>
        </w:trPr>
        <w:tc>
          <w:tcPr>
            <w:tcW w:w="1384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 xml:space="preserve">Calle 3 </w:t>
            </w:r>
          </w:p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Lote</w:t>
            </w:r>
            <w:r w:rsidR="009D42CD">
              <w:rPr>
                <w:rFonts w:ascii="Palatino Linotype" w:hAnsi="Palatino Linotype" w:cs="Calibri"/>
                <w:sz w:val="22"/>
                <w:szCs w:val="22"/>
              </w:rPr>
              <w:t xml:space="preserve"> No.</w:t>
            </w:r>
            <w:r w:rsidRPr="009231A6">
              <w:rPr>
                <w:rFonts w:ascii="Palatino Linotype" w:hAnsi="Palatino Linotype" w:cs="Calibri"/>
                <w:sz w:val="22"/>
                <w:szCs w:val="22"/>
              </w:rPr>
              <w:t xml:space="preserve"> 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1A6" w:rsidRPr="009D42CD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9D42CD">
              <w:rPr>
                <w:rFonts w:ascii="Palatino Linotype" w:hAnsi="Palatino Linotype" w:cs="Calibri"/>
                <w:sz w:val="22"/>
                <w:szCs w:val="22"/>
                <w:lang w:val="es-EC"/>
              </w:rPr>
              <w:t>84,53 m.</w:t>
            </w:r>
            <w:r w:rsidRPr="009231A6">
              <w:rPr>
                <w:rFonts w:ascii="Palatino Linotype" w:hAnsi="Palatino Linotype" w:cs="Calibri"/>
                <w:sz w:val="22"/>
                <w:szCs w:val="22"/>
              </w:rPr>
              <w:t xml:space="preserve"> 21,03 m.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105,56 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2.584,85 m</w:t>
            </w:r>
            <w:r w:rsidRPr="009D42CD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9231A6" w:rsidRPr="009231A6" w:rsidTr="009231A6">
        <w:tc>
          <w:tcPr>
            <w:tcW w:w="1384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Propiedad Sr.  Juan Elías Chacón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107,86 m.</w:t>
            </w:r>
          </w:p>
        </w:tc>
        <w:tc>
          <w:tcPr>
            <w:tcW w:w="1701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9231A6" w:rsidRPr="009231A6" w:rsidTr="009231A6">
        <w:tc>
          <w:tcPr>
            <w:tcW w:w="1384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Propiedad del Sr. Manuel Chicaiza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25,77 m.</w:t>
            </w:r>
          </w:p>
        </w:tc>
        <w:tc>
          <w:tcPr>
            <w:tcW w:w="1701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9231A6" w:rsidRPr="009231A6" w:rsidTr="009231A6">
        <w:tc>
          <w:tcPr>
            <w:tcW w:w="1384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Calle Pública 2</w:t>
            </w:r>
          </w:p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Calle 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24,65 m.</w:t>
            </w:r>
          </w:p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10,83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1A6" w:rsidRPr="009231A6" w:rsidRDefault="009231A6" w:rsidP="009D42CD">
            <w:pPr>
              <w:spacing w:after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9231A6">
              <w:rPr>
                <w:rFonts w:ascii="Palatino Linotype" w:hAnsi="Palatino Linotype" w:cs="Calibri"/>
                <w:sz w:val="22"/>
                <w:szCs w:val="22"/>
              </w:rPr>
              <w:t>35,48 m.</w:t>
            </w:r>
          </w:p>
        </w:tc>
        <w:tc>
          <w:tcPr>
            <w:tcW w:w="1701" w:type="dxa"/>
            <w:vMerge/>
            <w:shd w:val="clear" w:color="auto" w:fill="auto"/>
          </w:tcPr>
          <w:p w:rsidR="009231A6" w:rsidRPr="009231A6" w:rsidRDefault="009231A6" w:rsidP="009231A6">
            <w:pPr>
              <w:spacing w:after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9D42CD" w:rsidRDefault="009D42CD" w:rsidP="009231A6">
      <w:pPr>
        <w:pStyle w:val="Sinespaciado"/>
        <w:spacing w:after="240" w:line="276" w:lineRule="auto"/>
        <w:jc w:val="both"/>
        <w:rPr>
          <w:rFonts w:ascii="Palatino Linotype" w:hAnsi="Palatino Linotype"/>
          <w:b/>
          <w:bCs/>
        </w:rPr>
      </w:pPr>
    </w:p>
    <w:p w:rsidR="009231A6" w:rsidRPr="009231A6" w:rsidRDefault="009231A6" w:rsidP="009231A6">
      <w:pPr>
        <w:pStyle w:val="Sinespaciado"/>
        <w:spacing w:after="240" w:line="276" w:lineRule="auto"/>
        <w:jc w:val="both"/>
        <w:rPr>
          <w:rFonts w:ascii="Palatino Linotype" w:hAnsi="Palatino Linotype"/>
          <w:iCs/>
        </w:rPr>
      </w:pPr>
      <w:r w:rsidRPr="009231A6">
        <w:rPr>
          <w:rFonts w:ascii="Palatino Linotype" w:hAnsi="Palatino Linotype"/>
          <w:b/>
          <w:bCs/>
        </w:rPr>
        <w:t xml:space="preserve">Artículo 7.- De las vías.- </w:t>
      </w:r>
      <w:r w:rsidRPr="009231A6">
        <w:rPr>
          <w:rFonts w:ascii="Palatino Linotype" w:hAnsi="Palatino Linotype"/>
          <w:bCs/>
          <w:iCs/>
        </w:rPr>
        <w:t xml:space="preserve">El </w:t>
      </w:r>
      <w:r w:rsidR="009D42CD">
        <w:rPr>
          <w:rFonts w:ascii="Palatino Linotype" w:hAnsi="Palatino Linotype"/>
          <w:bCs/>
          <w:iCs/>
        </w:rPr>
        <w:t>a</w:t>
      </w:r>
      <w:r w:rsidRPr="009231A6">
        <w:rPr>
          <w:rFonts w:ascii="Palatino Linotype" w:hAnsi="Palatino Linotype"/>
          <w:bCs/>
          <w:iCs/>
        </w:rPr>
        <w:t xml:space="preserve">sentamiento </w:t>
      </w:r>
      <w:r w:rsidR="009D42CD">
        <w:rPr>
          <w:rFonts w:ascii="Palatino Linotype" w:hAnsi="Palatino Linotype"/>
          <w:bCs/>
          <w:iCs/>
        </w:rPr>
        <w:t>h</w:t>
      </w:r>
      <w:r w:rsidRPr="009231A6">
        <w:rPr>
          <w:rFonts w:ascii="Palatino Linotype" w:hAnsi="Palatino Linotype"/>
          <w:bCs/>
          <w:iCs/>
        </w:rPr>
        <w:t xml:space="preserve">umano de </w:t>
      </w:r>
      <w:r w:rsidR="009D42CD">
        <w:rPr>
          <w:rFonts w:ascii="Palatino Linotype" w:hAnsi="Palatino Linotype"/>
          <w:bCs/>
          <w:iCs/>
        </w:rPr>
        <w:t>h</w:t>
      </w:r>
      <w:r w:rsidRPr="009231A6">
        <w:rPr>
          <w:rFonts w:ascii="Palatino Linotype" w:hAnsi="Palatino Linotype"/>
          <w:bCs/>
          <w:iCs/>
        </w:rPr>
        <w:t xml:space="preserve">echo y </w:t>
      </w:r>
      <w:r w:rsidR="009D42CD">
        <w:rPr>
          <w:rFonts w:ascii="Palatino Linotype" w:hAnsi="Palatino Linotype"/>
          <w:bCs/>
          <w:iCs/>
        </w:rPr>
        <w:t>c</w:t>
      </w:r>
      <w:r w:rsidRPr="009231A6">
        <w:rPr>
          <w:rFonts w:ascii="Palatino Linotype" w:hAnsi="Palatino Linotype"/>
          <w:bCs/>
          <w:iCs/>
        </w:rPr>
        <w:t xml:space="preserve">onsolidado </w:t>
      </w:r>
      <w:r w:rsidRPr="009231A6">
        <w:rPr>
          <w:rFonts w:ascii="Palatino Linotype" w:hAnsi="Palatino Linotype"/>
          <w:iCs/>
        </w:rPr>
        <w:t>contempla un sistema vial de uso público</w:t>
      </w:r>
      <w:r w:rsidR="009D42CD">
        <w:rPr>
          <w:rFonts w:ascii="Palatino Linotype" w:hAnsi="Palatino Linotype"/>
          <w:iCs/>
        </w:rPr>
        <w:t>;</w:t>
      </w:r>
      <w:r w:rsidRPr="009231A6">
        <w:rPr>
          <w:rFonts w:ascii="Palatino Linotype" w:hAnsi="Palatino Linotype"/>
          <w:iCs/>
        </w:rPr>
        <w:t xml:space="preserve"> </w:t>
      </w:r>
      <w:r w:rsidR="009D42CD">
        <w:rPr>
          <w:rFonts w:ascii="Palatino Linotype" w:hAnsi="Palatino Linotype"/>
          <w:iCs/>
        </w:rPr>
        <w:t xml:space="preserve">y, </w:t>
      </w:r>
      <w:r w:rsidRPr="009231A6">
        <w:rPr>
          <w:rFonts w:ascii="Palatino Linotype" w:hAnsi="Palatino Linotype"/>
          <w:iCs/>
        </w:rPr>
        <w:t xml:space="preserve">debido a que éste es un asentamiento humano de hecho </w:t>
      </w:r>
      <w:r w:rsidR="009D42CD">
        <w:rPr>
          <w:rFonts w:ascii="Palatino Linotype" w:hAnsi="Palatino Linotype"/>
          <w:iCs/>
        </w:rPr>
        <w:t>con</w:t>
      </w:r>
      <w:r w:rsidRPr="009231A6">
        <w:rPr>
          <w:rFonts w:ascii="Palatino Linotype" w:hAnsi="Palatino Linotype"/>
          <w:iCs/>
        </w:rPr>
        <w:t xml:space="preserve"> 19 años de existencia</w:t>
      </w:r>
      <w:r w:rsidR="009D42CD">
        <w:rPr>
          <w:rFonts w:ascii="Palatino Linotype" w:hAnsi="Palatino Linotype"/>
          <w:iCs/>
        </w:rPr>
        <w:t xml:space="preserve"> y</w:t>
      </w:r>
      <w:r w:rsidRPr="009231A6">
        <w:rPr>
          <w:rFonts w:ascii="Palatino Linotype" w:hAnsi="Palatino Linotype"/>
          <w:iCs/>
        </w:rPr>
        <w:t xml:space="preserve"> un 76,92% de consolidación de viviendas, </w:t>
      </w:r>
      <w:r w:rsidR="009D42CD">
        <w:rPr>
          <w:rFonts w:ascii="Palatino Linotype" w:hAnsi="Palatino Linotype"/>
          <w:iCs/>
        </w:rPr>
        <w:t>los anchos de vías y pasajes se sujetarán al plano adjunto a la presente ordenanza.</w:t>
      </w:r>
    </w:p>
    <w:p w:rsidR="009231A6" w:rsidRPr="009231A6" w:rsidRDefault="009231A6" w:rsidP="009231A6">
      <w:pPr>
        <w:pStyle w:val="Sinespaciado"/>
        <w:spacing w:after="240" w:line="276" w:lineRule="auto"/>
        <w:jc w:val="both"/>
        <w:rPr>
          <w:rFonts w:ascii="Palatino Linotype" w:hAnsi="Palatino Linotype" w:cs="Arial"/>
          <w:bCs/>
        </w:rPr>
      </w:pPr>
      <w:r w:rsidRPr="009231A6">
        <w:rPr>
          <w:rFonts w:ascii="Palatino Linotype" w:hAnsi="Palatino Linotype"/>
          <w:iCs/>
        </w:rPr>
        <w:t>Los anchos de vías y pasajes que se aprueban son las siguientes: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Cs/>
          <w:sz w:val="22"/>
          <w:szCs w:val="22"/>
        </w:rPr>
        <w:t>Calle Pública 1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10,60 m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</w:rPr>
        <w:t>Calle Pública 2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10,60 m  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Cs/>
          <w:sz w:val="22"/>
          <w:szCs w:val="22"/>
        </w:rPr>
        <w:t>Calle “1”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10,60 m 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</w:rPr>
        <w:t>Calle “2”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10,60 m  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Cs/>
          <w:sz w:val="22"/>
          <w:szCs w:val="22"/>
        </w:rPr>
        <w:t>Calle “3”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                         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10,60 m</w:t>
      </w:r>
      <w:r w:rsidRPr="009D42CD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9D42CD" w:rsidRP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</w:rPr>
        <w:t>Pasaje “1”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6,00 m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Cs/>
          <w:sz w:val="22"/>
          <w:szCs w:val="22"/>
        </w:rPr>
        <w:t>Pasaje “2”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6,00 m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</w:rPr>
        <w:t>Pasaje “3”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bCs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6,00 m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Cs/>
          <w:sz w:val="22"/>
          <w:szCs w:val="22"/>
        </w:rPr>
        <w:t>Pasaje “4”</w:t>
      </w:r>
      <w:r w:rsidR="009D42CD">
        <w:rPr>
          <w:rFonts w:ascii="Palatino Linotype" w:hAnsi="Palatino Linotype"/>
          <w:bCs/>
          <w:sz w:val="22"/>
          <w:szCs w:val="22"/>
        </w:rPr>
        <w:t>:</w:t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="009D42CD">
        <w:rPr>
          <w:rFonts w:ascii="Palatino Linotype" w:hAnsi="Palatino Linotype"/>
          <w:bCs/>
          <w:sz w:val="22"/>
          <w:szCs w:val="22"/>
        </w:rPr>
        <w:tab/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6,00 m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8.- De las obras a ejecutarse.- </w:t>
      </w:r>
      <w:r w:rsidRPr="009231A6">
        <w:rPr>
          <w:rFonts w:ascii="Palatino Linotype" w:hAnsi="Palatino Linotype"/>
          <w:sz w:val="22"/>
          <w:szCs w:val="22"/>
          <w:lang w:val="es-EC"/>
        </w:rPr>
        <w:t>Las obras a ejecutarse en el asentamiento</w:t>
      </w:r>
      <w:r w:rsidR="009D42CD">
        <w:rPr>
          <w:rFonts w:ascii="Palatino Linotype" w:hAnsi="Palatino Linotype"/>
          <w:sz w:val="22"/>
          <w:szCs w:val="22"/>
          <w:lang w:val="es-EC"/>
        </w:rPr>
        <w:t xml:space="preserve"> humano de hecho y consolidado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son las siguientes:</w:t>
      </w:r>
    </w:p>
    <w:p w:rsidR="009231A6" w:rsidRPr="009231A6" w:rsidRDefault="009231A6" w:rsidP="009D42CD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lastRenderedPageBreak/>
        <w:t>Calzadas</w:t>
      </w:r>
      <w:r w:rsidR="009D42CD">
        <w:rPr>
          <w:rFonts w:ascii="Palatino Linotype" w:hAnsi="Palatino Linotype"/>
          <w:sz w:val="22"/>
          <w:szCs w:val="22"/>
          <w:lang w:val="es-EC"/>
        </w:rPr>
        <w:t>: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100%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Aceras</w:t>
      </w:r>
      <w:r w:rsidR="009D42CD">
        <w:rPr>
          <w:rFonts w:ascii="Palatino Linotype" w:hAnsi="Palatino Linotype"/>
          <w:sz w:val="22"/>
          <w:szCs w:val="22"/>
          <w:lang w:val="es-EC"/>
        </w:rPr>
        <w:t>: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100%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>Bordillos</w:t>
      </w:r>
      <w:r w:rsidR="009D42CD">
        <w:rPr>
          <w:rFonts w:ascii="Palatino Linotype" w:hAnsi="Palatino Linotype"/>
          <w:sz w:val="22"/>
          <w:szCs w:val="22"/>
          <w:lang w:val="es-EC"/>
        </w:rPr>
        <w:t>: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  <w:t xml:space="preserve">           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100%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Alcantarillado</w:t>
      </w:r>
      <w:r w:rsidR="009D42CD">
        <w:rPr>
          <w:rFonts w:ascii="Palatino Linotype" w:hAnsi="Palatino Linotype"/>
          <w:sz w:val="22"/>
          <w:szCs w:val="22"/>
          <w:lang w:val="es-EC"/>
        </w:rPr>
        <w:t>: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                       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100%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 xml:space="preserve">Energía </w:t>
      </w:r>
      <w:r w:rsidR="009D42CD">
        <w:rPr>
          <w:rFonts w:ascii="Palatino Linotype" w:hAnsi="Palatino Linotype"/>
          <w:sz w:val="22"/>
          <w:szCs w:val="22"/>
          <w:lang w:val="es-EC"/>
        </w:rPr>
        <w:t>e</w:t>
      </w:r>
      <w:r w:rsidRPr="009231A6">
        <w:rPr>
          <w:rFonts w:ascii="Palatino Linotype" w:hAnsi="Palatino Linotype"/>
          <w:sz w:val="22"/>
          <w:szCs w:val="22"/>
          <w:lang w:val="es-EC"/>
        </w:rPr>
        <w:t>léctrica</w:t>
      </w:r>
      <w:r w:rsidR="009D42CD">
        <w:rPr>
          <w:rFonts w:ascii="Palatino Linotype" w:hAnsi="Palatino Linotype"/>
          <w:sz w:val="22"/>
          <w:szCs w:val="22"/>
          <w:lang w:val="es-EC"/>
        </w:rPr>
        <w:t xml:space="preserve">:                     </w:t>
      </w:r>
      <w:r w:rsidR="009D42CD">
        <w:rPr>
          <w:rFonts w:ascii="Palatino Linotype" w:hAnsi="Palatino Linotype"/>
          <w:sz w:val="22"/>
          <w:szCs w:val="22"/>
          <w:lang w:val="es-EC"/>
        </w:rPr>
        <w:tab/>
      </w:r>
      <w:r w:rsidRPr="009231A6">
        <w:rPr>
          <w:rFonts w:ascii="Palatino Linotype" w:hAnsi="Palatino Linotype"/>
          <w:sz w:val="22"/>
          <w:szCs w:val="22"/>
          <w:lang w:val="es-EC"/>
        </w:rPr>
        <w:t>50%</w:t>
      </w:r>
    </w:p>
    <w:p w:rsidR="009231A6" w:rsidRPr="009231A6" w:rsidRDefault="009231A6" w:rsidP="009231A6">
      <w:pPr>
        <w:pStyle w:val="Sinespaciado"/>
        <w:spacing w:after="240" w:line="276" w:lineRule="auto"/>
        <w:jc w:val="both"/>
        <w:rPr>
          <w:rFonts w:ascii="Palatino Linotype" w:hAnsi="Palatino Linotype"/>
          <w:lang w:eastAsia="es-EC"/>
        </w:rPr>
      </w:pPr>
      <w:r w:rsidRPr="009231A6">
        <w:rPr>
          <w:rFonts w:ascii="Palatino Linotype" w:hAnsi="Palatino Linotype"/>
          <w:b/>
          <w:bCs/>
        </w:rPr>
        <w:t xml:space="preserve">Artículo </w:t>
      </w:r>
      <w:r w:rsidR="00942587">
        <w:rPr>
          <w:rFonts w:ascii="Palatino Linotype" w:hAnsi="Palatino Linotype"/>
          <w:b/>
          <w:bCs/>
        </w:rPr>
        <w:t>9</w:t>
      </w:r>
      <w:r w:rsidRPr="009231A6">
        <w:rPr>
          <w:rFonts w:ascii="Palatino Linotype" w:hAnsi="Palatino Linotype"/>
          <w:b/>
          <w:bCs/>
        </w:rPr>
        <w:t xml:space="preserve">.- </w:t>
      </w:r>
      <w:r w:rsidRPr="009231A6">
        <w:rPr>
          <w:rFonts w:ascii="Palatino Linotype" w:hAnsi="Palatino Linotype"/>
          <w:b/>
          <w:bCs/>
          <w:lang w:eastAsia="es-EC"/>
        </w:rPr>
        <w:t>Informe de la Secretaría General de Seguridad y Gobernabilidad</w:t>
      </w:r>
      <w:r w:rsidRPr="009231A6">
        <w:rPr>
          <w:rFonts w:ascii="Palatino Linotype" w:hAnsi="Palatino Linotype"/>
          <w:b/>
          <w:bCs/>
          <w:i/>
          <w:iCs/>
          <w:lang w:eastAsia="es-EC"/>
        </w:rPr>
        <w:t>.-</w:t>
      </w:r>
      <w:r w:rsidRPr="009231A6">
        <w:rPr>
          <w:rFonts w:ascii="Palatino Linotype" w:hAnsi="Palatino Linotype"/>
          <w:b/>
          <w:bCs/>
          <w:lang w:eastAsia="es-EC"/>
        </w:rPr>
        <w:t> </w:t>
      </w:r>
      <w:r w:rsidRPr="009231A6">
        <w:rPr>
          <w:rFonts w:ascii="Palatino Linotype" w:hAnsi="Palatino Linotype"/>
          <w:lang w:eastAsia="es-EC"/>
        </w:rPr>
        <w:t>Los copropietarios del predio que se regulariza, deberán cumplir con las recomendaciones que se encuentra</w:t>
      </w:r>
      <w:r w:rsidR="009D42CD">
        <w:rPr>
          <w:rFonts w:ascii="Palatino Linotype" w:hAnsi="Palatino Linotype"/>
          <w:lang w:eastAsia="es-EC"/>
        </w:rPr>
        <w:t>n</w:t>
      </w:r>
      <w:r w:rsidRPr="009231A6">
        <w:rPr>
          <w:rFonts w:ascii="Palatino Linotype" w:hAnsi="Palatino Linotype"/>
          <w:lang w:eastAsia="es-EC"/>
        </w:rPr>
        <w:t xml:space="preserve"> determinadas en el informe de la Dirección Metropolitana de Gestión de Riesgos  informe </w:t>
      </w:r>
      <w:r w:rsidRPr="009231A6">
        <w:rPr>
          <w:rFonts w:ascii="Palatino Linotype" w:hAnsi="Palatino Linotype"/>
          <w:lang w:val="es-ES" w:eastAsia="es-EC"/>
        </w:rPr>
        <w:t>No.12- AT-DMGR-2015, de 6</w:t>
      </w:r>
      <w:r w:rsidRPr="009231A6">
        <w:rPr>
          <w:rFonts w:ascii="Palatino Linotype" w:hAnsi="Palatino Linotype"/>
          <w:lang w:eastAsia="es-EC"/>
        </w:rPr>
        <w:t xml:space="preserve"> de febrero de 2015, que </w:t>
      </w:r>
      <w:r w:rsidR="00834E7F">
        <w:rPr>
          <w:rFonts w:ascii="Palatino Linotype" w:hAnsi="Palatino Linotype"/>
          <w:lang w:eastAsia="es-EC"/>
        </w:rPr>
        <w:t>se detallan a continuación</w:t>
      </w:r>
      <w:r w:rsidRPr="009231A6">
        <w:rPr>
          <w:rFonts w:ascii="Palatino Linotype" w:hAnsi="Palatino Linotype"/>
          <w:lang w:eastAsia="es-EC"/>
        </w:rPr>
        <w:t>: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>Incluir en el Informe de Regularización Metropolitana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 xml:space="preserve"> –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IRM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,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las observaciones de calificación del riesgo y recomendaciones para emisión de permisos y control de usos futuros u ocupación del suelo, en cumplimiento estricto con el cuerpo normativo que garantice el adecuado cuidado ambiental y protección de taludes y quebradas, en prevención de riesgos naturales y antrópicos que se podrían presentar.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En las futuras edificaciones deberán tomarse en cuenta las consideraciones que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establece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la Ordenanza Metropolitana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 xml:space="preserve">No. 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432 (artículos 117 y 122),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c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onsiderando lo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previsto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en esta ordenanza se debe realizar para cada construcción un estudio de mecánica de suelos que determine la capacidad portante del mismo para la construcción de edificaciones.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>Para reducir el riego sísmico se tiene que tomar en cuenta la calidad constructiva de las viviendas y el tipo de suelo las futuras edificaciones deberán ser construidas siguiendo la guía técnica de la Norma Ecuatoriana de la Construcción (NEC-11), sobre todo, lo que se refiere a diseños estructurales sismo-resistentes, para lo cual la Agencia Metropolitana de Control deberá hace cumplir esta disposición. Para las edificaciones actuales, su propietarios deberían contratar un especialista (Ing. Civil Estructuralista o estructural) para que evalúe el estado actual de las construcciones y para que se proponga un sistema de reforzamiento estructural en el caso de que alguna (s) vivienda (s) lo amerite (n)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.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 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>El margen del ramal de la quebrada que limitan hacia el sur deberá a futuro ser consideradas para área de recreación con la autorización respecti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va por el organismo competente.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Considerar de manera primordial el acceso vial al ingreso del sector y se tiene que coordinar con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la Empresa Pública Metropolitana de Movilidad y Obras Públicas –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>EPMMOP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,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para mejorar el trazado de la red vial, asegurando su estabilidad, y de los 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lastRenderedPageBreak/>
        <w:t>taludes generados en los cortes efectuados para la apertura de las calles; y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,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con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la Empresa Pública Metropolitana de Agua Potable y Saneamiento –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>EPMAPS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,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para que implemente el sistema de alcantarillado pluvial y sanitario que evite la erosión del suelo, sobre todo en zonas in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clinadas (laderas),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y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>a que la tierra y el polvo complicarán la salud de las personas que allí se desenvuelven.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Solicitar a la Empresa Pública Metropolitana de Agua Potable y Saneamiento 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 xml:space="preserve"> - 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>EPMAPS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,</w:t>
      </w:r>
      <w:r w:rsidRPr="00834E7F">
        <w:rPr>
          <w:rFonts w:ascii="Palatino Linotype" w:hAnsi="Palatino Linotype"/>
          <w:bCs/>
          <w:sz w:val="22"/>
          <w:szCs w:val="22"/>
          <w:lang w:val="es-EC"/>
        </w:rPr>
        <w:t xml:space="preserve"> la implementación de sistemas de drenajes pluviales y de escurrimiento superficial adecuados para evitar la satu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ración del suelo e inundaciones.</w:t>
      </w:r>
    </w:p>
    <w:p w:rsidR="009231A6" w:rsidRPr="00834E7F" w:rsidRDefault="009231A6" w:rsidP="00834E7F">
      <w:pPr>
        <w:pStyle w:val="Prrafodelista"/>
        <w:numPr>
          <w:ilvl w:val="0"/>
          <w:numId w:val="35"/>
        </w:num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834E7F">
        <w:rPr>
          <w:rFonts w:ascii="Palatino Linotype" w:hAnsi="Palatino Linotype"/>
          <w:bCs/>
          <w:sz w:val="22"/>
          <w:szCs w:val="22"/>
          <w:lang w:val="es-EC"/>
        </w:rPr>
        <w:t>Respecto al riesgo por inestabilidad de terrenos y movimientos en masa, al igual para el riesgo sísmico, para ejecutar futuras construcciones, sus propietarios deberán contratar un estudio geológico-geotécnico que determine la capacidad portante admisible del suelo (carga máxima que puede soporta el suelo sin que su estabilidad sea amenazada), y el f</w:t>
      </w:r>
      <w:r w:rsidR="00834E7F">
        <w:rPr>
          <w:rFonts w:ascii="Palatino Linotype" w:hAnsi="Palatino Linotype"/>
          <w:bCs/>
          <w:sz w:val="22"/>
          <w:szCs w:val="22"/>
          <w:lang w:val="es-EC"/>
        </w:rPr>
        <w:t>actor de seguridad del mismo.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</w:t>
      </w:r>
      <w:r w:rsidR="00942587">
        <w:rPr>
          <w:rFonts w:ascii="Palatino Linotype" w:hAnsi="Palatino Linotype"/>
          <w:b/>
          <w:bCs/>
          <w:sz w:val="22"/>
          <w:szCs w:val="22"/>
          <w:lang w:val="es-EC"/>
        </w:rPr>
        <w:t>10</w:t>
      </w: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>.- Del plazo de ejecución de las obras.-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cinco (5) años, </w:t>
      </w:r>
      <w:r w:rsidRPr="009231A6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 los copropietarios del predio donde se encuentra el Asentamiento Humano de Hecho y Consolidado denominado</w:t>
      </w:r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“Sultana de los Andes”</w:t>
      </w:r>
      <w:r w:rsidRPr="009231A6">
        <w:rPr>
          <w:rFonts w:ascii="Palatino Linotype" w:hAnsi="Palatino Linotype"/>
          <w:iCs/>
          <w:sz w:val="22"/>
          <w:szCs w:val="22"/>
          <w:lang w:val="es-EC"/>
        </w:rPr>
        <w:t xml:space="preserve">, plazo que se contará a partir de la fecha de sanción de la presente ordenanza. De estas obras </w:t>
      </w:r>
      <w:r w:rsidRPr="009231A6">
        <w:rPr>
          <w:rFonts w:ascii="Palatino Linotype" w:hAnsi="Palatino Linotype"/>
          <w:sz w:val="22"/>
          <w:szCs w:val="22"/>
          <w:lang w:val="es-EC"/>
        </w:rPr>
        <w:t>los co</w:t>
      </w:r>
      <w:r w:rsidRPr="009231A6">
        <w:rPr>
          <w:rFonts w:ascii="Palatino Linotype" w:hAnsi="Palatino Linotype"/>
          <w:bCs/>
          <w:sz w:val="22"/>
          <w:szCs w:val="22"/>
          <w:lang w:val="es-EC"/>
        </w:rPr>
        <w:t>propietarios del predio fraccionado</w:t>
      </w:r>
      <w:r w:rsidRPr="009231A6">
        <w:rPr>
          <w:rFonts w:ascii="Palatino Linotype" w:hAnsi="Palatino Linotype"/>
          <w:iCs/>
          <w:sz w:val="22"/>
          <w:szCs w:val="22"/>
          <w:lang w:val="es-EC"/>
        </w:rPr>
        <w:t xml:space="preserve"> pagarán las contribuciones especiales y mejoras de ley.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</w:t>
      </w:r>
      <w:r w:rsidR="00942587">
        <w:rPr>
          <w:rFonts w:ascii="Palatino Linotype" w:hAnsi="Palatino Linotype"/>
          <w:b/>
          <w:bCs/>
          <w:iCs/>
          <w:sz w:val="22"/>
          <w:szCs w:val="22"/>
          <w:lang w:val="es-EC"/>
        </w:rPr>
        <w:t>11</w:t>
      </w:r>
      <w:r w:rsidRPr="009231A6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.- Del control de ejecución de las obras.-</w:t>
      </w:r>
      <w:r w:rsidRPr="009231A6">
        <w:rPr>
          <w:rFonts w:ascii="Palatino Linotype" w:hAnsi="Palatino Linotype"/>
          <w:iCs/>
          <w:sz w:val="22"/>
          <w:szCs w:val="22"/>
          <w:lang w:val="es-EC"/>
        </w:rPr>
        <w:t xml:space="preserve"> La Administración Zonal Quitumbe r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ealizará el seguimiento en la ejecución y avance de las obras de urbanización hasta la terminación de las mismas, </w:t>
      </w:r>
      <w:r w:rsidR="00834E7F" w:rsidRPr="005D59E8">
        <w:rPr>
          <w:rFonts w:ascii="Palatino Linotype" w:hAnsi="Palatino Linotype"/>
          <w:sz w:val="22"/>
          <w:szCs w:val="22"/>
          <w:lang w:val="es-EC"/>
        </w:rPr>
        <w:t>para lo cual el departamento de fiscalización y el departamento de obras públicas emitirán un informe técnico de manera semestral. Su informe favorable final será indispensable para cancelar la hipoteca</w:t>
      </w:r>
      <w:r w:rsidR="00834E7F">
        <w:rPr>
          <w:rFonts w:ascii="Palatino Linotype" w:hAnsi="Palatino Linotype"/>
          <w:sz w:val="22"/>
          <w:szCs w:val="22"/>
          <w:lang w:val="es-EC"/>
        </w:rPr>
        <w:t>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="00942587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12</w:t>
      </w:r>
      <w:r w:rsidRPr="009231A6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.- De la multa por retraso en la ejecución de obras.- </w:t>
      </w:r>
      <w:r w:rsidRPr="009231A6">
        <w:rPr>
          <w:rFonts w:ascii="Palatino Linotype" w:hAnsi="Palatino Linotype"/>
          <w:sz w:val="22"/>
          <w:szCs w:val="22"/>
          <w:lang w:val="es-ES_tradnl"/>
        </w:rPr>
        <w:t xml:space="preserve">En caso de retraso en la ejecución de las obras de urbanización, </w:t>
      </w:r>
      <w:r w:rsidRPr="009231A6"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“Sultana de los Andes”,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9231A6">
        <w:rPr>
          <w:rFonts w:ascii="Palatino Linotype" w:hAnsi="Palatino Linotype"/>
          <w:sz w:val="22"/>
          <w:szCs w:val="22"/>
          <w:lang w:val="es-ES_tradnl"/>
        </w:rPr>
        <w:t>pagarán a la Municipalidad en calidad de multa, el uno por mil por cada día de retraso, calculado del costo de las obras no ejecutadas.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9231A6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 w:rsidRPr="009231A6"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9231A6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9231A6">
        <w:rPr>
          <w:rFonts w:ascii="Palatino Linotype" w:hAnsi="Palatino Linotype"/>
          <w:sz w:val="22"/>
          <w:szCs w:val="22"/>
          <w:lang w:val="es-ES_tradnl"/>
        </w:rPr>
        <w:lastRenderedPageBreak/>
        <w:t>Emitidos los informes correspondientes que establezcan la multa por incumplimiento de las obras de urbanización, se notificará a la Dirección Metropolitana Financiera para que emita el título de crédito respectivo y proceda a su cobro, incluso por la vía coactiva.</w:t>
      </w:r>
    </w:p>
    <w:p w:rsidR="009231A6" w:rsidRPr="009231A6" w:rsidRDefault="00942587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 13</w:t>
      </w:r>
      <w:r w:rsidR="009231A6" w:rsidRPr="009231A6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.- De la garantía de ejecución de las obras.- </w:t>
      </w:r>
      <w:r w:rsidR="009231A6" w:rsidRPr="009231A6">
        <w:rPr>
          <w:rFonts w:ascii="Palatino Linotype" w:hAnsi="Palatino Linotype"/>
          <w:sz w:val="22"/>
          <w:szCs w:val="22"/>
          <w:lang w:val="es-EC"/>
        </w:rPr>
        <w:t>Los lotes producto del presente reconocimiento del Asentamiento Humano de Hecho y Consolidado denominado</w:t>
      </w:r>
      <w:r w:rsidR="009231A6"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 w:rsidR="009231A6"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="009231A6"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“Sultana de los Andes”</w:t>
      </w:r>
      <w:r w:rsidR="009231A6" w:rsidRPr="009231A6">
        <w:rPr>
          <w:rFonts w:ascii="Palatino Linotype" w:hAnsi="Palatino Linotype"/>
          <w:sz w:val="22"/>
          <w:szCs w:val="22"/>
          <w:lang w:val="es-EC"/>
        </w:rPr>
        <w:t>, quedan gravados con primera, especial y preferente hipoteca a favor del Municipio del Distrito Metropolitano de Quito, y que subsistirá hasta la terminación de la ejecución de las obras de urbanización.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sz w:val="22"/>
          <w:szCs w:val="22"/>
          <w:lang w:val="es-EC"/>
        </w:rPr>
        <w:t>En caso de existir algún gravamen que pese sobre el inmueble, este se individualizará al momento de ejecutarse el fraccionamiento.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="00942587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14</w:t>
      </w:r>
      <w:r w:rsidRPr="009231A6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De la protocolización e inscripción de la ordenanza.- </w:t>
      </w:r>
      <w:r w:rsidRPr="009231A6"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</w:t>
      </w:r>
      <w:proofErr w:type="spellStart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>Promejoras</w:t>
      </w:r>
      <w:proofErr w:type="spellEnd"/>
      <w:r w:rsidRPr="009231A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del Barrio “Sultana de los Andes”</w:t>
      </w:r>
      <w:r w:rsidRPr="009231A6">
        <w:rPr>
          <w:rFonts w:ascii="Palatino Linotype" w:hAnsi="Palatino Linotype"/>
          <w:sz w:val="22"/>
          <w:szCs w:val="22"/>
          <w:lang w:val="es-EC"/>
        </w:rPr>
        <w:t>,</w:t>
      </w:r>
      <w:r w:rsidRPr="009231A6">
        <w:rPr>
          <w:rFonts w:ascii="Palatino Linotype" w:hAnsi="Palatino Linotype"/>
          <w:sz w:val="22"/>
          <w:szCs w:val="22"/>
          <w:lang w:val="es-ES_tradnl"/>
        </w:rPr>
        <w:t xml:space="preserve"> se comprometen en el término de ciento ochenta (180) días, contados a partir de la fecha de emisión de la resolución de regularización de excedentes y/o diferencias de áreas por parte de la Autoridad Administrativa Competente, a </w:t>
      </w:r>
      <w:r w:rsidRPr="009231A6">
        <w:rPr>
          <w:rFonts w:ascii="Palatino Linotype" w:hAnsi="Palatino Linotype"/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9231A6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9231A6">
        <w:rPr>
          <w:rFonts w:ascii="Palatino Linotype" w:hAnsi="Palatino Linotype"/>
          <w:sz w:val="22"/>
          <w:szCs w:val="22"/>
          <w:lang w:val="es-EC"/>
        </w:rPr>
        <w:t>;</w:t>
      </w:r>
      <w:r w:rsidRPr="009231A6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9231A6">
        <w:rPr>
          <w:rFonts w:ascii="Palatino Linotype" w:hAnsi="Palatino Linotype"/>
          <w:sz w:val="22"/>
          <w:szCs w:val="22"/>
          <w:lang w:val="es-ES_tradnl"/>
        </w:rPr>
        <w:t>La inscripción de la presente ordenanza servirá como título de dominio de los beneficiarios para efectos del perfeccionamiento de la transferencia de áreas verdes, en caso de que existan.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9231A6">
        <w:rPr>
          <w:rFonts w:ascii="Palatino Linotype" w:hAnsi="Palatino Linotype" w:cs="Arial"/>
          <w:b/>
          <w:sz w:val="22"/>
          <w:szCs w:val="22"/>
          <w:lang w:val="es-ES_tradnl"/>
        </w:rPr>
        <w:t>Artículo 1</w:t>
      </w:r>
      <w:r w:rsidR="00942587">
        <w:rPr>
          <w:rFonts w:ascii="Palatino Linotype" w:hAnsi="Palatino Linotype" w:cs="Arial"/>
          <w:b/>
          <w:sz w:val="22"/>
          <w:szCs w:val="22"/>
          <w:lang w:val="es-ES_tradnl"/>
        </w:rPr>
        <w:t>5</w:t>
      </w:r>
      <w:r w:rsidRPr="009231A6">
        <w:rPr>
          <w:rFonts w:ascii="Palatino Linotype" w:hAnsi="Palatino Linotype" w:cs="Arial"/>
          <w:b/>
          <w:sz w:val="22"/>
          <w:szCs w:val="22"/>
          <w:lang w:val="es-ES_tradnl"/>
        </w:rPr>
        <w:t xml:space="preserve">.- De la partición y adjudicación.- </w:t>
      </w:r>
      <w:r w:rsidRPr="009231A6">
        <w:rPr>
          <w:rFonts w:ascii="Palatino Linotype" w:hAnsi="Palatino Linotype" w:cs="Arial"/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Notario Público y se inscribirá en el Registro de la Propiedad del Distrito Metropolitano de Quito, la misma que sin otra 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</w:t>
      </w:r>
      <w:r w:rsidRPr="009231A6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9231A6" w:rsidRPr="009231A6" w:rsidRDefault="009231A6" w:rsidP="009231A6">
      <w:pPr>
        <w:spacing w:after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231A6">
        <w:rPr>
          <w:rFonts w:ascii="Palatino Linotype" w:hAnsi="Palatino Linotype"/>
          <w:b/>
          <w:bCs/>
          <w:sz w:val="22"/>
          <w:szCs w:val="22"/>
          <w:lang w:val="es-EC"/>
        </w:rPr>
        <w:lastRenderedPageBreak/>
        <w:t>Artículo</w:t>
      </w:r>
      <w:r w:rsidRPr="009231A6">
        <w:rPr>
          <w:rFonts w:ascii="Palatino Linotype" w:hAnsi="Palatino Linotype"/>
          <w:b/>
          <w:sz w:val="22"/>
          <w:szCs w:val="22"/>
          <w:lang w:val="es-EC"/>
        </w:rPr>
        <w:t xml:space="preserve"> 1</w:t>
      </w:r>
      <w:r w:rsidR="00942587">
        <w:rPr>
          <w:rFonts w:ascii="Palatino Linotype" w:hAnsi="Palatino Linotype"/>
          <w:b/>
          <w:sz w:val="22"/>
          <w:szCs w:val="22"/>
          <w:lang w:val="es-EC"/>
        </w:rPr>
        <w:t>6</w:t>
      </w:r>
      <w:r w:rsidRPr="009231A6">
        <w:rPr>
          <w:rFonts w:ascii="Palatino Linotype" w:hAnsi="Palatino Linotype"/>
          <w:b/>
          <w:sz w:val="22"/>
          <w:szCs w:val="22"/>
          <w:lang w:val="es-EC"/>
        </w:rPr>
        <w:t xml:space="preserve">.- Potestad de ejecución.- </w:t>
      </w:r>
      <w:r w:rsidRPr="009231A6">
        <w:rPr>
          <w:rFonts w:ascii="Palatino Linotype" w:hAnsi="Palatino Linotype"/>
          <w:sz w:val="22"/>
          <w:szCs w:val="22"/>
          <w:lang w:val="es-EC"/>
        </w:rPr>
        <w:t>Para el fiel cumplimiento de las disposiciones de esta ordenanza,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9231A6" w:rsidRPr="009231A6" w:rsidRDefault="00942587" w:rsidP="009231A6">
      <w:pPr>
        <w:spacing w:after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>
        <w:rPr>
          <w:rFonts w:ascii="Palatino Linotype" w:hAnsi="Palatino Linotype"/>
          <w:b/>
          <w:bCs/>
          <w:sz w:val="22"/>
          <w:szCs w:val="22"/>
          <w:lang w:val="es-ES_tradnl"/>
        </w:rPr>
        <w:t>Artículo 17</w:t>
      </w:r>
      <w:r w:rsidR="009231A6" w:rsidRPr="009231A6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.- Solicitudes de ampliación de plazo.- </w:t>
      </w:r>
      <w:r w:rsidR="009231A6" w:rsidRPr="009231A6">
        <w:rPr>
          <w:rFonts w:ascii="Palatino Linotype" w:hAnsi="Palatino Linotype"/>
          <w:bCs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9231A6" w:rsidRDefault="00BA5D17" w:rsidP="009231A6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9231A6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</w:t>
      </w:r>
      <w:r w:rsidR="00942587">
        <w:rPr>
          <w:rFonts w:ascii="Palatino Linotype" w:hAnsi="Palatino Linotype" w:cs="Arial"/>
          <w:b/>
          <w:sz w:val="22"/>
          <w:szCs w:val="22"/>
          <w:lang w:val="es-ES_tradnl"/>
        </w:rPr>
        <w:t>f</w:t>
      </w:r>
      <w:r w:rsidRPr="009231A6">
        <w:rPr>
          <w:rFonts w:ascii="Palatino Linotype" w:hAnsi="Palatino Linotype" w:cs="Arial"/>
          <w:b/>
          <w:sz w:val="22"/>
          <w:szCs w:val="22"/>
          <w:lang w:val="es-ES_tradnl"/>
        </w:rPr>
        <w:t xml:space="preserve">inal.- </w:t>
      </w:r>
      <w:r w:rsidRPr="009231A6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302F52" w:rsidRPr="00184A73" w:rsidRDefault="00302F52" w:rsidP="0013584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184A73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942587">
        <w:rPr>
          <w:rFonts w:ascii="Palatino Linotype" w:hAnsi="Palatino Linotype" w:cs="Arial"/>
          <w:sz w:val="22"/>
          <w:szCs w:val="22"/>
        </w:rPr>
        <w:t>27</w:t>
      </w:r>
      <w:r w:rsidRPr="00184A73">
        <w:rPr>
          <w:rFonts w:ascii="Palatino Linotype" w:hAnsi="Palatino Linotype" w:cs="Arial"/>
          <w:sz w:val="22"/>
          <w:szCs w:val="22"/>
        </w:rPr>
        <w:t xml:space="preserve"> de </w:t>
      </w:r>
      <w:r w:rsidR="00942587">
        <w:rPr>
          <w:rFonts w:ascii="Palatino Linotype" w:hAnsi="Palatino Linotype" w:cs="Arial"/>
          <w:sz w:val="22"/>
          <w:szCs w:val="22"/>
        </w:rPr>
        <w:t xml:space="preserve">agosto </w:t>
      </w:r>
      <w:r w:rsidRPr="00184A73">
        <w:rPr>
          <w:rFonts w:ascii="Palatino Linotype" w:hAnsi="Palatino Linotype" w:cs="Arial"/>
          <w:sz w:val="22"/>
          <w:szCs w:val="22"/>
        </w:rPr>
        <w:t>de 201</w:t>
      </w:r>
      <w:r w:rsidR="00BA5D17" w:rsidRPr="00184A73">
        <w:rPr>
          <w:rFonts w:ascii="Palatino Linotype" w:hAnsi="Palatino Linotype" w:cs="Arial"/>
          <w:sz w:val="22"/>
          <w:szCs w:val="22"/>
        </w:rPr>
        <w:t>5</w:t>
      </w:r>
      <w:r w:rsidRPr="00184A73">
        <w:rPr>
          <w:rFonts w:ascii="Palatino Linotype" w:hAnsi="Palatino Linotype" w:cs="Arial"/>
          <w:sz w:val="22"/>
          <w:szCs w:val="22"/>
        </w:rPr>
        <w:t>.</w:t>
      </w:r>
    </w:p>
    <w:p w:rsidR="00302F52" w:rsidRPr="00184A73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Pr="00184A7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184A73" w:rsidTr="00A571E2">
        <w:trPr>
          <w:jc w:val="center"/>
        </w:trPr>
        <w:tc>
          <w:tcPr>
            <w:tcW w:w="5575" w:type="dxa"/>
            <w:hideMark/>
          </w:tcPr>
          <w:p w:rsidR="00302F52" w:rsidRPr="00184A73" w:rsidRDefault="00942587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 xml:space="preserve">Ing. Anabel Hermosa Acosta </w:t>
            </w:r>
          </w:p>
          <w:p w:rsidR="00302F52" w:rsidRPr="00184A73" w:rsidRDefault="00942587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>
              <w:rPr>
                <w:rFonts w:ascii="Palatino Linotype" w:hAnsi="Palatino Linotype" w:cs="Arial"/>
                <w:b/>
                <w:sz w:val="19"/>
                <w:szCs w:val="19"/>
              </w:rPr>
              <w:t xml:space="preserve">Segunda </w:t>
            </w:r>
            <w:r w:rsidR="00302F52" w:rsidRPr="00184A73">
              <w:rPr>
                <w:rFonts w:ascii="Palatino Linotype" w:hAnsi="Palatino Linotype" w:cs="Arial"/>
                <w:b/>
                <w:sz w:val="19"/>
                <w:szCs w:val="19"/>
              </w:rPr>
              <w:t>Vicepresidenta del Concejo Metropolitano de Quito</w:t>
            </w:r>
          </w:p>
        </w:tc>
        <w:tc>
          <w:tcPr>
            <w:tcW w:w="5324" w:type="dxa"/>
            <w:hideMark/>
          </w:tcPr>
          <w:p w:rsidR="00302F52" w:rsidRPr="00184A73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 w:rsidRPr="00184A73"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Pr="00184A73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184A73">
              <w:rPr>
                <w:rFonts w:ascii="Palatino Linotype" w:hAnsi="Palatino Linotype" w:cs="Arial"/>
                <w:b/>
                <w:sz w:val="19"/>
                <w:szCs w:val="19"/>
              </w:rPr>
              <w:t>Secretario General del Concejo Metropolitano de Quito</w:t>
            </w:r>
          </w:p>
          <w:p w:rsidR="00A01024" w:rsidRPr="00184A73" w:rsidRDefault="00A01024" w:rsidP="00E4543C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184A73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184A73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sz w:val="22"/>
          <w:szCs w:val="22"/>
        </w:rPr>
        <w:t>El infrascrito Secretario General del Concejo Metropolitano de Quito, certifica que la presente ordenanza fue discutida y aprobada</w:t>
      </w:r>
      <w:r w:rsidR="000A0F48" w:rsidRPr="00184A73">
        <w:rPr>
          <w:rFonts w:ascii="Palatino Linotype" w:eastAsia="MS Mincho" w:hAnsi="Palatino Linotype" w:cs="Arial"/>
          <w:sz w:val="22"/>
          <w:szCs w:val="22"/>
        </w:rPr>
        <w:t xml:space="preserve"> en dos debates, en sesiones de </w:t>
      </w:r>
      <w:r w:rsidR="00942587">
        <w:rPr>
          <w:rFonts w:ascii="Palatino Linotype" w:eastAsia="MS Mincho" w:hAnsi="Palatino Linotype" w:cs="Arial"/>
          <w:sz w:val="22"/>
          <w:szCs w:val="22"/>
        </w:rPr>
        <w:t>13</w:t>
      </w:r>
      <w:r w:rsidR="000A0F48" w:rsidRPr="00184A73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Pr="00184A73"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942587">
        <w:rPr>
          <w:rFonts w:ascii="Palatino Linotype" w:eastAsia="MS Mincho" w:hAnsi="Palatino Linotype" w:cs="Arial"/>
          <w:sz w:val="22"/>
          <w:szCs w:val="22"/>
        </w:rPr>
        <w:t>27</w:t>
      </w:r>
      <w:r w:rsidRPr="00184A73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942587">
        <w:rPr>
          <w:rFonts w:ascii="Palatino Linotype" w:eastAsia="MS Mincho" w:hAnsi="Palatino Linotype" w:cs="Arial"/>
          <w:sz w:val="22"/>
          <w:szCs w:val="22"/>
        </w:rPr>
        <w:t xml:space="preserve">agosto </w:t>
      </w:r>
      <w:r w:rsidRPr="00184A73">
        <w:rPr>
          <w:rFonts w:ascii="Palatino Linotype" w:eastAsia="MS Mincho" w:hAnsi="Palatino Linotype" w:cs="Arial"/>
          <w:sz w:val="22"/>
          <w:szCs w:val="22"/>
        </w:rPr>
        <w:t>de 201</w:t>
      </w:r>
      <w:r w:rsidR="00BA5D17" w:rsidRPr="00184A73">
        <w:rPr>
          <w:rFonts w:ascii="Palatino Linotype" w:eastAsia="MS Mincho" w:hAnsi="Palatino Linotype" w:cs="Arial"/>
          <w:sz w:val="22"/>
          <w:szCs w:val="22"/>
        </w:rPr>
        <w:t>5</w:t>
      </w:r>
      <w:r w:rsidRPr="00184A73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A44DC3" w:rsidRPr="00184A7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184A73" w:rsidRDefault="008079C6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184A73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184A73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079C6" w:rsidRPr="00184A73" w:rsidRDefault="008079C6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b/>
          <w:bCs/>
          <w:sz w:val="22"/>
          <w:szCs w:val="22"/>
        </w:rPr>
      </w:pPr>
    </w:p>
    <w:p w:rsidR="00302F52" w:rsidRPr="00184A73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184A73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302F52" w:rsidRPr="00184A73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Pr="00184A7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184A73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184A73"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CA554A" w:rsidRDefault="00302F52" w:rsidP="00111D4F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184A73">
        <w:rPr>
          <w:rFonts w:ascii="Palatino Linotype" w:eastAsia="MS Mincho" w:hAnsi="Palatino Linotype" w:cs="Arial"/>
          <w:b/>
          <w:bCs/>
          <w:sz w:val="22"/>
          <w:szCs w:val="22"/>
        </w:rPr>
        <w:t>SECRETARIO GENERAL DEL CONCEJO METROPOLITANO DE QUITO</w:t>
      </w:r>
    </w:p>
    <w:p w:rsidR="00942587" w:rsidRPr="00942587" w:rsidRDefault="00942587" w:rsidP="00942587">
      <w:pPr>
        <w:pStyle w:val="Textosinformato"/>
        <w:rPr>
          <w:rFonts w:ascii="Palatino Linotype" w:eastAsia="MS Mincho" w:hAnsi="Palatino Linotype" w:cs="Arial"/>
          <w:b/>
          <w:bCs/>
          <w:sz w:val="12"/>
          <w:szCs w:val="12"/>
        </w:rPr>
      </w:pPr>
      <w:r>
        <w:rPr>
          <w:rFonts w:ascii="Palatino Linotype" w:eastAsia="MS Mincho" w:hAnsi="Palatino Linotype" w:cs="Arial"/>
          <w:b/>
          <w:bCs/>
          <w:sz w:val="12"/>
          <w:szCs w:val="12"/>
        </w:rPr>
        <w:t>DSCS</w:t>
      </w:r>
    </w:p>
    <w:sectPr w:rsidR="00942587" w:rsidRPr="00942587" w:rsidSect="008079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133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7F" w:rsidRDefault="00834E7F" w:rsidP="00B14643">
      <w:r>
        <w:separator/>
      </w:r>
    </w:p>
  </w:endnote>
  <w:endnote w:type="continuationSeparator" w:id="1">
    <w:p w:rsidR="00834E7F" w:rsidRDefault="00834E7F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F" w:rsidRPr="00723B61" w:rsidRDefault="00834E7F">
    <w:pPr>
      <w:pStyle w:val="Piedepgina"/>
      <w:jc w:val="right"/>
      <w:rPr>
        <w:rFonts w:ascii="Palatino Linotype" w:hAnsi="Palatino Linotype"/>
      </w:rPr>
    </w:pPr>
  </w:p>
  <w:p w:rsidR="00834E7F" w:rsidRDefault="00834E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F" w:rsidRPr="00723B61" w:rsidRDefault="00834E7F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="0004691F"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="0004691F" w:rsidRPr="00723B61">
      <w:rPr>
        <w:rFonts w:ascii="Palatino Linotype" w:hAnsi="Palatino Linotype"/>
        <w:b/>
        <w:sz w:val="24"/>
        <w:szCs w:val="24"/>
      </w:rPr>
      <w:fldChar w:fldCharType="separate"/>
    </w:r>
    <w:r w:rsidR="00942587">
      <w:rPr>
        <w:rFonts w:ascii="Palatino Linotype" w:hAnsi="Palatino Linotype"/>
        <w:b/>
        <w:noProof/>
      </w:rPr>
      <w:t>3</w:t>
    </w:r>
    <w:r w:rsidR="0004691F"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 w:rsidR="00E4543C">
      <w:rPr>
        <w:rFonts w:ascii="Palatino Linotype" w:hAnsi="Palatino Linotype"/>
        <w:b/>
      </w:rPr>
      <w:t>10</w:t>
    </w:r>
  </w:p>
  <w:p w:rsidR="00834E7F" w:rsidRDefault="00834E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7F" w:rsidRDefault="00834E7F" w:rsidP="00B14643">
      <w:r>
        <w:separator/>
      </w:r>
    </w:p>
  </w:footnote>
  <w:footnote w:type="continuationSeparator" w:id="1">
    <w:p w:rsidR="00834E7F" w:rsidRDefault="00834E7F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F" w:rsidRDefault="00834E7F">
    <w:pPr>
      <w:pStyle w:val="Encabezado"/>
      <w:rPr>
        <w:lang w:val="es-EC"/>
      </w:rPr>
    </w:pPr>
  </w:p>
  <w:p w:rsidR="00834E7F" w:rsidRDefault="00834E7F">
    <w:pPr>
      <w:pStyle w:val="Encabezado"/>
      <w:rPr>
        <w:lang w:val="es-EC"/>
      </w:rPr>
    </w:pPr>
  </w:p>
  <w:p w:rsidR="00834E7F" w:rsidRDefault="00834E7F">
    <w:pPr>
      <w:pStyle w:val="Encabezado"/>
      <w:rPr>
        <w:lang w:val="es-EC"/>
      </w:rPr>
    </w:pPr>
  </w:p>
  <w:p w:rsidR="00834E7F" w:rsidRDefault="00834E7F">
    <w:pPr>
      <w:pStyle w:val="Encabezado"/>
      <w:rPr>
        <w:lang w:val="es-EC"/>
      </w:rPr>
    </w:pPr>
  </w:p>
  <w:p w:rsidR="00834E7F" w:rsidRDefault="00834E7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942587" w:rsidRDefault="00942587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834E7F" w:rsidRPr="00476B21" w:rsidRDefault="00834E7F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834E7F" w:rsidRPr="00150606" w:rsidRDefault="00834E7F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F" w:rsidRDefault="00834E7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834E7F" w:rsidRPr="00476B21" w:rsidRDefault="00834E7F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834E7F" w:rsidRDefault="00834E7F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F" w:rsidRDefault="00834E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63704D"/>
    <w:multiLevelType w:val="hybridMultilevel"/>
    <w:tmpl w:val="18ACD18E"/>
    <w:lvl w:ilvl="0" w:tplc="5C9068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E7148"/>
    <w:multiLevelType w:val="hybridMultilevel"/>
    <w:tmpl w:val="50BA40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2658DD"/>
    <w:multiLevelType w:val="hybridMultilevel"/>
    <w:tmpl w:val="D068B96E"/>
    <w:lvl w:ilvl="0" w:tplc="0A3844E8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4D9B"/>
    <w:multiLevelType w:val="hybridMultilevel"/>
    <w:tmpl w:val="ED4653EE"/>
    <w:lvl w:ilvl="0" w:tplc="30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2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2"/>
  </w:num>
  <w:num w:numId="11">
    <w:abstractNumId w:val="30"/>
  </w:num>
  <w:num w:numId="12">
    <w:abstractNumId w:val="1"/>
  </w:num>
  <w:num w:numId="13">
    <w:abstractNumId w:val="31"/>
  </w:num>
  <w:num w:numId="14">
    <w:abstractNumId w:val="25"/>
  </w:num>
  <w:num w:numId="15">
    <w:abstractNumId w:val="11"/>
  </w:num>
  <w:num w:numId="16">
    <w:abstractNumId w:val="15"/>
  </w:num>
  <w:num w:numId="17">
    <w:abstractNumId w:val="10"/>
  </w:num>
  <w:num w:numId="18">
    <w:abstractNumId w:val="26"/>
  </w:num>
  <w:num w:numId="19">
    <w:abstractNumId w:val="7"/>
  </w:num>
  <w:num w:numId="20">
    <w:abstractNumId w:val="20"/>
  </w:num>
  <w:num w:numId="21">
    <w:abstractNumId w:val="28"/>
  </w:num>
  <w:num w:numId="22">
    <w:abstractNumId w:val="1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22"/>
  </w:num>
  <w:num w:numId="28">
    <w:abstractNumId w:val="18"/>
  </w:num>
  <w:num w:numId="29">
    <w:abstractNumId w:val="29"/>
  </w:num>
  <w:num w:numId="30">
    <w:abstractNumId w:val="9"/>
  </w:num>
  <w:num w:numId="31">
    <w:abstractNumId w:val="24"/>
  </w:num>
  <w:num w:numId="32">
    <w:abstractNumId w:val="12"/>
  </w:num>
  <w:num w:numId="33">
    <w:abstractNumId w:val="21"/>
  </w:num>
  <w:num w:numId="34">
    <w:abstractNumId w:val="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75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01872"/>
    <w:rsid w:val="000104CF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4691F"/>
    <w:rsid w:val="000526F7"/>
    <w:rsid w:val="00052BA7"/>
    <w:rsid w:val="000535A7"/>
    <w:rsid w:val="00057D41"/>
    <w:rsid w:val="00064C9D"/>
    <w:rsid w:val="00070E32"/>
    <w:rsid w:val="000726A0"/>
    <w:rsid w:val="00074B5F"/>
    <w:rsid w:val="00077615"/>
    <w:rsid w:val="0008239D"/>
    <w:rsid w:val="00090566"/>
    <w:rsid w:val="000926DD"/>
    <w:rsid w:val="000950B5"/>
    <w:rsid w:val="00097181"/>
    <w:rsid w:val="000A0F48"/>
    <w:rsid w:val="000A124A"/>
    <w:rsid w:val="000A2823"/>
    <w:rsid w:val="000A3329"/>
    <w:rsid w:val="000A458D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26F8"/>
    <w:rsid w:val="000F35C3"/>
    <w:rsid w:val="000F4323"/>
    <w:rsid w:val="000F577D"/>
    <w:rsid w:val="00102DA6"/>
    <w:rsid w:val="001039D9"/>
    <w:rsid w:val="001077B2"/>
    <w:rsid w:val="00111D4F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3574D"/>
    <w:rsid w:val="0013584F"/>
    <w:rsid w:val="00140520"/>
    <w:rsid w:val="00142B47"/>
    <w:rsid w:val="0014396E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4A73"/>
    <w:rsid w:val="00187214"/>
    <w:rsid w:val="0018731A"/>
    <w:rsid w:val="0019102C"/>
    <w:rsid w:val="001961DC"/>
    <w:rsid w:val="001969C7"/>
    <w:rsid w:val="001974CE"/>
    <w:rsid w:val="001A05AB"/>
    <w:rsid w:val="001A07FE"/>
    <w:rsid w:val="001A1E74"/>
    <w:rsid w:val="001A21AF"/>
    <w:rsid w:val="001A2A2E"/>
    <w:rsid w:val="001A37BD"/>
    <w:rsid w:val="001A423C"/>
    <w:rsid w:val="001A5B94"/>
    <w:rsid w:val="001A725D"/>
    <w:rsid w:val="001B14D2"/>
    <w:rsid w:val="001B26BE"/>
    <w:rsid w:val="001B3133"/>
    <w:rsid w:val="001B69C8"/>
    <w:rsid w:val="001B6BF2"/>
    <w:rsid w:val="001C2BF8"/>
    <w:rsid w:val="001C370A"/>
    <w:rsid w:val="001C37DA"/>
    <w:rsid w:val="001C4043"/>
    <w:rsid w:val="001C5676"/>
    <w:rsid w:val="001C5B7C"/>
    <w:rsid w:val="001D2138"/>
    <w:rsid w:val="001D2853"/>
    <w:rsid w:val="001D28A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534"/>
    <w:rsid w:val="00210EC5"/>
    <w:rsid w:val="00212D0E"/>
    <w:rsid w:val="002149A1"/>
    <w:rsid w:val="002151EE"/>
    <w:rsid w:val="00220E90"/>
    <w:rsid w:val="002224A1"/>
    <w:rsid w:val="0022742E"/>
    <w:rsid w:val="00227CBD"/>
    <w:rsid w:val="00230B0D"/>
    <w:rsid w:val="00231E7F"/>
    <w:rsid w:val="002342B1"/>
    <w:rsid w:val="00235290"/>
    <w:rsid w:val="00235A34"/>
    <w:rsid w:val="00235D33"/>
    <w:rsid w:val="002400BF"/>
    <w:rsid w:val="00241192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1F1C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6383"/>
    <w:rsid w:val="002D143B"/>
    <w:rsid w:val="002D165C"/>
    <w:rsid w:val="002D3569"/>
    <w:rsid w:val="002D3C51"/>
    <w:rsid w:val="002D4476"/>
    <w:rsid w:val="002D4869"/>
    <w:rsid w:val="002D6035"/>
    <w:rsid w:val="002D742D"/>
    <w:rsid w:val="002E1F39"/>
    <w:rsid w:val="002E27D9"/>
    <w:rsid w:val="002E3DDA"/>
    <w:rsid w:val="002E50E0"/>
    <w:rsid w:val="002E6990"/>
    <w:rsid w:val="002E6E48"/>
    <w:rsid w:val="002F2233"/>
    <w:rsid w:val="002F2444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46972"/>
    <w:rsid w:val="00354992"/>
    <w:rsid w:val="003562D9"/>
    <w:rsid w:val="00356889"/>
    <w:rsid w:val="003654EA"/>
    <w:rsid w:val="003664D5"/>
    <w:rsid w:val="003667C0"/>
    <w:rsid w:val="00370943"/>
    <w:rsid w:val="00372E2D"/>
    <w:rsid w:val="003759CD"/>
    <w:rsid w:val="00381ADA"/>
    <w:rsid w:val="003834FF"/>
    <w:rsid w:val="00383E00"/>
    <w:rsid w:val="003843CA"/>
    <w:rsid w:val="003843DB"/>
    <w:rsid w:val="003870B9"/>
    <w:rsid w:val="003946FB"/>
    <w:rsid w:val="003953BD"/>
    <w:rsid w:val="003958F3"/>
    <w:rsid w:val="0039693E"/>
    <w:rsid w:val="003A0D5E"/>
    <w:rsid w:val="003A129C"/>
    <w:rsid w:val="003A4569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4453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1ABC"/>
    <w:rsid w:val="00446D8B"/>
    <w:rsid w:val="00453BC2"/>
    <w:rsid w:val="00460147"/>
    <w:rsid w:val="00461AE0"/>
    <w:rsid w:val="00462E51"/>
    <w:rsid w:val="0046790E"/>
    <w:rsid w:val="004750CA"/>
    <w:rsid w:val="00476B21"/>
    <w:rsid w:val="004809D5"/>
    <w:rsid w:val="004824E7"/>
    <w:rsid w:val="00484932"/>
    <w:rsid w:val="0048545E"/>
    <w:rsid w:val="004868B3"/>
    <w:rsid w:val="00487381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D7B61"/>
    <w:rsid w:val="004E12F6"/>
    <w:rsid w:val="004E291C"/>
    <w:rsid w:val="004E413D"/>
    <w:rsid w:val="004E5EE5"/>
    <w:rsid w:val="004F0A6D"/>
    <w:rsid w:val="004F2312"/>
    <w:rsid w:val="004F2EE4"/>
    <w:rsid w:val="004F40E5"/>
    <w:rsid w:val="004F4DE6"/>
    <w:rsid w:val="004F5062"/>
    <w:rsid w:val="004F6AB2"/>
    <w:rsid w:val="004F727F"/>
    <w:rsid w:val="00500590"/>
    <w:rsid w:val="00501C85"/>
    <w:rsid w:val="005032C2"/>
    <w:rsid w:val="0050724E"/>
    <w:rsid w:val="00510372"/>
    <w:rsid w:val="00511176"/>
    <w:rsid w:val="00516E13"/>
    <w:rsid w:val="00516FFD"/>
    <w:rsid w:val="005222E0"/>
    <w:rsid w:val="00523121"/>
    <w:rsid w:val="005231E7"/>
    <w:rsid w:val="00523D5A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6BF3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95261"/>
    <w:rsid w:val="00595499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64B1"/>
    <w:rsid w:val="005E7CBA"/>
    <w:rsid w:val="005F1A76"/>
    <w:rsid w:val="005F2841"/>
    <w:rsid w:val="005F7161"/>
    <w:rsid w:val="00600783"/>
    <w:rsid w:val="00602EA3"/>
    <w:rsid w:val="006039DC"/>
    <w:rsid w:val="006043DB"/>
    <w:rsid w:val="00611984"/>
    <w:rsid w:val="00611CE1"/>
    <w:rsid w:val="0061664E"/>
    <w:rsid w:val="00616E48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CCB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67CBB"/>
    <w:rsid w:val="0067079B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C53D9"/>
    <w:rsid w:val="006D3AAD"/>
    <w:rsid w:val="006D3DD7"/>
    <w:rsid w:val="006D6757"/>
    <w:rsid w:val="006D7BAE"/>
    <w:rsid w:val="006E111C"/>
    <w:rsid w:val="006E2129"/>
    <w:rsid w:val="006E2294"/>
    <w:rsid w:val="006E24E6"/>
    <w:rsid w:val="006E56AD"/>
    <w:rsid w:val="006F435D"/>
    <w:rsid w:val="006F4DF0"/>
    <w:rsid w:val="006F5682"/>
    <w:rsid w:val="006F5A11"/>
    <w:rsid w:val="006F68C0"/>
    <w:rsid w:val="006F77BC"/>
    <w:rsid w:val="00701131"/>
    <w:rsid w:val="00702D95"/>
    <w:rsid w:val="00703563"/>
    <w:rsid w:val="00703851"/>
    <w:rsid w:val="00705B99"/>
    <w:rsid w:val="00714C8B"/>
    <w:rsid w:val="00715516"/>
    <w:rsid w:val="007165BB"/>
    <w:rsid w:val="00717A14"/>
    <w:rsid w:val="00723B61"/>
    <w:rsid w:val="00724088"/>
    <w:rsid w:val="007259B0"/>
    <w:rsid w:val="00725EF6"/>
    <w:rsid w:val="00726EC8"/>
    <w:rsid w:val="00727DE4"/>
    <w:rsid w:val="00731C13"/>
    <w:rsid w:val="007322CD"/>
    <w:rsid w:val="007330BB"/>
    <w:rsid w:val="007364EF"/>
    <w:rsid w:val="007366FB"/>
    <w:rsid w:val="007413A1"/>
    <w:rsid w:val="00741C69"/>
    <w:rsid w:val="007438A9"/>
    <w:rsid w:val="007459D5"/>
    <w:rsid w:val="00747C7E"/>
    <w:rsid w:val="007513B7"/>
    <w:rsid w:val="0075242D"/>
    <w:rsid w:val="00753307"/>
    <w:rsid w:val="00755A63"/>
    <w:rsid w:val="00755D54"/>
    <w:rsid w:val="00757823"/>
    <w:rsid w:val="007603D3"/>
    <w:rsid w:val="00773042"/>
    <w:rsid w:val="0077379E"/>
    <w:rsid w:val="007743D8"/>
    <w:rsid w:val="00780FDF"/>
    <w:rsid w:val="00781256"/>
    <w:rsid w:val="00785173"/>
    <w:rsid w:val="007863C1"/>
    <w:rsid w:val="00796803"/>
    <w:rsid w:val="0079736E"/>
    <w:rsid w:val="007A0447"/>
    <w:rsid w:val="007A0765"/>
    <w:rsid w:val="007A2B22"/>
    <w:rsid w:val="007A70EC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3A59"/>
    <w:rsid w:val="007F44D9"/>
    <w:rsid w:val="007F50BB"/>
    <w:rsid w:val="007F69CD"/>
    <w:rsid w:val="007F7470"/>
    <w:rsid w:val="00800224"/>
    <w:rsid w:val="00801DD7"/>
    <w:rsid w:val="008053AC"/>
    <w:rsid w:val="008079C6"/>
    <w:rsid w:val="0081056B"/>
    <w:rsid w:val="00813CBA"/>
    <w:rsid w:val="0081441B"/>
    <w:rsid w:val="00815428"/>
    <w:rsid w:val="00816E9E"/>
    <w:rsid w:val="00817FE4"/>
    <w:rsid w:val="00833268"/>
    <w:rsid w:val="00834E7F"/>
    <w:rsid w:val="0083612B"/>
    <w:rsid w:val="00836B43"/>
    <w:rsid w:val="00840609"/>
    <w:rsid w:val="0084153F"/>
    <w:rsid w:val="00841633"/>
    <w:rsid w:val="0084430E"/>
    <w:rsid w:val="00844B9B"/>
    <w:rsid w:val="0084725F"/>
    <w:rsid w:val="008507F5"/>
    <w:rsid w:val="00852F0D"/>
    <w:rsid w:val="00861871"/>
    <w:rsid w:val="00861A7F"/>
    <w:rsid w:val="0086470F"/>
    <w:rsid w:val="0086515C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1A3D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3695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8F7036"/>
    <w:rsid w:val="00900480"/>
    <w:rsid w:val="0090288A"/>
    <w:rsid w:val="00902D76"/>
    <w:rsid w:val="00903379"/>
    <w:rsid w:val="00905E7E"/>
    <w:rsid w:val="00907FE8"/>
    <w:rsid w:val="00910052"/>
    <w:rsid w:val="00912C3B"/>
    <w:rsid w:val="009179C7"/>
    <w:rsid w:val="00922D45"/>
    <w:rsid w:val="009231A6"/>
    <w:rsid w:val="00923463"/>
    <w:rsid w:val="00923B99"/>
    <w:rsid w:val="00923EC9"/>
    <w:rsid w:val="00924A8D"/>
    <w:rsid w:val="00926E41"/>
    <w:rsid w:val="00927C76"/>
    <w:rsid w:val="009362AB"/>
    <w:rsid w:val="00937655"/>
    <w:rsid w:val="00942587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27E2"/>
    <w:rsid w:val="009733D3"/>
    <w:rsid w:val="00974163"/>
    <w:rsid w:val="00980DCE"/>
    <w:rsid w:val="00981FAF"/>
    <w:rsid w:val="0098259C"/>
    <w:rsid w:val="009908B4"/>
    <w:rsid w:val="00993328"/>
    <w:rsid w:val="009A5C59"/>
    <w:rsid w:val="009A7C1B"/>
    <w:rsid w:val="009B0837"/>
    <w:rsid w:val="009B427E"/>
    <w:rsid w:val="009B4666"/>
    <w:rsid w:val="009C2AF4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42CD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4C11"/>
    <w:rsid w:val="009F504C"/>
    <w:rsid w:val="009F7CD5"/>
    <w:rsid w:val="00A01024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4F2B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67F30"/>
    <w:rsid w:val="00A70ABB"/>
    <w:rsid w:val="00A71526"/>
    <w:rsid w:val="00A71C61"/>
    <w:rsid w:val="00A731E8"/>
    <w:rsid w:val="00A80160"/>
    <w:rsid w:val="00A86186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6C36"/>
    <w:rsid w:val="00AD7E9B"/>
    <w:rsid w:val="00AE36E8"/>
    <w:rsid w:val="00AF1275"/>
    <w:rsid w:val="00AF1475"/>
    <w:rsid w:val="00AF3FA6"/>
    <w:rsid w:val="00AF7530"/>
    <w:rsid w:val="00AF7E74"/>
    <w:rsid w:val="00B00707"/>
    <w:rsid w:val="00B030DB"/>
    <w:rsid w:val="00B03F29"/>
    <w:rsid w:val="00B064EA"/>
    <w:rsid w:val="00B069D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27C61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75DB"/>
    <w:rsid w:val="00B60FAC"/>
    <w:rsid w:val="00B64176"/>
    <w:rsid w:val="00B65443"/>
    <w:rsid w:val="00B65522"/>
    <w:rsid w:val="00B65EBD"/>
    <w:rsid w:val="00B6630F"/>
    <w:rsid w:val="00B742EF"/>
    <w:rsid w:val="00B74318"/>
    <w:rsid w:val="00B7468B"/>
    <w:rsid w:val="00B747F5"/>
    <w:rsid w:val="00B74F7F"/>
    <w:rsid w:val="00B81472"/>
    <w:rsid w:val="00B824C4"/>
    <w:rsid w:val="00B84D5C"/>
    <w:rsid w:val="00B92361"/>
    <w:rsid w:val="00B969AE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0C4D"/>
    <w:rsid w:val="00BC5C84"/>
    <w:rsid w:val="00BC6487"/>
    <w:rsid w:val="00BC6EE5"/>
    <w:rsid w:val="00BD5A41"/>
    <w:rsid w:val="00BD5A99"/>
    <w:rsid w:val="00BD617B"/>
    <w:rsid w:val="00BE0042"/>
    <w:rsid w:val="00BE06BA"/>
    <w:rsid w:val="00BE28DF"/>
    <w:rsid w:val="00BE4F22"/>
    <w:rsid w:val="00BE6BAC"/>
    <w:rsid w:val="00BF5971"/>
    <w:rsid w:val="00C05343"/>
    <w:rsid w:val="00C05911"/>
    <w:rsid w:val="00C06591"/>
    <w:rsid w:val="00C1176C"/>
    <w:rsid w:val="00C15531"/>
    <w:rsid w:val="00C16B2C"/>
    <w:rsid w:val="00C173C6"/>
    <w:rsid w:val="00C17CCD"/>
    <w:rsid w:val="00C222AD"/>
    <w:rsid w:val="00C236F8"/>
    <w:rsid w:val="00C242AD"/>
    <w:rsid w:val="00C251A6"/>
    <w:rsid w:val="00C269A3"/>
    <w:rsid w:val="00C26E0B"/>
    <w:rsid w:val="00C27958"/>
    <w:rsid w:val="00C3085E"/>
    <w:rsid w:val="00C331A8"/>
    <w:rsid w:val="00C43310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1B6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96AAE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5C3A"/>
    <w:rsid w:val="00CE618E"/>
    <w:rsid w:val="00CE661B"/>
    <w:rsid w:val="00CE6A80"/>
    <w:rsid w:val="00CE751E"/>
    <w:rsid w:val="00CF350D"/>
    <w:rsid w:val="00CF3C94"/>
    <w:rsid w:val="00CF6872"/>
    <w:rsid w:val="00D005A3"/>
    <w:rsid w:val="00D0199B"/>
    <w:rsid w:val="00D0271B"/>
    <w:rsid w:val="00D04849"/>
    <w:rsid w:val="00D057C6"/>
    <w:rsid w:val="00D071B4"/>
    <w:rsid w:val="00D123D9"/>
    <w:rsid w:val="00D17A49"/>
    <w:rsid w:val="00D20544"/>
    <w:rsid w:val="00D21B39"/>
    <w:rsid w:val="00D2233B"/>
    <w:rsid w:val="00D23621"/>
    <w:rsid w:val="00D238EF"/>
    <w:rsid w:val="00D25592"/>
    <w:rsid w:val="00D26767"/>
    <w:rsid w:val="00D3024F"/>
    <w:rsid w:val="00D30AB5"/>
    <w:rsid w:val="00D32C34"/>
    <w:rsid w:val="00D3549F"/>
    <w:rsid w:val="00D3616C"/>
    <w:rsid w:val="00D377C3"/>
    <w:rsid w:val="00D406CF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1585"/>
    <w:rsid w:val="00DA3162"/>
    <w:rsid w:val="00DA329B"/>
    <w:rsid w:val="00DA3641"/>
    <w:rsid w:val="00DB1AD0"/>
    <w:rsid w:val="00DB6A9F"/>
    <w:rsid w:val="00DC10E8"/>
    <w:rsid w:val="00DC21E8"/>
    <w:rsid w:val="00DC2B03"/>
    <w:rsid w:val="00DD0375"/>
    <w:rsid w:val="00DD3BB6"/>
    <w:rsid w:val="00DD3F7D"/>
    <w:rsid w:val="00DD74FA"/>
    <w:rsid w:val="00DD762E"/>
    <w:rsid w:val="00DE1786"/>
    <w:rsid w:val="00DE2952"/>
    <w:rsid w:val="00DE2E81"/>
    <w:rsid w:val="00DE35B0"/>
    <w:rsid w:val="00DE36A2"/>
    <w:rsid w:val="00DF0B3D"/>
    <w:rsid w:val="00DF11B5"/>
    <w:rsid w:val="00DF1C55"/>
    <w:rsid w:val="00DF3409"/>
    <w:rsid w:val="00DF4D05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43C"/>
    <w:rsid w:val="00E45E97"/>
    <w:rsid w:val="00E46257"/>
    <w:rsid w:val="00E46CCC"/>
    <w:rsid w:val="00E506FA"/>
    <w:rsid w:val="00E515DC"/>
    <w:rsid w:val="00E51A77"/>
    <w:rsid w:val="00E552C1"/>
    <w:rsid w:val="00E60674"/>
    <w:rsid w:val="00E649A7"/>
    <w:rsid w:val="00E64F9D"/>
    <w:rsid w:val="00E73CAC"/>
    <w:rsid w:val="00E7413C"/>
    <w:rsid w:val="00E774B8"/>
    <w:rsid w:val="00E80965"/>
    <w:rsid w:val="00E82399"/>
    <w:rsid w:val="00E83519"/>
    <w:rsid w:val="00E83CAF"/>
    <w:rsid w:val="00E9042E"/>
    <w:rsid w:val="00E909C1"/>
    <w:rsid w:val="00E918F7"/>
    <w:rsid w:val="00E93F84"/>
    <w:rsid w:val="00E93FB3"/>
    <w:rsid w:val="00E942FB"/>
    <w:rsid w:val="00E94928"/>
    <w:rsid w:val="00EA2521"/>
    <w:rsid w:val="00EA5D11"/>
    <w:rsid w:val="00EA682F"/>
    <w:rsid w:val="00EA7DD9"/>
    <w:rsid w:val="00EB17F2"/>
    <w:rsid w:val="00EB2F5E"/>
    <w:rsid w:val="00EB32DC"/>
    <w:rsid w:val="00EC03E6"/>
    <w:rsid w:val="00EC0C55"/>
    <w:rsid w:val="00EC2102"/>
    <w:rsid w:val="00EC24CA"/>
    <w:rsid w:val="00EC3F0B"/>
    <w:rsid w:val="00EC46FB"/>
    <w:rsid w:val="00EC5763"/>
    <w:rsid w:val="00EC5CE4"/>
    <w:rsid w:val="00EC6EC9"/>
    <w:rsid w:val="00ED0C3A"/>
    <w:rsid w:val="00ED189D"/>
    <w:rsid w:val="00ED3324"/>
    <w:rsid w:val="00ED5073"/>
    <w:rsid w:val="00ED7449"/>
    <w:rsid w:val="00ED77A6"/>
    <w:rsid w:val="00EE0199"/>
    <w:rsid w:val="00EE355D"/>
    <w:rsid w:val="00EE5DE1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4F67"/>
    <w:rsid w:val="00F37FDA"/>
    <w:rsid w:val="00F44356"/>
    <w:rsid w:val="00F458C4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F52"/>
    <w:rsid w:val="00F761CF"/>
    <w:rsid w:val="00F82258"/>
    <w:rsid w:val="00F8230B"/>
    <w:rsid w:val="00F82FA9"/>
    <w:rsid w:val="00F83D99"/>
    <w:rsid w:val="00F87577"/>
    <w:rsid w:val="00F93948"/>
    <w:rsid w:val="00F93F5B"/>
    <w:rsid w:val="00F965A2"/>
    <w:rsid w:val="00FA472E"/>
    <w:rsid w:val="00FA47C5"/>
    <w:rsid w:val="00FA5013"/>
    <w:rsid w:val="00FA63B3"/>
    <w:rsid w:val="00FA69E4"/>
    <w:rsid w:val="00FB06E8"/>
    <w:rsid w:val="00FB0AB6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C33A9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620E-DFCF-4A5F-8342-5132978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3361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6</cp:revision>
  <cp:lastPrinted>2015-07-29T20:40:00Z</cp:lastPrinted>
  <dcterms:created xsi:type="dcterms:W3CDTF">2015-07-29T21:12:00Z</dcterms:created>
  <dcterms:modified xsi:type="dcterms:W3CDTF">2015-08-28T20:46:00Z</dcterms:modified>
</cp:coreProperties>
</file>