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84A73" w:rsidRDefault="003078EC" w:rsidP="00077615">
      <w:pPr>
        <w:pStyle w:val="Ttulo"/>
        <w:spacing w:after="240" w:line="276" w:lineRule="auto"/>
        <w:rPr>
          <w:rFonts w:ascii="Palatino Linotype" w:hAnsi="Palatino Linotype" w:cs="Arial"/>
          <w:sz w:val="22"/>
          <w:szCs w:val="22"/>
        </w:rPr>
      </w:pPr>
      <w:bookmarkStart w:id="0" w:name="_GoBack"/>
      <w:bookmarkEnd w:id="0"/>
      <w:r w:rsidRPr="00184A73">
        <w:rPr>
          <w:rFonts w:ascii="Palatino Linotype" w:hAnsi="Palatino Linotype" w:cs="Arial"/>
          <w:sz w:val="22"/>
          <w:szCs w:val="22"/>
        </w:rPr>
        <w:t>EXPOSICIÓN DE MOTIVOS</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La Constitución de la República del Ecuador, en su artículo 30, garantiza a las personas el “</w:t>
      </w:r>
      <w:r w:rsidRPr="00184A73">
        <w:rPr>
          <w:rFonts w:ascii="Palatino Linotype" w:hAnsi="Palatino Linotype" w:cs="Arial"/>
          <w:b w:val="0"/>
          <w:i/>
          <w:sz w:val="22"/>
          <w:szCs w:val="22"/>
        </w:rPr>
        <w:t>derecho a un hábitat seguro y saludable, y a una vivienda adecuada y digna, con independencia de su situación social y económica</w:t>
      </w:r>
      <w:r w:rsidRPr="00184A73">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 xml:space="preserve">El </w:t>
      </w:r>
      <w:r w:rsidR="00BE4F22" w:rsidRPr="00184A73">
        <w:rPr>
          <w:rFonts w:ascii="Palatino Linotype" w:hAnsi="Palatino Linotype" w:cs="Arial"/>
          <w:b w:val="0"/>
          <w:sz w:val="22"/>
          <w:szCs w:val="22"/>
        </w:rPr>
        <w:t xml:space="preserve">Asentamiento Humano de Hecho y Consolidado denominado </w:t>
      </w:r>
      <w:r w:rsidR="00A86186" w:rsidRPr="00184A73">
        <w:rPr>
          <w:rFonts w:ascii="Palatino Linotype" w:hAnsi="Palatino Linotype" w:cs="Arial"/>
          <w:b w:val="0"/>
          <w:sz w:val="22"/>
          <w:szCs w:val="22"/>
        </w:rPr>
        <w:t>Comité Pro</w:t>
      </w:r>
      <w:r w:rsidR="004D7B61" w:rsidRPr="00184A73">
        <w:rPr>
          <w:rFonts w:ascii="Palatino Linotype" w:hAnsi="Palatino Linotype" w:cs="Arial"/>
          <w:b w:val="0"/>
          <w:sz w:val="22"/>
          <w:szCs w:val="22"/>
        </w:rPr>
        <w:t>-M</w:t>
      </w:r>
      <w:r w:rsidR="00A86186" w:rsidRPr="00184A73">
        <w:rPr>
          <w:rFonts w:ascii="Palatino Linotype" w:hAnsi="Palatino Linotype" w:cs="Arial"/>
          <w:b w:val="0"/>
          <w:sz w:val="22"/>
          <w:szCs w:val="22"/>
        </w:rPr>
        <w:t xml:space="preserve">ejoras </w:t>
      </w:r>
      <w:r w:rsidR="00D2233B" w:rsidRPr="00184A73">
        <w:rPr>
          <w:rFonts w:ascii="Palatino Linotype" w:hAnsi="Palatino Linotype" w:cs="Arial"/>
          <w:b w:val="0"/>
          <w:sz w:val="22"/>
          <w:szCs w:val="22"/>
        </w:rPr>
        <w:t>del barrio “Balcones de Morán”, Primera Etapa</w:t>
      </w:r>
      <w:r w:rsidR="004D7B61" w:rsidRPr="00184A73">
        <w:rPr>
          <w:rFonts w:ascii="Palatino Linotype" w:hAnsi="Palatino Linotype" w:cs="Arial"/>
          <w:b w:val="0"/>
          <w:sz w:val="22"/>
          <w:szCs w:val="22"/>
        </w:rPr>
        <w:t>,</w:t>
      </w:r>
      <w:r w:rsidR="00A86186" w:rsidRPr="00184A73">
        <w:rPr>
          <w:rFonts w:ascii="Palatino Linotype" w:hAnsi="Palatino Linotype" w:cs="Arial"/>
          <w:b w:val="0"/>
          <w:sz w:val="22"/>
          <w:szCs w:val="22"/>
        </w:rPr>
        <w:t xml:space="preserve"> </w:t>
      </w:r>
      <w:r w:rsidRPr="00184A73">
        <w:rPr>
          <w:rFonts w:ascii="Palatino Linotype" w:hAnsi="Palatino Linotype" w:cs="Arial"/>
          <w:b w:val="0"/>
          <w:sz w:val="22"/>
          <w:szCs w:val="22"/>
        </w:rPr>
        <w:t xml:space="preserve">cuenta con </w:t>
      </w:r>
      <w:r w:rsidR="00D2233B" w:rsidRPr="00184A73">
        <w:rPr>
          <w:rFonts w:ascii="Palatino Linotype" w:hAnsi="Palatino Linotype" w:cs="Arial"/>
          <w:b w:val="0"/>
          <w:sz w:val="22"/>
          <w:szCs w:val="22"/>
        </w:rPr>
        <w:t>7</w:t>
      </w:r>
      <w:r w:rsidRPr="00184A73">
        <w:rPr>
          <w:rFonts w:ascii="Palatino Linotype" w:hAnsi="Palatino Linotype" w:cs="Arial"/>
          <w:b w:val="0"/>
          <w:sz w:val="22"/>
          <w:szCs w:val="22"/>
        </w:rPr>
        <w:t xml:space="preserve"> años de asentamiento, </w:t>
      </w:r>
      <w:r w:rsidR="00D2233B" w:rsidRPr="00184A73">
        <w:rPr>
          <w:rFonts w:ascii="Palatino Linotype" w:hAnsi="Palatino Linotype" w:cs="Arial"/>
          <w:b w:val="0"/>
          <w:sz w:val="22"/>
          <w:szCs w:val="22"/>
        </w:rPr>
        <w:t>25</w:t>
      </w:r>
      <w:r w:rsidR="00BE4F22" w:rsidRPr="00184A73">
        <w:rPr>
          <w:rFonts w:ascii="Palatino Linotype" w:hAnsi="Palatino Linotype" w:cs="Arial"/>
          <w:b w:val="0"/>
          <w:sz w:val="22"/>
          <w:szCs w:val="22"/>
        </w:rPr>
        <w:t xml:space="preserve"> </w:t>
      </w:r>
      <w:r w:rsidR="006D3AAD" w:rsidRPr="00184A73">
        <w:rPr>
          <w:rFonts w:ascii="Palatino Linotype" w:hAnsi="Palatino Linotype" w:cs="Arial"/>
          <w:b w:val="0"/>
          <w:sz w:val="22"/>
          <w:szCs w:val="22"/>
        </w:rPr>
        <w:t xml:space="preserve">lotes </w:t>
      </w:r>
      <w:r w:rsidRPr="00184A73">
        <w:rPr>
          <w:rFonts w:ascii="Palatino Linotype" w:hAnsi="Palatino Linotype" w:cs="Arial"/>
          <w:b w:val="0"/>
          <w:sz w:val="22"/>
          <w:szCs w:val="22"/>
        </w:rPr>
        <w:t xml:space="preserve">y </w:t>
      </w:r>
      <w:r w:rsidR="00D2233B" w:rsidRPr="00184A73">
        <w:rPr>
          <w:rFonts w:ascii="Palatino Linotype" w:hAnsi="Palatino Linotype" w:cs="Arial"/>
          <w:b w:val="0"/>
          <w:sz w:val="22"/>
          <w:szCs w:val="22"/>
        </w:rPr>
        <w:t>100</w:t>
      </w:r>
      <w:r w:rsidRPr="00184A73">
        <w:rPr>
          <w:rFonts w:ascii="Palatino Linotype" w:hAnsi="Palatino Linotype" w:cs="Arial"/>
          <w:b w:val="0"/>
          <w:sz w:val="22"/>
          <w:szCs w:val="22"/>
        </w:rPr>
        <w:t xml:space="preserve"> </w:t>
      </w:r>
      <w:r w:rsidR="00D2233B" w:rsidRPr="00184A73">
        <w:rPr>
          <w:rFonts w:ascii="Palatino Linotype" w:hAnsi="Palatino Linotype" w:cs="Arial"/>
          <w:b w:val="0"/>
          <w:sz w:val="22"/>
          <w:szCs w:val="22"/>
        </w:rPr>
        <w:t>habitantes</w:t>
      </w:r>
      <w:r w:rsidRPr="00184A73">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 xml:space="preserve">En este sentido, la presente ordenanza contiene la normativa tendiente a la regularización del </w:t>
      </w:r>
      <w:r w:rsidR="004D7B61" w:rsidRPr="00184A73">
        <w:rPr>
          <w:rFonts w:ascii="Palatino Linotype" w:hAnsi="Palatino Linotype" w:cs="Arial"/>
          <w:b w:val="0"/>
          <w:sz w:val="22"/>
          <w:szCs w:val="22"/>
        </w:rPr>
        <w:t xml:space="preserve">Asentamiento Humano de Hecho y Consolidado denominado </w:t>
      </w:r>
      <w:r w:rsidR="00D2233B" w:rsidRPr="00184A73">
        <w:rPr>
          <w:rFonts w:ascii="Palatino Linotype" w:hAnsi="Palatino Linotype" w:cs="Arial"/>
          <w:b w:val="0"/>
          <w:sz w:val="22"/>
          <w:szCs w:val="22"/>
        </w:rPr>
        <w:t>Comité Pro-Mejoras del barrio “Balcones de Morán”, Primera Etapa</w:t>
      </w:r>
      <w:r w:rsidRPr="00184A73">
        <w:rPr>
          <w:rFonts w:ascii="Palatino Linotype" w:hAnsi="Palatino Linotype" w:cs="Arial"/>
          <w:b w:val="0"/>
          <w:sz w:val="22"/>
          <w:szCs w:val="22"/>
        </w:rPr>
        <w:t>, a fin de garantizar a los beneficiarios el ejercicio de su derecho a la vivienda y el acceso a servicios básicos de calidad.</w:t>
      </w:r>
    </w:p>
    <w:p w:rsidR="003078EC" w:rsidRPr="00184A73" w:rsidRDefault="003078EC" w:rsidP="00077615">
      <w:pPr>
        <w:pStyle w:val="Ttulo"/>
        <w:spacing w:after="240" w:line="276" w:lineRule="auto"/>
        <w:rPr>
          <w:rFonts w:ascii="Palatino Linotype" w:hAnsi="Palatino Linotype" w:cs="Arial"/>
          <w:sz w:val="22"/>
          <w:szCs w:val="22"/>
        </w:rPr>
      </w:pPr>
    </w:p>
    <w:p w:rsidR="003078EC" w:rsidRPr="00184A73" w:rsidRDefault="003078EC" w:rsidP="00077615">
      <w:pPr>
        <w:pStyle w:val="Ttulo"/>
        <w:spacing w:after="240" w:line="276" w:lineRule="auto"/>
        <w:rPr>
          <w:rFonts w:ascii="Palatino Linotype" w:hAnsi="Palatino Linotype" w:cs="Arial"/>
          <w:sz w:val="22"/>
          <w:szCs w:val="22"/>
        </w:rPr>
      </w:pPr>
    </w:p>
    <w:p w:rsidR="003078EC" w:rsidRPr="00184A73" w:rsidRDefault="003078EC" w:rsidP="00077615">
      <w:pPr>
        <w:pStyle w:val="Ttulo"/>
        <w:spacing w:after="240" w:line="276" w:lineRule="auto"/>
        <w:rPr>
          <w:rFonts w:ascii="Palatino Linotype" w:hAnsi="Palatino Linotype" w:cs="Arial"/>
          <w:sz w:val="22"/>
          <w:szCs w:val="22"/>
        </w:rPr>
        <w:sectPr w:rsidR="003078EC" w:rsidRPr="00184A73" w:rsidSect="00D82CFE">
          <w:headerReference w:type="even" r:id="rId8"/>
          <w:headerReference w:type="default" r:id="rId9"/>
          <w:footerReference w:type="default" r:id="rId10"/>
          <w:headerReference w:type="first" r:id="rId11"/>
          <w:pgSz w:w="11906" w:h="16838"/>
          <w:pgMar w:top="3402" w:right="1416" w:bottom="567" w:left="1701" w:header="709" w:footer="70" w:gutter="0"/>
          <w:cols w:space="708"/>
          <w:docGrid w:linePitch="360"/>
        </w:sectPr>
      </w:pPr>
    </w:p>
    <w:p w:rsidR="00C52450" w:rsidRPr="00184A73" w:rsidRDefault="00C52450" w:rsidP="00077615">
      <w:pPr>
        <w:pStyle w:val="Ttulo"/>
        <w:spacing w:before="240" w:after="240" w:line="276" w:lineRule="auto"/>
        <w:rPr>
          <w:rFonts w:ascii="Palatino Linotype" w:hAnsi="Palatino Linotype" w:cs="Arial"/>
          <w:sz w:val="22"/>
          <w:szCs w:val="22"/>
        </w:rPr>
      </w:pPr>
      <w:r w:rsidRPr="00184A73">
        <w:rPr>
          <w:rFonts w:ascii="Palatino Linotype" w:hAnsi="Palatino Linotype" w:cs="Arial"/>
          <w:sz w:val="22"/>
          <w:szCs w:val="22"/>
        </w:rPr>
        <w:lastRenderedPageBreak/>
        <w:t>EL CONCEJO METROPOLITANO DE QUITO</w:t>
      </w:r>
    </w:p>
    <w:p w:rsidR="00870361" w:rsidRPr="00184A73" w:rsidRDefault="00870361" w:rsidP="00077615">
      <w:pPr>
        <w:spacing w:before="240" w:after="240" w:line="276" w:lineRule="auto"/>
        <w:jc w:val="both"/>
        <w:rPr>
          <w:rFonts w:ascii="Palatino Linotype" w:hAnsi="Palatino Linotype" w:cs="Arial"/>
          <w:sz w:val="22"/>
          <w:szCs w:val="22"/>
        </w:rPr>
      </w:pPr>
      <w:r w:rsidRPr="00184A73">
        <w:rPr>
          <w:rFonts w:ascii="Palatino Linotype" w:hAnsi="Palatino Linotype" w:cs="Arial"/>
          <w:sz w:val="22"/>
          <w:szCs w:val="22"/>
        </w:rPr>
        <w:t xml:space="preserve">Visto </w:t>
      </w:r>
      <w:r w:rsidR="00057D41" w:rsidRPr="00184A73">
        <w:rPr>
          <w:rFonts w:ascii="Palatino Linotype" w:hAnsi="Palatino Linotype" w:cs="Arial"/>
          <w:sz w:val="22"/>
          <w:szCs w:val="22"/>
        </w:rPr>
        <w:t>e</w:t>
      </w:r>
      <w:r w:rsidRPr="00184A73">
        <w:rPr>
          <w:rFonts w:ascii="Palatino Linotype" w:hAnsi="Palatino Linotype" w:cs="Arial"/>
          <w:sz w:val="22"/>
          <w:szCs w:val="22"/>
        </w:rPr>
        <w:t>l Informe No. IC-O-201</w:t>
      </w:r>
      <w:r w:rsidR="00057D41" w:rsidRPr="00184A73">
        <w:rPr>
          <w:rFonts w:ascii="Palatino Linotype" w:hAnsi="Palatino Linotype" w:cs="Arial"/>
          <w:sz w:val="22"/>
          <w:szCs w:val="22"/>
        </w:rPr>
        <w:t>5</w:t>
      </w:r>
      <w:r w:rsidRPr="00184A73">
        <w:rPr>
          <w:rFonts w:ascii="Palatino Linotype" w:hAnsi="Palatino Linotype" w:cs="Arial"/>
          <w:sz w:val="22"/>
          <w:szCs w:val="22"/>
        </w:rPr>
        <w:t>-</w:t>
      </w:r>
      <w:r w:rsidR="006D3AAD" w:rsidRPr="00184A73">
        <w:rPr>
          <w:rFonts w:ascii="Palatino Linotype" w:hAnsi="Palatino Linotype" w:cs="Arial"/>
          <w:sz w:val="22"/>
          <w:szCs w:val="22"/>
        </w:rPr>
        <w:t>1</w:t>
      </w:r>
      <w:r w:rsidR="00D2233B" w:rsidRPr="00184A73">
        <w:rPr>
          <w:rFonts w:ascii="Palatino Linotype" w:hAnsi="Palatino Linotype" w:cs="Arial"/>
          <w:sz w:val="22"/>
          <w:szCs w:val="22"/>
        </w:rPr>
        <w:t>61</w:t>
      </w:r>
      <w:r w:rsidR="007F3A59" w:rsidRPr="00184A73">
        <w:rPr>
          <w:rFonts w:ascii="Palatino Linotype" w:hAnsi="Palatino Linotype" w:cs="Arial"/>
          <w:sz w:val="22"/>
          <w:szCs w:val="22"/>
        </w:rPr>
        <w:t xml:space="preserve">, de </w:t>
      </w:r>
      <w:r w:rsidR="006D3AAD" w:rsidRPr="00184A73">
        <w:rPr>
          <w:rFonts w:ascii="Palatino Linotype" w:hAnsi="Palatino Linotype" w:cs="Arial"/>
          <w:sz w:val="22"/>
          <w:szCs w:val="22"/>
        </w:rPr>
        <w:t>20</w:t>
      </w:r>
      <w:r w:rsidR="00057D41" w:rsidRPr="00184A73">
        <w:rPr>
          <w:rFonts w:ascii="Palatino Linotype" w:hAnsi="Palatino Linotype" w:cs="Arial"/>
          <w:sz w:val="22"/>
          <w:szCs w:val="22"/>
        </w:rPr>
        <w:t xml:space="preserve"> </w:t>
      </w:r>
      <w:r w:rsidR="007F3A59" w:rsidRPr="00184A73">
        <w:rPr>
          <w:rFonts w:ascii="Palatino Linotype" w:hAnsi="Palatino Linotype" w:cs="Arial"/>
          <w:sz w:val="22"/>
          <w:szCs w:val="22"/>
        </w:rPr>
        <w:t xml:space="preserve">de </w:t>
      </w:r>
      <w:r w:rsidR="006D3AAD" w:rsidRPr="00184A73">
        <w:rPr>
          <w:rFonts w:ascii="Palatino Linotype" w:hAnsi="Palatino Linotype" w:cs="Arial"/>
          <w:sz w:val="22"/>
          <w:szCs w:val="22"/>
        </w:rPr>
        <w:t xml:space="preserve">julio </w:t>
      </w:r>
      <w:r w:rsidR="00057D41" w:rsidRPr="00184A73">
        <w:rPr>
          <w:rFonts w:ascii="Palatino Linotype" w:hAnsi="Palatino Linotype" w:cs="Arial"/>
          <w:sz w:val="22"/>
          <w:szCs w:val="22"/>
        </w:rPr>
        <w:t>de 2015</w:t>
      </w:r>
      <w:r w:rsidR="007F3A59" w:rsidRPr="00184A73">
        <w:rPr>
          <w:rFonts w:ascii="Palatino Linotype" w:hAnsi="Palatino Linotype" w:cs="Arial"/>
          <w:sz w:val="22"/>
          <w:szCs w:val="22"/>
        </w:rPr>
        <w:t xml:space="preserve">, expedido por la Comisión de </w:t>
      </w:r>
      <w:r w:rsidRPr="00184A73">
        <w:rPr>
          <w:rFonts w:ascii="Palatino Linotype" w:hAnsi="Palatino Linotype" w:cs="Arial"/>
          <w:sz w:val="22"/>
          <w:szCs w:val="22"/>
        </w:rPr>
        <w:t>Ordenamiento Territorial.</w:t>
      </w:r>
    </w:p>
    <w:p w:rsidR="001123C1" w:rsidRPr="00184A73" w:rsidRDefault="001123C1" w:rsidP="00077615">
      <w:pPr>
        <w:spacing w:before="240" w:after="240" w:line="276" w:lineRule="auto"/>
        <w:jc w:val="center"/>
        <w:rPr>
          <w:rFonts w:ascii="Palatino Linotype" w:hAnsi="Palatino Linotype" w:cs="Arial"/>
          <w:b/>
          <w:sz w:val="22"/>
          <w:szCs w:val="22"/>
        </w:rPr>
      </w:pPr>
      <w:r w:rsidRPr="00184A73">
        <w:rPr>
          <w:rFonts w:ascii="Palatino Linotype" w:hAnsi="Palatino Linotype" w:cs="Arial"/>
          <w:b/>
          <w:sz w:val="22"/>
          <w:szCs w:val="22"/>
        </w:rPr>
        <w:t>CONSIDERANDO:</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rPr>
        <w:t xml:space="preserve">Que, </w:t>
      </w:r>
      <w:r w:rsidRPr="00184A73">
        <w:rPr>
          <w:rFonts w:ascii="Palatino Linotype" w:hAnsi="Palatino Linotype" w:cs="Arial"/>
          <w:b/>
        </w:rPr>
        <w:tab/>
      </w:r>
      <w:r w:rsidRPr="00184A73">
        <w:rPr>
          <w:rFonts w:ascii="Palatino Linotype" w:hAnsi="Palatino Linotype" w:cs="Arial"/>
        </w:rPr>
        <w:t>el artículo 30 de la Constitución de la República del Ecuador (en adelante “Constitución”) establece que: “</w:t>
      </w:r>
      <w:r w:rsidRPr="00184A73">
        <w:rPr>
          <w:rFonts w:ascii="Palatino Linotype" w:hAnsi="Palatino Linotype" w:cs="Arial"/>
          <w:i/>
        </w:rPr>
        <w:t>Las personas tienen derecho a un hábitat seguro y saludable, y a una vivienda adecuada y digna, con independencia de su situación social y económica.</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bCs/>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el artículo 31 de la Constitución expresa que: “</w:t>
      </w:r>
      <w:r w:rsidRPr="00184A73">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A73">
        <w:rPr>
          <w:rFonts w:ascii="Palatino Linotype" w:hAnsi="Palatino Linotype" w:cs="Arial"/>
          <w:bCs/>
        </w:rPr>
        <w:t xml:space="preserve">”; </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rPr>
        <w:t>el artículo 240 de la Constitución establece que: “</w:t>
      </w:r>
      <w:r w:rsidRPr="00184A73">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00077615" w:rsidRPr="00184A73">
        <w:rPr>
          <w:rFonts w:ascii="Palatino Linotype" w:hAnsi="Palatino Linotype" w:cs="Arial"/>
        </w:rPr>
        <w:tab/>
        <w:t>el numeral 1 del artí</w:t>
      </w:r>
      <w:r w:rsidRPr="00184A73">
        <w:rPr>
          <w:rFonts w:ascii="Palatino Linotype" w:hAnsi="Palatino Linotype" w:cs="Arial"/>
        </w:rPr>
        <w:t>culo 264 de la Constitución manifiesta que: “</w:t>
      </w:r>
      <w:r w:rsidRPr="00184A73">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A73">
        <w:rPr>
          <w:rFonts w:ascii="Palatino Linotype" w:hAnsi="Palatino Linotype" w:cs="Arial"/>
          <w:b/>
          <w:bCs/>
        </w:rPr>
        <w:t xml:space="preserve"> </w:t>
      </w:r>
      <w:r w:rsidRPr="00184A73">
        <w:rPr>
          <w:rFonts w:ascii="Palatino Linotype" w:hAnsi="Palatino Linotype" w:cs="Arial"/>
          <w:bCs/>
        </w:rPr>
        <w:t>señala</w:t>
      </w:r>
      <w:r w:rsidRPr="00184A73">
        <w:rPr>
          <w:rFonts w:ascii="Palatino Linotype" w:hAnsi="Palatino Linotype" w:cs="Arial"/>
          <w:b/>
          <w:bCs/>
        </w:rPr>
        <w:t xml:space="preserve"> </w:t>
      </w:r>
      <w:r w:rsidRPr="00184A73">
        <w:rPr>
          <w:rFonts w:ascii="Palatino Linotype" w:hAnsi="Palatino Linotype" w:cs="Arial"/>
          <w:bCs/>
        </w:rPr>
        <w:t>como una función del gobierno autónomo descentralizado municipal</w:t>
      </w:r>
      <w:r w:rsidRPr="00184A73">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rPr>
        <w:t xml:space="preserve">el artículo 57, en concordancia con el artículo 87 del COOTAD, establece que las funciones del Concejo Municipal, entre otras, son: </w:t>
      </w:r>
      <w:r w:rsidRPr="00184A73">
        <w:rPr>
          <w:rFonts w:ascii="Palatino Linotype" w:hAnsi="Palatino Linotype" w:cs="Arial"/>
          <w:iCs/>
        </w:rPr>
        <w:t>“</w:t>
      </w:r>
      <w:r w:rsidRPr="00184A73">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A73">
        <w:rPr>
          <w:rFonts w:ascii="Palatino Linotype" w:hAnsi="Palatino Linotype" w:cs="Arial"/>
          <w:i/>
        </w:rPr>
        <w:t xml:space="preserve"> </w:t>
      </w:r>
      <w:r w:rsidRPr="00184A73">
        <w:rPr>
          <w:rFonts w:ascii="Palatino Linotype" w:hAnsi="Palatino Linotype" w:cs="Arial"/>
          <w:i/>
          <w:iCs/>
        </w:rPr>
        <w:t xml:space="preserve">x) Regular y </w:t>
      </w:r>
      <w:r w:rsidRPr="00184A73">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184A73">
        <w:rPr>
          <w:rFonts w:ascii="Palatino Linotype" w:hAnsi="Palatino Linotype" w:cs="Arial"/>
          <w:i/>
        </w:rPr>
        <w:t xml:space="preserve"> y, (…) </w:t>
      </w:r>
      <w:r w:rsidRPr="00184A73">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A73">
        <w:rPr>
          <w:rFonts w:ascii="Palatino Linotype" w:hAnsi="Palatino Linotype" w:cs="Arial"/>
          <w:i/>
          <w:iCs/>
        </w:rPr>
        <w:t>interbarrial</w:t>
      </w:r>
      <w:proofErr w:type="spellEnd"/>
      <w:r w:rsidRPr="00184A73">
        <w:rPr>
          <w:rFonts w:ascii="Palatino Linotype" w:hAnsi="Palatino Linotype" w:cs="Arial"/>
          <w:i/>
          <w:iCs/>
        </w:rPr>
        <w:t>.</w:t>
      </w:r>
      <w:r w:rsidRPr="00184A73">
        <w:rPr>
          <w:rFonts w:ascii="Palatino Linotype" w:hAnsi="Palatino Linotype" w:cs="Arial"/>
          <w:iCs/>
        </w:rPr>
        <w:t xml:space="preserve">”; </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 xml:space="preserve">Que,  </w:t>
      </w:r>
      <w:r w:rsidRPr="00184A73">
        <w:rPr>
          <w:rFonts w:ascii="Palatino Linotype" w:hAnsi="Palatino Linotype" w:cs="Arial"/>
        </w:rPr>
        <w:t>el artículo 322 del COOTAD establece el procedimiento para la aprobación de las ordenanzas municipales;</w:t>
      </w:r>
    </w:p>
    <w:p w:rsidR="00C15531" w:rsidRPr="00184A73" w:rsidRDefault="00C15531" w:rsidP="00077615">
      <w:pPr>
        <w:pStyle w:val="Sinespaciado"/>
        <w:spacing w:before="240" w:after="240" w:line="276" w:lineRule="auto"/>
        <w:ind w:left="709" w:hanging="709"/>
        <w:jc w:val="both"/>
        <w:rPr>
          <w:rFonts w:ascii="Palatino Linotype" w:hAnsi="Palatino Linotype" w:cs="Arial"/>
          <w:bCs/>
          <w:i/>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la Disposición Transitoria Décima Cuarta del COOTAD, señala: “</w:t>
      </w:r>
      <w:r w:rsidRPr="00184A73">
        <w:rPr>
          <w:rFonts w:ascii="Palatino Linotype" w:hAnsi="Palatino Linotype" w:cs="Arial"/>
          <w:bCs/>
          <w:i/>
        </w:rPr>
        <w:t xml:space="preserve">(…) </w:t>
      </w:r>
      <w:r w:rsidRPr="00184A73">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bCs/>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A73" w:rsidRDefault="003843CA" w:rsidP="00077615">
      <w:pPr>
        <w:pStyle w:val="Sinespaciado"/>
        <w:spacing w:before="240" w:after="240" w:line="276" w:lineRule="auto"/>
        <w:ind w:left="709" w:hanging="709"/>
        <w:jc w:val="both"/>
        <w:rPr>
          <w:rFonts w:ascii="Palatino Linotype" w:hAnsi="Palatino Linotype" w:cs="Arial"/>
          <w:bCs/>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el</w:t>
      </w:r>
      <w:r w:rsidRPr="00184A73">
        <w:rPr>
          <w:rFonts w:ascii="Palatino Linotype" w:hAnsi="Palatino Linotype" w:cs="Arial"/>
          <w:b/>
          <w:bCs/>
        </w:rPr>
        <w:t xml:space="preserve"> </w:t>
      </w:r>
      <w:r w:rsidRPr="00184A73">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D2233B" w:rsidRPr="00184A73" w:rsidRDefault="00D2233B" w:rsidP="00D2233B">
      <w:pPr>
        <w:spacing w:after="240" w:line="276" w:lineRule="auto"/>
        <w:ind w:left="705" w:hanging="705"/>
        <w:jc w:val="both"/>
        <w:rPr>
          <w:rFonts w:ascii="Palatino Linotype" w:hAnsi="Palatino Linotype" w:cs="Arial"/>
          <w:sz w:val="22"/>
          <w:szCs w:val="22"/>
        </w:rPr>
      </w:pPr>
      <w:r w:rsidRPr="00184A73">
        <w:rPr>
          <w:rFonts w:ascii="Palatino Linotype" w:hAnsi="Palatino Linotype"/>
          <w:b/>
          <w:bCs/>
          <w:sz w:val="22"/>
          <w:szCs w:val="22"/>
        </w:rPr>
        <w:t>Que,</w:t>
      </w:r>
      <w:r w:rsidRPr="00184A73">
        <w:rPr>
          <w:rFonts w:ascii="Palatino Linotype" w:hAnsi="Palatino Linotype"/>
          <w:sz w:val="22"/>
          <w:szCs w:val="22"/>
        </w:rPr>
        <w:tab/>
      </w:r>
      <w:r w:rsidRPr="00184A73">
        <w:rPr>
          <w:rFonts w:ascii="Palatino Linotype" w:hAnsi="Palatino Linotype" w:cs="Arial"/>
          <w:sz w:val="22"/>
          <w:szCs w:val="22"/>
        </w:rPr>
        <w:t>la Mesa Institucional de Trabajo, reunida el 28 de mayo de 2015 en la Administración Zonal Calderón, integrada por: El Administrador Zonal Calderón, Director Jurídico Zonal Calderón, Director de Gestión de Territorio Zonal Calderón, Delegado de la Dirección Metropolitana de Catastros, Delegado de la Secretaria de Territorio, Hábitat y Vivienda, Delegado de la Dirección Metropolitana de Gestión de Riesgo; y, por los Responsables Legal, Técnico y Socio Organizativo de la Unidad Especial Regula Tu Barrio de Calderón, aprobó  el Informe Socio organizativo legal y técnico No. 004-UERB-AZCA-SOLT-2015, de 26 de mayo de 2015, habilitante de la Ordenanza de reconocimiento del</w:t>
      </w:r>
      <w:r w:rsidRPr="00184A73">
        <w:rPr>
          <w:rFonts w:ascii="Palatino Linotype" w:hAnsi="Palatino Linotype" w:cs="Arial"/>
          <w:bCs/>
          <w:sz w:val="22"/>
          <w:szCs w:val="22"/>
        </w:rPr>
        <w:t xml:space="preserve"> Asentamiento Humano de Hecho y Consolidado, denominado </w:t>
      </w:r>
      <w:r w:rsidRPr="00184A73">
        <w:rPr>
          <w:rFonts w:ascii="Palatino Linotype" w:hAnsi="Palatino Linotype" w:cs="Arial"/>
          <w:bCs/>
          <w:sz w:val="22"/>
          <w:szCs w:val="22"/>
        </w:rPr>
        <w:lastRenderedPageBreak/>
        <w:t>Comité Pro-Mejoras del Barrio “Balcones de Morán”, Primera Etapa, a favor de sus copropietarios</w:t>
      </w:r>
      <w:r w:rsidRPr="00184A73">
        <w:rPr>
          <w:rFonts w:ascii="Palatino Linotype" w:hAnsi="Palatino Linotype"/>
          <w:bCs/>
          <w:sz w:val="22"/>
          <w:szCs w:val="22"/>
        </w:rPr>
        <w:t>.</w:t>
      </w:r>
    </w:p>
    <w:p w:rsidR="008079C6" w:rsidRPr="00184A73" w:rsidRDefault="008079C6" w:rsidP="00D2233B">
      <w:pPr>
        <w:pStyle w:val="Sinespaciado"/>
        <w:spacing w:after="240" w:line="276" w:lineRule="auto"/>
        <w:jc w:val="both"/>
        <w:outlineLvl w:val="0"/>
        <w:rPr>
          <w:rFonts w:ascii="Palatino Linotype" w:hAnsi="Palatino Linotype" w:cs="Arial"/>
          <w:b/>
        </w:rPr>
      </w:pPr>
      <w:r w:rsidRPr="00184A73">
        <w:rPr>
          <w:rFonts w:ascii="Palatino Linotype" w:hAnsi="Palatino Linotype" w:cs="Arial"/>
          <w:b/>
          <w:bCs/>
        </w:rPr>
        <w:t xml:space="preserve">En </w:t>
      </w:r>
      <w:r w:rsidRPr="00184A73">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184A73" w:rsidRDefault="00C52450" w:rsidP="00D2233B">
      <w:pPr>
        <w:spacing w:after="240" w:line="276" w:lineRule="auto"/>
        <w:jc w:val="center"/>
        <w:rPr>
          <w:rFonts w:ascii="Palatino Linotype" w:hAnsi="Palatino Linotype" w:cs="Arial"/>
          <w:b/>
          <w:bCs/>
          <w:sz w:val="22"/>
          <w:szCs w:val="22"/>
        </w:rPr>
      </w:pPr>
      <w:r w:rsidRPr="00184A73">
        <w:rPr>
          <w:rFonts w:ascii="Palatino Linotype" w:hAnsi="Palatino Linotype"/>
          <w:b/>
          <w:sz w:val="22"/>
          <w:szCs w:val="22"/>
        </w:rPr>
        <w:t>EXPIDE</w:t>
      </w:r>
      <w:r w:rsidR="00B452F1" w:rsidRPr="00184A73">
        <w:rPr>
          <w:rFonts w:ascii="Palatino Linotype" w:hAnsi="Palatino Linotype"/>
          <w:b/>
          <w:sz w:val="22"/>
          <w:szCs w:val="22"/>
        </w:rPr>
        <w:t xml:space="preserve"> LA SIGUIENTE</w:t>
      </w:r>
      <w:r w:rsidR="007863C1" w:rsidRPr="00184A73">
        <w:rPr>
          <w:rFonts w:ascii="Palatino Linotype" w:hAnsi="Palatino Linotype"/>
          <w:b/>
          <w:sz w:val="22"/>
          <w:szCs w:val="22"/>
        </w:rPr>
        <w:t>:</w:t>
      </w:r>
    </w:p>
    <w:p w:rsidR="004D7B61" w:rsidRPr="00184A73" w:rsidRDefault="004D7B61" w:rsidP="00D2233B">
      <w:pPr>
        <w:pStyle w:val="Sinespaciado"/>
        <w:spacing w:after="240" w:line="276" w:lineRule="auto"/>
        <w:jc w:val="center"/>
        <w:outlineLvl w:val="0"/>
        <w:rPr>
          <w:rFonts w:ascii="Palatino Linotype" w:hAnsi="Palatino Linotype" w:cs="Arial"/>
          <w:b/>
        </w:rPr>
      </w:pPr>
      <w:r w:rsidRPr="00184A73">
        <w:rPr>
          <w:rFonts w:ascii="Palatino Linotype" w:hAnsi="Palatino Linotype" w:cs="Arial"/>
          <w:b/>
        </w:rPr>
        <w:t>ORDENANZA QUE RECONOCE Y APRUEBA EL ASENTAMIENTO HUMANO DE HECHO Y CONSOLIDADO DENOMINADO COMITÉ PRO-MEJORAS DEL BARRIO  “</w:t>
      </w:r>
      <w:r w:rsidR="00D2233B" w:rsidRPr="00184A73">
        <w:rPr>
          <w:rFonts w:ascii="Palatino Linotype" w:hAnsi="Palatino Linotype" w:cs="Arial"/>
          <w:b/>
        </w:rPr>
        <w:t>BALCONES DE MORÁN”, PRIMERA ETAPA</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bCs/>
          <w:sz w:val="22"/>
          <w:szCs w:val="22"/>
        </w:rPr>
        <w:t xml:space="preserve">Artículo 1.- De los planos y documentos presentados.- </w:t>
      </w:r>
      <w:r w:rsidRPr="00184A73">
        <w:rPr>
          <w:rFonts w:ascii="Palatino Linotype" w:hAnsi="Palatino Linotype" w:cs="Arial"/>
          <w:sz w:val="22"/>
          <w:szCs w:val="22"/>
        </w:rPr>
        <w:t>Los planos y documentos presentados son de exclusiva responsabilidad del proyectista y de los copropietarios del Asentamiento Humano de Hecho y Consolidado denominado Comité Pro-Mejoras del Barrio “Balcones de Morán”, Primera Etapa</w:t>
      </w:r>
      <w:r w:rsidRPr="00184A73">
        <w:rPr>
          <w:rFonts w:ascii="Palatino Linotype" w:hAnsi="Palatino Linotype" w:cs="Arial"/>
          <w:b/>
          <w:sz w:val="22"/>
          <w:szCs w:val="22"/>
        </w:rPr>
        <w:t>,</w:t>
      </w:r>
      <w:r w:rsidRPr="00184A73">
        <w:rPr>
          <w:rFonts w:ascii="Palatino Linotype" w:hAnsi="Palatino Linotype" w:cs="Arial"/>
          <w:sz w:val="22"/>
          <w:szCs w:val="22"/>
        </w:rPr>
        <w:t xml:space="preserve"> ubicado en la parroquia Calderón, </w:t>
      </w:r>
      <w:r w:rsidRPr="00184A73">
        <w:rPr>
          <w:rFonts w:ascii="Palatino Linotype" w:hAnsi="Palatino Linotype" w:cs="Arial"/>
          <w:bCs/>
          <w:sz w:val="22"/>
          <w:szCs w:val="22"/>
        </w:rPr>
        <w:t xml:space="preserve">sin </w:t>
      </w:r>
      <w:r w:rsidRPr="00184A73">
        <w:rPr>
          <w:rFonts w:ascii="Palatino Linotype" w:hAnsi="Palatino Linotype" w:cs="Arial"/>
          <w:sz w:val="22"/>
          <w:szCs w:val="22"/>
        </w:rPr>
        <w:t>perjuicio de la responsabilidad de quienes revisaron los planos y los documentos legales, excepto que hayan sido inducidos a engaño.</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D2233B" w:rsidRPr="00184A73" w:rsidRDefault="00D2233B" w:rsidP="00D2233B">
      <w:pPr>
        <w:spacing w:after="240" w:line="276" w:lineRule="auto"/>
        <w:jc w:val="both"/>
        <w:rPr>
          <w:rFonts w:ascii="Palatino Linotype" w:hAnsi="Palatino Linotype"/>
          <w:sz w:val="22"/>
          <w:szCs w:val="22"/>
        </w:rPr>
      </w:pPr>
      <w:r w:rsidRPr="00184A73">
        <w:rPr>
          <w:rFonts w:ascii="Palatino Linotype" w:hAnsi="Palatino Linotype"/>
          <w:sz w:val="22"/>
          <w:szCs w:val="22"/>
        </w:rPr>
        <w:t>Por las condiciones de asentamiento humano de hecho y consolidado, se lo aprueba considerándolo de interés social.</w:t>
      </w:r>
    </w:p>
    <w:p w:rsidR="00D2233B" w:rsidRPr="00184A73" w:rsidRDefault="00D2233B" w:rsidP="00D2233B">
      <w:pPr>
        <w:spacing w:after="240" w:line="276" w:lineRule="auto"/>
        <w:jc w:val="both"/>
        <w:rPr>
          <w:rFonts w:ascii="Palatino Linotype" w:hAnsi="Palatino Linotype" w:cs="Arial"/>
          <w:b/>
          <w:bCs/>
          <w:sz w:val="22"/>
          <w:szCs w:val="22"/>
        </w:rPr>
      </w:pPr>
      <w:r w:rsidRPr="00184A73">
        <w:rPr>
          <w:rFonts w:ascii="Palatino Linotype" w:hAnsi="Palatino Linotype" w:cs="Arial"/>
          <w:b/>
          <w:bCs/>
          <w:sz w:val="22"/>
          <w:szCs w:val="22"/>
        </w:rPr>
        <w:t>Artículo 2.- Especificaciones técnicas.-</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Zonificación actual:</w:t>
      </w:r>
      <w:r w:rsidRPr="00184A73">
        <w:rPr>
          <w:rFonts w:ascii="Palatino Linotype" w:hAnsi="Palatino Linotype" w:cs="Arial"/>
          <w:sz w:val="22"/>
          <w:szCs w:val="22"/>
        </w:rPr>
        <w:tab/>
      </w:r>
      <w:r w:rsidRPr="00184A73">
        <w:rPr>
          <w:rFonts w:ascii="Palatino Linotype" w:hAnsi="Palatino Linotype" w:cs="Arial"/>
          <w:sz w:val="22"/>
          <w:szCs w:val="22"/>
        </w:rPr>
        <w:tab/>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D3 (D203-80)</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Lote mínimo:</w:t>
      </w:r>
      <w:r w:rsidRPr="00184A73">
        <w:rPr>
          <w:rFonts w:ascii="Palatino Linotype" w:hAnsi="Palatino Linotype" w:cs="Arial"/>
          <w:sz w:val="22"/>
          <w:szCs w:val="22"/>
        </w:rPr>
        <w:tab/>
      </w:r>
      <w:r w:rsidRPr="00184A73">
        <w:rPr>
          <w:rFonts w:ascii="Palatino Linotype" w:hAnsi="Palatino Linotype" w:cs="Arial"/>
          <w:sz w:val="22"/>
          <w:szCs w:val="22"/>
        </w:rPr>
        <w:tab/>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200 m</w:t>
      </w:r>
      <w:r w:rsidRPr="00184A73">
        <w:rPr>
          <w:rFonts w:ascii="Palatino Linotype" w:hAnsi="Palatino Linotype" w:cs="Arial"/>
          <w:sz w:val="22"/>
          <w:szCs w:val="22"/>
          <w:vertAlign w:val="superscript"/>
        </w:rPr>
        <w:t>2</w:t>
      </w:r>
      <w:r w:rsidRPr="00184A73">
        <w:rPr>
          <w:rFonts w:ascii="Palatino Linotype" w:hAnsi="Palatino Linotype" w:cs="Arial"/>
          <w:sz w:val="22"/>
          <w:szCs w:val="22"/>
        </w:rPr>
        <w:t xml:space="preserve">   </w:t>
      </w:r>
      <w:r w:rsidRPr="00184A73">
        <w:rPr>
          <w:rFonts w:ascii="Palatino Linotype" w:hAnsi="Palatino Linotype" w:cs="Arial"/>
          <w:sz w:val="22"/>
          <w:szCs w:val="22"/>
          <w:vertAlign w:val="superscript"/>
        </w:rPr>
        <w:t xml:space="preserve">               </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Forma ocupación del suelo:</w:t>
      </w:r>
      <w:r w:rsidRPr="00184A73">
        <w:rPr>
          <w:rFonts w:ascii="Palatino Linotype" w:hAnsi="Palatino Linotype" w:cs="Arial"/>
          <w:sz w:val="22"/>
          <w:szCs w:val="22"/>
        </w:rPr>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(D) Sobre línea de fábrica</w:t>
      </w:r>
    </w:p>
    <w:p w:rsidR="00D2233B" w:rsidRPr="00184A73" w:rsidRDefault="00D2233B" w:rsidP="00D2233B">
      <w:pPr>
        <w:spacing w:after="240" w:line="276" w:lineRule="auto"/>
        <w:ind w:left="3540" w:hanging="3540"/>
        <w:jc w:val="both"/>
        <w:rPr>
          <w:rFonts w:ascii="Palatino Linotype" w:hAnsi="Palatino Linotype" w:cs="Arial"/>
          <w:sz w:val="22"/>
          <w:szCs w:val="22"/>
          <w:highlight w:val="yellow"/>
        </w:rPr>
      </w:pPr>
      <w:r w:rsidRPr="00184A73">
        <w:rPr>
          <w:rFonts w:ascii="Palatino Linotype" w:hAnsi="Palatino Linotype" w:cs="Arial"/>
          <w:b/>
          <w:sz w:val="22"/>
          <w:szCs w:val="22"/>
        </w:rPr>
        <w:t xml:space="preserve">Uso principal:                          </w:t>
      </w:r>
      <w:r w:rsidRPr="00184A73">
        <w:rPr>
          <w:rFonts w:ascii="Palatino Linotype" w:hAnsi="Palatino Linotype" w:cs="Arial"/>
          <w:sz w:val="22"/>
          <w:szCs w:val="22"/>
        </w:rPr>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(R1) Residencia baja densidad</w:t>
      </w:r>
    </w:p>
    <w:p w:rsidR="00D2233B" w:rsidRPr="00184A73" w:rsidRDefault="00D2233B" w:rsidP="00D2233B">
      <w:pPr>
        <w:pStyle w:val="Ttulo3"/>
        <w:spacing w:before="0" w:after="240" w:line="276" w:lineRule="auto"/>
        <w:jc w:val="both"/>
        <w:rPr>
          <w:rFonts w:ascii="Palatino Linotype" w:hAnsi="Palatino Linotype"/>
          <w:b w:val="0"/>
          <w:sz w:val="22"/>
          <w:szCs w:val="22"/>
        </w:rPr>
      </w:pPr>
      <w:r w:rsidRPr="00184A73">
        <w:rPr>
          <w:rFonts w:ascii="Palatino Linotype" w:hAnsi="Palatino Linotype"/>
          <w:sz w:val="22"/>
          <w:szCs w:val="22"/>
        </w:rPr>
        <w:lastRenderedPageBreak/>
        <w:t>Número de lotes:</w:t>
      </w:r>
      <w:r w:rsidRPr="00184A73">
        <w:rPr>
          <w:rFonts w:ascii="Palatino Linotype" w:hAnsi="Palatino Linotype"/>
          <w:b w:val="0"/>
          <w:sz w:val="22"/>
          <w:szCs w:val="22"/>
        </w:rPr>
        <w:tab/>
      </w:r>
      <w:r w:rsidRPr="00184A73">
        <w:rPr>
          <w:rFonts w:ascii="Palatino Linotype" w:hAnsi="Palatino Linotype"/>
          <w:b w:val="0"/>
          <w:sz w:val="22"/>
          <w:szCs w:val="22"/>
        </w:rPr>
        <w:tab/>
      </w:r>
      <w:r w:rsidRPr="00184A73">
        <w:rPr>
          <w:rFonts w:ascii="Palatino Linotype" w:hAnsi="Palatino Linotype"/>
          <w:b w:val="0"/>
          <w:sz w:val="22"/>
          <w:szCs w:val="22"/>
        </w:rPr>
        <w:tab/>
      </w:r>
      <w:r w:rsidRPr="00184A73">
        <w:rPr>
          <w:rFonts w:ascii="Palatino Linotype" w:hAnsi="Palatino Linotype"/>
          <w:b w:val="0"/>
          <w:sz w:val="22"/>
          <w:szCs w:val="22"/>
        </w:rPr>
        <w:tab/>
      </w:r>
      <w:r w:rsidRPr="00184A73">
        <w:rPr>
          <w:rFonts w:ascii="Palatino Linotype" w:hAnsi="Palatino Linotype"/>
          <w:b w:val="0"/>
          <w:sz w:val="22"/>
          <w:szCs w:val="22"/>
        </w:rPr>
        <w:tab/>
        <w:t>25</w:t>
      </w:r>
    </w:p>
    <w:p w:rsidR="00D2233B" w:rsidRPr="00184A73" w:rsidRDefault="00D2233B" w:rsidP="00D2233B">
      <w:pPr>
        <w:pStyle w:val="Ttulo3"/>
        <w:spacing w:before="0" w:after="240" w:line="276" w:lineRule="auto"/>
        <w:jc w:val="both"/>
        <w:rPr>
          <w:rFonts w:ascii="Palatino Linotype" w:hAnsi="Palatino Linotype"/>
          <w:b w:val="0"/>
          <w:sz w:val="22"/>
          <w:szCs w:val="22"/>
          <w:vertAlign w:val="superscript"/>
        </w:rPr>
      </w:pPr>
      <w:r w:rsidRPr="00184A73">
        <w:rPr>
          <w:rFonts w:ascii="Palatino Linotype" w:hAnsi="Palatino Linotype"/>
          <w:sz w:val="22"/>
          <w:szCs w:val="22"/>
        </w:rPr>
        <w:t>Área útil de lotes:</w:t>
      </w:r>
      <w:r w:rsidRPr="00184A73">
        <w:rPr>
          <w:rFonts w:ascii="Palatino Linotype" w:hAnsi="Palatino Linotype"/>
          <w:b w:val="0"/>
          <w:sz w:val="22"/>
          <w:szCs w:val="22"/>
        </w:rPr>
        <w:tab/>
      </w:r>
      <w:r w:rsidRPr="00184A73">
        <w:rPr>
          <w:rFonts w:ascii="Palatino Linotype" w:hAnsi="Palatino Linotype"/>
          <w:b w:val="0"/>
          <w:sz w:val="22"/>
          <w:szCs w:val="22"/>
        </w:rPr>
        <w:tab/>
        <w:t xml:space="preserve">         </w:t>
      </w:r>
      <w:r w:rsidRPr="00184A73">
        <w:rPr>
          <w:rFonts w:ascii="Palatino Linotype" w:hAnsi="Palatino Linotype"/>
          <w:b w:val="0"/>
          <w:sz w:val="22"/>
          <w:szCs w:val="22"/>
        </w:rPr>
        <w:tab/>
      </w:r>
      <w:r w:rsidRPr="00184A73">
        <w:rPr>
          <w:rFonts w:ascii="Palatino Linotype" w:hAnsi="Palatino Linotype"/>
          <w:b w:val="0"/>
          <w:sz w:val="22"/>
          <w:szCs w:val="22"/>
        </w:rPr>
        <w:tab/>
      </w:r>
      <w:r w:rsidRPr="00184A73">
        <w:rPr>
          <w:rFonts w:ascii="Palatino Linotype" w:hAnsi="Palatino Linotype"/>
          <w:b w:val="0"/>
          <w:sz w:val="22"/>
          <w:szCs w:val="22"/>
        </w:rPr>
        <w:tab/>
        <w:t>6.532,76 m</w:t>
      </w:r>
      <w:r w:rsidRPr="00184A73">
        <w:rPr>
          <w:rFonts w:ascii="Palatino Linotype" w:hAnsi="Palatino Linotype"/>
          <w:b w:val="0"/>
          <w:sz w:val="22"/>
          <w:szCs w:val="22"/>
          <w:vertAlign w:val="superscript"/>
        </w:rPr>
        <w:t>2</w:t>
      </w:r>
    </w:p>
    <w:p w:rsidR="00D2233B" w:rsidRPr="00184A73" w:rsidRDefault="00D2233B" w:rsidP="00D2233B">
      <w:pPr>
        <w:pStyle w:val="Ttulo3"/>
        <w:spacing w:before="0" w:after="240" w:line="276" w:lineRule="auto"/>
        <w:jc w:val="both"/>
        <w:rPr>
          <w:rFonts w:ascii="Palatino Linotype" w:hAnsi="Palatino Linotype"/>
          <w:b w:val="0"/>
          <w:sz w:val="22"/>
          <w:szCs w:val="22"/>
        </w:rPr>
      </w:pPr>
      <w:r w:rsidRPr="00184A73">
        <w:rPr>
          <w:rFonts w:ascii="Palatino Linotype" w:hAnsi="Palatino Linotype"/>
          <w:sz w:val="22"/>
          <w:szCs w:val="22"/>
        </w:rPr>
        <w:t>Área verde y comunal:</w:t>
      </w:r>
      <w:r w:rsidRPr="00184A73">
        <w:rPr>
          <w:rFonts w:ascii="Palatino Linotype" w:hAnsi="Palatino Linotype"/>
          <w:b w:val="0"/>
          <w:sz w:val="22"/>
          <w:szCs w:val="22"/>
        </w:rPr>
        <w:tab/>
      </w:r>
      <w:r w:rsidRPr="00184A73">
        <w:rPr>
          <w:rFonts w:ascii="Palatino Linotype" w:hAnsi="Palatino Linotype"/>
          <w:b w:val="0"/>
          <w:sz w:val="22"/>
          <w:szCs w:val="22"/>
        </w:rPr>
        <w:tab/>
        <w:t xml:space="preserve">         </w:t>
      </w:r>
      <w:r w:rsidRPr="00184A73">
        <w:rPr>
          <w:rFonts w:ascii="Palatino Linotype" w:hAnsi="Palatino Linotype"/>
          <w:b w:val="0"/>
          <w:sz w:val="22"/>
          <w:szCs w:val="22"/>
        </w:rPr>
        <w:tab/>
      </w:r>
      <w:r w:rsidRPr="00184A73">
        <w:rPr>
          <w:rFonts w:ascii="Palatino Linotype" w:hAnsi="Palatino Linotype"/>
          <w:b w:val="0"/>
          <w:sz w:val="22"/>
          <w:szCs w:val="22"/>
        </w:rPr>
        <w:tab/>
        <w:t>2.687,62 m</w:t>
      </w:r>
      <w:r w:rsidRPr="00184A73">
        <w:rPr>
          <w:rFonts w:ascii="Palatino Linotype" w:hAnsi="Palatino Linotype"/>
          <w:b w:val="0"/>
          <w:sz w:val="22"/>
          <w:szCs w:val="22"/>
          <w:vertAlign w:val="superscript"/>
        </w:rPr>
        <w:t>2</w:t>
      </w:r>
      <w:r w:rsidRPr="00184A73">
        <w:rPr>
          <w:rFonts w:ascii="Palatino Linotype" w:hAnsi="Palatino Linotype"/>
          <w:b w:val="0"/>
          <w:sz w:val="22"/>
          <w:szCs w:val="22"/>
        </w:rPr>
        <w:t xml:space="preserve">  </w:t>
      </w:r>
    </w:p>
    <w:p w:rsidR="00D2233B" w:rsidRPr="00184A73" w:rsidRDefault="00D2233B" w:rsidP="00D2233B">
      <w:pPr>
        <w:pStyle w:val="Ttulo3"/>
        <w:spacing w:before="0" w:after="240" w:line="276" w:lineRule="auto"/>
        <w:jc w:val="both"/>
        <w:rPr>
          <w:rFonts w:ascii="Palatino Linotype" w:hAnsi="Palatino Linotype"/>
          <w:b w:val="0"/>
          <w:sz w:val="22"/>
          <w:szCs w:val="22"/>
          <w:vertAlign w:val="superscript"/>
        </w:rPr>
      </w:pPr>
      <w:r w:rsidRPr="00184A73">
        <w:rPr>
          <w:rFonts w:ascii="Palatino Linotype" w:hAnsi="Palatino Linotype"/>
          <w:sz w:val="22"/>
          <w:szCs w:val="22"/>
        </w:rPr>
        <w:t>Área total de predio (</w:t>
      </w:r>
      <w:proofErr w:type="spellStart"/>
      <w:r w:rsidRPr="00184A73">
        <w:rPr>
          <w:rFonts w:ascii="Palatino Linotype" w:hAnsi="Palatino Linotype"/>
          <w:sz w:val="22"/>
          <w:szCs w:val="22"/>
        </w:rPr>
        <w:t>lev</w:t>
      </w:r>
      <w:proofErr w:type="spellEnd"/>
      <w:r w:rsidRPr="00184A73">
        <w:rPr>
          <w:rFonts w:ascii="Palatino Linotype" w:hAnsi="Palatino Linotype"/>
          <w:sz w:val="22"/>
          <w:szCs w:val="22"/>
        </w:rPr>
        <w:t xml:space="preserve">. </w:t>
      </w:r>
      <w:proofErr w:type="spellStart"/>
      <w:r w:rsidRPr="00184A73">
        <w:rPr>
          <w:rFonts w:ascii="Palatino Linotype" w:hAnsi="Palatino Linotype"/>
          <w:sz w:val="22"/>
          <w:szCs w:val="22"/>
        </w:rPr>
        <w:t>topog</w:t>
      </w:r>
      <w:proofErr w:type="spellEnd"/>
      <w:r w:rsidRPr="00184A73">
        <w:rPr>
          <w:rFonts w:ascii="Palatino Linotype" w:hAnsi="Palatino Linotype"/>
          <w:sz w:val="22"/>
          <w:szCs w:val="22"/>
        </w:rPr>
        <w:t>):</w:t>
      </w:r>
      <w:r w:rsidRPr="00184A73">
        <w:rPr>
          <w:rFonts w:ascii="Palatino Linotype" w:hAnsi="Palatino Linotype"/>
          <w:b w:val="0"/>
          <w:sz w:val="22"/>
          <w:szCs w:val="22"/>
        </w:rPr>
        <w:tab/>
        <w:t xml:space="preserve">           </w:t>
      </w:r>
      <w:r w:rsidRPr="00184A73">
        <w:rPr>
          <w:rFonts w:ascii="Palatino Linotype" w:hAnsi="Palatino Linotype"/>
          <w:b w:val="0"/>
          <w:sz w:val="22"/>
          <w:szCs w:val="22"/>
        </w:rPr>
        <w:tab/>
      </w:r>
      <w:r w:rsidRPr="00184A73">
        <w:rPr>
          <w:rFonts w:ascii="Palatino Linotype" w:hAnsi="Palatino Linotype"/>
          <w:b w:val="0"/>
          <w:sz w:val="22"/>
          <w:szCs w:val="22"/>
        </w:rPr>
        <w:tab/>
        <w:t>9.220,38 m</w:t>
      </w:r>
      <w:r w:rsidRPr="00184A73">
        <w:rPr>
          <w:rFonts w:ascii="Palatino Linotype" w:hAnsi="Palatino Linotype"/>
          <w:b w:val="0"/>
          <w:sz w:val="22"/>
          <w:szCs w:val="22"/>
          <w:vertAlign w:val="superscript"/>
        </w:rPr>
        <w:t>2</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Área macro lote 1:</w:t>
      </w:r>
      <w:r w:rsidRPr="00184A73">
        <w:rPr>
          <w:rFonts w:ascii="Palatino Linotype" w:hAnsi="Palatino Linotype" w:cs="Arial"/>
          <w:sz w:val="22"/>
          <w:szCs w:val="22"/>
        </w:rPr>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1</w:t>
      </w:r>
      <w:r w:rsidRPr="00184A73">
        <w:rPr>
          <w:rFonts w:ascii="Palatino Linotype" w:hAnsi="Palatino Linotype"/>
          <w:sz w:val="22"/>
          <w:szCs w:val="22"/>
        </w:rPr>
        <w:t xml:space="preserve">.127,96 </w:t>
      </w:r>
      <w:r w:rsidRPr="00184A73">
        <w:rPr>
          <w:rFonts w:ascii="Palatino Linotype" w:hAnsi="Palatino Linotype" w:cs="Arial"/>
          <w:sz w:val="22"/>
          <w:szCs w:val="22"/>
          <w:lang w:val="es-MX"/>
        </w:rPr>
        <w:t>m</w:t>
      </w:r>
      <w:r w:rsidRPr="00184A73">
        <w:rPr>
          <w:rFonts w:ascii="Palatino Linotype" w:hAnsi="Palatino Linotype" w:cs="Arial"/>
          <w:sz w:val="22"/>
          <w:szCs w:val="22"/>
          <w:vertAlign w:val="superscript"/>
          <w:lang w:val="es-MX"/>
        </w:rPr>
        <w:t>2</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Área macro lote 2:</w:t>
      </w:r>
      <w:r w:rsidRPr="00184A73">
        <w:rPr>
          <w:rFonts w:ascii="Palatino Linotype" w:hAnsi="Palatino Linotype" w:cs="Arial"/>
          <w:sz w:val="22"/>
          <w:szCs w:val="22"/>
        </w:rPr>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1</w:t>
      </w:r>
      <w:r w:rsidRPr="00184A73">
        <w:rPr>
          <w:rFonts w:ascii="Palatino Linotype" w:hAnsi="Palatino Linotype"/>
          <w:sz w:val="22"/>
          <w:szCs w:val="22"/>
        </w:rPr>
        <w:t xml:space="preserve">.210,57 </w:t>
      </w:r>
      <w:r w:rsidRPr="00184A73">
        <w:rPr>
          <w:rFonts w:ascii="Palatino Linotype" w:hAnsi="Palatino Linotype" w:cs="Arial"/>
          <w:sz w:val="22"/>
          <w:szCs w:val="22"/>
          <w:lang w:val="es-MX"/>
        </w:rPr>
        <w:t>m</w:t>
      </w:r>
      <w:r w:rsidRPr="00184A73">
        <w:rPr>
          <w:rFonts w:ascii="Palatino Linotype" w:hAnsi="Palatino Linotype" w:cs="Arial"/>
          <w:sz w:val="22"/>
          <w:szCs w:val="22"/>
          <w:vertAlign w:val="superscript"/>
          <w:lang w:val="es-MX"/>
        </w:rPr>
        <w:t>2</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Área macro lote 3:</w:t>
      </w:r>
      <w:r w:rsidRPr="00184A73">
        <w:rPr>
          <w:rFonts w:ascii="Palatino Linotype" w:hAnsi="Palatino Linotype" w:cs="Arial"/>
          <w:sz w:val="22"/>
          <w:szCs w:val="22"/>
        </w:rPr>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1</w:t>
      </w:r>
      <w:r w:rsidRPr="00184A73">
        <w:rPr>
          <w:rFonts w:ascii="Palatino Linotype" w:hAnsi="Palatino Linotype"/>
          <w:sz w:val="22"/>
          <w:szCs w:val="22"/>
        </w:rPr>
        <w:t xml:space="preserve">.558,18 </w:t>
      </w:r>
      <w:r w:rsidRPr="00184A73">
        <w:rPr>
          <w:rFonts w:ascii="Palatino Linotype" w:hAnsi="Palatino Linotype" w:cs="Arial"/>
          <w:sz w:val="22"/>
          <w:szCs w:val="22"/>
          <w:lang w:val="es-MX"/>
        </w:rPr>
        <w:t>m</w:t>
      </w:r>
      <w:r w:rsidRPr="00184A73">
        <w:rPr>
          <w:rFonts w:ascii="Palatino Linotype" w:hAnsi="Palatino Linotype" w:cs="Arial"/>
          <w:sz w:val="22"/>
          <w:szCs w:val="22"/>
          <w:vertAlign w:val="superscript"/>
          <w:lang w:val="es-MX"/>
        </w:rPr>
        <w:t>2</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 xml:space="preserve">Área macro lote 4:    </w:t>
      </w:r>
      <w:r w:rsidRPr="00184A73">
        <w:rPr>
          <w:rFonts w:ascii="Palatino Linotype" w:hAnsi="Palatino Linotype" w:cs="Arial"/>
          <w:sz w:val="22"/>
          <w:szCs w:val="22"/>
        </w:rPr>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1</w:t>
      </w:r>
      <w:r w:rsidRPr="00184A73">
        <w:rPr>
          <w:rFonts w:ascii="Palatino Linotype" w:hAnsi="Palatino Linotype"/>
          <w:sz w:val="22"/>
          <w:szCs w:val="22"/>
        </w:rPr>
        <w:t xml:space="preserve">.730,71 </w:t>
      </w:r>
      <w:r w:rsidRPr="00184A73">
        <w:rPr>
          <w:rFonts w:ascii="Palatino Linotype" w:hAnsi="Palatino Linotype" w:cs="Arial"/>
          <w:sz w:val="22"/>
          <w:szCs w:val="22"/>
          <w:lang w:val="es-MX"/>
        </w:rPr>
        <w:t>m</w:t>
      </w:r>
      <w:r w:rsidRPr="00184A73">
        <w:rPr>
          <w:rFonts w:ascii="Palatino Linotype" w:hAnsi="Palatino Linotype" w:cs="Arial"/>
          <w:sz w:val="22"/>
          <w:szCs w:val="22"/>
          <w:vertAlign w:val="superscript"/>
          <w:lang w:val="es-MX"/>
        </w:rPr>
        <w:t>2</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 xml:space="preserve">Área macro lote 5:     </w:t>
      </w:r>
      <w:r w:rsidRPr="00184A73">
        <w:rPr>
          <w:rFonts w:ascii="Palatino Linotype" w:hAnsi="Palatino Linotype" w:cs="Arial"/>
          <w:sz w:val="22"/>
          <w:szCs w:val="22"/>
        </w:rPr>
        <w:t xml:space="preserve">                          </w:t>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2</w:t>
      </w:r>
      <w:r w:rsidRPr="00184A73">
        <w:rPr>
          <w:rFonts w:ascii="Palatino Linotype" w:hAnsi="Palatino Linotype"/>
          <w:sz w:val="22"/>
          <w:szCs w:val="22"/>
        </w:rPr>
        <w:t xml:space="preserve">.389,13 </w:t>
      </w:r>
      <w:r w:rsidRPr="00184A73">
        <w:rPr>
          <w:rFonts w:ascii="Palatino Linotype" w:hAnsi="Palatino Linotype" w:cs="Arial"/>
          <w:sz w:val="22"/>
          <w:szCs w:val="22"/>
          <w:lang w:val="es-MX"/>
        </w:rPr>
        <w:t>m</w:t>
      </w:r>
      <w:r w:rsidRPr="00184A73">
        <w:rPr>
          <w:rFonts w:ascii="Palatino Linotype" w:hAnsi="Palatino Linotype" w:cs="Arial"/>
          <w:sz w:val="22"/>
          <w:szCs w:val="22"/>
          <w:vertAlign w:val="superscript"/>
          <w:lang w:val="es-MX"/>
        </w:rPr>
        <w:t>2</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Área macro lote 6:</w:t>
      </w:r>
      <w:r w:rsidRPr="00184A73">
        <w:rPr>
          <w:rFonts w:ascii="Palatino Linotype" w:hAnsi="Palatino Linotype" w:cs="Arial"/>
          <w:b/>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r>
      <w:r w:rsidRPr="00184A73">
        <w:rPr>
          <w:rFonts w:ascii="Palatino Linotype" w:hAnsi="Palatino Linotype" w:cs="Arial"/>
          <w:sz w:val="22"/>
          <w:szCs w:val="22"/>
        </w:rPr>
        <w:tab/>
        <w:t xml:space="preserve">1.256,17 </w:t>
      </w:r>
      <w:r w:rsidRPr="00184A73">
        <w:rPr>
          <w:rFonts w:ascii="Palatino Linotype" w:hAnsi="Palatino Linotype" w:cs="Arial"/>
          <w:sz w:val="22"/>
          <w:szCs w:val="22"/>
          <w:lang w:val="es-MX"/>
        </w:rPr>
        <w:t>m</w:t>
      </w:r>
      <w:r w:rsidRPr="00184A73">
        <w:rPr>
          <w:rFonts w:ascii="Palatino Linotype" w:hAnsi="Palatino Linotype" w:cs="Arial"/>
          <w:sz w:val="22"/>
          <w:szCs w:val="22"/>
          <w:vertAlign w:val="superscript"/>
          <w:lang w:val="es-MX"/>
        </w:rPr>
        <w:t>2</w:t>
      </w:r>
    </w:p>
    <w:p w:rsidR="00D2233B" w:rsidRPr="00184A73" w:rsidRDefault="00D2233B" w:rsidP="00D2233B">
      <w:pPr>
        <w:pStyle w:val="Ttulo3"/>
        <w:spacing w:before="0" w:after="240" w:line="276" w:lineRule="auto"/>
        <w:jc w:val="both"/>
        <w:rPr>
          <w:rFonts w:ascii="Palatino Linotype" w:hAnsi="Palatino Linotype"/>
          <w:b w:val="0"/>
          <w:sz w:val="22"/>
          <w:szCs w:val="22"/>
          <w:highlight w:val="yellow"/>
        </w:rPr>
      </w:pPr>
      <w:r w:rsidRPr="00184A73">
        <w:rPr>
          <w:rFonts w:ascii="Palatino Linotype" w:hAnsi="Palatino Linotype"/>
          <w:sz w:val="22"/>
          <w:szCs w:val="22"/>
        </w:rPr>
        <w:t xml:space="preserve">Área total de los 6 predios (escrit.):  </w:t>
      </w:r>
      <w:r w:rsidRPr="00184A73">
        <w:rPr>
          <w:rFonts w:ascii="Palatino Linotype" w:hAnsi="Palatino Linotype"/>
          <w:b w:val="0"/>
          <w:sz w:val="22"/>
          <w:szCs w:val="22"/>
        </w:rPr>
        <w:t xml:space="preserve">  </w:t>
      </w:r>
      <w:r w:rsidRPr="00184A73">
        <w:rPr>
          <w:rFonts w:ascii="Palatino Linotype" w:hAnsi="Palatino Linotype"/>
          <w:b w:val="0"/>
          <w:sz w:val="22"/>
          <w:szCs w:val="22"/>
        </w:rPr>
        <w:tab/>
      </w:r>
      <w:r w:rsidRPr="00184A73">
        <w:rPr>
          <w:rFonts w:ascii="Palatino Linotype" w:hAnsi="Palatino Linotype"/>
          <w:b w:val="0"/>
          <w:sz w:val="22"/>
          <w:szCs w:val="22"/>
        </w:rPr>
        <w:tab/>
        <w:t>9.272,72</w:t>
      </w:r>
      <w:r w:rsidRPr="00184A73">
        <w:rPr>
          <w:rFonts w:ascii="Palatino Linotype" w:hAnsi="Palatino Linotype"/>
          <w:b w:val="0"/>
          <w:sz w:val="22"/>
          <w:szCs w:val="22"/>
          <w:lang w:val="es-MX"/>
        </w:rPr>
        <w:t xml:space="preserve"> m</w:t>
      </w:r>
      <w:r w:rsidRPr="00184A73">
        <w:rPr>
          <w:rFonts w:ascii="Palatino Linotype" w:hAnsi="Palatino Linotype"/>
          <w:b w:val="0"/>
          <w:sz w:val="22"/>
          <w:szCs w:val="22"/>
          <w:vertAlign w:val="superscript"/>
          <w:lang w:val="es-MX"/>
        </w:rPr>
        <w:t>2</w:t>
      </w:r>
      <w:r w:rsidRPr="00184A73">
        <w:rPr>
          <w:rFonts w:ascii="Palatino Linotype" w:hAnsi="Palatino Linotype"/>
          <w:b w:val="0"/>
          <w:sz w:val="22"/>
          <w:szCs w:val="22"/>
          <w:highlight w:val="yellow"/>
        </w:rPr>
        <w:t xml:space="preserve">           </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sz w:val="22"/>
          <w:szCs w:val="22"/>
        </w:rPr>
        <w:t>El número total de lotes es de 25, signados del uno (1) al veinte y cinco (25), cuyo detalle es el que consta en los planos aprobatorios que forman parte de la presente Ordenanza.</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bCs/>
          <w:sz w:val="22"/>
          <w:szCs w:val="22"/>
        </w:rPr>
        <w:t xml:space="preserve">Artículo 3.- Zonificación de los lotes.- </w:t>
      </w:r>
      <w:r w:rsidR="009F4C11" w:rsidRPr="00184A73">
        <w:rPr>
          <w:rFonts w:ascii="Palatino Linotype" w:hAnsi="Palatino Linotype" w:cs="Arial"/>
          <w:bCs/>
          <w:sz w:val="22"/>
          <w:szCs w:val="22"/>
        </w:rPr>
        <w:t xml:space="preserve">Los lotes fraccionados mantendrán la siguiente </w:t>
      </w:r>
      <w:r w:rsidR="009F4C11" w:rsidRPr="00184A73">
        <w:rPr>
          <w:rFonts w:ascii="Palatino Linotype" w:hAnsi="Palatino Linotype"/>
          <w:sz w:val="22"/>
          <w:szCs w:val="22"/>
          <w:lang w:val="es-EC"/>
        </w:rPr>
        <w:t>zonificación:</w:t>
      </w:r>
      <w:r w:rsidRPr="00184A73">
        <w:rPr>
          <w:rFonts w:ascii="Palatino Linotype" w:hAnsi="Palatino Linotype" w:cs="Arial"/>
          <w:sz w:val="22"/>
          <w:szCs w:val="22"/>
        </w:rPr>
        <w:t xml:space="preserve"> D3 (D203-80), forma de ocupación del suelo (D) Sobre línea de fábrica, lote mínimo 200 m</w:t>
      </w:r>
      <w:r w:rsidRPr="00184A73">
        <w:rPr>
          <w:rFonts w:ascii="Palatino Linotype" w:hAnsi="Palatino Linotype" w:cs="Arial"/>
          <w:sz w:val="22"/>
          <w:szCs w:val="22"/>
          <w:vertAlign w:val="superscript"/>
        </w:rPr>
        <w:t>2</w:t>
      </w:r>
      <w:r w:rsidRPr="00184A73">
        <w:rPr>
          <w:rFonts w:ascii="Palatino Linotype" w:hAnsi="Palatino Linotype" w:cs="Arial"/>
          <w:sz w:val="22"/>
          <w:szCs w:val="22"/>
        </w:rPr>
        <w:t>, número de pisos: 3 pisos; COS planta baja 80%, COS total 240%; clasificación del suelo (SU) Suelo Urbano; Uso Principal del suelo (R1) Residencia baja densidad.</w:t>
      </w:r>
    </w:p>
    <w:p w:rsidR="00D2233B" w:rsidRPr="00184A73" w:rsidRDefault="00D2233B" w:rsidP="00D2233B">
      <w:pPr>
        <w:spacing w:after="240" w:line="276" w:lineRule="auto"/>
        <w:jc w:val="both"/>
        <w:rPr>
          <w:rFonts w:ascii="Palatino Linotype" w:hAnsi="Palatino Linotype" w:cs="Arial"/>
          <w:b/>
          <w:sz w:val="22"/>
          <w:szCs w:val="22"/>
        </w:rPr>
      </w:pPr>
      <w:r w:rsidRPr="00184A73">
        <w:rPr>
          <w:rFonts w:ascii="Palatino Linotype" w:hAnsi="Palatino Linotype" w:cs="Arial"/>
          <w:b/>
          <w:bCs/>
          <w:sz w:val="22"/>
          <w:szCs w:val="22"/>
        </w:rPr>
        <w:t>Artículo 4.-</w:t>
      </w:r>
      <w:r w:rsidRPr="00184A73">
        <w:rPr>
          <w:rFonts w:ascii="Palatino Linotype" w:hAnsi="Palatino Linotype" w:cs="Arial"/>
          <w:bCs/>
          <w:sz w:val="22"/>
          <w:szCs w:val="22"/>
        </w:rPr>
        <w:t xml:space="preserve"> </w:t>
      </w:r>
      <w:r w:rsidRPr="00184A73">
        <w:rPr>
          <w:rFonts w:ascii="Palatino Linotype" w:hAnsi="Palatino Linotype" w:cs="Arial"/>
          <w:b/>
          <w:bCs/>
          <w:sz w:val="22"/>
          <w:szCs w:val="22"/>
        </w:rPr>
        <w:t xml:space="preserve">Del </w:t>
      </w:r>
      <w:r w:rsidR="009F4C11" w:rsidRPr="00184A73">
        <w:rPr>
          <w:rFonts w:ascii="Palatino Linotype" w:hAnsi="Palatino Linotype" w:cs="Arial"/>
          <w:b/>
          <w:bCs/>
          <w:sz w:val="22"/>
          <w:szCs w:val="22"/>
        </w:rPr>
        <w:t>á</w:t>
      </w:r>
      <w:r w:rsidRPr="00184A73">
        <w:rPr>
          <w:rFonts w:ascii="Palatino Linotype" w:hAnsi="Palatino Linotype" w:cs="Arial"/>
          <w:b/>
          <w:bCs/>
          <w:sz w:val="22"/>
          <w:szCs w:val="22"/>
        </w:rPr>
        <w:t xml:space="preserve">rea </w:t>
      </w:r>
      <w:r w:rsidR="009F4C11" w:rsidRPr="00184A73">
        <w:rPr>
          <w:rFonts w:ascii="Palatino Linotype" w:hAnsi="Palatino Linotype" w:cs="Arial"/>
          <w:b/>
          <w:bCs/>
          <w:sz w:val="22"/>
          <w:szCs w:val="22"/>
        </w:rPr>
        <w:t>v</w:t>
      </w:r>
      <w:r w:rsidRPr="00184A73">
        <w:rPr>
          <w:rFonts w:ascii="Palatino Linotype" w:hAnsi="Palatino Linotype" w:cs="Arial"/>
          <w:b/>
          <w:bCs/>
          <w:sz w:val="22"/>
          <w:szCs w:val="22"/>
        </w:rPr>
        <w:t xml:space="preserve">erde y </w:t>
      </w:r>
      <w:r w:rsidR="009F4C11" w:rsidRPr="00184A73">
        <w:rPr>
          <w:rFonts w:ascii="Palatino Linotype" w:hAnsi="Palatino Linotype" w:cs="Arial"/>
          <w:b/>
          <w:bCs/>
          <w:sz w:val="22"/>
          <w:szCs w:val="22"/>
        </w:rPr>
        <w:t>á</w:t>
      </w:r>
      <w:r w:rsidRPr="00184A73">
        <w:rPr>
          <w:rFonts w:ascii="Palatino Linotype" w:hAnsi="Palatino Linotype" w:cs="Arial"/>
          <w:b/>
          <w:bCs/>
          <w:sz w:val="22"/>
          <w:szCs w:val="22"/>
        </w:rPr>
        <w:t xml:space="preserve">rea de </w:t>
      </w:r>
      <w:r w:rsidR="009F4C11" w:rsidRPr="00184A73">
        <w:rPr>
          <w:rFonts w:ascii="Palatino Linotype" w:hAnsi="Palatino Linotype" w:cs="Arial"/>
          <w:b/>
          <w:bCs/>
          <w:sz w:val="22"/>
          <w:szCs w:val="22"/>
        </w:rPr>
        <w:t>e</w:t>
      </w:r>
      <w:r w:rsidRPr="00184A73">
        <w:rPr>
          <w:rFonts w:ascii="Palatino Linotype" w:hAnsi="Palatino Linotype" w:cs="Arial"/>
          <w:b/>
          <w:bCs/>
          <w:sz w:val="22"/>
          <w:szCs w:val="22"/>
        </w:rPr>
        <w:t xml:space="preserve">quipamiento </w:t>
      </w:r>
      <w:r w:rsidR="009F4C11" w:rsidRPr="00184A73">
        <w:rPr>
          <w:rFonts w:ascii="Palatino Linotype" w:hAnsi="Palatino Linotype" w:cs="Arial"/>
          <w:b/>
          <w:bCs/>
          <w:sz w:val="22"/>
          <w:szCs w:val="22"/>
        </w:rPr>
        <w:t>c</w:t>
      </w:r>
      <w:r w:rsidRPr="00184A73">
        <w:rPr>
          <w:rFonts w:ascii="Palatino Linotype" w:hAnsi="Palatino Linotype" w:cs="Arial"/>
          <w:b/>
          <w:bCs/>
          <w:sz w:val="22"/>
          <w:szCs w:val="22"/>
        </w:rPr>
        <w:t>omunal</w:t>
      </w:r>
      <w:r w:rsidRPr="00184A73">
        <w:rPr>
          <w:rFonts w:ascii="Palatino Linotype" w:hAnsi="Palatino Linotype" w:cs="Arial"/>
          <w:bCs/>
          <w:sz w:val="22"/>
          <w:szCs w:val="22"/>
        </w:rPr>
        <w:t xml:space="preserve">.- Los copropietarios del inmueble donde se </w:t>
      </w:r>
      <w:r w:rsidRPr="00184A73">
        <w:rPr>
          <w:rFonts w:ascii="Palatino Linotype" w:hAnsi="Palatino Linotype" w:cs="Arial"/>
          <w:sz w:val="22"/>
          <w:szCs w:val="22"/>
        </w:rPr>
        <w:t>ubica el Asentamiento Humano de Hecho y Consolidado denominado</w:t>
      </w:r>
      <w:r w:rsidRPr="00184A73">
        <w:rPr>
          <w:rFonts w:ascii="Palatino Linotype" w:hAnsi="Palatino Linotype" w:cs="Arial"/>
          <w:b/>
          <w:sz w:val="22"/>
          <w:szCs w:val="22"/>
        </w:rPr>
        <w:t xml:space="preserve"> </w:t>
      </w:r>
      <w:r w:rsidRPr="00184A73">
        <w:rPr>
          <w:rFonts w:ascii="Palatino Linotype" w:hAnsi="Palatino Linotype" w:cs="Arial"/>
          <w:sz w:val="22"/>
          <w:szCs w:val="22"/>
        </w:rPr>
        <w:t>Comité Pro-Mejoras del Barrio “Balcones de Morán” Primera Etapa, transfieren al Municipio del Distrito Metropolitano de Quito como contribución de áreas verdes y áreas de equipamiento comunal, un área total de 2.687,62 m</w:t>
      </w:r>
      <w:r w:rsidRPr="00184A73">
        <w:rPr>
          <w:rFonts w:ascii="Palatino Linotype" w:hAnsi="Palatino Linotype" w:cs="Arial"/>
          <w:sz w:val="22"/>
          <w:szCs w:val="22"/>
          <w:vertAlign w:val="superscript"/>
        </w:rPr>
        <w:t xml:space="preserve">2 </w:t>
      </w:r>
      <w:r w:rsidRPr="00184A73">
        <w:rPr>
          <w:rFonts w:ascii="Palatino Linotype" w:hAnsi="Palatino Linotype" w:cstheme="minorHAnsi"/>
          <w:sz w:val="22"/>
          <w:szCs w:val="22"/>
          <w:vertAlign w:val="superscript"/>
        </w:rPr>
        <w:t xml:space="preserve"> </w:t>
      </w:r>
      <w:r w:rsidRPr="00184A73">
        <w:rPr>
          <w:rFonts w:ascii="Palatino Linotype" w:hAnsi="Palatino Linotype" w:cs="Arial"/>
          <w:sz w:val="22"/>
          <w:szCs w:val="22"/>
        </w:rPr>
        <w:t>del área útil de los lotes,</w:t>
      </w:r>
      <w:r w:rsidRPr="00184A73">
        <w:rPr>
          <w:rFonts w:ascii="Palatino Linotype" w:hAnsi="Palatino Linotype" w:cstheme="minorHAnsi"/>
          <w:sz w:val="22"/>
          <w:szCs w:val="22"/>
        </w:rPr>
        <w:t xml:space="preserve"> </w:t>
      </w:r>
      <w:r w:rsidR="009F4C11" w:rsidRPr="00184A73">
        <w:rPr>
          <w:rFonts w:ascii="Palatino Linotype" w:hAnsi="Palatino Linotype" w:cs="Arial"/>
          <w:sz w:val="22"/>
          <w:szCs w:val="22"/>
        </w:rPr>
        <w:t>de conformidad al siguiente detalle</w:t>
      </w:r>
      <w:r w:rsidRPr="00184A73">
        <w:rPr>
          <w:rFonts w:ascii="Palatino Linotype" w:hAnsi="Palatino Linotype" w:cs="Arial"/>
          <w:b/>
          <w:sz w:val="22"/>
          <w:szCs w:val="22"/>
        </w:rPr>
        <w:t>:</w:t>
      </w:r>
    </w:p>
    <w:p w:rsidR="00D2233B" w:rsidRPr="00184A73" w:rsidRDefault="00D2233B" w:rsidP="00D2233B">
      <w:pPr>
        <w:spacing w:after="240" w:line="276" w:lineRule="auto"/>
        <w:jc w:val="both"/>
        <w:rPr>
          <w:rFonts w:ascii="Palatino Linotype" w:hAnsi="Palatino Linotype" w:cs="Arial"/>
          <w:b/>
          <w:sz w:val="22"/>
          <w:szCs w:val="22"/>
        </w:rPr>
      </w:pPr>
      <w:r w:rsidRPr="00184A73">
        <w:rPr>
          <w:rFonts w:ascii="Palatino Linotype" w:hAnsi="Palatino Linotype" w:cs="Arial"/>
          <w:b/>
          <w:sz w:val="22"/>
          <w:szCs w:val="22"/>
        </w:rPr>
        <w:t>Área Verde 1:</w:t>
      </w:r>
    </w:p>
    <w:p w:rsidR="00D2233B" w:rsidRPr="00184A73" w:rsidRDefault="00D2233B" w:rsidP="009F4C11">
      <w:pPr>
        <w:spacing w:after="240" w:line="276" w:lineRule="auto"/>
        <w:ind w:left="1410" w:hanging="1410"/>
        <w:jc w:val="both"/>
        <w:rPr>
          <w:rFonts w:ascii="Palatino Linotype" w:hAnsi="Palatino Linotype" w:cs="Arial"/>
          <w:sz w:val="22"/>
          <w:szCs w:val="22"/>
        </w:rPr>
      </w:pPr>
      <w:r w:rsidRPr="00184A73">
        <w:rPr>
          <w:rFonts w:ascii="Palatino Linotype" w:hAnsi="Palatino Linotype" w:cs="Arial"/>
          <w:b/>
          <w:sz w:val="22"/>
          <w:szCs w:val="22"/>
        </w:rPr>
        <w:t xml:space="preserve">Norte: </w:t>
      </w:r>
      <w:r w:rsidR="009F4C11" w:rsidRPr="00184A73">
        <w:rPr>
          <w:rFonts w:ascii="Palatino Linotype" w:hAnsi="Palatino Linotype" w:cs="Arial"/>
          <w:b/>
          <w:sz w:val="22"/>
          <w:szCs w:val="22"/>
        </w:rPr>
        <w:tab/>
      </w:r>
      <w:r w:rsidR="009F4C11" w:rsidRPr="00184A73">
        <w:rPr>
          <w:rFonts w:ascii="Palatino Linotype" w:hAnsi="Palatino Linotype" w:cs="Arial"/>
          <w:b/>
          <w:sz w:val="22"/>
          <w:szCs w:val="22"/>
        </w:rPr>
        <w:tab/>
      </w:r>
      <w:r w:rsidRPr="00184A73">
        <w:rPr>
          <w:rFonts w:ascii="Palatino Linotype" w:hAnsi="Palatino Linotype" w:cs="Arial"/>
          <w:sz w:val="22"/>
          <w:szCs w:val="22"/>
        </w:rPr>
        <w:t>Pasaje Peatonal 2, Calle S/N 1, Calle N13P, Calle S/N 2, en 138,73 m., en longitud desarrollada</w:t>
      </w:r>
      <w:r w:rsidR="009F4C11" w:rsidRPr="00184A73">
        <w:rPr>
          <w:rFonts w:ascii="Palatino Linotype" w:hAnsi="Palatino Linotype" w:cs="Arial"/>
          <w:sz w:val="22"/>
          <w:szCs w:val="22"/>
        </w:rPr>
        <w:t>.</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lastRenderedPageBreak/>
        <w:t xml:space="preserve">Sur: </w:t>
      </w:r>
      <w:r w:rsidR="009F4C11" w:rsidRPr="00184A73">
        <w:rPr>
          <w:rFonts w:ascii="Palatino Linotype" w:hAnsi="Palatino Linotype" w:cs="Arial"/>
          <w:b/>
          <w:sz w:val="22"/>
          <w:szCs w:val="22"/>
        </w:rPr>
        <w:tab/>
      </w:r>
      <w:r w:rsidR="009F4C11" w:rsidRPr="00184A73">
        <w:rPr>
          <w:rFonts w:ascii="Palatino Linotype" w:hAnsi="Palatino Linotype" w:cs="Arial"/>
          <w:b/>
          <w:sz w:val="22"/>
          <w:szCs w:val="22"/>
        </w:rPr>
        <w:tab/>
      </w:r>
      <w:r w:rsidRPr="00184A73">
        <w:rPr>
          <w:rFonts w:ascii="Palatino Linotype" w:hAnsi="Palatino Linotype" w:cs="Arial"/>
          <w:sz w:val="22"/>
          <w:szCs w:val="22"/>
        </w:rPr>
        <w:t>Propie</w:t>
      </w:r>
      <w:r w:rsidR="009F4C11" w:rsidRPr="00184A73">
        <w:rPr>
          <w:rFonts w:ascii="Palatino Linotype" w:hAnsi="Palatino Linotype" w:cs="Arial"/>
          <w:sz w:val="22"/>
          <w:szCs w:val="22"/>
        </w:rPr>
        <w:t>dad p</w:t>
      </w:r>
      <w:r w:rsidRPr="00184A73">
        <w:rPr>
          <w:rFonts w:ascii="Palatino Linotype" w:hAnsi="Palatino Linotype" w:cs="Arial"/>
          <w:sz w:val="22"/>
          <w:szCs w:val="22"/>
        </w:rPr>
        <w:t>articular, en 129,85 m.</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sz w:val="22"/>
          <w:szCs w:val="22"/>
        </w:rPr>
        <w:t xml:space="preserve">Este: </w:t>
      </w:r>
      <w:r w:rsidR="009F4C11" w:rsidRPr="00184A73">
        <w:rPr>
          <w:rFonts w:ascii="Palatino Linotype" w:hAnsi="Palatino Linotype" w:cs="Arial"/>
          <w:b/>
          <w:sz w:val="22"/>
          <w:szCs w:val="22"/>
        </w:rPr>
        <w:tab/>
      </w:r>
      <w:r w:rsidR="009F4C11" w:rsidRPr="00184A73">
        <w:rPr>
          <w:rFonts w:ascii="Palatino Linotype" w:hAnsi="Palatino Linotype" w:cs="Arial"/>
          <w:b/>
          <w:sz w:val="22"/>
          <w:szCs w:val="22"/>
        </w:rPr>
        <w:tab/>
      </w:r>
      <w:r w:rsidRPr="00184A73">
        <w:rPr>
          <w:rFonts w:ascii="Palatino Linotype" w:hAnsi="Palatino Linotype" w:cs="Arial"/>
          <w:sz w:val="22"/>
          <w:szCs w:val="22"/>
        </w:rPr>
        <w:t>Vértice en 0,00 m.</w:t>
      </w:r>
    </w:p>
    <w:p w:rsidR="00D2233B" w:rsidRPr="00184A73" w:rsidRDefault="00D2233B" w:rsidP="009F4C11">
      <w:pPr>
        <w:spacing w:after="240" w:line="276" w:lineRule="auto"/>
        <w:ind w:left="1410" w:hanging="1410"/>
        <w:jc w:val="both"/>
        <w:rPr>
          <w:rFonts w:ascii="Palatino Linotype" w:hAnsi="Palatino Linotype" w:cs="Arial"/>
          <w:sz w:val="22"/>
          <w:szCs w:val="22"/>
        </w:rPr>
      </w:pPr>
      <w:r w:rsidRPr="00184A73">
        <w:rPr>
          <w:rFonts w:ascii="Palatino Linotype" w:hAnsi="Palatino Linotype" w:cs="Arial"/>
          <w:b/>
          <w:sz w:val="22"/>
          <w:szCs w:val="22"/>
        </w:rPr>
        <w:t xml:space="preserve">Oeste: </w:t>
      </w:r>
      <w:r w:rsidR="009F4C11" w:rsidRPr="00184A73">
        <w:rPr>
          <w:rFonts w:ascii="Palatino Linotype" w:hAnsi="Palatino Linotype" w:cs="Arial"/>
          <w:b/>
          <w:sz w:val="22"/>
          <w:szCs w:val="22"/>
        </w:rPr>
        <w:tab/>
      </w:r>
      <w:r w:rsidR="009F4C11" w:rsidRPr="00184A73">
        <w:rPr>
          <w:rFonts w:ascii="Palatino Linotype" w:hAnsi="Palatino Linotype" w:cs="Arial"/>
          <w:b/>
          <w:sz w:val="22"/>
          <w:szCs w:val="22"/>
        </w:rPr>
        <w:tab/>
      </w:r>
      <w:r w:rsidRPr="00184A73">
        <w:rPr>
          <w:rFonts w:ascii="Palatino Linotype" w:hAnsi="Palatino Linotype" w:cs="Arial"/>
          <w:sz w:val="22"/>
          <w:szCs w:val="22"/>
        </w:rPr>
        <w:t>En parte lote</w:t>
      </w:r>
      <w:r w:rsidR="009F4C11" w:rsidRPr="00184A73">
        <w:rPr>
          <w:rFonts w:ascii="Palatino Linotype" w:hAnsi="Palatino Linotype" w:cs="Arial"/>
          <w:sz w:val="22"/>
          <w:szCs w:val="22"/>
        </w:rPr>
        <w:t xml:space="preserve"> No. </w:t>
      </w:r>
      <w:r w:rsidR="00391052">
        <w:rPr>
          <w:rFonts w:ascii="Palatino Linotype" w:hAnsi="Palatino Linotype" w:cs="Arial"/>
          <w:sz w:val="22"/>
          <w:szCs w:val="22"/>
        </w:rPr>
        <w:t>25, en 35,</w:t>
      </w:r>
      <w:r w:rsidRPr="00184A73">
        <w:rPr>
          <w:rFonts w:ascii="Palatino Linotype" w:hAnsi="Palatino Linotype" w:cs="Arial"/>
          <w:sz w:val="22"/>
          <w:szCs w:val="22"/>
        </w:rPr>
        <w:t xml:space="preserve">27 m.; en parte </w:t>
      </w:r>
      <w:r w:rsidR="009F4C11" w:rsidRPr="00184A73">
        <w:rPr>
          <w:rFonts w:ascii="Palatino Linotype" w:hAnsi="Palatino Linotype" w:cs="Arial"/>
          <w:sz w:val="22"/>
          <w:szCs w:val="22"/>
        </w:rPr>
        <w:t>p</w:t>
      </w:r>
      <w:r w:rsidRPr="00184A73">
        <w:rPr>
          <w:rFonts w:ascii="Palatino Linotype" w:hAnsi="Palatino Linotype" w:cs="Arial"/>
          <w:sz w:val="22"/>
          <w:szCs w:val="22"/>
        </w:rPr>
        <w:t xml:space="preserve">ropiedad </w:t>
      </w:r>
      <w:r w:rsidR="009F4C11" w:rsidRPr="00184A73">
        <w:rPr>
          <w:rFonts w:ascii="Palatino Linotype" w:hAnsi="Palatino Linotype" w:cs="Arial"/>
          <w:sz w:val="22"/>
          <w:szCs w:val="22"/>
        </w:rPr>
        <w:t>p</w:t>
      </w:r>
      <w:r w:rsidRPr="00184A73">
        <w:rPr>
          <w:rFonts w:ascii="Palatino Linotype" w:hAnsi="Palatino Linotype" w:cs="Arial"/>
          <w:sz w:val="22"/>
          <w:szCs w:val="22"/>
        </w:rPr>
        <w:t>articular en 17,43 m., total 52,70 m.</w:t>
      </w:r>
    </w:p>
    <w:p w:rsidR="00D2233B" w:rsidRPr="00184A73" w:rsidRDefault="00D2233B" w:rsidP="00D2233B">
      <w:pPr>
        <w:spacing w:after="240" w:line="276" w:lineRule="auto"/>
        <w:jc w:val="both"/>
        <w:rPr>
          <w:rFonts w:ascii="Palatino Linotype" w:hAnsi="Palatino Linotype" w:cs="Arial"/>
          <w:b/>
          <w:sz w:val="22"/>
          <w:szCs w:val="22"/>
        </w:rPr>
      </w:pPr>
      <w:r w:rsidRPr="00184A73">
        <w:rPr>
          <w:rFonts w:ascii="Palatino Linotype" w:hAnsi="Palatino Linotype" w:cs="Arial"/>
          <w:b/>
          <w:sz w:val="22"/>
          <w:szCs w:val="22"/>
        </w:rPr>
        <w:t>Superficie:</w:t>
      </w:r>
      <w:r w:rsidR="009F4C11" w:rsidRPr="00184A73">
        <w:rPr>
          <w:rFonts w:ascii="Palatino Linotype" w:hAnsi="Palatino Linotype" w:cs="Arial"/>
          <w:b/>
          <w:sz w:val="22"/>
          <w:szCs w:val="22"/>
        </w:rPr>
        <w:tab/>
      </w:r>
      <w:r w:rsidRPr="00184A73">
        <w:rPr>
          <w:rFonts w:ascii="Palatino Linotype" w:hAnsi="Palatino Linotype" w:cs="Arial"/>
          <w:sz w:val="22"/>
          <w:szCs w:val="22"/>
        </w:rPr>
        <w:t>2.687,62 m</w:t>
      </w:r>
      <w:r w:rsidRPr="00184A73">
        <w:rPr>
          <w:rFonts w:ascii="Palatino Linotype" w:hAnsi="Palatino Linotype" w:cs="Arial"/>
          <w:sz w:val="22"/>
          <w:szCs w:val="22"/>
          <w:vertAlign w:val="superscript"/>
        </w:rPr>
        <w:t>2</w:t>
      </w:r>
      <w:r w:rsidRPr="00184A73">
        <w:rPr>
          <w:rFonts w:ascii="Palatino Linotype" w:hAnsi="Palatino Linotype" w:cs="Arial"/>
          <w:sz w:val="22"/>
          <w:szCs w:val="22"/>
        </w:rPr>
        <w:t>.</w:t>
      </w:r>
    </w:p>
    <w:p w:rsidR="00D2233B" w:rsidRPr="00184A73" w:rsidRDefault="00D2233B" w:rsidP="00D2233B">
      <w:pPr>
        <w:spacing w:after="240" w:line="276" w:lineRule="auto"/>
        <w:jc w:val="both"/>
        <w:rPr>
          <w:rFonts w:ascii="Palatino Linotype" w:hAnsi="Palatino Linotype" w:cs="Arial"/>
          <w:bCs/>
          <w:sz w:val="22"/>
          <w:szCs w:val="22"/>
        </w:rPr>
      </w:pPr>
      <w:r w:rsidRPr="00184A73">
        <w:rPr>
          <w:rFonts w:ascii="Palatino Linotype" w:hAnsi="Palatino Linotype" w:cs="Arial"/>
          <w:b/>
          <w:bCs/>
          <w:sz w:val="22"/>
          <w:szCs w:val="22"/>
        </w:rPr>
        <w:t xml:space="preserve">Artículo 5.- Informe de la Secretaría General de Seguridad y Gobernabilidad.- </w:t>
      </w:r>
      <w:r w:rsidRPr="00184A73">
        <w:rPr>
          <w:rFonts w:ascii="Palatino Linotype" w:hAnsi="Palatino Linotype" w:cs="Arial"/>
          <w:bCs/>
          <w:sz w:val="22"/>
          <w:szCs w:val="22"/>
        </w:rPr>
        <w:t>Los copropietarios del predio, se comprometen en realizar las recomendaciones que se encuentran determinadas en el informe de la Dirección Metropolitana de Gestión de Riesgo</w:t>
      </w:r>
      <w:r w:rsidR="009F4C11" w:rsidRPr="00184A73">
        <w:rPr>
          <w:rFonts w:ascii="Palatino Linotype" w:hAnsi="Palatino Linotype" w:cs="Arial"/>
          <w:bCs/>
          <w:sz w:val="22"/>
          <w:szCs w:val="22"/>
        </w:rPr>
        <w:t>s</w:t>
      </w:r>
      <w:r w:rsidRPr="00184A73">
        <w:rPr>
          <w:rFonts w:ascii="Palatino Linotype" w:hAnsi="Palatino Linotype" w:cs="Arial"/>
          <w:bCs/>
          <w:sz w:val="22"/>
          <w:szCs w:val="22"/>
        </w:rPr>
        <w:t xml:space="preserve"> No. 20-AT-DMGR-2015, de 23 de </w:t>
      </w:r>
      <w:r w:rsidR="009F4C11" w:rsidRPr="00184A73">
        <w:rPr>
          <w:rFonts w:ascii="Palatino Linotype" w:hAnsi="Palatino Linotype" w:cs="Arial"/>
          <w:bCs/>
          <w:sz w:val="22"/>
          <w:szCs w:val="22"/>
        </w:rPr>
        <w:t>f</w:t>
      </w:r>
      <w:r w:rsidRPr="00184A73">
        <w:rPr>
          <w:rFonts w:ascii="Palatino Linotype" w:hAnsi="Palatino Linotype" w:cs="Arial"/>
          <w:bCs/>
          <w:sz w:val="22"/>
          <w:szCs w:val="22"/>
        </w:rPr>
        <w:t>ebrero de 2015</w:t>
      </w:r>
      <w:r w:rsidR="009F4C11" w:rsidRPr="00184A73">
        <w:rPr>
          <w:rFonts w:ascii="Palatino Linotype" w:hAnsi="Palatino Linotype" w:cs="Arial"/>
          <w:bCs/>
          <w:sz w:val="22"/>
          <w:szCs w:val="22"/>
        </w:rPr>
        <w:t>,</w:t>
      </w:r>
      <w:r w:rsidRPr="00184A73">
        <w:rPr>
          <w:rFonts w:ascii="Palatino Linotype" w:hAnsi="Palatino Linotype" w:cs="Arial"/>
          <w:bCs/>
          <w:sz w:val="22"/>
          <w:szCs w:val="22"/>
        </w:rPr>
        <w:t xml:space="preserve"> que a continuación se detallan:</w:t>
      </w:r>
    </w:p>
    <w:p w:rsidR="00D2233B" w:rsidRPr="00184A73" w:rsidRDefault="00D2233B" w:rsidP="00D2233B">
      <w:pPr>
        <w:pStyle w:val="Prrafodelista"/>
        <w:numPr>
          <w:ilvl w:val="0"/>
          <w:numId w:val="34"/>
        </w:numPr>
        <w:spacing w:after="240" w:line="276" w:lineRule="auto"/>
        <w:contextualSpacing/>
        <w:jc w:val="both"/>
        <w:rPr>
          <w:rFonts w:ascii="Palatino Linotype" w:hAnsi="Palatino Linotype" w:cs="Arial"/>
          <w:bCs/>
          <w:i/>
          <w:sz w:val="22"/>
          <w:szCs w:val="22"/>
        </w:rPr>
      </w:pPr>
      <w:r w:rsidRPr="00184A73">
        <w:rPr>
          <w:rFonts w:ascii="Palatino Linotype" w:hAnsi="Palatino Linotype" w:cs="Arial"/>
          <w:bCs/>
          <w:sz w:val="22"/>
          <w:szCs w:val="22"/>
        </w:rPr>
        <w:t xml:space="preserve">Tomar en cuenta el </w:t>
      </w:r>
      <w:r w:rsidR="009F4C11" w:rsidRPr="00184A73">
        <w:rPr>
          <w:rFonts w:ascii="Palatino Linotype" w:hAnsi="Palatino Linotype" w:cs="Arial"/>
          <w:bCs/>
          <w:sz w:val="22"/>
          <w:szCs w:val="22"/>
        </w:rPr>
        <w:t>a</w:t>
      </w:r>
      <w:r w:rsidRPr="00184A73">
        <w:rPr>
          <w:rFonts w:ascii="Palatino Linotype" w:hAnsi="Palatino Linotype" w:cs="Arial"/>
          <w:bCs/>
          <w:sz w:val="22"/>
          <w:szCs w:val="22"/>
        </w:rPr>
        <w:t xml:space="preserve">rtículo 13 de la Ley Orgánica Reformatoria al </w:t>
      </w:r>
      <w:r w:rsidR="009F4C11" w:rsidRPr="00184A73">
        <w:rPr>
          <w:rFonts w:ascii="Palatino Linotype" w:hAnsi="Palatino Linotype" w:cs="Arial"/>
          <w:bCs/>
          <w:sz w:val="22"/>
          <w:szCs w:val="22"/>
        </w:rPr>
        <w:t xml:space="preserve">Código Orgánico de Organización Territorial, Autonomía y Descentralización – </w:t>
      </w:r>
      <w:r w:rsidRPr="00184A73">
        <w:rPr>
          <w:rFonts w:ascii="Palatino Linotype" w:hAnsi="Palatino Linotype" w:cs="Arial"/>
          <w:bCs/>
          <w:sz w:val="22"/>
          <w:szCs w:val="22"/>
        </w:rPr>
        <w:t>COOTAD</w:t>
      </w:r>
      <w:r w:rsidR="009F4C11" w:rsidRPr="00184A73">
        <w:rPr>
          <w:rFonts w:ascii="Palatino Linotype" w:hAnsi="Palatino Linotype" w:cs="Arial"/>
          <w:bCs/>
          <w:sz w:val="22"/>
          <w:szCs w:val="22"/>
        </w:rPr>
        <w:t>,</w:t>
      </w:r>
      <w:r w:rsidRPr="00184A73">
        <w:rPr>
          <w:rFonts w:ascii="Palatino Linotype" w:hAnsi="Palatino Linotype" w:cs="Arial"/>
          <w:bCs/>
          <w:sz w:val="22"/>
          <w:szCs w:val="22"/>
        </w:rPr>
        <w:t xml:space="preserve"> en su </w:t>
      </w:r>
      <w:r w:rsidR="009F4C11" w:rsidRPr="00184A73">
        <w:rPr>
          <w:rFonts w:ascii="Palatino Linotype" w:hAnsi="Palatino Linotype" w:cs="Arial"/>
          <w:bCs/>
          <w:sz w:val="22"/>
          <w:szCs w:val="22"/>
        </w:rPr>
        <w:t>a</w:t>
      </w:r>
      <w:r w:rsidRPr="00184A73">
        <w:rPr>
          <w:rFonts w:ascii="Palatino Linotype" w:hAnsi="Palatino Linotype" w:cs="Arial"/>
          <w:bCs/>
          <w:sz w:val="22"/>
          <w:szCs w:val="22"/>
        </w:rPr>
        <w:t>rtículo 140</w:t>
      </w:r>
      <w:r w:rsidR="009F4C11" w:rsidRPr="00184A73">
        <w:rPr>
          <w:rFonts w:ascii="Palatino Linotype" w:hAnsi="Palatino Linotype" w:cs="Arial"/>
          <w:bCs/>
          <w:sz w:val="22"/>
          <w:szCs w:val="22"/>
        </w:rPr>
        <w:t>,</w:t>
      </w:r>
      <w:r w:rsidRPr="00184A73">
        <w:rPr>
          <w:rFonts w:ascii="Palatino Linotype" w:hAnsi="Palatino Linotype" w:cs="Arial"/>
          <w:bCs/>
          <w:sz w:val="22"/>
          <w:szCs w:val="22"/>
        </w:rPr>
        <w:t xml:space="preserve"> sobre el </w:t>
      </w:r>
      <w:r w:rsidR="009F4C11" w:rsidRPr="00184A73">
        <w:rPr>
          <w:rFonts w:ascii="Palatino Linotype" w:hAnsi="Palatino Linotype" w:cs="Arial"/>
          <w:bCs/>
          <w:sz w:val="22"/>
          <w:szCs w:val="22"/>
        </w:rPr>
        <w:t>e</w:t>
      </w:r>
      <w:r w:rsidRPr="00184A73">
        <w:rPr>
          <w:rFonts w:ascii="Palatino Linotype" w:hAnsi="Palatino Linotype" w:cs="Arial"/>
          <w:bCs/>
          <w:sz w:val="22"/>
          <w:szCs w:val="22"/>
        </w:rPr>
        <w:t>jercicio de la competencia de gestión de riesgos</w:t>
      </w:r>
      <w:r w:rsidR="009F4C11" w:rsidRPr="00184A73">
        <w:rPr>
          <w:rFonts w:ascii="Palatino Linotype" w:hAnsi="Palatino Linotype" w:cs="Arial"/>
          <w:bCs/>
          <w:sz w:val="22"/>
          <w:szCs w:val="22"/>
        </w:rPr>
        <w:t>, que</w:t>
      </w:r>
      <w:r w:rsidRPr="00184A73">
        <w:rPr>
          <w:rFonts w:ascii="Palatino Linotype" w:hAnsi="Palatino Linotype" w:cs="Arial"/>
          <w:bCs/>
          <w:sz w:val="22"/>
          <w:szCs w:val="22"/>
        </w:rPr>
        <w:t xml:space="preserve"> establece que </w:t>
      </w:r>
      <w:r w:rsidRPr="00184A73">
        <w:rPr>
          <w:rFonts w:ascii="Palatino Linotype" w:hAnsi="Palatino Linotype" w:cs="Arial"/>
          <w:bCs/>
          <w:i/>
          <w:sz w:val="22"/>
          <w:szCs w:val="22"/>
        </w:rPr>
        <w:t>“La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2233B" w:rsidRPr="00184A73" w:rsidRDefault="00D2233B" w:rsidP="00D2233B">
      <w:pPr>
        <w:numPr>
          <w:ilvl w:val="0"/>
          <w:numId w:val="34"/>
        </w:numPr>
        <w:spacing w:after="240" w:line="276" w:lineRule="auto"/>
        <w:jc w:val="both"/>
        <w:rPr>
          <w:rFonts w:ascii="Palatino Linotype" w:hAnsi="Palatino Linotype" w:cs="Arial"/>
          <w:bCs/>
          <w:sz w:val="22"/>
          <w:szCs w:val="22"/>
        </w:rPr>
      </w:pPr>
      <w:r w:rsidRPr="00184A73">
        <w:rPr>
          <w:rFonts w:ascii="Palatino Linotype" w:hAnsi="Palatino Linotype" w:cs="Arial"/>
          <w:bCs/>
          <w:sz w:val="22"/>
          <w:szCs w:val="22"/>
        </w:rPr>
        <w:t>Incluir en el Informe de Regulación Metropolitana</w:t>
      </w:r>
      <w:r w:rsidR="009F4C11" w:rsidRPr="00184A73">
        <w:rPr>
          <w:rFonts w:ascii="Palatino Linotype" w:hAnsi="Palatino Linotype" w:cs="Arial"/>
          <w:bCs/>
          <w:sz w:val="22"/>
          <w:szCs w:val="22"/>
        </w:rPr>
        <w:t xml:space="preserve"> –</w:t>
      </w:r>
      <w:r w:rsidRPr="00184A73">
        <w:rPr>
          <w:rFonts w:ascii="Palatino Linotype" w:hAnsi="Palatino Linotype" w:cs="Arial"/>
          <w:bCs/>
          <w:sz w:val="22"/>
          <w:szCs w:val="22"/>
        </w:rPr>
        <w:t>IRM</w:t>
      </w:r>
      <w:r w:rsidR="009F4C11" w:rsidRPr="00184A73">
        <w:rPr>
          <w:rFonts w:ascii="Palatino Linotype" w:hAnsi="Palatino Linotype" w:cs="Arial"/>
          <w:bCs/>
          <w:sz w:val="22"/>
          <w:szCs w:val="22"/>
        </w:rPr>
        <w:t>,</w:t>
      </w:r>
      <w:r w:rsidRPr="00184A73">
        <w:rPr>
          <w:rFonts w:ascii="Palatino Linotype" w:hAnsi="Palatino Linotype" w:cs="Arial"/>
          <w:bCs/>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D2233B" w:rsidRPr="00184A73" w:rsidRDefault="00D2233B" w:rsidP="00D2233B">
      <w:pPr>
        <w:numPr>
          <w:ilvl w:val="0"/>
          <w:numId w:val="34"/>
        </w:numPr>
        <w:spacing w:after="240" w:line="276" w:lineRule="auto"/>
        <w:jc w:val="both"/>
        <w:rPr>
          <w:rFonts w:ascii="Palatino Linotype" w:hAnsi="Palatino Linotype" w:cs="Arial"/>
          <w:bCs/>
          <w:sz w:val="22"/>
          <w:szCs w:val="22"/>
        </w:rPr>
      </w:pPr>
      <w:r w:rsidRPr="00184A73">
        <w:rPr>
          <w:rFonts w:ascii="Palatino Linotype" w:hAnsi="Palatino Linotype" w:cs="Arial"/>
          <w:bCs/>
          <w:sz w:val="22"/>
          <w:szCs w:val="22"/>
        </w:rPr>
        <w:t xml:space="preserve">En las futuras edificaciones deberán tomarse en cuenta las consideraciones que </w:t>
      </w:r>
      <w:r w:rsidR="009F4C11" w:rsidRPr="00184A73">
        <w:rPr>
          <w:rFonts w:ascii="Palatino Linotype" w:hAnsi="Palatino Linotype" w:cs="Arial"/>
          <w:bCs/>
          <w:sz w:val="22"/>
          <w:szCs w:val="22"/>
        </w:rPr>
        <w:t>establece</w:t>
      </w:r>
      <w:r w:rsidRPr="00184A73">
        <w:rPr>
          <w:rFonts w:ascii="Palatino Linotype" w:hAnsi="Palatino Linotype" w:cs="Arial"/>
          <w:bCs/>
          <w:sz w:val="22"/>
          <w:szCs w:val="22"/>
        </w:rPr>
        <w:t xml:space="preserve"> la Ordenanza Metropolitana </w:t>
      </w:r>
      <w:r w:rsidR="009F4C11" w:rsidRPr="00184A73">
        <w:rPr>
          <w:rFonts w:ascii="Palatino Linotype" w:hAnsi="Palatino Linotype" w:cs="Arial"/>
          <w:bCs/>
          <w:sz w:val="22"/>
          <w:szCs w:val="22"/>
        </w:rPr>
        <w:t xml:space="preserve">No. </w:t>
      </w:r>
      <w:r w:rsidRPr="00184A73">
        <w:rPr>
          <w:rFonts w:ascii="Palatino Linotype" w:hAnsi="Palatino Linotype" w:cs="Arial"/>
          <w:bCs/>
          <w:sz w:val="22"/>
          <w:szCs w:val="22"/>
        </w:rPr>
        <w:t xml:space="preserve">432 (artículos 117 y 122), </w:t>
      </w:r>
      <w:r w:rsidR="009F4C11" w:rsidRPr="00184A73">
        <w:rPr>
          <w:rFonts w:ascii="Palatino Linotype" w:hAnsi="Palatino Linotype" w:cs="Arial"/>
          <w:bCs/>
          <w:sz w:val="22"/>
          <w:szCs w:val="22"/>
        </w:rPr>
        <w:t>c</w:t>
      </w:r>
      <w:r w:rsidRPr="00184A73">
        <w:rPr>
          <w:rFonts w:ascii="Palatino Linotype" w:hAnsi="Palatino Linotype" w:cs="Arial"/>
          <w:bCs/>
          <w:sz w:val="22"/>
          <w:szCs w:val="22"/>
        </w:rPr>
        <w:t xml:space="preserve">onsiderando lo </w:t>
      </w:r>
      <w:r w:rsidR="009F4C11" w:rsidRPr="00184A73">
        <w:rPr>
          <w:rFonts w:ascii="Palatino Linotype" w:hAnsi="Palatino Linotype" w:cs="Arial"/>
          <w:bCs/>
          <w:sz w:val="22"/>
          <w:szCs w:val="22"/>
        </w:rPr>
        <w:t xml:space="preserve">previsto </w:t>
      </w:r>
      <w:r w:rsidRPr="00184A73">
        <w:rPr>
          <w:rFonts w:ascii="Palatino Linotype" w:hAnsi="Palatino Linotype" w:cs="Arial"/>
          <w:bCs/>
          <w:sz w:val="22"/>
          <w:szCs w:val="22"/>
        </w:rPr>
        <w:t>en esta ordenanza se debe realizar para cada construcción un estudio de mecánica de suelos que determine la capacidad portante del mismo para la construcción de edificaciones.</w:t>
      </w:r>
    </w:p>
    <w:p w:rsidR="00D2233B" w:rsidRPr="00184A73" w:rsidRDefault="00D2233B" w:rsidP="00D2233B">
      <w:pPr>
        <w:numPr>
          <w:ilvl w:val="0"/>
          <w:numId w:val="34"/>
        </w:numPr>
        <w:spacing w:after="240" w:line="276" w:lineRule="auto"/>
        <w:jc w:val="both"/>
        <w:rPr>
          <w:rFonts w:ascii="Palatino Linotype" w:hAnsi="Palatino Linotype" w:cs="Arial"/>
          <w:bCs/>
          <w:sz w:val="22"/>
          <w:szCs w:val="22"/>
        </w:rPr>
      </w:pPr>
      <w:r w:rsidRPr="00184A73">
        <w:rPr>
          <w:rFonts w:ascii="Palatino Linotype" w:hAnsi="Palatino Linotype" w:cs="Arial"/>
          <w:bCs/>
          <w:sz w:val="22"/>
          <w:szCs w:val="22"/>
        </w:rPr>
        <w:t xml:space="preserve">Para reducir el riesgo sísmico se tiene que tomar en cuenta la calidad constructiva de las viviendas y el tipo de suelo. Las futuras edificaciones deberán ser construidas </w:t>
      </w:r>
      <w:r w:rsidRPr="00184A73">
        <w:rPr>
          <w:rFonts w:ascii="Palatino Linotype" w:hAnsi="Palatino Linotype" w:cs="Arial"/>
          <w:bCs/>
          <w:sz w:val="22"/>
          <w:szCs w:val="22"/>
        </w:rPr>
        <w:lastRenderedPageBreak/>
        <w:t>siguiendo la guía técnica de la Norma Ecuatoriana de la Construcción (NEC-11), sobretodo, lo que se refiere a diseños estructurales sismo-resistentes, para lo cual la Agencia Metropolitana de Control deberá hacer cumplir esta disposición. Para las edificaciones actuales, sus propietarios deberían contratar a un especialista (Ing. Civil Estructuralista o Estructural) para que evalúe el estado actual de las construcciones y para que proponga un sistema de reforzamiento estructural en el caso de que alguna (s) vivienda (s) lo amerite (n).</w:t>
      </w:r>
    </w:p>
    <w:p w:rsidR="00D2233B" w:rsidRPr="00184A73" w:rsidRDefault="00D2233B" w:rsidP="00D2233B">
      <w:pPr>
        <w:numPr>
          <w:ilvl w:val="0"/>
          <w:numId w:val="34"/>
        </w:numPr>
        <w:spacing w:after="240" w:line="276" w:lineRule="auto"/>
        <w:jc w:val="both"/>
        <w:rPr>
          <w:rFonts w:ascii="Palatino Linotype" w:hAnsi="Palatino Linotype" w:cs="Arial"/>
          <w:bCs/>
          <w:sz w:val="22"/>
          <w:szCs w:val="22"/>
        </w:rPr>
      </w:pPr>
      <w:r w:rsidRPr="00184A73">
        <w:rPr>
          <w:rFonts w:ascii="Palatino Linotype" w:hAnsi="Palatino Linotype" w:cs="Arial"/>
          <w:bCs/>
          <w:sz w:val="22"/>
          <w:szCs w:val="22"/>
        </w:rPr>
        <w:t xml:space="preserve">Considerar de manera primordial el acceso vial al sector y se tiene que coordinar con </w:t>
      </w:r>
      <w:r w:rsidR="009F4C11" w:rsidRPr="00184A73">
        <w:rPr>
          <w:rFonts w:ascii="Palatino Linotype" w:hAnsi="Palatino Linotype" w:cs="Arial"/>
          <w:bCs/>
          <w:sz w:val="22"/>
          <w:szCs w:val="22"/>
        </w:rPr>
        <w:t>la Empresa Pública Metropolitana de Movilidad y Obras Públicas –</w:t>
      </w:r>
      <w:r w:rsidRPr="00184A73">
        <w:rPr>
          <w:rFonts w:ascii="Palatino Linotype" w:hAnsi="Palatino Linotype" w:cs="Arial"/>
          <w:bCs/>
          <w:sz w:val="22"/>
          <w:szCs w:val="22"/>
        </w:rPr>
        <w:t>EPMMOP</w:t>
      </w:r>
      <w:r w:rsidR="009F4C11" w:rsidRPr="00184A73">
        <w:rPr>
          <w:rFonts w:ascii="Palatino Linotype" w:hAnsi="Palatino Linotype" w:cs="Arial"/>
          <w:bCs/>
          <w:sz w:val="22"/>
          <w:szCs w:val="22"/>
        </w:rPr>
        <w:t>,</w:t>
      </w:r>
      <w:r w:rsidRPr="00184A73">
        <w:rPr>
          <w:rFonts w:ascii="Palatino Linotype" w:hAnsi="Palatino Linotype" w:cs="Arial"/>
          <w:bCs/>
          <w:sz w:val="22"/>
          <w:szCs w:val="22"/>
        </w:rPr>
        <w:t xml:space="preserve"> para mejorar el trazado de la red vial, asegurando su estabilidad por los cortes efectuados por apertura de las calles; y con </w:t>
      </w:r>
      <w:r w:rsidR="009F4C11" w:rsidRPr="00184A73">
        <w:rPr>
          <w:rFonts w:ascii="Palatino Linotype" w:hAnsi="Palatino Linotype" w:cs="Arial"/>
          <w:bCs/>
          <w:sz w:val="22"/>
          <w:szCs w:val="22"/>
        </w:rPr>
        <w:t xml:space="preserve">la Empresa Pública Metropolitana de Agua Potable y Saneamiento </w:t>
      </w:r>
      <w:r w:rsidR="00184A73" w:rsidRPr="00184A73">
        <w:rPr>
          <w:rFonts w:ascii="Palatino Linotype" w:hAnsi="Palatino Linotype" w:cs="Arial"/>
          <w:bCs/>
          <w:sz w:val="22"/>
          <w:szCs w:val="22"/>
        </w:rPr>
        <w:t>–</w:t>
      </w:r>
      <w:r w:rsidR="009F4C11" w:rsidRPr="00184A73">
        <w:rPr>
          <w:rFonts w:ascii="Palatino Linotype" w:hAnsi="Palatino Linotype" w:cs="Arial"/>
          <w:bCs/>
          <w:sz w:val="22"/>
          <w:szCs w:val="22"/>
        </w:rPr>
        <w:t xml:space="preserve"> </w:t>
      </w:r>
      <w:r w:rsidRPr="00184A73">
        <w:rPr>
          <w:rFonts w:ascii="Palatino Linotype" w:hAnsi="Palatino Linotype" w:cs="Arial"/>
          <w:bCs/>
          <w:sz w:val="22"/>
          <w:szCs w:val="22"/>
        </w:rPr>
        <w:t>EPMAPS</w:t>
      </w:r>
      <w:r w:rsidR="00184A73" w:rsidRPr="00184A73">
        <w:rPr>
          <w:rFonts w:ascii="Palatino Linotype" w:hAnsi="Palatino Linotype" w:cs="Arial"/>
          <w:bCs/>
          <w:sz w:val="22"/>
          <w:szCs w:val="22"/>
        </w:rPr>
        <w:t>,</w:t>
      </w:r>
      <w:r w:rsidRPr="00184A73">
        <w:rPr>
          <w:rFonts w:ascii="Palatino Linotype" w:hAnsi="Palatino Linotype" w:cs="Arial"/>
          <w:bCs/>
          <w:sz w:val="22"/>
          <w:szCs w:val="22"/>
        </w:rPr>
        <w:t xml:space="preserve"> para que implemente el sistema de alcantarillado pluvial y sanitario que evite la erosión del suelo, sobre todo en las zonas inclinadas (laderas)</w:t>
      </w:r>
      <w:r w:rsidR="00184A73" w:rsidRPr="00184A73">
        <w:rPr>
          <w:rFonts w:ascii="Palatino Linotype" w:hAnsi="Palatino Linotype" w:cs="Arial"/>
          <w:bCs/>
          <w:sz w:val="22"/>
          <w:szCs w:val="22"/>
        </w:rPr>
        <w:t>,</w:t>
      </w:r>
      <w:r w:rsidRPr="00184A73">
        <w:rPr>
          <w:rFonts w:ascii="Palatino Linotype" w:hAnsi="Palatino Linotype" w:cs="Arial"/>
          <w:bCs/>
          <w:sz w:val="22"/>
          <w:szCs w:val="22"/>
        </w:rPr>
        <w:t xml:space="preserve"> </w:t>
      </w:r>
      <w:r w:rsidR="00184A73" w:rsidRPr="00184A73">
        <w:rPr>
          <w:rFonts w:ascii="Palatino Linotype" w:hAnsi="Palatino Linotype" w:cs="Arial"/>
          <w:bCs/>
          <w:sz w:val="22"/>
          <w:szCs w:val="22"/>
        </w:rPr>
        <w:t>y</w:t>
      </w:r>
      <w:r w:rsidRPr="00184A73">
        <w:rPr>
          <w:rFonts w:ascii="Palatino Linotype" w:hAnsi="Palatino Linotype" w:cs="Arial"/>
          <w:bCs/>
          <w:sz w:val="22"/>
          <w:szCs w:val="22"/>
        </w:rPr>
        <w:t>a que la tierra y el polvo complicarán la salud de las personas que allí se desenvuelven.</w:t>
      </w:r>
    </w:p>
    <w:p w:rsidR="00D2233B" w:rsidRPr="00184A73" w:rsidRDefault="00D2233B" w:rsidP="00D2233B">
      <w:pPr>
        <w:numPr>
          <w:ilvl w:val="0"/>
          <w:numId w:val="34"/>
        </w:numPr>
        <w:spacing w:after="240" w:line="276" w:lineRule="auto"/>
        <w:jc w:val="both"/>
        <w:rPr>
          <w:rFonts w:ascii="Palatino Linotype" w:hAnsi="Palatino Linotype" w:cs="Arial"/>
          <w:bCs/>
          <w:sz w:val="22"/>
          <w:szCs w:val="22"/>
        </w:rPr>
      </w:pPr>
      <w:r w:rsidRPr="00184A73">
        <w:rPr>
          <w:rFonts w:ascii="Palatino Linotype" w:hAnsi="Palatino Linotype" w:cs="Arial"/>
          <w:bCs/>
          <w:sz w:val="22"/>
          <w:szCs w:val="22"/>
        </w:rPr>
        <w:t>Respecto al riesgo por inestabilidad de terrenos y movimientos en masa, al igual que para el riesgo sísmico, para ejecutar futuras construcciones, sus propietarios deberán contratar un estudio geológico-geotécnico que determine la capacidad portante admisible del suelo (carga máxima que puede soportar el suelo sin que su estabilidad sea amenazada), y el factor de seguridad del mismo.</w:t>
      </w:r>
    </w:p>
    <w:p w:rsidR="00D2233B" w:rsidRPr="00184A73" w:rsidRDefault="00D2233B" w:rsidP="00D2233B">
      <w:pPr>
        <w:spacing w:after="240" w:line="276" w:lineRule="auto"/>
        <w:jc w:val="both"/>
        <w:rPr>
          <w:rFonts w:ascii="Palatino Linotype" w:hAnsi="Palatino Linotype" w:cs="Arial"/>
          <w:bCs/>
          <w:sz w:val="22"/>
          <w:szCs w:val="22"/>
        </w:rPr>
      </w:pPr>
      <w:r w:rsidRPr="00184A73">
        <w:rPr>
          <w:rFonts w:ascii="Palatino Linotype" w:hAnsi="Palatino Linotype" w:cs="Arial"/>
          <w:b/>
          <w:bCs/>
          <w:sz w:val="22"/>
          <w:szCs w:val="22"/>
        </w:rPr>
        <w:t xml:space="preserve">Artículo 6.- Diferencia y/o </w:t>
      </w:r>
      <w:r w:rsidR="00184A73" w:rsidRPr="00184A73">
        <w:rPr>
          <w:rFonts w:ascii="Palatino Linotype" w:hAnsi="Palatino Linotype" w:cs="Arial"/>
          <w:b/>
          <w:bCs/>
          <w:sz w:val="22"/>
          <w:szCs w:val="22"/>
        </w:rPr>
        <w:t>e</w:t>
      </w:r>
      <w:r w:rsidRPr="00184A73">
        <w:rPr>
          <w:rFonts w:ascii="Palatino Linotype" w:hAnsi="Palatino Linotype" w:cs="Arial"/>
          <w:b/>
          <w:bCs/>
          <w:sz w:val="22"/>
          <w:szCs w:val="22"/>
        </w:rPr>
        <w:t xml:space="preserve">xcedente de área.- </w:t>
      </w:r>
      <w:r w:rsidRPr="00184A73">
        <w:rPr>
          <w:rFonts w:ascii="Palatino Linotype" w:hAnsi="Palatino Linotype" w:cs="Arial"/>
          <w:bCs/>
          <w:sz w:val="22"/>
          <w:szCs w:val="22"/>
        </w:rPr>
        <w:t>Por cuanto dentro del proceso de regularización se detectó la existencia de una variación de área, previo a la protocolización e inscripción de la presente Ordenanza se deberá regularizar el área, de conformidad con lo establecido en la Disposición General Segunda de la Ordenanza Metropolitana No. 269, sancionada el 30 de julio de 2012.</w:t>
      </w:r>
    </w:p>
    <w:p w:rsidR="00D2233B" w:rsidRP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bCs/>
          <w:sz w:val="22"/>
          <w:szCs w:val="22"/>
        </w:rPr>
        <w:t xml:space="preserve">Artículo 7.- De las vías.- </w:t>
      </w:r>
      <w:r w:rsidRPr="00184A73">
        <w:rPr>
          <w:rFonts w:ascii="Palatino Linotype" w:hAnsi="Palatino Linotype" w:cs="Arial"/>
          <w:bCs/>
          <w:sz w:val="22"/>
          <w:szCs w:val="22"/>
        </w:rPr>
        <w:t xml:space="preserve">El </w:t>
      </w:r>
      <w:r w:rsidR="00184A73" w:rsidRPr="00184A73">
        <w:rPr>
          <w:rFonts w:ascii="Palatino Linotype" w:hAnsi="Palatino Linotype" w:cs="Arial"/>
          <w:bCs/>
          <w:sz w:val="22"/>
          <w:szCs w:val="22"/>
        </w:rPr>
        <w:t>a</w:t>
      </w:r>
      <w:r w:rsidRPr="00184A73">
        <w:rPr>
          <w:rFonts w:ascii="Palatino Linotype" w:hAnsi="Palatino Linotype" w:cs="Arial"/>
          <w:bCs/>
          <w:sz w:val="22"/>
          <w:szCs w:val="22"/>
        </w:rPr>
        <w:t xml:space="preserve">sentamiento </w:t>
      </w:r>
      <w:r w:rsidR="00184A73" w:rsidRPr="00184A73">
        <w:rPr>
          <w:rFonts w:ascii="Palatino Linotype" w:hAnsi="Palatino Linotype" w:cs="Arial"/>
          <w:bCs/>
          <w:sz w:val="22"/>
          <w:szCs w:val="22"/>
        </w:rPr>
        <w:t>h</w:t>
      </w:r>
      <w:r w:rsidRPr="00184A73">
        <w:rPr>
          <w:rFonts w:ascii="Palatino Linotype" w:hAnsi="Palatino Linotype" w:cs="Arial"/>
          <w:bCs/>
          <w:sz w:val="22"/>
          <w:szCs w:val="22"/>
        </w:rPr>
        <w:t xml:space="preserve">umano de </w:t>
      </w:r>
      <w:r w:rsidR="00184A73" w:rsidRPr="00184A73">
        <w:rPr>
          <w:rFonts w:ascii="Palatino Linotype" w:hAnsi="Palatino Linotype" w:cs="Arial"/>
          <w:bCs/>
          <w:sz w:val="22"/>
          <w:szCs w:val="22"/>
        </w:rPr>
        <w:t>h</w:t>
      </w:r>
      <w:r w:rsidRPr="00184A73">
        <w:rPr>
          <w:rFonts w:ascii="Palatino Linotype" w:hAnsi="Palatino Linotype" w:cs="Arial"/>
          <w:bCs/>
          <w:sz w:val="22"/>
          <w:szCs w:val="22"/>
        </w:rPr>
        <w:t xml:space="preserve">echo y </w:t>
      </w:r>
      <w:r w:rsidR="00184A73" w:rsidRPr="00184A73">
        <w:rPr>
          <w:rFonts w:ascii="Palatino Linotype" w:hAnsi="Palatino Linotype" w:cs="Arial"/>
          <w:bCs/>
          <w:sz w:val="22"/>
          <w:szCs w:val="22"/>
        </w:rPr>
        <w:t>c</w:t>
      </w:r>
      <w:r w:rsidRPr="00184A73">
        <w:rPr>
          <w:rFonts w:ascii="Palatino Linotype" w:hAnsi="Palatino Linotype" w:cs="Arial"/>
          <w:bCs/>
          <w:sz w:val="22"/>
          <w:szCs w:val="22"/>
        </w:rPr>
        <w:t xml:space="preserve">onsolidado se encuentra rodeado </w:t>
      </w:r>
      <w:r w:rsidRPr="00184A73">
        <w:rPr>
          <w:rFonts w:ascii="Palatino Linotype" w:hAnsi="Palatino Linotype" w:cs="Arial"/>
          <w:sz w:val="22"/>
          <w:szCs w:val="22"/>
        </w:rPr>
        <w:t>por un sistema vial de uso público que se encuentra acorde a lo que establece la normativa vigente</w:t>
      </w:r>
      <w:r w:rsidR="00184A73" w:rsidRPr="00184A73">
        <w:rPr>
          <w:rFonts w:ascii="Palatino Linotype" w:hAnsi="Palatino Linotype" w:cs="Arial"/>
          <w:sz w:val="22"/>
          <w:szCs w:val="22"/>
        </w:rPr>
        <w:t>,</w:t>
      </w:r>
      <w:r w:rsidRPr="00184A73">
        <w:rPr>
          <w:rFonts w:ascii="Palatino Linotype" w:hAnsi="Palatino Linotype" w:cs="Arial"/>
          <w:sz w:val="22"/>
          <w:szCs w:val="22"/>
        </w:rPr>
        <w:t xml:space="preserve"> </w:t>
      </w:r>
      <w:r w:rsidR="00184A73" w:rsidRPr="00184A73">
        <w:rPr>
          <w:rFonts w:ascii="Palatino Linotype" w:hAnsi="Palatino Linotype" w:cs="Arial"/>
          <w:sz w:val="22"/>
          <w:szCs w:val="22"/>
        </w:rPr>
        <w:t>c</w:t>
      </w:r>
      <w:r w:rsidRPr="00184A73">
        <w:rPr>
          <w:rFonts w:ascii="Palatino Linotype" w:hAnsi="Palatino Linotype" w:cs="Arial"/>
          <w:sz w:val="22"/>
          <w:szCs w:val="22"/>
        </w:rPr>
        <w:t>uenta con una consolidación del 44%, más de 7 años de existencia y se encuentra ejecutando obras de infraestructura, razón por la cual los anchos viales se sujetarán al plano que se aprueba.</w:t>
      </w:r>
    </w:p>
    <w:p w:rsidR="00184A73" w:rsidRDefault="00D2233B" w:rsidP="00184A73">
      <w:pPr>
        <w:spacing w:after="240" w:line="276" w:lineRule="auto"/>
        <w:jc w:val="both"/>
        <w:rPr>
          <w:rFonts w:ascii="Palatino Linotype" w:hAnsi="Palatino Linotype" w:cs="Arial"/>
          <w:sz w:val="22"/>
          <w:szCs w:val="22"/>
        </w:rPr>
      </w:pPr>
      <w:r w:rsidRPr="00184A73">
        <w:rPr>
          <w:rFonts w:ascii="Palatino Linotype" w:hAnsi="Palatino Linotype" w:cs="Arial"/>
          <w:sz w:val="22"/>
          <w:szCs w:val="22"/>
        </w:rPr>
        <w:t xml:space="preserve">La </w:t>
      </w:r>
      <w:r w:rsidR="00184A73">
        <w:rPr>
          <w:rFonts w:ascii="Palatino Linotype" w:hAnsi="Palatino Linotype" w:cs="Arial"/>
          <w:sz w:val="22"/>
          <w:szCs w:val="22"/>
        </w:rPr>
        <w:t>C</w:t>
      </w:r>
      <w:r w:rsidRPr="00184A73">
        <w:rPr>
          <w:rFonts w:ascii="Palatino Linotype" w:hAnsi="Palatino Linotype" w:cs="Arial"/>
          <w:sz w:val="22"/>
          <w:szCs w:val="22"/>
        </w:rPr>
        <w:t xml:space="preserve">alle E2A, </w:t>
      </w:r>
      <w:r w:rsidR="00184A73">
        <w:rPr>
          <w:rFonts w:ascii="Palatino Linotype" w:hAnsi="Palatino Linotype" w:cs="Arial"/>
          <w:sz w:val="22"/>
          <w:szCs w:val="22"/>
        </w:rPr>
        <w:t>C</w:t>
      </w:r>
      <w:r w:rsidRPr="00184A73">
        <w:rPr>
          <w:rFonts w:ascii="Palatino Linotype" w:hAnsi="Palatino Linotype" w:cs="Arial"/>
          <w:sz w:val="22"/>
          <w:szCs w:val="22"/>
        </w:rPr>
        <w:t xml:space="preserve">alle N13R, </w:t>
      </w:r>
      <w:r w:rsidR="00184A73">
        <w:rPr>
          <w:rFonts w:ascii="Palatino Linotype" w:hAnsi="Palatino Linotype" w:cs="Arial"/>
          <w:sz w:val="22"/>
          <w:szCs w:val="22"/>
        </w:rPr>
        <w:t>C</w:t>
      </w:r>
      <w:r w:rsidRPr="00184A73">
        <w:rPr>
          <w:rFonts w:ascii="Palatino Linotype" w:hAnsi="Palatino Linotype" w:cs="Arial"/>
          <w:sz w:val="22"/>
          <w:szCs w:val="22"/>
        </w:rPr>
        <w:t xml:space="preserve">alle S/N 1, </w:t>
      </w:r>
      <w:r w:rsidR="00184A73">
        <w:rPr>
          <w:rFonts w:ascii="Palatino Linotype" w:hAnsi="Palatino Linotype" w:cs="Arial"/>
          <w:sz w:val="22"/>
          <w:szCs w:val="22"/>
        </w:rPr>
        <w:t>C</w:t>
      </w:r>
      <w:r w:rsidRPr="00184A73">
        <w:rPr>
          <w:rFonts w:ascii="Palatino Linotype" w:hAnsi="Palatino Linotype" w:cs="Arial"/>
          <w:sz w:val="22"/>
          <w:szCs w:val="22"/>
        </w:rPr>
        <w:t xml:space="preserve">alle S/N 2, Pasaje Peatonal 1 y Pasaje Peatonal 2, son vías públicas que conforman el sistema vial urbano del sector, y se encuentran aprobadas </w:t>
      </w:r>
      <w:r w:rsidR="00184A73">
        <w:rPr>
          <w:rFonts w:ascii="Palatino Linotype" w:hAnsi="Palatino Linotype" w:cs="Arial"/>
          <w:sz w:val="22"/>
          <w:szCs w:val="22"/>
        </w:rPr>
        <w:t>con</w:t>
      </w:r>
      <w:r w:rsidRPr="00184A73">
        <w:rPr>
          <w:rFonts w:ascii="Palatino Linotype" w:hAnsi="Palatino Linotype" w:cs="Arial"/>
          <w:sz w:val="22"/>
          <w:szCs w:val="22"/>
        </w:rPr>
        <w:t xml:space="preserve"> 10,00 m y 6,00 m, de acuerdo al fraccionamiento realizado según los registros de planos: </w:t>
      </w:r>
      <w:r w:rsidRPr="00184A73">
        <w:rPr>
          <w:rFonts w:ascii="Palatino Linotype" w:hAnsi="Palatino Linotype" w:cs="Arial"/>
          <w:sz w:val="22"/>
          <w:szCs w:val="22"/>
        </w:rPr>
        <w:lastRenderedPageBreak/>
        <w:t>Registro de Planos N</w:t>
      </w:r>
      <w:r w:rsidR="00184A73">
        <w:rPr>
          <w:rFonts w:ascii="Palatino Linotype" w:hAnsi="Palatino Linotype" w:cs="Arial"/>
          <w:sz w:val="22"/>
          <w:szCs w:val="22"/>
        </w:rPr>
        <w:t>o.</w:t>
      </w:r>
      <w:r w:rsidRPr="00184A73">
        <w:rPr>
          <w:rFonts w:ascii="Palatino Linotype" w:hAnsi="Palatino Linotype" w:cs="Arial"/>
          <w:sz w:val="22"/>
          <w:szCs w:val="22"/>
        </w:rPr>
        <w:t xml:space="preserve"> 09-1294963-1 de 10</w:t>
      </w:r>
      <w:r w:rsidR="00184A73">
        <w:rPr>
          <w:rFonts w:ascii="Palatino Linotype" w:hAnsi="Palatino Linotype" w:cs="Arial"/>
          <w:sz w:val="22"/>
          <w:szCs w:val="22"/>
        </w:rPr>
        <w:t xml:space="preserve"> de julio de </w:t>
      </w:r>
      <w:r w:rsidRPr="00184A73">
        <w:rPr>
          <w:rFonts w:ascii="Palatino Linotype" w:hAnsi="Palatino Linotype" w:cs="Arial"/>
          <w:sz w:val="22"/>
          <w:szCs w:val="22"/>
        </w:rPr>
        <w:t>2009</w:t>
      </w:r>
      <w:r w:rsidR="00184A73">
        <w:rPr>
          <w:rFonts w:ascii="Palatino Linotype" w:hAnsi="Palatino Linotype" w:cs="Arial"/>
          <w:sz w:val="22"/>
          <w:szCs w:val="22"/>
        </w:rPr>
        <w:t>;</w:t>
      </w:r>
      <w:r w:rsidRPr="00184A73">
        <w:rPr>
          <w:rFonts w:ascii="Palatino Linotype" w:hAnsi="Palatino Linotype" w:cs="Arial"/>
          <w:sz w:val="22"/>
          <w:szCs w:val="22"/>
        </w:rPr>
        <w:t xml:space="preserve"> y</w:t>
      </w:r>
      <w:r w:rsidR="00184A73">
        <w:rPr>
          <w:rFonts w:ascii="Palatino Linotype" w:hAnsi="Palatino Linotype" w:cs="Arial"/>
          <w:sz w:val="22"/>
          <w:szCs w:val="22"/>
        </w:rPr>
        <w:t>,</w:t>
      </w:r>
      <w:r w:rsidRPr="00184A73">
        <w:rPr>
          <w:rFonts w:ascii="Palatino Linotype" w:hAnsi="Palatino Linotype" w:cs="Arial"/>
          <w:sz w:val="22"/>
          <w:szCs w:val="22"/>
        </w:rPr>
        <w:t xml:space="preserve"> Registro de Planos N</w:t>
      </w:r>
      <w:r w:rsidR="00184A73">
        <w:rPr>
          <w:rFonts w:ascii="Palatino Linotype" w:hAnsi="Palatino Linotype" w:cs="Arial"/>
          <w:sz w:val="22"/>
          <w:szCs w:val="22"/>
        </w:rPr>
        <w:t>o.</w:t>
      </w:r>
      <w:r w:rsidRPr="00184A73">
        <w:rPr>
          <w:rFonts w:ascii="Palatino Linotype" w:hAnsi="Palatino Linotype" w:cs="Arial"/>
          <w:sz w:val="22"/>
          <w:szCs w:val="22"/>
        </w:rPr>
        <w:t xml:space="preserve"> 09-1294962-1 de </w:t>
      </w:r>
      <w:r w:rsidR="00184A73">
        <w:rPr>
          <w:rFonts w:ascii="Palatino Linotype" w:hAnsi="Palatino Linotype" w:cs="Arial"/>
          <w:sz w:val="22"/>
          <w:szCs w:val="22"/>
        </w:rPr>
        <w:t xml:space="preserve">8 de julio de </w:t>
      </w:r>
      <w:r w:rsidRPr="00184A73">
        <w:rPr>
          <w:rFonts w:ascii="Palatino Linotype" w:hAnsi="Palatino Linotype" w:cs="Arial"/>
          <w:sz w:val="22"/>
          <w:szCs w:val="22"/>
        </w:rPr>
        <w:t>2009.</w:t>
      </w:r>
    </w:p>
    <w:p w:rsidR="00184A73" w:rsidRDefault="00D2233B" w:rsidP="00184A73">
      <w:pPr>
        <w:spacing w:after="240" w:line="276" w:lineRule="auto"/>
        <w:jc w:val="both"/>
        <w:rPr>
          <w:rFonts w:ascii="Palatino Linotype" w:hAnsi="Palatino Linotype" w:cs="Arial"/>
          <w:sz w:val="22"/>
          <w:szCs w:val="22"/>
        </w:rPr>
      </w:pPr>
      <w:r w:rsidRPr="00184A73">
        <w:rPr>
          <w:rFonts w:ascii="Palatino Linotype" w:hAnsi="Palatino Linotype" w:cs="Arial"/>
          <w:b/>
          <w:bCs/>
          <w:sz w:val="22"/>
          <w:szCs w:val="22"/>
        </w:rPr>
        <w:t xml:space="preserve">Artículo 8.- De las obras a ejecutarse.- </w:t>
      </w:r>
      <w:r w:rsidRPr="00184A73">
        <w:rPr>
          <w:rFonts w:ascii="Palatino Linotype" w:hAnsi="Palatino Linotype" w:cs="Arial"/>
          <w:sz w:val="22"/>
          <w:szCs w:val="22"/>
        </w:rPr>
        <w:t>Las obras a ejecutarse en el asentamiento</w:t>
      </w:r>
      <w:r w:rsidR="00184A73">
        <w:rPr>
          <w:rFonts w:ascii="Palatino Linotype" w:hAnsi="Palatino Linotype" w:cs="Arial"/>
          <w:sz w:val="22"/>
          <w:szCs w:val="22"/>
        </w:rPr>
        <w:t xml:space="preserve"> humano de hecho y consolidado</w:t>
      </w:r>
      <w:r w:rsidRPr="00184A73">
        <w:rPr>
          <w:rFonts w:ascii="Palatino Linotype" w:hAnsi="Palatino Linotype" w:cs="Arial"/>
          <w:sz w:val="22"/>
          <w:szCs w:val="22"/>
        </w:rPr>
        <w:t xml:space="preserve"> son  las siguientes: </w:t>
      </w:r>
    </w:p>
    <w:p w:rsid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sz w:val="22"/>
          <w:szCs w:val="22"/>
        </w:rPr>
        <w:t>Calzadas</w:t>
      </w:r>
      <w:r w:rsidR="00184A73">
        <w:rPr>
          <w:rFonts w:ascii="Palatino Linotype" w:hAnsi="Palatino Linotype" w:cs="Arial"/>
          <w:sz w:val="22"/>
          <w:szCs w:val="22"/>
        </w:rPr>
        <w:t>:</w:t>
      </w:r>
      <w:r w:rsidRPr="00184A73">
        <w:rPr>
          <w:rFonts w:ascii="Palatino Linotype" w:hAnsi="Palatino Linotype" w:cs="Arial"/>
          <w:sz w:val="22"/>
          <w:szCs w:val="22"/>
        </w:rPr>
        <w:t xml:space="preserve"> </w:t>
      </w:r>
      <w:r w:rsidR="00184A73">
        <w:rPr>
          <w:rFonts w:ascii="Palatino Linotype" w:hAnsi="Palatino Linotype" w:cs="Arial"/>
          <w:sz w:val="22"/>
          <w:szCs w:val="22"/>
        </w:rPr>
        <w:tab/>
      </w:r>
      <w:r w:rsidR="00184A73">
        <w:rPr>
          <w:rFonts w:ascii="Palatino Linotype" w:hAnsi="Palatino Linotype" w:cs="Arial"/>
          <w:sz w:val="22"/>
          <w:szCs w:val="22"/>
        </w:rPr>
        <w:tab/>
      </w:r>
      <w:r w:rsidR="00184A73">
        <w:rPr>
          <w:rFonts w:ascii="Palatino Linotype" w:hAnsi="Palatino Linotype" w:cs="Arial"/>
          <w:sz w:val="22"/>
          <w:szCs w:val="22"/>
        </w:rPr>
        <w:tab/>
      </w:r>
      <w:r w:rsidRPr="00184A73">
        <w:rPr>
          <w:rFonts w:ascii="Palatino Linotype" w:hAnsi="Palatino Linotype" w:cs="Arial"/>
          <w:sz w:val="22"/>
          <w:szCs w:val="22"/>
        </w:rPr>
        <w:t>100%</w:t>
      </w:r>
      <w:r w:rsidR="00184A73">
        <w:rPr>
          <w:rFonts w:ascii="Palatino Linotype" w:hAnsi="Palatino Linotype" w:cs="Arial"/>
          <w:sz w:val="22"/>
          <w:szCs w:val="22"/>
        </w:rPr>
        <w:tab/>
      </w:r>
      <w:r w:rsidR="00184A73">
        <w:rPr>
          <w:rFonts w:ascii="Palatino Linotype" w:hAnsi="Palatino Linotype" w:cs="Arial"/>
          <w:sz w:val="22"/>
          <w:szCs w:val="22"/>
        </w:rPr>
        <w:tab/>
      </w:r>
      <w:r w:rsidR="00184A73">
        <w:rPr>
          <w:rFonts w:ascii="Palatino Linotype" w:hAnsi="Palatino Linotype" w:cs="Arial"/>
          <w:sz w:val="22"/>
          <w:szCs w:val="22"/>
        </w:rPr>
        <w:tab/>
      </w:r>
      <w:r w:rsidR="00184A73">
        <w:rPr>
          <w:rFonts w:ascii="Palatino Linotype" w:hAnsi="Palatino Linotype" w:cs="Arial"/>
          <w:sz w:val="22"/>
          <w:szCs w:val="22"/>
        </w:rPr>
        <w:tab/>
      </w:r>
      <w:r w:rsidRPr="00184A73">
        <w:rPr>
          <w:rFonts w:ascii="Palatino Linotype" w:hAnsi="Palatino Linotype" w:cs="Arial"/>
          <w:sz w:val="22"/>
          <w:szCs w:val="22"/>
        </w:rPr>
        <w:t>Aceras</w:t>
      </w:r>
      <w:r w:rsidR="00184A73">
        <w:rPr>
          <w:rFonts w:ascii="Palatino Linotype" w:hAnsi="Palatino Linotype" w:cs="Arial"/>
          <w:sz w:val="22"/>
          <w:szCs w:val="22"/>
        </w:rPr>
        <w:t>:</w:t>
      </w:r>
      <w:r w:rsidRPr="00184A73">
        <w:rPr>
          <w:rFonts w:ascii="Palatino Linotype" w:hAnsi="Palatino Linotype" w:cs="Arial"/>
          <w:sz w:val="22"/>
          <w:szCs w:val="22"/>
        </w:rPr>
        <w:t xml:space="preserve"> </w:t>
      </w:r>
      <w:r w:rsidR="00184A73">
        <w:rPr>
          <w:rFonts w:ascii="Palatino Linotype" w:hAnsi="Palatino Linotype" w:cs="Arial"/>
          <w:sz w:val="22"/>
          <w:szCs w:val="22"/>
        </w:rPr>
        <w:tab/>
      </w:r>
      <w:r w:rsidR="00184A73">
        <w:rPr>
          <w:rFonts w:ascii="Palatino Linotype" w:hAnsi="Palatino Linotype" w:cs="Arial"/>
          <w:sz w:val="22"/>
          <w:szCs w:val="22"/>
        </w:rPr>
        <w:tab/>
      </w:r>
      <w:r w:rsidRPr="00184A73">
        <w:rPr>
          <w:rFonts w:ascii="Palatino Linotype" w:hAnsi="Palatino Linotype" w:cs="Arial"/>
          <w:sz w:val="22"/>
          <w:szCs w:val="22"/>
        </w:rPr>
        <w:t>100%</w:t>
      </w:r>
    </w:p>
    <w:p w:rsidR="00184A73" w:rsidRDefault="00D2233B" w:rsidP="00184A73">
      <w:pPr>
        <w:spacing w:after="240" w:line="276" w:lineRule="auto"/>
        <w:jc w:val="both"/>
        <w:rPr>
          <w:rFonts w:ascii="Palatino Linotype" w:hAnsi="Palatino Linotype" w:cs="Arial"/>
          <w:sz w:val="22"/>
          <w:szCs w:val="22"/>
        </w:rPr>
      </w:pPr>
      <w:r w:rsidRPr="00184A73">
        <w:rPr>
          <w:rFonts w:ascii="Palatino Linotype" w:hAnsi="Palatino Linotype" w:cs="Arial"/>
          <w:sz w:val="22"/>
          <w:szCs w:val="22"/>
        </w:rPr>
        <w:t xml:space="preserve">Energía </w:t>
      </w:r>
      <w:r w:rsidR="00184A73">
        <w:rPr>
          <w:rFonts w:ascii="Palatino Linotype" w:hAnsi="Palatino Linotype" w:cs="Arial"/>
          <w:sz w:val="22"/>
          <w:szCs w:val="22"/>
        </w:rPr>
        <w:t>e</w:t>
      </w:r>
      <w:r w:rsidRPr="00184A73">
        <w:rPr>
          <w:rFonts w:ascii="Palatino Linotype" w:hAnsi="Palatino Linotype" w:cs="Arial"/>
          <w:sz w:val="22"/>
          <w:szCs w:val="22"/>
        </w:rPr>
        <w:t>léctrica</w:t>
      </w:r>
      <w:r w:rsidR="00184A73">
        <w:rPr>
          <w:rFonts w:ascii="Palatino Linotype" w:hAnsi="Palatino Linotype" w:cs="Arial"/>
          <w:sz w:val="22"/>
          <w:szCs w:val="22"/>
        </w:rPr>
        <w:t>:</w:t>
      </w:r>
      <w:r w:rsidRPr="00184A73">
        <w:rPr>
          <w:rFonts w:ascii="Palatino Linotype" w:hAnsi="Palatino Linotype" w:cs="Arial"/>
          <w:sz w:val="22"/>
          <w:szCs w:val="22"/>
        </w:rPr>
        <w:t xml:space="preserve"> </w:t>
      </w:r>
      <w:r w:rsidR="00184A73">
        <w:rPr>
          <w:rFonts w:ascii="Palatino Linotype" w:hAnsi="Palatino Linotype" w:cs="Arial"/>
          <w:sz w:val="22"/>
          <w:szCs w:val="22"/>
        </w:rPr>
        <w:tab/>
      </w:r>
      <w:r w:rsidR="00184A73">
        <w:rPr>
          <w:rFonts w:ascii="Palatino Linotype" w:hAnsi="Palatino Linotype" w:cs="Arial"/>
          <w:sz w:val="22"/>
          <w:szCs w:val="22"/>
        </w:rPr>
        <w:tab/>
      </w:r>
      <w:r w:rsidRPr="00184A73">
        <w:rPr>
          <w:rFonts w:ascii="Palatino Linotype" w:hAnsi="Palatino Linotype" w:cs="Arial"/>
          <w:sz w:val="22"/>
          <w:szCs w:val="22"/>
        </w:rPr>
        <w:t>80%</w:t>
      </w:r>
    </w:p>
    <w:p w:rsidR="00184A73" w:rsidRDefault="00D2233B" w:rsidP="00184A73">
      <w:pPr>
        <w:spacing w:after="240" w:line="276" w:lineRule="auto"/>
        <w:jc w:val="both"/>
        <w:rPr>
          <w:rFonts w:ascii="Palatino Linotype" w:hAnsi="Palatino Linotype" w:cs="Arial"/>
          <w:sz w:val="22"/>
          <w:szCs w:val="22"/>
        </w:rPr>
      </w:pPr>
      <w:r w:rsidRPr="00184A73">
        <w:rPr>
          <w:rFonts w:ascii="Palatino Linotype" w:hAnsi="Palatino Linotype" w:cs="Arial"/>
          <w:b/>
          <w:bCs/>
          <w:sz w:val="22"/>
          <w:szCs w:val="22"/>
        </w:rPr>
        <w:t>Artículo 9.- Del plazo de ejecución de las obras.-</w:t>
      </w:r>
      <w:r w:rsidRPr="00184A73">
        <w:rPr>
          <w:rFonts w:ascii="Palatino Linotype" w:hAnsi="Palatino Linotype" w:cs="Arial"/>
          <w:sz w:val="22"/>
          <w:szCs w:val="22"/>
        </w:rPr>
        <w:t xml:space="preserve"> El plazo de ejecución de la totalidad de las obras de urbanización es de cinco (5) años, </w:t>
      </w:r>
      <w:r w:rsidRPr="00184A73">
        <w:rPr>
          <w:rFonts w:ascii="Palatino Linotype" w:hAnsi="Palatino Linotype" w:cs="Arial"/>
          <w:iCs/>
          <w:sz w:val="22"/>
          <w:szCs w:val="22"/>
        </w:rPr>
        <w:t xml:space="preserve">de conformidad al cronograma de obras presentado por </w:t>
      </w:r>
      <w:r w:rsidRPr="00184A73">
        <w:rPr>
          <w:rFonts w:ascii="Palatino Linotype" w:hAnsi="Palatino Linotype" w:cs="Arial"/>
          <w:sz w:val="22"/>
          <w:szCs w:val="22"/>
        </w:rPr>
        <w:t xml:space="preserve">los copropietarios del inmueble donde se ubica el </w:t>
      </w:r>
      <w:r w:rsidR="00184A73">
        <w:rPr>
          <w:rFonts w:ascii="Palatino Linotype" w:hAnsi="Palatino Linotype" w:cs="Arial"/>
          <w:sz w:val="22"/>
          <w:szCs w:val="22"/>
        </w:rPr>
        <w:t>a</w:t>
      </w:r>
      <w:r w:rsidRPr="00184A73">
        <w:rPr>
          <w:rFonts w:ascii="Palatino Linotype" w:hAnsi="Palatino Linotype" w:cs="Arial"/>
          <w:sz w:val="22"/>
          <w:szCs w:val="22"/>
        </w:rPr>
        <w:t xml:space="preserve">sentamiento </w:t>
      </w:r>
      <w:r w:rsidR="00184A73">
        <w:rPr>
          <w:rFonts w:ascii="Palatino Linotype" w:hAnsi="Palatino Linotype" w:cs="Arial"/>
          <w:sz w:val="22"/>
          <w:szCs w:val="22"/>
        </w:rPr>
        <w:t>h</w:t>
      </w:r>
      <w:r w:rsidRPr="00184A73">
        <w:rPr>
          <w:rFonts w:ascii="Palatino Linotype" w:hAnsi="Palatino Linotype" w:cs="Arial"/>
          <w:sz w:val="22"/>
          <w:szCs w:val="22"/>
        </w:rPr>
        <w:t xml:space="preserve">umano de </w:t>
      </w:r>
      <w:r w:rsidR="00184A73">
        <w:rPr>
          <w:rFonts w:ascii="Palatino Linotype" w:hAnsi="Palatino Linotype" w:cs="Arial"/>
          <w:sz w:val="22"/>
          <w:szCs w:val="22"/>
        </w:rPr>
        <w:t>h</w:t>
      </w:r>
      <w:r w:rsidRPr="00184A73">
        <w:rPr>
          <w:rFonts w:ascii="Palatino Linotype" w:hAnsi="Palatino Linotype" w:cs="Arial"/>
          <w:sz w:val="22"/>
          <w:szCs w:val="22"/>
        </w:rPr>
        <w:t xml:space="preserve">echo y </w:t>
      </w:r>
      <w:r w:rsidR="00184A73">
        <w:rPr>
          <w:rFonts w:ascii="Palatino Linotype" w:hAnsi="Palatino Linotype" w:cs="Arial"/>
          <w:sz w:val="22"/>
          <w:szCs w:val="22"/>
        </w:rPr>
        <w:t>c</w:t>
      </w:r>
      <w:r w:rsidRPr="00184A73">
        <w:rPr>
          <w:rFonts w:ascii="Palatino Linotype" w:hAnsi="Palatino Linotype" w:cs="Arial"/>
          <w:sz w:val="22"/>
          <w:szCs w:val="22"/>
        </w:rPr>
        <w:t>onsolidado</w:t>
      </w:r>
      <w:r w:rsidRPr="00184A73">
        <w:rPr>
          <w:rFonts w:ascii="Palatino Linotype" w:hAnsi="Palatino Linotype" w:cs="Arial"/>
          <w:b/>
          <w:sz w:val="22"/>
          <w:szCs w:val="22"/>
        </w:rPr>
        <w:t xml:space="preserve">, </w:t>
      </w:r>
      <w:r w:rsidRPr="00184A73">
        <w:rPr>
          <w:rFonts w:ascii="Palatino Linotype" w:hAnsi="Palatino Linotype" w:cs="Arial"/>
          <w:iCs/>
          <w:sz w:val="22"/>
          <w:szCs w:val="22"/>
        </w:rPr>
        <w:t xml:space="preserve">plazo que se contará a partir de la fecha de sanción de la presente Ordenanza. De estas obras, </w:t>
      </w:r>
      <w:r w:rsidRPr="00184A73">
        <w:rPr>
          <w:rFonts w:ascii="Palatino Linotype" w:hAnsi="Palatino Linotype" w:cs="Arial"/>
          <w:bCs/>
          <w:sz w:val="22"/>
          <w:szCs w:val="22"/>
        </w:rPr>
        <w:t>los copropietarios del predio fraccionado</w:t>
      </w:r>
      <w:r w:rsidRPr="00184A73">
        <w:rPr>
          <w:rFonts w:ascii="Palatino Linotype" w:hAnsi="Palatino Linotype" w:cs="Arial"/>
          <w:iCs/>
          <w:sz w:val="22"/>
          <w:szCs w:val="22"/>
        </w:rPr>
        <w:t xml:space="preserve"> pagarán las contribuciones especiales y mejoras de ley.</w:t>
      </w:r>
    </w:p>
    <w:p w:rsidR="00184A73" w:rsidRDefault="00D2233B" w:rsidP="00D2233B">
      <w:pPr>
        <w:spacing w:after="240" w:line="276" w:lineRule="auto"/>
        <w:jc w:val="both"/>
        <w:rPr>
          <w:rFonts w:ascii="Palatino Linotype" w:hAnsi="Palatino Linotype" w:cs="Arial"/>
          <w:sz w:val="22"/>
          <w:szCs w:val="22"/>
        </w:rPr>
      </w:pPr>
      <w:r w:rsidRPr="00184A73">
        <w:rPr>
          <w:rFonts w:ascii="Palatino Linotype" w:hAnsi="Palatino Linotype" w:cs="Arial"/>
          <w:b/>
          <w:bCs/>
          <w:sz w:val="22"/>
          <w:szCs w:val="22"/>
        </w:rPr>
        <w:t>Artículo 10</w:t>
      </w:r>
      <w:r w:rsidR="00184A73">
        <w:rPr>
          <w:rFonts w:ascii="Palatino Linotype" w:hAnsi="Palatino Linotype" w:cs="Arial"/>
          <w:b/>
          <w:bCs/>
          <w:sz w:val="22"/>
          <w:szCs w:val="22"/>
          <w:lang w:val="es-ES_tradnl"/>
        </w:rPr>
        <w:t>.- Del c</w:t>
      </w:r>
      <w:r w:rsidRPr="00184A73">
        <w:rPr>
          <w:rFonts w:ascii="Palatino Linotype" w:hAnsi="Palatino Linotype" w:cs="Arial"/>
          <w:b/>
          <w:bCs/>
          <w:sz w:val="22"/>
          <w:szCs w:val="22"/>
          <w:lang w:val="es-ES_tradnl"/>
        </w:rPr>
        <w:t xml:space="preserve">ontrol de </w:t>
      </w:r>
      <w:r w:rsidR="00184A73">
        <w:rPr>
          <w:rFonts w:ascii="Palatino Linotype" w:hAnsi="Palatino Linotype" w:cs="Arial"/>
          <w:b/>
          <w:bCs/>
          <w:sz w:val="22"/>
          <w:szCs w:val="22"/>
          <w:lang w:val="es-ES_tradnl"/>
        </w:rPr>
        <w:t>e</w:t>
      </w:r>
      <w:r w:rsidRPr="00184A73">
        <w:rPr>
          <w:rFonts w:ascii="Palatino Linotype" w:hAnsi="Palatino Linotype" w:cs="Arial"/>
          <w:b/>
          <w:bCs/>
          <w:sz w:val="22"/>
          <w:szCs w:val="22"/>
          <w:lang w:val="es-ES_tradnl"/>
        </w:rPr>
        <w:t xml:space="preserve">jecución de las </w:t>
      </w:r>
      <w:r w:rsidR="00184A73">
        <w:rPr>
          <w:rFonts w:ascii="Palatino Linotype" w:hAnsi="Palatino Linotype" w:cs="Arial"/>
          <w:b/>
          <w:bCs/>
          <w:sz w:val="22"/>
          <w:szCs w:val="22"/>
          <w:lang w:val="es-ES_tradnl"/>
        </w:rPr>
        <w:t>o</w:t>
      </w:r>
      <w:r w:rsidRPr="00184A73">
        <w:rPr>
          <w:rFonts w:ascii="Palatino Linotype" w:hAnsi="Palatino Linotype" w:cs="Arial"/>
          <w:b/>
          <w:bCs/>
          <w:sz w:val="22"/>
          <w:szCs w:val="22"/>
          <w:lang w:val="es-ES_tradnl"/>
        </w:rPr>
        <w:t>bras.-</w:t>
      </w:r>
      <w:r w:rsidRPr="00184A73">
        <w:rPr>
          <w:rFonts w:ascii="Palatino Linotype" w:hAnsi="Palatino Linotype" w:cs="Arial"/>
          <w:sz w:val="22"/>
          <w:szCs w:val="22"/>
        </w:rPr>
        <w:t xml:space="preserve">La Administración Zonal Calderón se responsabiliza del seguimiento en la ejecución y avance de las obras de urbanización hasta la terminación de las mismas, </w:t>
      </w:r>
      <w:r w:rsidR="00184A73" w:rsidRPr="005D59E8">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r w:rsidR="00184A73">
        <w:rPr>
          <w:rFonts w:ascii="Palatino Linotype" w:hAnsi="Palatino Linotype"/>
          <w:sz w:val="22"/>
          <w:szCs w:val="22"/>
          <w:lang w:val="es-EC"/>
        </w:rPr>
        <w:t>.</w:t>
      </w:r>
    </w:p>
    <w:p w:rsidR="00184A73" w:rsidRDefault="00D2233B" w:rsidP="00184A73">
      <w:pPr>
        <w:spacing w:after="240" w:line="276" w:lineRule="auto"/>
        <w:jc w:val="both"/>
        <w:rPr>
          <w:rFonts w:ascii="Palatino Linotype" w:hAnsi="Palatino Linotype" w:cs="Arial"/>
          <w:sz w:val="22"/>
          <w:szCs w:val="22"/>
        </w:rPr>
      </w:pPr>
      <w:r w:rsidRPr="00184A73">
        <w:rPr>
          <w:rFonts w:ascii="Palatino Linotype" w:hAnsi="Palatino Linotype" w:cs="Arial"/>
          <w:b/>
          <w:bCs/>
          <w:sz w:val="22"/>
          <w:szCs w:val="22"/>
        </w:rPr>
        <w:t>Artículo</w:t>
      </w:r>
      <w:r w:rsidRPr="00184A73">
        <w:rPr>
          <w:rFonts w:ascii="Palatino Linotype" w:hAnsi="Palatino Linotype" w:cs="Arial"/>
          <w:b/>
          <w:bCs/>
          <w:sz w:val="22"/>
          <w:szCs w:val="22"/>
          <w:lang w:val="es-ES_tradnl"/>
        </w:rPr>
        <w:t xml:space="preserve"> 11.- De la </w:t>
      </w:r>
      <w:r w:rsidR="00184A73">
        <w:rPr>
          <w:rFonts w:ascii="Palatino Linotype" w:hAnsi="Palatino Linotype" w:cs="Arial"/>
          <w:b/>
          <w:bCs/>
          <w:sz w:val="22"/>
          <w:szCs w:val="22"/>
          <w:lang w:val="es-ES_tradnl"/>
        </w:rPr>
        <w:t>m</w:t>
      </w:r>
      <w:r w:rsidRPr="00184A73">
        <w:rPr>
          <w:rFonts w:ascii="Palatino Linotype" w:hAnsi="Palatino Linotype" w:cs="Arial"/>
          <w:b/>
          <w:bCs/>
          <w:sz w:val="22"/>
          <w:szCs w:val="22"/>
          <w:lang w:val="es-ES_tradnl"/>
        </w:rPr>
        <w:t xml:space="preserve">ulta por retraso en ejecución de obras.- </w:t>
      </w:r>
      <w:r w:rsidRPr="00184A73">
        <w:rPr>
          <w:rFonts w:ascii="Palatino Linotype" w:hAnsi="Palatino Linotype" w:cs="Arial"/>
          <w:sz w:val="22"/>
          <w:szCs w:val="22"/>
          <w:lang w:val="es-ES_tradnl"/>
        </w:rPr>
        <w:t>En caso de retraso en la ejecución de las obras de urbanización,</w:t>
      </w:r>
      <w:r w:rsidRPr="00184A73">
        <w:rPr>
          <w:rFonts w:ascii="Palatino Linotype" w:hAnsi="Palatino Linotype" w:cs="Arial"/>
          <w:sz w:val="22"/>
          <w:szCs w:val="22"/>
        </w:rPr>
        <w:t xml:space="preserve"> los copropietarios del inmueble sobre el cual se ubica el Asentamiento </w:t>
      </w:r>
      <w:r w:rsidRPr="00184A73">
        <w:rPr>
          <w:rFonts w:ascii="Palatino Linotype" w:hAnsi="Palatino Linotype" w:cs="Arial"/>
          <w:sz w:val="22"/>
          <w:szCs w:val="22"/>
          <w:lang w:val="es-ES_tradnl"/>
        </w:rPr>
        <w:t>pagarán a la Municipalidad en calidad de multa, el uno por mil por cada día de retraso, calculado del costo de las obras no ejecutadas.</w:t>
      </w:r>
    </w:p>
    <w:p w:rsidR="00184A73" w:rsidRDefault="00D2233B" w:rsidP="00184A73">
      <w:pPr>
        <w:spacing w:after="240" w:line="276" w:lineRule="auto"/>
        <w:jc w:val="both"/>
        <w:rPr>
          <w:rFonts w:ascii="Palatino Linotype" w:hAnsi="Palatino Linotype" w:cs="Arial"/>
          <w:sz w:val="22"/>
          <w:szCs w:val="22"/>
        </w:rPr>
      </w:pPr>
      <w:r w:rsidRPr="00184A73">
        <w:rPr>
          <w:rFonts w:ascii="Palatino Linotype" w:hAnsi="Palatino Linotype" w:cs="Arial"/>
          <w:sz w:val="22"/>
          <w:szCs w:val="22"/>
          <w:lang w:val="es-ES_tradnl"/>
        </w:rPr>
        <w:t>De persistir el incumplimiento el Municipio podrá ejecutar las obras cuyo costo estará a cargo de todos los copropietarios de los lotes, además de un recargo del 30%.</w:t>
      </w:r>
    </w:p>
    <w:p w:rsidR="00184A73" w:rsidRPr="00184A73" w:rsidRDefault="00D2233B" w:rsidP="00184A73">
      <w:pPr>
        <w:spacing w:after="240" w:line="276" w:lineRule="auto"/>
        <w:jc w:val="both"/>
        <w:rPr>
          <w:rFonts w:ascii="Palatino Linotype" w:hAnsi="Palatino Linotype" w:cs="Arial"/>
          <w:sz w:val="22"/>
          <w:szCs w:val="22"/>
        </w:rPr>
      </w:pPr>
      <w:r w:rsidRPr="00184A7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w:t>
      </w:r>
      <w:r w:rsidR="00184A73">
        <w:rPr>
          <w:rFonts w:ascii="Palatino Linotype" w:hAnsi="Palatino Linotype"/>
          <w:sz w:val="22"/>
          <w:szCs w:val="22"/>
          <w:lang w:val="es-ES_tradnl"/>
        </w:rPr>
        <w:t>a</w:t>
      </w:r>
      <w:r w:rsidRPr="00184A73">
        <w:rPr>
          <w:rFonts w:ascii="Palatino Linotype" w:hAnsi="Palatino Linotype"/>
          <w:sz w:val="22"/>
          <w:szCs w:val="22"/>
          <w:lang w:val="es-ES_tradnl"/>
        </w:rPr>
        <w:t xml:space="preserve"> a su cobro, incluso por la vía coactiva.</w:t>
      </w:r>
    </w:p>
    <w:p w:rsidR="00D2233B" w:rsidRPr="00184A73" w:rsidRDefault="00D2233B" w:rsidP="00184A73">
      <w:pPr>
        <w:spacing w:after="240" w:line="276" w:lineRule="auto"/>
        <w:contextualSpacing/>
        <w:jc w:val="both"/>
        <w:rPr>
          <w:rFonts w:ascii="Palatino Linotype" w:hAnsi="Palatino Linotype" w:cs="Arial"/>
          <w:sz w:val="22"/>
          <w:szCs w:val="22"/>
        </w:rPr>
      </w:pPr>
      <w:r w:rsidRPr="00184A73">
        <w:rPr>
          <w:rFonts w:ascii="Palatino Linotype" w:hAnsi="Palatino Linotype"/>
          <w:b/>
          <w:bCs/>
          <w:iCs/>
          <w:sz w:val="22"/>
          <w:szCs w:val="22"/>
        </w:rPr>
        <w:t xml:space="preserve">Artículo 12.- De la garantía de ejecución de las obras.- </w:t>
      </w:r>
      <w:r w:rsidRPr="00184A73">
        <w:rPr>
          <w:rFonts w:ascii="Palatino Linotype" w:hAnsi="Palatino Linotype"/>
          <w:sz w:val="22"/>
          <w:szCs w:val="22"/>
        </w:rPr>
        <w:t xml:space="preserve">Los lotes producto del presente reconocimiento de asentamiento humano de hecho y consolidado quedan gravados con primera, especial y preferente hipoteca a favor del Municipio del Distrito Metropolitano de Quito, gravamen que regirá una vez que se adjudiquen los lotes a sus respectivos </w:t>
      </w:r>
      <w:r w:rsidRPr="00184A73">
        <w:rPr>
          <w:rFonts w:ascii="Palatino Linotype" w:hAnsi="Palatino Linotype"/>
          <w:sz w:val="22"/>
          <w:szCs w:val="22"/>
        </w:rPr>
        <w:lastRenderedPageBreak/>
        <w:t>beneficiarios, y que subsistirá hasta la terminación de la ejecución de las obras de urbanización.</w:t>
      </w:r>
    </w:p>
    <w:p w:rsidR="00D2233B" w:rsidRPr="00184A73" w:rsidRDefault="00D2233B" w:rsidP="00D2233B">
      <w:pPr>
        <w:pStyle w:val="Textoindependiente"/>
        <w:spacing w:after="240" w:line="276" w:lineRule="auto"/>
        <w:jc w:val="both"/>
        <w:rPr>
          <w:rFonts w:ascii="Palatino Linotype" w:hAnsi="Palatino Linotype"/>
          <w:sz w:val="22"/>
          <w:szCs w:val="22"/>
          <w:lang w:val="es-ES_tradnl"/>
        </w:rPr>
      </w:pPr>
      <w:r w:rsidRPr="00184A73">
        <w:rPr>
          <w:rFonts w:ascii="Palatino Linotype" w:hAnsi="Palatino Linotype"/>
          <w:b/>
          <w:bCs/>
          <w:sz w:val="22"/>
          <w:szCs w:val="22"/>
        </w:rPr>
        <w:t>Artículo</w:t>
      </w:r>
      <w:r w:rsidR="00184A73">
        <w:rPr>
          <w:rFonts w:ascii="Palatino Linotype" w:hAnsi="Palatino Linotype"/>
          <w:b/>
          <w:bCs/>
          <w:sz w:val="22"/>
          <w:szCs w:val="22"/>
          <w:lang w:val="es-ES_tradnl"/>
        </w:rPr>
        <w:t xml:space="preserve"> 13.- De la p</w:t>
      </w:r>
      <w:r w:rsidRPr="00184A73">
        <w:rPr>
          <w:rFonts w:ascii="Palatino Linotype" w:hAnsi="Palatino Linotype"/>
          <w:b/>
          <w:bCs/>
          <w:sz w:val="22"/>
          <w:szCs w:val="22"/>
          <w:lang w:val="es-ES_tradnl"/>
        </w:rPr>
        <w:t xml:space="preserve">rotocolización de la Ordenanza.- </w:t>
      </w:r>
      <w:r w:rsidRPr="00184A73">
        <w:rPr>
          <w:rFonts w:ascii="Palatino Linotype" w:hAnsi="Palatino Linotype"/>
          <w:sz w:val="22"/>
          <w:szCs w:val="22"/>
        </w:rPr>
        <w:t>Los copropietarios donde se ubica el Asentamiento Humano de Hecho y Consolidado denominado Comité Pro-Mejoras del Barrio</w:t>
      </w:r>
      <w:r w:rsidRPr="00184A73">
        <w:rPr>
          <w:rFonts w:ascii="Palatino Linotype" w:hAnsi="Palatino Linotype"/>
          <w:b/>
          <w:sz w:val="22"/>
          <w:szCs w:val="22"/>
        </w:rPr>
        <w:t xml:space="preserve"> </w:t>
      </w:r>
      <w:r w:rsidRPr="00184A73">
        <w:rPr>
          <w:rFonts w:ascii="Palatino Linotype" w:hAnsi="Palatino Linotype"/>
          <w:sz w:val="22"/>
          <w:szCs w:val="22"/>
        </w:rPr>
        <w:t>“Balcones de Morán”</w:t>
      </w:r>
      <w:r w:rsidR="00184A73">
        <w:rPr>
          <w:rFonts w:ascii="Palatino Linotype" w:hAnsi="Palatino Linotype"/>
          <w:sz w:val="22"/>
          <w:szCs w:val="22"/>
        </w:rPr>
        <w:t>,</w:t>
      </w:r>
      <w:r w:rsidRPr="00184A73">
        <w:rPr>
          <w:rFonts w:ascii="Palatino Linotype" w:hAnsi="Palatino Linotype"/>
          <w:b/>
          <w:sz w:val="22"/>
          <w:szCs w:val="22"/>
        </w:rPr>
        <w:t xml:space="preserve"> </w:t>
      </w:r>
      <w:r w:rsidRPr="00184A73">
        <w:rPr>
          <w:rFonts w:ascii="Palatino Linotype" w:hAnsi="Palatino Linotype"/>
          <w:sz w:val="22"/>
          <w:szCs w:val="22"/>
        </w:rPr>
        <w:t>Primera Etapa</w:t>
      </w:r>
      <w:r w:rsidR="00184A73">
        <w:rPr>
          <w:rFonts w:ascii="Palatino Linotype" w:hAnsi="Palatino Linotype"/>
          <w:sz w:val="22"/>
          <w:szCs w:val="22"/>
        </w:rPr>
        <w:t>,</w:t>
      </w:r>
      <w:r w:rsidRPr="00184A73">
        <w:rPr>
          <w:rFonts w:ascii="Palatino Linotype" w:hAnsi="Palatino Linotype"/>
          <w:b/>
          <w:sz w:val="22"/>
          <w:szCs w:val="22"/>
        </w:rPr>
        <w:t xml:space="preserve"> </w:t>
      </w:r>
      <w:r w:rsidRPr="00184A73">
        <w:rPr>
          <w:rFonts w:ascii="Palatino Linotype" w:hAnsi="Palatino Linotype"/>
          <w:sz w:val="22"/>
          <w:szCs w:val="22"/>
          <w:lang w:val="es-ES_tradnl"/>
        </w:rPr>
        <w:t xml:space="preserve">se comprometen en el término de ciento ochenta (180) días, contados a partir de la fecha de sanción de la presente Ordenanza, a </w:t>
      </w:r>
      <w:r w:rsidRPr="00184A73">
        <w:rPr>
          <w:rFonts w:ascii="Palatino Linotype" w:hAnsi="Palatino Linotype"/>
          <w:sz w:val="22"/>
          <w:szCs w:val="22"/>
        </w:rPr>
        <w:t xml:space="preserve">protocolizar ante Notario Público e inscribirla en el Registro de la Propiedad del Distrito Metropolitano de Quito, </w:t>
      </w:r>
      <w:r w:rsidRPr="00184A73">
        <w:rPr>
          <w:rFonts w:ascii="Palatino Linotype" w:hAnsi="Palatino Linotype"/>
          <w:sz w:val="22"/>
          <w:szCs w:val="22"/>
          <w:lang w:val="es-ES_tradnl"/>
        </w:rPr>
        <w:t>con todos sus documentos habilitantes</w:t>
      </w:r>
      <w:r w:rsidRPr="00184A73">
        <w:rPr>
          <w:rFonts w:ascii="Palatino Linotype" w:hAnsi="Palatino Linotype"/>
          <w:sz w:val="22"/>
          <w:szCs w:val="22"/>
        </w:rPr>
        <w:t>;</w:t>
      </w:r>
      <w:r w:rsidRPr="00184A73">
        <w:rPr>
          <w:rFonts w:ascii="Palatino Linotype" w:hAnsi="Palatino Linotype"/>
          <w:sz w:val="22"/>
          <w:szCs w:val="22"/>
          <w:lang w:val="es-ES_tradnl"/>
        </w:rPr>
        <w:t xml:space="preserve"> </w:t>
      </w:r>
      <w:r w:rsidR="00184A73" w:rsidRPr="004D7B61">
        <w:rPr>
          <w:rFonts w:ascii="Palatino Linotype" w:hAnsi="Palatino Linotype"/>
          <w:sz w:val="22"/>
          <w:szCs w:val="22"/>
          <w:lang w:val="es-ES_tradnl"/>
        </w:rPr>
        <w:t>caso contrario el Concejo Metropolitano revocará la presente ordenanza, notificándose del particular a la Comisaría de la Administración Zonal correspondiente, para que inicie las acciones pertinentes.</w:t>
      </w:r>
    </w:p>
    <w:p w:rsidR="00D2233B" w:rsidRPr="00184A73" w:rsidRDefault="00D2233B" w:rsidP="00D2233B">
      <w:pPr>
        <w:spacing w:after="240" w:line="276" w:lineRule="auto"/>
        <w:jc w:val="both"/>
        <w:rPr>
          <w:rFonts w:ascii="Palatino Linotype" w:hAnsi="Palatino Linotype" w:cs="Arial"/>
          <w:sz w:val="22"/>
          <w:szCs w:val="22"/>
          <w:lang w:val="es-ES_tradnl"/>
        </w:rPr>
      </w:pPr>
      <w:r w:rsidRPr="00184A73">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D2233B" w:rsidRPr="00184A73" w:rsidRDefault="00D2233B" w:rsidP="00D2233B">
      <w:pPr>
        <w:spacing w:after="240" w:line="276" w:lineRule="auto"/>
        <w:jc w:val="both"/>
        <w:rPr>
          <w:rFonts w:ascii="Palatino Linotype" w:hAnsi="Palatino Linotype" w:cs="Arial"/>
          <w:bCs/>
          <w:sz w:val="22"/>
          <w:szCs w:val="22"/>
          <w:lang w:val="es-ES_tradnl"/>
        </w:rPr>
      </w:pPr>
      <w:r w:rsidRPr="00184A73">
        <w:rPr>
          <w:rFonts w:ascii="Palatino Linotype" w:hAnsi="Palatino Linotype" w:cs="Arial"/>
          <w:b/>
          <w:sz w:val="22"/>
          <w:szCs w:val="22"/>
          <w:lang w:val="es-ES_tradnl"/>
        </w:rPr>
        <w:t xml:space="preserve">Artículo 14.- </w:t>
      </w:r>
      <w:r w:rsidRPr="00184A73">
        <w:rPr>
          <w:rFonts w:ascii="Palatino Linotype" w:hAnsi="Palatino Linotype" w:cs="Arial"/>
          <w:b/>
          <w:bCs/>
          <w:sz w:val="22"/>
          <w:szCs w:val="22"/>
          <w:lang w:val="es-ES_tradnl"/>
        </w:rPr>
        <w:t xml:space="preserve">Solicitudes de ampliación de plazo.- </w:t>
      </w:r>
      <w:r w:rsidRPr="00184A73">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2233B" w:rsidRPr="00184A73" w:rsidRDefault="00D2233B" w:rsidP="00D2233B">
      <w:pPr>
        <w:spacing w:after="240" w:line="276" w:lineRule="auto"/>
        <w:jc w:val="both"/>
        <w:rPr>
          <w:rFonts w:ascii="Palatino Linotype" w:hAnsi="Palatino Linotype" w:cs="Arial"/>
          <w:bCs/>
          <w:sz w:val="22"/>
          <w:szCs w:val="22"/>
          <w:lang w:val="es-ES_tradnl"/>
        </w:rPr>
      </w:pPr>
      <w:r w:rsidRPr="00184A73">
        <w:rPr>
          <w:rFonts w:ascii="Palatino Linotype" w:hAnsi="Palatino Linotype" w:cs="Arial"/>
          <w:b/>
          <w:bCs/>
          <w:sz w:val="22"/>
          <w:szCs w:val="22"/>
          <w:lang w:val="es-ES_tradnl"/>
        </w:rPr>
        <w:t xml:space="preserve">Artículo 15.- Potestad de </w:t>
      </w:r>
      <w:r w:rsidR="00184A73">
        <w:rPr>
          <w:rFonts w:ascii="Palatino Linotype" w:hAnsi="Palatino Linotype" w:cs="Arial"/>
          <w:b/>
          <w:bCs/>
          <w:sz w:val="22"/>
          <w:szCs w:val="22"/>
          <w:lang w:val="es-ES_tradnl"/>
        </w:rPr>
        <w:t>e</w:t>
      </w:r>
      <w:r w:rsidRPr="00184A73">
        <w:rPr>
          <w:rFonts w:ascii="Palatino Linotype" w:hAnsi="Palatino Linotype" w:cs="Arial"/>
          <w:b/>
          <w:bCs/>
          <w:sz w:val="22"/>
          <w:szCs w:val="22"/>
          <w:lang w:val="es-ES_tradnl"/>
        </w:rPr>
        <w:t xml:space="preserve">jecución.- </w:t>
      </w:r>
      <w:r w:rsidRPr="00184A73">
        <w:rPr>
          <w:rFonts w:ascii="Palatino Linotype" w:hAnsi="Palatino Linotype" w:cs="Arial"/>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A5D17" w:rsidRPr="00184A73" w:rsidRDefault="00BA5D17" w:rsidP="00D2233B">
      <w:pPr>
        <w:spacing w:after="240" w:line="276" w:lineRule="auto"/>
        <w:jc w:val="both"/>
        <w:rPr>
          <w:rFonts w:ascii="Palatino Linotype" w:hAnsi="Palatino Linotype" w:cs="Arial"/>
          <w:bCs/>
          <w:sz w:val="22"/>
          <w:szCs w:val="22"/>
          <w:lang w:val="es-ES_tradnl"/>
        </w:rPr>
      </w:pPr>
      <w:r w:rsidRPr="00184A73">
        <w:rPr>
          <w:rFonts w:ascii="Palatino Linotype" w:hAnsi="Palatino Linotype" w:cs="Arial"/>
          <w:b/>
          <w:sz w:val="22"/>
          <w:szCs w:val="22"/>
          <w:lang w:val="es-ES_tradnl"/>
        </w:rPr>
        <w:t xml:space="preserve">Disposición </w:t>
      </w:r>
      <w:r w:rsidR="00391052">
        <w:rPr>
          <w:rFonts w:ascii="Palatino Linotype" w:hAnsi="Palatino Linotype" w:cs="Arial"/>
          <w:b/>
          <w:sz w:val="22"/>
          <w:szCs w:val="22"/>
          <w:lang w:val="es-ES_tradnl"/>
        </w:rPr>
        <w:t>f</w:t>
      </w:r>
      <w:r w:rsidRPr="00184A73">
        <w:rPr>
          <w:rFonts w:ascii="Palatino Linotype" w:hAnsi="Palatino Linotype" w:cs="Arial"/>
          <w:b/>
          <w:sz w:val="22"/>
          <w:szCs w:val="22"/>
          <w:lang w:val="es-ES_tradnl"/>
        </w:rPr>
        <w:t xml:space="preserve">inal.- </w:t>
      </w:r>
      <w:r w:rsidRPr="00184A73">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184A73" w:rsidRDefault="00302F52" w:rsidP="0013584F">
      <w:pPr>
        <w:spacing w:before="240" w:line="276" w:lineRule="auto"/>
        <w:jc w:val="both"/>
        <w:rPr>
          <w:rFonts w:ascii="Palatino Linotype" w:hAnsi="Palatino Linotype" w:cs="Arial"/>
          <w:sz w:val="22"/>
          <w:szCs w:val="22"/>
        </w:rPr>
      </w:pPr>
      <w:r w:rsidRPr="00184A73">
        <w:rPr>
          <w:rFonts w:ascii="Palatino Linotype" w:hAnsi="Palatino Linotype" w:cs="Arial"/>
          <w:sz w:val="22"/>
          <w:szCs w:val="22"/>
        </w:rPr>
        <w:t xml:space="preserve">Dada, en la Sala de Sesiones del Concejo Metropolitano de Quito, el </w:t>
      </w:r>
      <w:r w:rsidR="00391052">
        <w:rPr>
          <w:rFonts w:ascii="Palatino Linotype" w:hAnsi="Palatino Linotype" w:cs="Arial"/>
          <w:sz w:val="22"/>
          <w:szCs w:val="22"/>
        </w:rPr>
        <w:t>27</w:t>
      </w:r>
      <w:r w:rsidRPr="00184A73">
        <w:rPr>
          <w:rFonts w:ascii="Palatino Linotype" w:hAnsi="Palatino Linotype" w:cs="Arial"/>
          <w:sz w:val="22"/>
          <w:szCs w:val="22"/>
        </w:rPr>
        <w:t xml:space="preserve"> de </w:t>
      </w:r>
      <w:r w:rsidR="00391052">
        <w:rPr>
          <w:rFonts w:ascii="Palatino Linotype" w:hAnsi="Palatino Linotype" w:cs="Arial"/>
          <w:sz w:val="22"/>
          <w:szCs w:val="22"/>
        </w:rPr>
        <w:t xml:space="preserve">agosto </w:t>
      </w:r>
      <w:r w:rsidRPr="00184A73">
        <w:rPr>
          <w:rFonts w:ascii="Palatino Linotype" w:hAnsi="Palatino Linotype" w:cs="Arial"/>
          <w:sz w:val="22"/>
          <w:szCs w:val="22"/>
        </w:rPr>
        <w:t>de 201</w:t>
      </w:r>
      <w:r w:rsidR="00BA5D17" w:rsidRPr="00184A73">
        <w:rPr>
          <w:rFonts w:ascii="Palatino Linotype" w:hAnsi="Palatino Linotype" w:cs="Arial"/>
          <w:sz w:val="22"/>
          <w:szCs w:val="22"/>
        </w:rPr>
        <w:t>5</w:t>
      </w:r>
      <w:r w:rsidRPr="00184A73">
        <w:rPr>
          <w:rFonts w:ascii="Palatino Linotype" w:hAnsi="Palatino Linotype" w:cs="Arial"/>
          <w:sz w:val="22"/>
          <w:szCs w:val="22"/>
        </w:rPr>
        <w:t>.</w:t>
      </w:r>
    </w:p>
    <w:p w:rsidR="00302F52" w:rsidRPr="00184A73"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184A73"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184A73" w:rsidTr="00A571E2">
        <w:trPr>
          <w:jc w:val="center"/>
        </w:trPr>
        <w:tc>
          <w:tcPr>
            <w:tcW w:w="5575" w:type="dxa"/>
            <w:hideMark/>
          </w:tcPr>
          <w:p w:rsidR="00302F52" w:rsidRPr="00184A73" w:rsidRDefault="00391052" w:rsidP="00A571E2">
            <w:pPr>
              <w:pStyle w:val="Textopredeterminado"/>
              <w:jc w:val="center"/>
              <w:rPr>
                <w:rFonts w:ascii="Palatino Linotype" w:hAnsi="Palatino Linotype" w:cs="Arial"/>
                <w:sz w:val="19"/>
                <w:szCs w:val="19"/>
              </w:rPr>
            </w:pPr>
            <w:r>
              <w:rPr>
                <w:rFonts w:ascii="Palatino Linotype" w:hAnsi="Palatino Linotype" w:cs="Arial"/>
                <w:sz w:val="19"/>
                <w:szCs w:val="19"/>
              </w:rPr>
              <w:t>Ing. Anabel Hermosa Acosta</w:t>
            </w:r>
          </w:p>
          <w:p w:rsidR="00302F52" w:rsidRPr="00184A73" w:rsidRDefault="00391052" w:rsidP="00A571E2">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Segunda </w:t>
            </w:r>
            <w:r w:rsidR="00302F52" w:rsidRPr="00184A73">
              <w:rPr>
                <w:rFonts w:ascii="Palatino Linotype" w:hAnsi="Palatino Linotype" w:cs="Arial"/>
                <w:b/>
                <w:sz w:val="19"/>
                <w:szCs w:val="19"/>
              </w:rPr>
              <w:t>Vicepresidenta del Concejo Metropolitano de Quito</w:t>
            </w:r>
          </w:p>
        </w:tc>
        <w:tc>
          <w:tcPr>
            <w:tcW w:w="5324" w:type="dxa"/>
            <w:hideMark/>
          </w:tcPr>
          <w:p w:rsidR="00302F52" w:rsidRPr="00184A73" w:rsidRDefault="00302F52" w:rsidP="00A571E2">
            <w:pPr>
              <w:pStyle w:val="Textopredeterminado"/>
              <w:jc w:val="center"/>
              <w:rPr>
                <w:rFonts w:ascii="Palatino Linotype" w:hAnsi="Palatino Linotype" w:cs="Arial"/>
                <w:sz w:val="19"/>
                <w:szCs w:val="19"/>
              </w:rPr>
            </w:pPr>
            <w:r w:rsidRPr="00184A73">
              <w:rPr>
                <w:rFonts w:ascii="Palatino Linotype" w:hAnsi="Palatino Linotype" w:cs="Arial"/>
                <w:sz w:val="19"/>
                <w:szCs w:val="19"/>
              </w:rPr>
              <w:t>Dr. Mauricio Bustamante Holguín</w:t>
            </w:r>
          </w:p>
          <w:p w:rsidR="00302F52" w:rsidRPr="00184A73" w:rsidRDefault="00302F52" w:rsidP="00A571E2">
            <w:pPr>
              <w:pStyle w:val="Textopredeterminado"/>
              <w:jc w:val="center"/>
              <w:rPr>
                <w:rFonts w:ascii="Palatino Linotype" w:hAnsi="Palatino Linotype" w:cs="Arial"/>
                <w:b/>
                <w:sz w:val="19"/>
                <w:szCs w:val="19"/>
              </w:rPr>
            </w:pPr>
            <w:r w:rsidRPr="00184A73">
              <w:rPr>
                <w:rFonts w:ascii="Palatino Linotype" w:hAnsi="Palatino Linotype" w:cs="Arial"/>
                <w:b/>
                <w:sz w:val="19"/>
                <w:szCs w:val="19"/>
              </w:rPr>
              <w:t>Secretario General del Concejo Metropolitano de Quito</w:t>
            </w:r>
          </w:p>
          <w:p w:rsidR="00302F52" w:rsidRPr="00184A73" w:rsidRDefault="00302F52" w:rsidP="00A571E2">
            <w:pPr>
              <w:pStyle w:val="Textopredeterminado"/>
              <w:jc w:val="center"/>
              <w:rPr>
                <w:rFonts w:ascii="Palatino Linotype" w:hAnsi="Palatino Linotype" w:cs="Arial"/>
                <w:b/>
                <w:sz w:val="19"/>
                <w:szCs w:val="19"/>
              </w:rPr>
            </w:pPr>
          </w:p>
          <w:p w:rsidR="00A01024" w:rsidRPr="00184A73" w:rsidRDefault="00A01024" w:rsidP="00A571E2">
            <w:pPr>
              <w:pStyle w:val="Textopredeterminado"/>
              <w:jc w:val="center"/>
              <w:rPr>
                <w:rFonts w:ascii="Palatino Linotype" w:hAnsi="Palatino Linotype" w:cs="Arial"/>
                <w:b/>
                <w:sz w:val="19"/>
                <w:szCs w:val="19"/>
              </w:rPr>
            </w:pPr>
          </w:p>
          <w:p w:rsidR="00A01024" w:rsidRPr="00184A73" w:rsidRDefault="00A01024" w:rsidP="00A571E2">
            <w:pPr>
              <w:pStyle w:val="Textopredeterminado"/>
              <w:jc w:val="center"/>
              <w:rPr>
                <w:rFonts w:ascii="Palatino Linotype" w:hAnsi="Palatino Linotype" w:cs="Arial"/>
                <w:b/>
                <w:sz w:val="19"/>
                <w:szCs w:val="19"/>
              </w:rPr>
            </w:pPr>
          </w:p>
          <w:p w:rsidR="00A01024" w:rsidRPr="00184A73" w:rsidRDefault="00A01024" w:rsidP="00A571E2">
            <w:pPr>
              <w:pStyle w:val="Textopredeterminado"/>
              <w:jc w:val="center"/>
              <w:rPr>
                <w:rFonts w:ascii="Palatino Linotype" w:hAnsi="Palatino Linotype" w:cs="Arial"/>
                <w:b/>
                <w:sz w:val="19"/>
                <w:szCs w:val="19"/>
              </w:rPr>
            </w:pPr>
          </w:p>
          <w:p w:rsidR="00A01024" w:rsidRPr="00184A73" w:rsidRDefault="00A01024" w:rsidP="00A571E2">
            <w:pPr>
              <w:pStyle w:val="Textopredeterminado"/>
              <w:jc w:val="center"/>
              <w:rPr>
                <w:rFonts w:ascii="Palatino Linotype" w:hAnsi="Palatino Linotype" w:cs="Arial"/>
                <w:b/>
                <w:sz w:val="19"/>
                <w:szCs w:val="19"/>
              </w:rPr>
            </w:pPr>
          </w:p>
          <w:p w:rsidR="00A01024" w:rsidRPr="00184A73" w:rsidRDefault="00A01024" w:rsidP="00A571E2">
            <w:pPr>
              <w:pStyle w:val="Textopredeterminado"/>
              <w:jc w:val="center"/>
              <w:rPr>
                <w:rFonts w:ascii="Palatino Linotype" w:hAnsi="Palatino Linotype" w:cs="Arial"/>
                <w:b/>
                <w:sz w:val="19"/>
                <w:szCs w:val="19"/>
              </w:rPr>
            </w:pPr>
          </w:p>
        </w:tc>
      </w:tr>
    </w:tbl>
    <w:p w:rsidR="00302F52" w:rsidRPr="00184A73"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lastRenderedPageBreak/>
        <w:t>CERTIFICADO DE DISCUSIÓN</w:t>
      </w:r>
    </w:p>
    <w:p w:rsidR="00302F52" w:rsidRPr="00184A73" w:rsidRDefault="00302F52" w:rsidP="00302F52">
      <w:pPr>
        <w:pStyle w:val="Textosinformato"/>
        <w:jc w:val="both"/>
        <w:rPr>
          <w:rFonts w:ascii="Palatino Linotype" w:eastAsia="MS Mincho" w:hAnsi="Palatino Linotype" w:cs="Arial"/>
          <w:sz w:val="22"/>
          <w:szCs w:val="22"/>
        </w:rPr>
      </w:pPr>
    </w:p>
    <w:p w:rsidR="00302F52" w:rsidRPr="00184A73" w:rsidRDefault="00302F52" w:rsidP="00302F52">
      <w:pPr>
        <w:pStyle w:val="Textosinformato"/>
        <w:spacing w:line="276" w:lineRule="auto"/>
        <w:jc w:val="both"/>
        <w:rPr>
          <w:rFonts w:ascii="Palatino Linotype" w:eastAsia="MS Mincho" w:hAnsi="Palatino Linotype" w:cs="Arial"/>
          <w:sz w:val="22"/>
          <w:szCs w:val="22"/>
        </w:rPr>
      </w:pPr>
      <w:r w:rsidRPr="00184A73">
        <w:rPr>
          <w:rFonts w:ascii="Palatino Linotype" w:eastAsia="MS Mincho" w:hAnsi="Palatino Linotype" w:cs="Arial"/>
          <w:sz w:val="22"/>
          <w:szCs w:val="22"/>
        </w:rPr>
        <w:t>El infrascrito Secretario General del Concejo Metropolitano de Quito, certifica que la presente ordenanza fue discutida y aprobada</w:t>
      </w:r>
      <w:r w:rsidR="000A0F48" w:rsidRPr="00184A73">
        <w:rPr>
          <w:rFonts w:ascii="Palatino Linotype" w:eastAsia="MS Mincho" w:hAnsi="Palatino Linotype" w:cs="Arial"/>
          <w:sz w:val="22"/>
          <w:szCs w:val="22"/>
        </w:rPr>
        <w:t xml:space="preserve"> en dos debates, en sesiones de </w:t>
      </w:r>
      <w:r w:rsidR="00391052">
        <w:rPr>
          <w:rFonts w:ascii="Palatino Linotype" w:eastAsia="MS Mincho" w:hAnsi="Palatino Linotype" w:cs="Arial"/>
          <w:sz w:val="22"/>
          <w:szCs w:val="22"/>
        </w:rPr>
        <w:t>13</w:t>
      </w:r>
      <w:r w:rsidR="000A0F48" w:rsidRPr="00184A73">
        <w:rPr>
          <w:rFonts w:ascii="Palatino Linotype" w:eastAsia="MS Mincho" w:hAnsi="Palatino Linotype" w:cs="Arial"/>
          <w:sz w:val="22"/>
          <w:szCs w:val="22"/>
        </w:rPr>
        <w:t xml:space="preserve"> </w:t>
      </w:r>
      <w:r w:rsidRPr="00184A73">
        <w:rPr>
          <w:rFonts w:ascii="Palatino Linotype" w:eastAsia="MS Mincho" w:hAnsi="Palatino Linotype" w:cs="Arial"/>
          <w:sz w:val="22"/>
          <w:szCs w:val="22"/>
        </w:rPr>
        <w:t xml:space="preserve">y </w:t>
      </w:r>
      <w:r w:rsidR="00391052">
        <w:rPr>
          <w:rFonts w:ascii="Palatino Linotype" w:eastAsia="MS Mincho" w:hAnsi="Palatino Linotype" w:cs="Arial"/>
          <w:sz w:val="22"/>
          <w:szCs w:val="22"/>
        </w:rPr>
        <w:t>27</w:t>
      </w:r>
      <w:r w:rsidRPr="00184A73">
        <w:rPr>
          <w:rFonts w:ascii="Palatino Linotype" w:eastAsia="MS Mincho" w:hAnsi="Palatino Linotype" w:cs="Arial"/>
          <w:sz w:val="22"/>
          <w:szCs w:val="22"/>
        </w:rPr>
        <w:t xml:space="preserve"> de </w:t>
      </w:r>
      <w:r w:rsidR="00391052">
        <w:rPr>
          <w:rFonts w:ascii="Palatino Linotype" w:eastAsia="MS Mincho" w:hAnsi="Palatino Linotype" w:cs="Arial"/>
          <w:sz w:val="22"/>
          <w:szCs w:val="22"/>
        </w:rPr>
        <w:t xml:space="preserve">agosto </w:t>
      </w:r>
      <w:r w:rsidRPr="00184A73">
        <w:rPr>
          <w:rFonts w:ascii="Palatino Linotype" w:eastAsia="MS Mincho" w:hAnsi="Palatino Linotype" w:cs="Arial"/>
          <w:sz w:val="22"/>
          <w:szCs w:val="22"/>
        </w:rPr>
        <w:t>de 201</w:t>
      </w:r>
      <w:r w:rsidR="00BA5D17" w:rsidRPr="00184A73">
        <w:rPr>
          <w:rFonts w:ascii="Palatino Linotype" w:eastAsia="MS Mincho" w:hAnsi="Palatino Linotype" w:cs="Arial"/>
          <w:sz w:val="22"/>
          <w:szCs w:val="22"/>
        </w:rPr>
        <w:t>5</w:t>
      </w:r>
      <w:r w:rsidRPr="00184A73">
        <w:rPr>
          <w:rFonts w:ascii="Palatino Linotype" w:eastAsia="MS Mincho" w:hAnsi="Palatino Linotype" w:cs="Arial"/>
          <w:sz w:val="22"/>
          <w:szCs w:val="22"/>
        </w:rPr>
        <w:t>.- Quito,</w:t>
      </w:r>
    </w:p>
    <w:p w:rsidR="00302F52" w:rsidRPr="00184A73" w:rsidRDefault="00302F52" w:rsidP="00302F52">
      <w:pPr>
        <w:pStyle w:val="Textosinformato"/>
        <w:jc w:val="both"/>
        <w:rPr>
          <w:rFonts w:ascii="Palatino Linotype" w:eastAsia="MS Mincho" w:hAnsi="Palatino Linotype" w:cs="Arial"/>
          <w:sz w:val="22"/>
          <w:szCs w:val="22"/>
        </w:rPr>
      </w:pPr>
    </w:p>
    <w:p w:rsidR="00A44DC3" w:rsidRPr="00184A73" w:rsidRDefault="00A44DC3" w:rsidP="00302F52">
      <w:pPr>
        <w:pStyle w:val="Textosinformato"/>
        <w:jc w:val="center"/>
        <w:rPr>
          <w:rFonts w:ascii="Palatino Linotype" w:eastAsia="MS Mincho" w:hAnsi="Palatino Linotype" w:cs="Arial"/>
          <w:sz w:val="22"/>
          <w:szCs w:val="22"/>
        </w:rPr>
      </w:pPr>
    </w:p>
    <w:p w:rsidR="008079C6" w:rsidRPr="00184A73" w:rsidRDefault="008079C6"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sz w:val="22"/>
          <w:szCs w:val="22"/>
        </w:rPr>
        <w:t>Dr. Mauricio Bustamante Holguín</w:t>
      </w:r>
    </w:p>
    <w:p w:rsidR="00302F52" w:rsidRPr="00184A73" w:rsidRDefault="00302F52" w:rsidP="00302F52">
      <w:pPr>
        <w:pStyle w:val="Textosinformato"/>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t>SECRETARIO GENERAL DEL CONCEJO METROPOLITANO DE QUITO</w:t>
      </w: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b/>
          <w:bCs/>
          <w:sz w:val="22"/>
          <w:szCs w:val="22"/>
        </w:rPr>
        <w:t>ALCALDÍA DEL DISTRITO METROPOLITANO.-</w:t>
      </w:r>
      <w:r w:rsidRPr="00184A73">
        <w:rPr>
          <w:rFonts w:ascii="Palatino Linotype" w:eastAsia="MS Mincho" w:hAnsi="Palatino Linotype" w:cs="Arial"/>
          <w:sz w:val="22"/>
          <w:szCs w:val="22"/>
        </w:rPr>
        <w:t xml:space="preserve">  Distrito Metropolitano de Quito,</w:t>
      </w:r>
    </w:p>
    <w:p w:rsidR="00302F52" w:rsidRPr="00184A73" w:rsidRDefault="00302F52" w:rsidP="00302F52">
      <w:pPr>
        <w:pStyle w:val="Textosinformato"/>
        <w:jc w:val="center"/>
        <w:rPr>
          <w:rFonts w:ascii="Palatino Linotype" w:eastAsia="MS Mincho" w:hAnsi="Palatino Linotype" w:cs="Arial"/>
          <w:b/>
          <w:sz w:val="22"/>
          <w:szCs w:val="22"/>
        </w:rPr>
      </w:pPr>
    </w:p>
    <w:p w:rsidR="00302F52" w:rsidRPr="00184A73" w:rsidRDefault="00302F52" w:rsidP="00302F52">
      <w:pPr>
        <w:pStyle w:val="Textosinformato"/>
        <w:jc w:val="center"/>
        <w:rPr>
          <w:rFonts w:ascii="Palatino Linotype" w:eastAsia="MS Mincho" w:hAnsi="Palatino Linotype" w:cs="Arial"/>
          <w:b/>
          <w:sz w:val="22"/>
          <w:szCs w:val="22"/>
        </w:rPr>
      </w:pPr>
      <w:r w:rsidRPr="00184A73">
        <w:rPr>
          <w:rFonts w:ascii="Palatino Linotype" w:eastAsia="MS Mincho" w:hAnsi="Palatino Linotype" w:cs="Arial"/>
          <w:b/>
          <w:sz w:val="22"/>
          <w:szCs w:val="22"/>
        </w:rPr>
        <w:t>EJECÚTESE:</w:t>
      </w:r>
    </w:p>
    <w:p w:rsidR="00302F52" w:rsidRPr="00184A73" w:rsidRDefault="00302F52" w:rsidP="00302F52">
      <w:pPr>
        <w:pStyle w:val="Textosinformato"/>
        <w:jc w:val="center"/>
        <w:rPr>
          <w:rFonts w:ascii="Palatino Linotype" w:eastAsia="MS Mincho" w:hAnsi="Palatino Linotype" w:cs="Arial"/>
          <w:sz w:val="22"/>
          <w:szCs w:val="22"/>
        </w:rPr>
      </w:pPr>
    </w:p>
    <w:p w:rsidR="002D3569" w:rsidRPr="00184A73" w:rsidRDefault="002D3569" w:rsidP="00302F52">
      <w:pPr>
        <w:pStyle w:val="Textosinformato"/>
        <w:jc w:val="center"/>
        <w:rPr>
          <w:rFonts w:ascii="Palatino Linotype" w:eastAsia="MS Mincho" w:hAnsi="Palatino Linotype" w:cs="Arial"/>
          <w:sz w:val="22"/>
          <w:szCs w:val="22"/>
        </w:rPr>
      </w:pPr>
    </w:p>
    <w:p w:rsidR="008079C6" w:rsidRPr="00184A73" w:rsidRDefault="008079C6"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sz w:val="22"/>
          <w:szCs w:val="22"/>
        </w:rPr>
        <w:t>Dr. Mauricio Rodas Espinel</w:t>
      </w:r>
    </w:p>
    <w:p w:rsidR="00302F52" w:rsidRPr="00184A73" w:rsidRDefault="00302F52" w:rsidP="00302F52">
      <w:pPr>
        <w:pStyle w:val="Textosinformato"/>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t>ALCALDE DEL DISTRITO METROPOLITANO DE QUITO</w:t>
      </w: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spacing w:line="276" w:lineRule="auto"/>
        <w:jc w:val="both"/>
        <w:rPr>
          <w:rFonts w:ascii="Palatino Linotype" w:eastAsia="MS Mincho" w:hAnsi="Palatino Linotype" w:cs="Arial"/>
          <w:sz w:val="22"/>
          <w:szCs w:val="22"/>
        </w:rPr>
      </w:pPr>
      <w:r w:rsidRPr="00184A73">
        <w:rPr>
          <w:rFonts w:ascii="Palatino Linotype" w:eastAsia="MS Mincho" w:hAnsi="Palatino Linotype" w:cs="Arial"/>
          <w:b/>
          <w:bCs/>
          <w:sz w:val="22"/>
          <w:szCs w:val="22"/>
        </w:rPr>
        <w:t>CERTIFICO,</w:t>
      </w:r>
      <w:r w:rsidRPr="00184A73">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184A73"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184A73">
        <w:rPr>
          <w:rFonts w:ascii="Palatino Linotype" w:eastAsia="MS Mincho" w:hAnsi="Palatino Linotype" w:cs="Arial"/>
          <w:sz w:val="22"/>
          <w:szCs w:val="22"/>
        </w:rPr>
        <w:t>.- Distrito Metropolitano de Quito,</w:t>
      </w: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p>
    <w:p w:rsidR="00A44DC3" w:rsidRPr="00184A73" w:rsidRDefault="00A44DC3"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sz w:val="22"/>
          <w:szCs w:val="22"/>
        </w:rPr>
        <w:t>Dr. Mauricio Bustamante Holguín</w:t>
      </w:r>
    </w:p>
    <w:p w:rsidR="00CA554A" w:rsidRDefault="00302F52" w:rsidP="00111D4F">
      <w:pPr>
        <w:pStyle w:val="Textosinformato"/>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t>SECRETARIO GENERAL DEL CONCEJO METROPOLITANO DE QUITO</w:t>
      </w:r>
    </w:p>
    <w:p w:rsidR="00391052" w:rsidRPr="00391052" w:rsidRDefault="00391052" w:rsidP="00391052">
      <w:pPr>
        <w:pStyle w:val="Textosinformato"/>
        <w:rPr>
          <w:rFonts w:ascii="Palatino Linotype" w:eastAsia="MS Mincho" w:hAnsi="Palatino Linotype" w:cs="Arial"/>
          <w:bCs/>
          <w:sz w:val="14"/>
          <w:szCs w:val="14"/>
        </w:rPr>
      </w:pPr>
      <w:r w:rsidRPr="00391052">
        <w:rPr>
          <w:rFonts w:ascii="Palatino Linotype" w:eastAsia="MS Mincho" w:hAnsi="Palatino Linotype" w:cs="Arial"/>
          <w:bCs/>
          <w:sz w:val="14"/>
          <w:szCs w:val="14"/>
        </w:rPr>
        <w:t>DSCS</w:t>
      </w:r>
    </w:p>
    <w:sectPr w:rsidR="00391052" w:rsidRPr="00391052" w:rsidSect="008079C6">
      <w:headerReference w:type="even" r:id="rId12"/>
      <w:headerReference w:type="default" r:id="rId13"/>
      <w:footerReference w:type="default" r:id="rId14"/>
      <w:headerReference w:type="first" r:id="rId15"/>
      <w:pgSz w:w="11906" w:h="16838"/>
      <w:pgMar w:top="3402" w:right="1133"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C11" w:rsidRDefault="009F4C11" w:rsidP="00B14643">
      <w:r>
        <w:separator/>
      </w:r>
    </w:p>
  </w:endnote>
  <w:endnote w:type="continuationSeparator" w:id="1">
    <w:p w:rsidR="009F4C11" w:rsidRDefault="009F4C11"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Pr="00723B61" w:rsidRDefault="009F4C11">
    <w:pPr>
      <w:pStyle w:val="Piedepgina"/>
      <w:jc w:val="right"/>
      <w:rPr>
        <w:rFonts w:ascii="Palatino Linotype" w:hAnsi="Palatino Linotype"/>
      </w:rPr>
    </w:pPr>
  </w:p>
  <w:p w:rsidR="009F4C11" w:rsidRDefault="009F4C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Pr="00723B61" w:rsidRDefault="009F4C11" w:rsidP="003078EC">
    <w:pPr>
      <w:pStyle w:val="Piedepgina"/>
      <w:jc w:val="right"/>
      <w:rPr>
        <w:rFonts w:ascii="Palatino Linotype" w:hAnsi="Palatino Linotype"/>
      </w:rPr>
    </w:pPr>
    <w:r w:rsidRPr="00723B61">
      <w:rPr>
        <w:rFonts w:ascii="Palatino Linotype" w:hAnsi="Palatino Linotype"/>
      </w:rPr>
      <w:t xml:space="preserve">Página </w:t>
    </w:r>
    <w:r w:rsidR="005D675B" w:rsidRPr="00723B61">
      <w:rPr>
        <w:rFonts w:ascii="Palatino Linotype" w:hAnsi="Palatino Linotype"/>
        <w:b/>
        <w:sz w:val="24"/>
        <w:szCs w:val="24"/>
      </w:rPr>
      <w:fldChar w:fldCharType="begin"/>
    </w:r>
    <w:r w:rsidRPr="00723B61">
      <w:rPr>
        <w:rFonts w:ascii="Palatino Linotype" w:hAnsi="Palatino Linotype"/>
        <w:b/>
      </w:rPr>
      <w:instrText>PAGE</w:instrText>
    </w:r>
    <w:r w:rsidR="005D675B" w:rsidRPr="00723B61">
      <w:rPr>
        <w:rFonts w:ascii="Palatino Linotype" w:hAnsi="Palatino Linotype"/>
        <w:b/>
        <w:sz w:val="24"/>
        <w:szCs w:val="24"/>
      </w:rPr>
      <w:fldChar w:fldCharType="separate"/>
    </w:r>
    <w:r w:rsidR="00391052">
      <w:rPr>
        <w:rFonts w:ascii="Palatino Linotype" w:hAnsi="Palatino Linotype"/>
        <w:b/>
        <w:noProof/>
      </w:rPr>
      <w:t>2</w:t>
    </w:r>
    <w:r w:rsidR="005D675B" w:rsidRPr="00723B61">
      <w:rPr>
        <w:rFonts w:ascii="Palatino Linotype" w:hAnsi="Palatino Linotype"/>
        <w:b/>
        <w:sz w:val="24"/>
        <w:szCs w:val="24"/>
      </w:rPr>
      <w:fldChar w:fldCharType="end"/>
    </w:r>
    <w:r w:rsidRPr="00723B61">
      <w:rPr>
        <w:rFonts w:ascii="Palatino Linotype" w:hAnsi="Palatino Linotype"/>
      </w:rPr>
      <w:t xml:space="preserve"> de </w:t>
    </w:r>
    <w:r w:rsidR="00184A73">
      <w:rPr>
        <w:rFonts w:ascii="Palatino Linotype" w:hAnsi="Palatino Linotype"/>
        <w:b/>
      </w:rPr>
      <w:t>9</w:t>
    </w:r>
  </w:p>
  <w:p w:rsidR="009F4C11" w:rsidRDefault="009F4C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C11" w:rsidRDefault="009F4C11" w:rsidP="00B14643">
      <w:r>
        <w:separator/>
      </w:r>
    </w:p>
  </w:footnote>
  <w:footnote w:type="continuationSeparator" w:id="1">
    <w:p w:rsidR="009F4C11" w:rsidRDefault="009F4C11"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Default="009F4C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Default="009F4C11">
    <w:pPr>
      <w:pStyle w:val="Encabezado"/>
      <w:rPr>
        <w:lang w:val="es-EC"/>
      </w:rPr>
    </w:pPr>
  </w:p>
  <w:p w:rsidR="009F4C11" w:rsidRDefault="009F4C11">
    <w:pPr>
      <w:pStyle w:val="Encabezado"/>
      <w:rPr>
        <w:lang w:val="es-EC"/>
      </w:rPr>
    </w:pPr>
  </w:p>
  <w:p w:rsidR="009F4C11" w:rsidRDefault="009F4C11">
    <w:pPr>
      <w:pStyle w:val="Encabezado"/>
      <w:rPr>
        <w:lang w:val="es-EC"/>
      </w:rPr>
    </w:pPr>
  </w:p>
  <w:p w:rsidR="009F4C11" w:rsidRDefault="009F4C11">
    <w:pPr>
      <w:pStyle w:val="Encabezado"/>
      <w:rPr>
        <w:lang w:val="es-EC"/>
      </w:rPr>
    </w:pPr>
  </w:p>
  <w:p w:rsidR="009F4C11" w:rsidRDefault="009F4C11" w:rsidP="00150606">
    <w:pPr>
      <w:pStyle w:val="Ttulo"/>
      <w:rPr>
        <w:rFonts w:ascii="Palatino Linotype" w:hAnsi="Palatino Linotype" w:cs="Arial"/>
        <w:sz w:val="22"/>
        <w:szCs w:val="22"/>
      </w:rPr>
    </w:pPr>
  </w:p>
  <w:p w:rsidR="009F4C11" w:rsidRDefault="009F4C11" w:rsidP="00150606">
    <w:pPr>
      <w:pStyle w:val="Ttulo"/>
      <w:rPr>
        <w:rFonts w:ascii="Palatino Linotype" w:hAnsi="Palatino Linotype" w:cs="Arial"/>
        <w:sz w:val="22"/>
        <w:szCs w:val="22"/>
      </w:rPr>
    </w:pPr>
  </w:p>
  <w:p w:rsidR="009F4C11" w:rsidRDefault="009F4C11" w:rsidP="00150606">
    <w:pPr>
      <w:pStyle w:val="Ttulo"/>
      <w:rPr>
        <w:rFonts w:ascii="Palatino Linotype" w:hAnsi="Palatino Linotype" w:cs="Arial"/>
        <w:sz w:val="22"/>
        <w:szCs w:val="22"/>
      </w:rPr>
    </w:pPr>
  </w:p>
  <w:p w:rsidR="00391052" w:rsidRDefault="00391052" w:rsidP="00150606">
    <w:pPr>
      <w:pStyle w:val="Ttulo"/>
      <w:rPr>
        <w:rFonts w:ascii="Palatino Linotype" w:hAnsi="Palatino Linotype" w:cs="Arial"/>
        <w:sz w:val="22"/>
        <w:szCs w:val="22"/>
      </w:rPr>
    </w:pPr>
  </w:p>
  <w:p w:rsidR="009F4C11" w:rsidRPr="00476B21" w:rsidRDefault="009F4C11"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9F4C11" w:rsidRPr="00150606" w:rsidRDefault="009F4C11">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Default="009F4C11">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Default="009F4C11">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Default="009F4C11" w:rsidP="002D3569">
    <w:pPr>
      <w:pStyle w:val="Ttulo"/>
      <w:rPr>
        <w:rFonts w:ascii="Palatino Linotype" w:hAnsi="Palatino Linotype" w:cs="Arial"/>
        <w:sz w:val="22"/>
        <w:szCs w:val="22"/>
      </w:rPr>
    </w:pPr>
  </w:p>
  <w:p w:rsidR="009F4C11" w:rsidRDefault="009F4C11" w:rsidP="002D3569">
    <w:pPr>
      <w:pStyle w:val="Ttulo"/>
      <w:rPr>
        <w:rFonts w:ascii="Palatino Linotype" w:hAnsi="Palatino Linotype" w:cs="Arial"/>
        <w:sz w:val="22"/>
        <w:szCs w:val="22"/>
      </w:rPr>
    </w:pPr>
  </w:p>
  <w:p w:rsidR="009F4C11" w:rsidRDefault="009F4C11" w:rsidP="002D3569">
    <w:pPr>
      <w:pStyle w:val="Ttulo"/>
      <w:rPr>
        <w:rFonts w:ascii="Palatino Linotype" w:hAnsi="Palatino Linotype" w:cs="Arial"/>
        <w:sz w:val="22"/>
        <w:szCs w:val="22"/>
      </w:rPr>
    </w:pPr>
  </w:p>
  <w:p w:rsidR="009F4C11" w:rsidRDefault="009F4C11" w:rsidP="002D3569">
    <w:pPr>
      <w:pStyle w:val="Ttulo"/>
      <w:rPr>
        <w:rFonts w:ascii="Palatino Linotype" w:hAnsi="Palatino Linotype" w:cs="Arial"/>
        <w:sz w:val="22"/>
        <w:szCs w:val="22"/>
      </w:rPr>
    </w:pPr>
  </w:p>
  <w:p w:rsidR="009F4C11" w:rsidRDefault="009F4C11" w:rsidP="002D3569">
    <w:pPr>
      <w:pStyle w:val="Ttulo"/>
      <w:rPr>
        <w:rFonts w:ascii="Palatino Linotype" w:hAnsi="Palatino Linotype" w:cs="Arial"/>
        <w:sz w:val="22"/>
        <w:szCs w:val="22"/>
      </w:rPr>
    </w:pPr>
  </w:p>
  <w:p w:rsidR="009F4C11" w:rsidRDefault="009F4C11" w:rsidP="002D3569">
    <w:pPr>
      <w:pStyle w:val="Ttulo"/>
      <w:rPr>
        <w:rFonts w:ascii="Palatino Linotype" w:hAnsi="Palatino Linotype" w:cs="Arial"/>
        <w:sz w:val="22"/>
        <w:szCs w:val="22"/>
      </w:rPr>
    </w:pPr>
  </w:p>
  <w:p w:rsidR="009F4C11" w:rsidRDefault="009F4C11" w:rsidP="002D3569">
    <w:pPr>
      <w:pStyle w:val="Ttulo"/>
      <w:rPr>
        <w:rFonts w:ascii="Palatino Linotype" w:hAnsi="Palatino Linotype" w:cs="Arial"/>
        <w:sz w:val="22"/>
        <w:szCs w:val="22"/>
      </w:rPr>
    </w:pPr>
  </w:p>
  <w:p w:rsidR="009F4C11" w:rsidRPr="00476B21" w:rsidRDefault="009F4C11"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9F4C11" w:rsidRDefault="009F4C11">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11" w:rsidRDefault="009F4C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1">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29"/>
  </w:num>
  <w:num w:numId="12">
    <w:abstractNumId w:val="1"/>
  </w:num>
  <w:num w:numId="13">
    <w:abstractNumId w:val="30"/>
  </w:num>
  <w:num w:numId="14">
    <w:abstractNumId w:val="24"/>
  </w:num>
  <w:num w:numId="15">
    <w:abstractNumId w:val="11"/>
  </w:num>
  <w:num w:numId="16">
    <w:abstractNumId w:val="14"/>
  </w:num>
  <w:num w:numId="17">
    <w:abstractNumId w:val="10"/>
  </w:num>
  <w:num w:numId="18">
    <w:abstractNumId w:val="25"/>
  </w:num>
  <w:num w:numId="19">
    <w:abstractNumId w:val="7"/>
  </w:num>
  <w:num w:numId="20">
    <w:abstractNumId w:val="19"/>
  </w:num>
  <w:num w:numId="21">
    <w:abstractNumId w:val="27"/>
  </w:num>
  <w:num w:numId="22">
    <w:abstractNumId w:val="18"/>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21"/>
  </w:num>
  <w:num w:numId="28">
    <w:abstractNumId w:val="17"/>
  </w:num>
  <w:num w:numId="29">
    <w:abstractNumId w:val="28"/>
  </w:num>
  <w:num w:numId="30">
    <w:abstractNumId w:val="9"/>
  </w:num>
  <w:num w:numId="31">
    <w:abstractNumId w:val="23"/>
  </w:num>
  <w:num w:numId="32">
    <w:abstractNumId w:val="12"/>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7175"/>
  </w:hdrShapeDefaults>
  <w:footnotePr>
    <w:footnote w:id="0"/>
    <w:footnote w:id="1"/>
  </w:footnotePr>
  <w:endnotePr>
    <w:endnote w:id="0"/>
    <w:endnote w:id="1"/>
  </w:endnotePr>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1052"/>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2F1D"/>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D675B"/>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234"/>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504D"/>
    <w:rsid w:val="00C96AAE"/>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620E-DFCF-4A5F-8342-5132978F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3191</Words>
  <Characters>17769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5</cp:revision>
  <cp:lastPrinted>2015-08-24T22:37:00Z</cp:lastPrinted>
  <dcterms:created xsi:type="dcterms:W3CDTF">2015-07-29T19:37:00Z</dcterms:created>
  <dcterms:modified xsi:type="dcterms:W3CDTF">2015-08-28T20:35:00Z</dcterms:modified>
</cp:coreProperties>
</file>