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EC" w:rsidRPr="001C788E" w:rsidRDefault="003078EC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1C788E">
        <w:rPr>
          <w:rFonts w:ascii="Palatino Linotype" w:hAnsi="Palatino Linotype" w:cs="Arial"/>
          <w:sz w:val="22"/>
          <w:szCs w:val="22"/>
        </w:rPr>
        <w:t>EXPOSICIÓN DE MOTIVOS</w:t>
      </w:r>
    </w:p>
    <w:p w:rsidR="003078EC" w:rsidRPr="001C788E" w:rsidRDefault="003078EC" w:rsidP="0045536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>La Constitución de la República del Ecuador, en su artículo 30, garantiza a las personas el “</w:t>
      </w:r>
      <w:r w:rsidRPr="001C788E">
        <w:rPr>
          <w:rFonts w:ascii="Palatino Linotype" w:hAnsi="Palatino Linotype" w:cs="Arial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3078EC" w:rsidRPr="00BA196D" w:rsidRDefault="003078EC" w:rsidP="0045536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 w:rsidRPr="001C788E">
        <w:rPr>
          <w:rFonts w:ascii="Palatino Linotype" w:hAnsi="Palatino Linotype" w:cs="Arial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</w:t>
      </w:r>
      <w:r w:rsidRPr="00BA196D">
        <w:rPr>
          <w:rFonts w:ascii="Palatino Linotype" w:hAnsi="Palatino Linotype" w:cs="Arial"/>
          <w:b w:val="0"/>
          <w:sz w:val="22"/>
          <w:szCs w:val="22"/>
        </w:rPr>
        <w:t xml:space="preserve">de regularización. </w:t>
      </w:r>
    </w:p>
    <w:p w:rsidR="0009638B" w:rsidRDefault="00153F7D" w:rsidP="0045536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El Asentamiento Humano de Hecho y Consolidado denominado </w:t>
      </w:r>
      <w:proofErr w:type="spellStart"/>
      <w:r>
        <w:rPr>
          <w:rFonts w:ascii="Palatino Linotype" w:hAnsi="Palatino Linotype" w:cs="Arial"/>
          <w:b w:val="0"/>
          <w:sz w:val="22"/>
          <w:szCs w:val="22"/>
        </w:rPr>
        <w:t>Pradesur</w:t>
      </w:r>
      <w:proofErr w:type="spellEnd"/>
      <w:r>
        <w:rPr>
          <w:rFonts w:ascii="Palatino Linotype" w:hAnsi="Palatino Linotype" w:cs="Arial"/>
          <w:b w:val="0"/>
          <w:sz w:val="22"/>
          <w:szCs w:val="22"/>
        </w:rPr>
        <w:t xml:space="preserve"> Etapa Uno</w:t>
      </w:r>
      <w:r w:rsidR="000E7241" w:rsidRPr="000E7241">
        <w:rPr>
          <w:rFonts w:ascii="Palatino Linotype" w:hAnsi="Palatino Linotype" w:cs="Arial"/>
          <w:b w:val="0"/>
          <w:sz w:val="22"/>
          <w:szCs w:val="22"/>
        </w:rPr>
        <w:t xml:space="preserve">, 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cuenta con </w:t>
      </w:r>
      <w:r>
        <w:rPr>
          <w:rFonts w:ascii="Palatino Linotype" w:hAnsi="Palatino Linotype" w:cs="Arial"/>
          <w:b w:val="0"/>
          <w:sz w:val="22"/>
          <w:szCs w:val="22"/>
        </w:rPr>
        <w:t>18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 xml:space="preserve"> años de asentamiento</w:t>
      </w:r>
      <w:r>
        <w:rPr>
          <w:rFonts w:ascii="Palatino Linotype" w:hAnsi="Palatino Linotype" w:cs="Arial"/>
          <w:b w:val="0"/>
          <w:sz w:val="22"/>
          <w:szCs w:val="22"/>
        </w:rPr>
        <w:t>, 41 socios, 49 lotes</w:t>
      </w:r>
      <w:r w:rsidR="009A54E0">
        <w:rPr>
          <w:rFonts w:ascii="Palatino Linotype" w:hAnsi="Palatino Linotype" w:cs="Arial"/>
          <w:b w:val="0"/>
          <w:sz w:val="22"/>
          <w:szCs w:val="22"/>
        </w:rPr>
        <w:t xml:space="preserve"> y </w:t>
      </w:r>
      <w:r>
        <w:rPr>
          <w:rFonts w:ascii="Palatino Linotype" w:hAnsi="Palatino Linotype" w:cs="Arial"/>
          <w:b w:val="0"/>
          <w:sz w:val="22"/>
          <w:szCs w:val="22"/>
        </w:rPr>
        <w:t>196</w:t>
      </w:r>
      <w:r w:rsidR="009A54E0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E7241">
        <w:rPr>
          <w:rFonts w:ascii="Palatino Linotype" w:hAnsi="Palatino Linotype" w:cs="Arial"/>
          <w:b w:val="0"/>
          <w:sz w:val="22"/>
          <w:szCs w:val="22"/>
        </w:rPr>
        <w:t>habitantes</w:t>
      </w:r>
      <w:r w:rsidR="003078EC" w:rsidRPr="00BA196D">
        <w:rPr>
          <w:rFonts w:ascii="Palatino Linotype" w:hAnsi="Palatino Linotype" w:cs="Arial"/>
          <w:b w:val="0"/>
          <w:sz w:val="22"/>
          <w:szCs w:val="22"/>
        </w:rPr>
        <w:t>.</w:t>
      </w:r>
      <w:r w:rsidR="000E7241">
        <w:rPr>
          <w:rFonts w:ascii="Palatino Linotype" w:hAnsi="Palatino Linotype" w:cs="Arial"/>
          <w:b w:val="0"/>
          <w:sz w:val="22"/>
          <w:szCs w:val="22"/>
        </w:rPr>
        <w:t xml:space="preserve"> </w:t>
      </w:r>
      <w:r w:rsidR="0009638B">
        <w:rPr>
          <w:rFonts w:ascii="Palatino Linotype" w:hAnsi="Palatino Linotype" w:cs="Arial"/>
          <w:b w:val="0"/>
          <w:sz w:val="22"/>
          <w:szCs w:val="22"/>
        </w:rPr>
        <w:t xml:space="preserve">Dicho barrio fue reconocido mediante </w:t>
      </w:r>
      <w:r w:rsidR="000E7241" w:rsidRPr="000E7241">
        <w:rPr>
          <w:rFonts w:ascii="Palatino Linotype" w:hAnsi="Palatino Linotype" w:cs="Arial"/>
          <w:b w:val="0"/>
          <w:sz w:val="22"/>
          <w:szCs w:val="22"/>
        </w:rPr>
        <w:t xml:space="preserve">Ordenanza No. </w:t>
      </w:r>
      <w:r>
        <w:rPr>
          <w:rFonts w:ascii="Palatino Linotype" w:hAnsi="Palatino Linotype" w:cs="Arial"/>
          <w:b w:val="0"/>
          <w:sz w:val="22"/>
          <w:szCs w:val="22"/>
        </w:rPr>
        <w:t>0212</w:t>
      </w:r>
      <w:r w:rsidR="0009638B">
        <w:rPr>
          <w:rFonts w:ascii="Palatino Linotype" w:hAnsi="Palatino Linotype" w:cs="Arial"/>
          <w:b w:val="0"/>
          <w:sz w:val="22"/>
          <w:szCs w:val="22"/>
        </w:rPr>
        <w:t>; sin embargo, debido a las especificaciones aprobadas en dicho acto no ha sido posible otorgar las escrituras individuales a sus posesionarios, por lo cual la Unidad Especial Regula Tu Barrio realizó el proceso tendiente a reformar dicha Ordenanza, a fin de dotar a la población beneficiaria de servicios básicos; y, a su vez, permitir que los legítimos posesionarios cuenten con escrituras que garanticen el ejercicio del derecho a la vivienda, adecuada y digna, conforme lo prevé la Constitución del Ecuador.</w:t>
      </w:r>
    </w:p>
    <w:p w:rsidR="0009638B" w:rsidRDefault="0009638B" w:rsidP="00455361">
      <w:pPr>
        <w:pStyle w:val="Ttulo"/>
        <w:spacing w:after="240" w:line="276" w:lineRule="auto"/>
        <w:ind w:firstLine="708"/>
        <w:jc w:val="both"/>
        <w:rPr>
          <w:rFonts w:ascii="Palatino Linotype" w:hAnsi="Palatino Linotype" w:cs="Arial"/>
          <w:b w:val="0"/>
          <w:sz w:val="22"/>
          <w:szCs w:val="22"/>
        </w:rPr>
      </w:pPr>
      <w:r>
        <w:rPr>
          <w:rFonts w:ascii="Palatino Linotype" w:hAnsi="Palatino Linotype" w:cs="Arial"/>
          <w:b w:val="0"/>
          <w:sz w:val="22"/>
          <w:szCs w:val="22"/>
        </w:rPr>
        <w:t xml:space="preserve">En este sentido, la presente Ordenanza Reformatoria contiene la normativa tendiente a la regularización del </w:t>
      </w:r>
      <w:r w:rsidR="00153F7D">
        <w:rPr>
          <w:rFonts w:ascii="Palatino Linotype" w:hAnsi="Palatino Linotype" w:cs="Arial"/>
          <w:b w:val="0"/>
          <w:sz w:val="22"/>
          <w:szCs w:val="22"/>
        </w:rPr>
        <w:t xml:space="preserve">Asentamiento Humano de Hecho y Consolidado denominado </w:t>
      </w:r>
      <w:proofErr w:type="spellStart"/>
      <w:r w:rsidR="00153F7D">
        <w:rPr>
          <w:rFonts w:ascii="Palatino Linotype" w:hAnsi="Palatino Linotype" w:cs="Arial"/>
          <w:b w:val="0"/>
          <w:sz w:val="22"/>
          <w:szCs w:val="22"/>
        </w:rPr>
        <w:t>Pradesur</w:t>
      </w:r>
      <w:proofErr w:type="spellEnd"/>
      <w:r w:rsidR="00153F7D">
        <w:rPr>
          <w:rFonts w:ascii="Palatino Linotype" w:hAnsi="Palatino Linotype" w:cs="Arial"/>
          <w:b w:val="0"/>
          <w:sz w:val="22"/>
          <w:szCs w:val="22"/>
        </w:rPr>
        <w:t xml:space="preserve"> Etapa Uno</w:t>
      </w:r>
      <w:r>
        <w:rPr>
          <w:rFonts w:ascii="Palatino Linotype" w:hAnsi="Palatino Linotype" w:cs="Arial"/>
          <w:b w:val="0"/>
          <w:sz w:val="22"/>
          <w:szCs w:val="22"/>
        </w:rPr>
        <w:t>, a fin de garantizar a los beneficiarios el ejercicio de su derecho a la vivienda y el acceso a servicios básicos de calidad.</w:t>
      </w:r>
    </w:p>
    <w:p w:rsidR="0009638B" w:rsidRDefault="0009638B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09638B" w:rsidRDefault="0009638B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</w:p>
    <w:p w:rsidR="0009638B" w:rsidRDefault="0009638B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  <w:sectPr w:rsidR="0009638B" w:rsidSect="00D82CFE">
          <w:headerReference w:type="default" r:id="rId8"/>
          <w:footerReference w:type="default" r:id="rId9"/>
          <w:pgSz w:w="11906" w:h="16838"/>
          <w:pgMar w:top="3402" w:right="1416" w:bottom="567" w:left="1701" w:header="709" w:footer="70" w:gutter="0"/>
          <w:cols w:space="708"/>
          <w:docGrid w:linePitch="360"/>
        </w:sectPr>
      </w:pPr>
    </w:p>
    <w:p w:rsidR="0009638B" w:rsidRPr="003843CA" w:rsidRDefault="0009638B" w:rsidP="00455361">
      <w:pPr>
        <w:pStyle w:val="Ttulo"/>
        <w:spacing w:after="240" w:line="276" w:lineRule="auto"/>
        <w:rPr>
          <w:rFonts w:ascii="Palatino Linotype" w:hAnsi="Palatino Linotype" w:cs="Arial"/>
          <w:sz w:val="22"/>
          <w:szCs w:val="22"/>
        </w:rPr>
      </w:pPr>
      <w:r w:rsidRPr="003843CA">
        <w:rPr>
          <w:rFonts w:ascii="Palatino Linotype" w:hAnsi="Palatino Linotype" w:cs="Arial"/>
          <w:sz w:val="22"/>
          <w:szCs w:val="22"/>
        </w:rPr>
        <w:lastRenderedPageBreak/>
        <w:t>EL CONCEJO METROPOLITANO DE QUITO</w:t>
      </w:r>
    </w:p>
    <w:p w:rsidR="0009638B" w:rsidRPr="00870361" w:rsidRDefault="000E7241" w:rsidP="00455361">
      <w:pPr>
        <w:spacing w:after="240" w:line="276" w:lineRule="auto"/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Visto el Informe No. IC-O-2015-15</w:t>
      </w:r>
      <w:r w:rsidR="00153F7D">
        <w:rPr>
          <w:rFonts w:ascii="Palatino Linotype" w:hAnsi="Palatino Linotype" w:cs="Arial"/>
          <w:sz w:val="22"/>
          <w:szCs w:val="22"/>
        </w:rPr>
        <w:t>7</w:t>
      </w:r>
      <w:r w:rsidR="0009638B">
        <w:rPr>
          <w:rFonts w:ascii="Palatino Linotype" w:hAnsi="Palatino Linotype" w:cs="Arial"/>
          <w:sz w:val="22"/>
          <w:szCs w:val="22"/>
        </w:rPr>
        <w:t xml:space="preserve">, de </w:t>
      </w:r>
      <w:r>
        <w:rPr>
          <w:rFonts w:ascii="Palatino Linotype" w:hAnsi="Palatino Linotype" w:cs="Arial"/>
          <w:sz w:val="22"/>
          <w:szCs w:val="22"/>
        </w:rPr>
        <w:t>20</w:t>
      </w:r>
      <w:r w:rsidR="0009638B">
        <w:rPr>
          <w:rFonts w:ascii="Palatino Linotype" w:hAnsi="Palatino Linotype" w:cs="Arial"/>
          <w:sz w:val="22"/>
          <w:szCs w:val="22"/>
        </w:rPr>
        <w:t xml:space="preserve"> de </w:t>
      </w:r>
      <w:r>
        <w:rPr>
          <w:rFonts w:ascii="Palatino Linotype" w:hAnsi="Palatino Linotype" w:cs="Arial"/>
          <w:sz w:val="22"/>
          <w:szCs w:val="22"/>
        </w:rPr>
        <w:t xml:space="preserve">julio </w:t>
      </w:r>
      <w:r w:rsidR="0009638B">
        <w:rPr>
          <w:rFonts w:ascii="Palatino Linotype" w:hAnsi="Palatino Linotype" w:cs="Arial"/>
          <w:sz w:val="22"/>
          <w:szCs w:val="22"/>
        </w:rPr>
        <w:t>de 2015, expedido por la Comisión de Ordenamiento Territorial.</w:t>
      </w:r>
    </w:p>
    <w:p w:rsidR="0009638B" w:rsidRPr="001123C1" w:rsidRDefault="0009638B" w:rsidP="00455361">
      <w:pPr>
        <w:spacing w:after="240" w:line="276" w:lineRule="auto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CONSIDERANDO: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</w:rPr>
        <w:t xml:space="preserve">Que, </w:t>
      </w:r>
      <w:r w:rsidRPr="001842A8">
        <w:rPr>
          <w:rFonts w:ascii="Palatino Linotype" w:hAnsi="Palatino Linotype" w:cs="Arial"/>
          <w:b/>
        </w:rPr>
        <w:tab/>
      </w:r>
      <w:r w:rsidRPr="001842A8">
        <w:rPr>
          <w:rFonts w:ascii="Palatino Linotype" w:hAnsi="Palatino Linotype" w:cs="Arial"/>
        </w:rPr>
        <w:t>el artículo 30 de la Constitución de la República del Ecuador (en adelante “Constitución”) establece que: “</w:t>
      </w:r>
      <w:r w:rsidRPr="001842A8">
        <w:rPr>
          <w:rFonts w:ascii="Palatino Linotype" w:hAnsi="Palatino Linotype" w:cs="Arial"/>
          <w:i/>
        </w:rPr>
        <w:t>Las personas tienen derecho a un hábitat seguro y saludable, y a una vivienda adecuada y digna, con independencia de su situación social y económica.</w:t>
      </w:r>
      <w:r w:rsidRPr="001842A8">
        <w:rPr>
          <w:rFonts w:ascii="Palatino Linotype" w:hAnsi="Palatino Linotype" w:cs="Arial"/>
        </w:rPr>
        <w:t>”;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artículo 31 de la Constitución expresa que: “</w:t>
      </w:r>
      <w:r w:rsidRPr="001842A8">
        <w:rPr>
          <w:rFonts w:ascii="Palatino Linotype" w:hAnsi="Palatino Linotype" w:cs="Arial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1842A8">
        <w:rPr>
          <w:rFonts w:ascii="Palatino Linotype" w:hAnsi="Palatino Linotype" w:cs="Arial"/>
          <w:bCs/>
        </w:rPr>
        <w:t xml:space="preserve">”; 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el artículo 240 de la Constitución establece que: “</w:t>
      </w:r>
      <w:r w:rsidRPr="001842A8">
        <w:rPr>
          <w:rFonts w:ascii="Palatino Linotype" w:hAnsi="Palatino Linotype" w:cs="Arial"/>
          <w:i/>
        </w:rPr>
        <w:t>Los gobiernos autónomos descentralizados de las regiones, distritos metropolitanos, provincias y cantones tendrán faculta</w:t>
      </w:r>
      <w:bookmarkStart w:id="0" w:name="_GoBack"/>
      <w:bookmarkEnd w:id="0"/>
      <w:r w:rsidRPr="001842A8">
        <w:rPr>
          <w:rFonts w:ascii="Palatino Linotype" w:hAnsi="Palatino Linotype" w:cs="Arial"/>
          <w:i/>
        </w:rPr>
        <w:t>des legislativas en el ámbito de sus competencias y jurisdicciones territoriales (…)</w:t>
      </w:r>
      <w:r w:rsidRPr="001842A8">
        <w:rPr>
          <w:rFonts w:ascii="Palatino Linotype" w:hAnsi="Palatino Linotype" w:cs="Arial"/>
        </w:rPr>
        <w:t>”;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</w:rPr>
        <w:tab/>
        <w:t>el numeral 1 del artículo 264 de la Constitución manifiesta que: “</w:t>
      </w:r>
      <w:r w:rsidRPr="001842A8">
        <w:rPr>
          <w:rFonts w:ascii="Palatino Linotype" w:hAnsi="Palatino Linotype" w:cs="Arial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1842A8">
        <w:rPr>
          <w:rFonts w:ascii="Palatino Linotype" w:hAnsi="Palatino Linotype" w:cs="Arial"/>
        </w:rPr>
        <w:t>”;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señala</w:t>
      </w:r>
      <w:r w:rsidRPr="001842A8">
        <w:rPr>
          <w:rFonts w:ascii="Palatino Linotype" w:hAnsi="Palatino Linotype" w:cs="Arial"/>
          <w:b/>
          <w:bCs/>
        </w:rPr>
        <w:t xml:space="preserve"> </w:t>
      </w:r>
      <w:r w:rsidRPr="001842A8">
        <w:rPr>
          <w:rFonts w:ascii="Palatino Linotype" w:hAnsi="Palatino Linotype" w:cs="Arial"/>
          <w:bCs/>
        </w:rPr>
        <w:t>como una función del gobierno autónomo descentralizado municipal</w:t>
      </w:r>
      <w:r w:rsidRPr="001842A8">
        <w:rPr>
          <w:rFonts w:ascii="Palatino Linotype" w:hAnsi="Palatino Linotype" w:cs="Arial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 xml:space="preserve">el artículo 57, en concordancia con el artículo 87 del COOTAD, establece que las funciones del Concejo Municipal, entre otras, son: </w:t>
      </w:r>
      <w:r w:rsidRPr="001842A8">
        <w:rPr>
          <w:rFonts w:ascii="Palatino Linotype" w:hAnsi="Palatino Linotype" w:cs="Arial"/>
          <w:iCs/>
        </w:rPr>
        <w:t>“</w:t>
      </w:r>
      <w:r w:rsidRPr="001842A8">
        <w:rPr>
          <w:rFonts w:ascii="Palatino Linotype" w:hAnsi="Palatino Linotype" w:cs="Arial"/>
          <w:i/>
          <w:iCs/>
        </w:rPr>
        <w:t xml:space="preserve">a) El ejercicio de la facultad normativa en las materias de competencia del gobierno autónomo descentralizado </w:t>
      </w:r>
      <w:r w:rsidRPr="001842A8">
        <w:rPr>
          <w:rFonts w:ascii="Palatino Linotype" w:hAnsi="Palatino Linotype" w:cs="Arial"/>
          <w:i/>
          <w:iCs/>
        </w:rPr>
        <w:lastRenderedPageBreak/>
        <w:t xml:space="preserve">municipal, mediante la expedición de ordenanzas cantonales, acuerdos y resoluciones; (…) </w:t>
      </w:r>
      <w:r w:rsidRPr="001842A8">
        <w:rPr>
          <w:rFonts w:ascii="Palatino Linotype" w:hAnsi="Palatino Linotype" w:cs="Arial"/>
          <w:i/>
        </w:rPr>
        <w:t xml:space="preserve"> </w:t>
      </w:r>
      <w:r w:rsidRPr="001842A8">
        <w:rPr>
          <w:rFonts w:ascii="Palatino Linotype" w:hAnsi="Palatino Linotype" w:cs="Arial"/>
          <w:i/>
          <w:iCs/>
        </w:rPr>
        <w:t>x) Regular y controlar, mediante la normativa cantonal correspondiente, el uso del suelo en el territorio del cantón, de conformidad con las leyes sobre la materia, y establecer el régimen urbanístico de la tierra;</w:t>
      </w:r>
      <w:r w:rsidRPr="001842A8">
        <w:rPr>
          <w:rFonts w:ascii="Palatino Linotype" w:hAnsi="Palatino Linotype" w:cs="Arial"/>
          <w:i/>
        </w:rPr>
        <w:t xml:space="preserve"> y, (…) </w:t>
      </w:r>
      <w:r w:rsidRPr="001842A8">
        <w:rPr>
          <w:rFonts w:ascii="Palatino Linotype" w:hAnsi="Palatino Linotype" w:cs="Arial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1842A8">
        <w:rPr>
          <w:rFonts w:ascii="Palatino Linotype" w:hAnsi="Palatino Linotype" w:cs="Arial"/>
          <w:i/>
          <w:iCs/>
        </w:rPr>
        <w:t>interbarrial</w:t>
      </w:r>
      <w:proofErr w:type="spellEnd"/>
      <w:r w:rsidRPr="001842A8">
        <w:rPr>
          <w:rFonts w:ascii="Palatino Linotype" w:hAnsi="Palatino Linotype" w:cs="Arial"/>
          <w:i/>
          <w:iCs/>
        </w:rPr>
        <w:t>.</w:t>
      </w:r>
      <w:r w:rsidRPr="001842A8">
        <w:rPr>
          <w:rFonts w:ascii="Palatino Linotype" w:hAnsi="Palatino Linotype" w:cs="Arial"/>
          <w:iCs/>
        </w:rPr>
        <w:t xml:space="preserve">”; 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 xml:space="preserve">Que,  </w:t>
      </w:r>
      <w:r w:rsidRPr="001842A8">
        <w:rPr>
          <w:rFonts w:ascii="Palatino Linotype" w:hAnsi="Palatino Linotype" w:cs="Arial"/>
        </w:rPr>
        <w:t>el artículo 322 del COOTAD establece el procedimiento para la aprobación de las ordenanzas municipales;</w:t>
      </w:r>
    </w:p>
    <w:p w:rsidR="0009638B" w:rsidRPr="001842A8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09638B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  <w:bCs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F24D4E">
        <w:rPr>
          <w:rFonts w:ascii="Palatino Linotype" w:hAnsi="Palatino Linotype" w:cs="Arial"/>
          <w:bCs/>
        </w:rPr>
        <w:t xml:space="preserve">el </w:t>
      </w:r>
      <w:r w:rsidRPr="001842A8">
        <w:rPr>
          <w:rFonts w:ascii="Palatino Linotype" w:hAnsi="Palatino Linotype" w:cs="Arial"/>
          <w:bCs/>
        </w:rPr>
        <w:t>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F66E58" w:rsidRDefault="00185FA7" w:rsidP="00F66E58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D51DEB">
        <w:rPr>
          <w:rFonts w:ascii="Palatino Linotype" w:hAnsi="Palatino Linotype"/>
          <w:b/>
          <w:bCs/>
        </w:rPr>
        <w:t>Que,</w:t>
      </w:r>
      <w:r w:rsidRPr="00D51DEB">
        <w:rPr>
          <w:rFonts w:ascii="Palatino Linotype" w:hAnsi="Palatino Linotype"/>
          <w:b/>
          <w:bCs/>
        </w:rPr>
        <w:tab/>
      </w:r>
      <w:r w:rsidRPr="00D51DEB">
        <w:rPr>
          <w:rFonts w:ascii="Palatino Linotype" w:hAnsi="Palatino Linotype"/>
          <w:bCs/>
        </w:rPr>
        <w:t>me</w:t>
      </w:r>
      <w:r>
        <w:rPr>
          <w:rFonts w:ascii="Palatino Linotype" w:hAnsi="Palatino Linotype"/>
          <w:bCs/>
        </w:rPr>
        <w:t xml:space="preserve">diante Ordenanza No. </w:t>
      </w:r>
      <w:r w:rsidR="00F66E58">
        <w:rPr>
          <w:rFonts w:ascii="Palatino Linotype" w:hAnsi="Palatino Linotype"/>
          <w:bCs/>
        </w:rPr>
        <w:t>0212</w:t>
      </w:r>
      <w:r>
        <w:rPr>
          <w:rFonts w:ascii="Palatino Linotype" w:hAnsi="Palatino Linotype"/>
          <w:bCs/>
        </w:rPr>
        <w:t xml:space="preserve">, sancionada </w:t>
      </w:r>
      <w:r w:rsidRPr="00D51DEB">
        <w:rPr>
          <w:rFonts w:ascii="Palatino Linotype" w:hAnsi="Palatino Linotype"/>
          <w:bCs/>
        </w:rPr>
        <w:t xml:space="preserve">el </w:t>
      </w:r>
      <w:r w:rsidR="00F66E58">
        <w:rPr>
          <w:rFonts w:ascii="Palatino Linotype" w:hAnsi="Palatino Linotype"/>
          <w:bCs/>
        </w:rPr>
        <w:t>29</w:t>
      </w:r>
      <w:r>
        <w:rPr>
          <w:rFonts w:ascii="Palatino Linotype" w:hAnsi="Palatino Linotype"/>
          <w:bCs/>
        </w:rPr>
        <w:t xml:space="preserve"> de </w:t>
      </w:r>
      <w:r w:rsidR="00F66E58">
        <w:rPr>
          <w:rFonts w:ascii="Palatino Linotype" w:hAnsi="Palatino Linotype"/>
          <w:bCs/>
        </w:rPr>
        <w:t>marzo</w:t>
      </w:r>
      <w:r>
        <w:rPr>
          <w:rFonts w:ascii="Palatino Linotype" w:hAnsi="Palatino Linotype"/>
          <w:bCs/>
        </w:rPr>
        <w:t xml:space="preserve"> de 20</w:t>
      </w:r>
      <w:r w:rsidR="00F66E58">
        <w:rPr>
          <w:rFonts w:ascii="Palatino Linotype" w:hAnsi="Palatino Linotype"/>
          <w:bCs/>
        </w:rPr>
        <w:t>12</w:t>
      </w:r>
      <w:r>
        <w:rPr>
          <w:rFonts w:ascii="Palatino Linotype" w:hAnsi="Palatino Linotype"/>
          <w:bCs/>
        </w:rPr>
        <w:t xml:space="preserve">, </w:t>
      </w:r>
      <w:r w:rsidR="00F66E58" w:rsidRPr="002950D6">
        <w:rPr>
          <w:rFonts w:ascii="Palatino Linotype" w:hAnsi="Palatino Linotype" w:cs="Arial"/>
          <w:bCs/>
        </w:rPr>
        <w:t xml:space="preserve">se aprueba </w:t>
      </w:r>
      <w:r w:rsidR="00F66E58">
        <w:rPr>
          <w:rFonts w:ascii="Palatino Linotype" w:hAnsi="Palatino Linotype" w:cs="Arial"/>
          <w:bCs/>
        </w:rPr>
        <w:t>el</w:t>
      </w:r>
      <w:r w:rsidR="00F66E58" w:rsidRPr="002950D6">
        <w:rPr>
          <w:rFonts w:ascii="Palatino Linotype" w:hAnsi="Palatino Linotype" w:cs="Arial"/>
          <w:bCs/>
        </w:rPr>
        <w:t xml:space="preserve"> </w:t>
      </w:r>
      <w:r w:rsidR="00F66E58">
        <w:rPr>
          <w:rFonts w:ascii="Palatino Linotype" w:hAnsi="Palatino Linotype" w:cs="Arial"/>
          <w:bCs/>
        </w:rPr>
        <w:t xml:space="preserve">Asentamiento Humano de Hecho y Consolidado denominado </w:t>
      </w:r>
      <w:r w:rsidR="00F66E58" w:rsidRPr="00B81791">
        <w:rPr>
          <w:rFonts w:ascii="Palatino Linotype" w:hAnsi="Palatino Linotype" w:cs="Arial"/>
          <w:bCs/>
        </w:rPr>
        <w:t xml:space="preserve">Comité </w:t>
      </w:r>
      <w:proofErr w:type="spellStart"/>
      <w:r w:rsidR="00F66E58" w:rsidRPr="00B81791">
        <w:rPr>
          <w:rFonts w:ascii="Palatino Linotype" w:hAnsi="Palatino Linotype" w:cs="Arial"/>
          <w:bCs/>
        </w:rPr>
        <w:t>Promejoras</w:t>
      </w:r>
      <w:proofErr w:type="spellEnd"/>
      <w:r w:rsidR="00F66E58" w:rsidRPr="00B81791">
        <w:rPr>
          <w:rFonts w:ascii="Palatino Linotype" w:hAnsi="Palatino Linotype" w:cs="Arial"/>
          <w:bCs/>
        </w:rPr>
        <w:t xml:space="preserve"> </w:t>
      </w:r>
      <w:proofErr w:type="spellStart"/>
      <w:r w:rsidR="00F66E58" w:rsidRPr="00B81791">
        <w:rPr>
          <w:rFonts w:ascii="Palatino Linotype" w:hAnsi="Palatino Linotype" w:cs="Arial"/>
          <w:bCs/>
        </w:rPr>
        <w:t>Pradesur</w:t>
      </w:r>
      <w:proofErr w:type="spellEnd"/>
      <w:r w:rsidR="00F66E58" w:rsidRPr="00B81791">
        <w:rPr>
          <w:rFonts w:ascii="Palatino Linotype" w:hAnsi="Palatino Linotype" w:cs="Arial"/>
          <w:bCs/>
        </w:rPr>
        <w:t xml:space="preserve"> Etapa Uno</w:t>
      </w:r>
      <w:r w:rsidR="00F66E58">
        <w:rPr>
          <w:rFonts w:ascii="Palatino Linotype" w:hAnsi="Palatino Linotype" w:cs="Arial"/>
          <w:bCs/>
        </w:rPr>
        <w:t>;</w:t>
      </w:r>
    </w:p>
    <w:p w:rsidR="0009638B" w:rsidRDefault="0009638B" w:rsidP="00455361">
      <w:pPr>
        <w:pStyle w:val="Sinespaciado"/>
        <w:spacing w:after="240" w:line="276" w:lineRule="auto"/>
        <w:ind w:left="709" w:hanging="709"/>
        <w:jc w:val="both"/>
        <w:rPr>
          <w:rFonts w:ascii="Palatino Linotype" w:hAnsi="Palatino Linotype" w:cs="Arial"/>
        </w:rPr>
      </w:pPr>
      <w:r w:rsidRPr="001842A8">
        <w:rPr>
          <w:rFonts w:ascii="Palatino Linotype" w:hAnsi="Palatino Linotype" w:cs="Arial"/>
          <w:b/>
          <w:bCs/>
        </w:rPr>
        <w:t>Que,</w:t>
      </w:r>
      <w:r w:rsidRPr="001842A8">
        <w:rPr>
          <w:rFonts w:ascii="Palatino Linotype" w:hAnsi="Palatino Linotype" w:cs="Arial"/>
          <w:b/>
          <w:bCs/>
        </w:rPr>
        <w:tab/>
      </w:r>
      <w:r w:rsidRPr="001842A8">
        <w:rPr>
          <w:rFonts w:ascii="Palatino Linotype" w:hAnsi="Palatino Linotype" w:cs="Arial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F66E58" w:rsidRDefault="00F66E58" w:rsidP="002E2C2B">
      <w:pPr>
        <w:spacing w:after="240" w:line="276" w:lineRule="auto"/>
        <w:ind w:left="705" w:hanging="705"/>
        <w:jc w:val="both"/>
        <w:rPr>
          <w:rFonts w:ascii="Palatino Linotype" w:eastAsia="Calibri" w:hAnsi="Palatino Linotype"/>
          <w:sz w:val="22"/>
          <w:szCs w:val="22"/>
          <w:lang w:val="es-EC" w:eastAsia="en-US"/>
        </w:rPr>
      </w:pPr>
      <w:r w:rsidRPr="00AA4753">
        <w:rPr>
          <w:rFonts w:ascii="Palatino Linotype" w:eastAsia="Calibri" w:hAnsi="Palatino Linotype"/>
          <w:b/>
          <w:bCs/>
          <w:sz w:val="22"/>
          <w:szCs w:val="22"/>
          <w:lang w:val="es-EC" w:eastAsia="en-US"/>
        </w:rPr>
        <w:t>Que,</w:t>
      </w:r>
      <w:r>
        <w:rPr>
          <w:rFonts w:ascii="Palatino Linotype" w:eastAsia="Calibri" w:hAnsi="Palatino Linotype"/>
          <w:b/>
          <w:bCs/>
          <w:sz w:val="22"/>
          <w:szCs w:val="22"/>
          <w:lang w:val="es-EC" w:eastAsia="en-US"/>
        </w:rPr>
        <w:t xml:space="preserve"> </w:t>
      </w:r>
      <w:r w:rsidR="002E2C2B">
        <w:rPr>
          <w:rFonts w:ascii="Palatino Linotype" w:eastAsia="Calibri" w:hAnsi="Palatino Linotype"/>
          <w:b/>
          <w:bCs/>
          <w:sz w:val="22"/>
          <w:szCs w:val="22"/>
          <w:lang w:val="es-EC" w:eastAsia="en-US"/>
        </w:rPr>
        <w:tab/>
      </w:r>
      <w:r w:rsidR="002E2C2B">
        <w:rPr>
          <w:rFonts w:ascii="Palatino Linotype" w:eastAsia="Calibri" w:hAnsi="Palatino Linotype"/>
          <w:b/>
          <w:bCs/>
          <w:sz w:val="22"/>
          <w:szCs w:val="22"/>
          <w:lang w:val="es-EC" w:eastAsia="en-US"/>
        </w:rPr>
        <w:tab/>
      </w:r>
      <w:r w:rsidRPr="00AA4753">
        <w:rPr>
          <w:rFonts w:ascii="Palatino Linotype" w:eastAsia="Calibri" w:hAnsi="Palatino Linotype"/>
          <w:sz w:val="22"/>
          <w:szCs w:val="22"/>
          <w:lang w:val="es-EC" w:eastAsia="en-US"/>
        </w:rPr>
        <w:t>la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 w:rsidRPr="00AA4753">
        <w:rPr>
          <w:rFonts w:ascii="Palatino Linotype" w:eastAsia="Calibri" w:hAnsi="Palatino Linotype"/>
          <w:sz w:val="22"/>
          <w:szCs w:val="22"/>
          <w:lang w:val="es-EC" w:eastAsia="en-US"/>
        </w:rPr>
        <w:t>Mesa Institucional d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e Trabajo</w:t>
      </w:r>
      <w:r w:rsidRPr="00DB6074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,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reunida el 9 de julio de 2014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en la Administración Zonal Quitumbe, integrada por los siguientes órganos y dependencias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: Dr. Ramiro Cobos, Administrador Zonal Quitumbe; Dr. Iván Pacheco, Director de Asesoría Jurídica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>Administración Zonal Quitumbe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;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Arq. Alfonso Cevallos, Dirección de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Gestión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del Territorio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de la Administración Zonal Quitumbe;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Sr. Miguel </w:t>
      </w:r>
      <w:proofErr w:type="spellStart"/>
      <w:r>
        <w:rPr>
          <w:rFonts w:ascii="Palatino Linotype" w:eastAsia="Calibri" w:hAnsi="Palatino Linotype"/>
          <w:sz w:val="22"/>
          <w:szCs w:val="22"/>
          <w:lang w:val="es-EC" w:eastAsia="en-US"/>
        </w:rPr>
        <w:t>Bosquez</w:t>
      </w:r>
      <w:proofErr w:type="spellEnd"/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, delegado de la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Dirección Metropolitana de Catastro;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Arq. Iván Martínez, delegado de la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Secretaría de Territorio, Hábitat y Vivienda; y, Unidad Especial Regula Tu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lastRenderedPageBreak/>
        <w:t xml:space="preserve">Barrio, </w:t>
      </w:r>
      <w:r w:rsidRPr="00EA4743">
        <w:rPr>
          <w:rFonts w:ascii="Palatino Linotype" w:eastAsia="Calibri" w:hAnsi="Palatino Linotype"/>
          <w:iCs/>
          <w:sz w:val="22"/>
          <w:szCs w:val="22"/>
          <w:lang w:val="es-EC" w:eastAsia="en-US"/>
        </w:rPr>
        <w:t xml:space="preserve">emitió el </w:t>
      </w:r>
      <w:r w:rsidRPr="00EA4743">
        <w:rPr>
          <w:rFonts w:ascii="Palatino Linotype" w:hAnsi="Palatino Linotype" w:cs="Arial"/>
          <w:sz w:val="22"/>
          <w:szCs w:val="22"/>
        </w:rPr>
        <w:t xml:space="preserve">informe No. </w:t>
      </w:r>
      <w:r>
        <w:rPr>
          <w:rFonts w:ascii="Palatino Linotype" w:hAnsi="Palatino Linotype" w:cs="Arial"/>
          <w:sz w:val="22"/>
          <w:szCs w:val="22"/>
        </w:rPr>
        <w:t>015</w:t>
      </w:r>
      <w:r w:rsidRPr="000A1C26">
        <w:rPr>
          <w:rFonts w:ascii="Palatino Linotype" w:hAnsi="Palatino Linotype" w:cs="Arial"/>
          <w:sz w:val="22"/>
          <w:szCs w:val="22"/>
        </w:rPr>
        <w:t>-</w:t>
      </w:r>
      <w:r w:rsidRPr="000A1C26">
        <w:rPr>
          <w:rFonts w:ascii="Palatino Linotype" w:hAnsi="Palatino Linotype" w:cs="Arial"/>
          <w:sz w:val="22"/>
          <w:szCs w:val="22"/>
          <w:lang w:val="es-EC"/>
        </w:rPr>
        <w:t>UERB-Q-SOLT-2014</w:t>
      </w:r>
      <w:r w:rsidRPr="00EA4743">
        <w:rPr>
          <w:rFonts w:ascii="Palatino Linotype" w:hAnsi="Palatino Linotype" w:cs="Arial"/>
          <w:sz w:val="22"/>
          <w:szCs w:val="22"/>
        </w:rPr>
        <w:t xml:space="preserve">,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>para la aprobación de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>l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a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Reforma de la Ordenanza Municipal No. 0212, que aprobó el </w:t>
      </w:r>
      <w:r w:rsidRPr="00EA4743">
        <w:rPr>
          <w:rFonts w:ascii="Palatino Linotype" w:eastAsia="Calibri" w:hAnsi="Palatino Linotype"/>
          <w:sz w:val="22"/>
          <w:szCs w:val="22"/>
          <w:lang w:val="es-EC" w:eastAsia="en-US"/>
        </w:rPr>
        <w:t>Asentamiento Humano de Hecho y Consolidado denominado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>
        <w:rPr>
          <w:rFonts w:ascii="Palatino Linotype" w:hAnsi="Palatino Linotype"/>
          <w:sz w:val="22"/>
          <w:szCs w:val="22"/>
          <w:lang w:val="es-EC"/>
        </w:rPr>
        <w:t xml:space="preserve">Comité </w:t>
      </w:r>
      <w:proofErr w:type="spellStart"/>
      <w:r>
        <w:rPr>
          <w:rFonts w:ascii="Palatino Linotype" w:hAnsi="Palatino Linotype"/>
          <w:sz w:val="22"/>
          <w:szCs w:val="22"/>
          <w:lang w:val="es-EC"/>
        </w:rPr>
        <w:t>Promejoras</w:t>
      </w:r>
      <w:proofErr w:type="spellEnd"/>
      <w:r>
        <w:rPr>
          <w:rFonts w:ascii="Palatino Linotype" w:hAnsi="Palatino Linotype"/>
          <w:sz w:val="22"/>
          <w:szCs w:val="22"/>
          <w:lang w:val="es-EC"/>
        </w:rPr>
        <w:t xml:space="preserve"> </w:t>
      </w:r>
      <w:proofErr w:type="spellStart"/>
      <w:r>
        <w:rPr>
          <w:rFonts w:ascii="Palatino Linotype" w:hAnsi="Palatino Linotype"/>
          <w:sz w:val="22"/>
          <w:szCs w:val="22"/>
          <w:lang w:val="es-EC"/>
        </w:rPr>
        <w:t>Pradesur</w:t>
      </w:r>
      <w:proofErr w:type="spellEnd"/>
      <w:r>
        <w:rPr>
          <w:rFonts w:ascii="Palatino Linotype" w:hAnsi="Palatino Linotype"/>
          <w:sz w:val="22"/>
          <w:szCs w:val="22"/>
          <w:lang w:val="es-EC"/>
        </w:rPr>
        <w:t xml:space="preserve"> Etapa Uno</w:t>
      </w:r>
      <w:r>
        <w:rPr>
          <w:rFonts w:ascii="Palatino Linotype" w:eastAsia="Calibri" w:hAnsi="Palatino Linotype"/>
          <w:sz w:val="22"/>
          <w:szCs w:val="22"/>
          <w:lang w:val="es-EC" w:eastAsia="en-US"/>
        </w:rPr>
        <w:t>.</w:t>
      </w:r>
    </w:p>
    <w:p w:rsidR="003A616B" w:rsidRPr="00A837DE" w:rsidRDefault="003A616B" w:rsidP="00F66E58">
      <w:pPr>
        <w:pStyle w:val="Sinespaciado"/>
        <w:spacing w:after="240" w:line="276" w:lineRule="auto"/>
        <w:jc w:val="both"/>
        <w:outlineLvl w:val="0"/>
        <w:rPr>
          <w:rFonts w:ascii="Palatino Linotype" w:hAnsi="Palatino Linotype" w:cs="Arial"/>
          <w:b/>
        </w:rPr>
      </w:pPr>
      <w:r w:rsidRPr="003843CA">
        <w:rPr>
          <w:rFonts w:ascii="Palatino Linotype" w:hAnsi="Palatino Linotype" w:cs="Arial"/>
          <w:b/>
          <w:bCs/>
        </w:rPr>
        <w:t xml:space="preserve">En </w:t>
      </w:r>
      <w:r w:rsidRPr="003843CA">
        <w:rPr>
          <w:rFonts w:ascii="Palatino Linotype" w:hAnsi="Palatino Linotype" w:cs="Arial"/>
          <w:b/>
        </w:rPr>
        <w:t xml:space="preserve">ejercicio  de  sus  atribuciones  legales  constantes en los artículos 30, 31, 240 y </w:t>
      </w:r>
      <w:r w:rsidRPr="00A837DE">
        <w:rPr>
          <w:rFonts w:ascii="Palatino Linotype" w:hAnsi="Palatino Linotype" w:cs="Arial"/>
          <w:b/>
        </w:rPr>
        <w:t>264 numeral 1 de la Constitución  de la República</w:t>
      </w:r>
      <w:r>
        <w:rPr>
          <w:rFonts w:ascii="Palatino Linotype" w:hAnsi="Palatino Linotype" w:cs="Arial"/>
          <w:b/>
        </w:rPr>
        <w:t xml:space="preserve"> del Ecuador</w:t>
      </w:r>
      <w:r w:rsidRPr="00A837DE">
        <w:rPr>
          <w:rFonts w:ascii="Palatino Linotype" w:hAnsi="Palatino Linotype" w:cs="Arial"/>
          <w:b/>
        </w:rPr>
        <w:t>; 84, literal c), 87, literales a), v)</w:t>
      </w:r>
      <w:r>
        <w:rPr>
          <w:rFonts w:ascii="Palatino Linotype" w:hAnsi="Palatino Linotype" w:cs="Arial"/>
          <w:b/>
        </w:rPr>
        <w:t xml:space="preserve"> y</w:t>
      </w:r>
      <w:r w:rsidRPr="00A837DE">
        <w:rPr>
          <w:rFonts w:ascii="Palatino Linotype" w:hAnsi="Palatino Linotype" w:cs="Arial"/>
          <w:b/>
        </w:rPr>
        <w:t xml:space="preserve"> x), </w:t>
      </w:r>
      <w:r>
        <w:rPr>
          <w:rFonts w:ascii="Palatino Linotype" w:hAnsi="Palatino Linotype" w:cs="Arial"/>
          <w:b/>
        </w:rPr>
        <w:t xml:space="preserve">y </w:t>
      </w:r>
      <w:r w:rsidRPr="00A837DE">
        <w:rPr>
          <w:rFonts w:ascii="Palatino Linotype" w:hAnsi="Palatino Linotype" w:cs="Arial"/>
          <w:b/>
        </w:rPr>
        <w:t>322 del Código Orgánico de Organización Territorial Autonomía y Descentralización; 2, numeral 1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8, numeral 1 de la Ley Orgánica de Régimen para el  Distrito Metropolitano de Quito</w:t>
      </w:r>
      <w:r>
        <w:rPr>
          <w:rFonts w:ascii="Palatino Linotype" w:hAnsi="Palatino Linotype" w:cs="Arial"/>
          <w:b/>
        </w:rPr>
        <w:t>;</w:t>
      </w:r>
      <w:r w:rsidRPr="00A837DE">
        <w:rPr>
          <w:rFonts w:ascii="Palatino Linotype" w:hAnsi="Palatino Linotype" w:cs="Arial"/>
          <w:b/>
        </w:rPr>
        <w:t xml:space="preserve"> y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2 de la  Resolución No. A0010</w:t>
      </w:r>
      <w:r>
        <w:rPr>
          <w:rFonts w:ascii="Palatino Linotype" w:hAnsi="Palatino Linotype" w:cs="Arial"/>
          <w:b/>
        </w:rPr>
        <w:t>,</w:t>
      </w:r>
      <w:r w:rsidRPr="00A837DE">
        <w:rPr>
          <w:rFonts w:ascii="Palatino Linotype" w:hAnsi="Palatino Linotype" w:cs="Arial"/>
          <w:b/>
        </w:rPr>
        <w:t xml:space="preserve"> de 19 de marzo de 2010,</w:t>
      </w:r>
    </w:p>
    <w:p w:rsidR="0009638B" w:rsidRPr="003843CA" w:rsidRDefault="0009638B" w:rsidP="00455361">
      <w:pPr>
        <w:spacing w:after="24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3843CA">
        <w:rPr>
          <w:rFonts w:ascii="Palatino Linotype" w:hAnsi="Palatino Linotype"/>
          <w:b/>
          <w:sz w:val="22"/>
          <w:szCs w:val="22"/>
        </w:rPr>
        <w:t>EXPIDE</w:t>
      </w:r>
      <w:r>
        <w:rPr>
          <w:rFonts w:ascii="Palatino Linotype" w:hAnsi="Palatino Linotype"/>
          <w:b/>
          <w:sz w:val="22"/>
          <w:szCs w:val="22"/>
        </w:rPr>
        <w:t xml:space="preserve"> LA SIGUIENTE:</w:t>
      </w:r>
    </w:p>
    <w:p w:rsidR="00F66E58" w:rsidRDefault="00F66E58" w:rsidP="00F66E58">
      <w:pPr>
        <w:pStyle w:val="Sinespaciado"/>
        <w:spacing w:after="240" w:line="276" w:lineRule="auto"/>
        <w:jc w:val="center"/>
        <w:outlineLvl w:val="0"/>
        <w:rPr>
          <w:rFonts w:ascii="Palatino Linotype" w:hAnsi="Palatino Linotype" w:cs="Arial"/>
          <w:b/>
        </w:rPr>
      </w:pPr>
      <w:r w:rsidRPr="00AA4753">
        <w:rPr>
          <w:rFonts w:ascii="Palatino Linotype" w:hAnsi="Palatino Linotype" w:cs="Arial"/>
          <w:b/>
        </w:rPr>
        <w:t xml:space="preserve">ORDENANZA </w:t>
      </w:r>
      <w:r>
        <w:rPr>
          <w:rFonts w:ascii="Palatino Linotype" w:hAnsi="Palatino Linotype" w:cs="Arial"/>
          <w:b/>
        </w:rPr>
        <w:t>REFORMATORIA DE LA ORDENANZA No. 0212, SANCIONADA EL 29 DE MARZO DE 2012, MEDIANTE LA CUAL SE APROBÓ EL ASENTAMIENTO HUMANO DE HECHO Y CONSOLIDADO DENOMINADO PRADESUR ETAPA UNO, A FAVOR DEL COMITÉ PRO MEJORAS</w:t>
      </w:r>
      <w:r w:rsidRPr="009B53D9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>PRADESUR ETAPA UNO</w:t>
      </w:r>
    </w:p>
    <w:p w:rsidR="003A616B" w:rsidRPr="003A616B" w:rsidRDefault="003A616B" w:rsidP="00455361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3A616B">
        <w:rPr>
          <w:rFonts w:ascii="Palatino Linotype" w:hAnsi="Palatino Linotype" w:cs="Arial"/>
          <w:b/>
          <w:bCs/>
          <w:sz w:val="22"/>
          <w:szCs w:val="22"/>
        </w:rPr>
        <w:t>A</w:t>
      </w:r>
      <w:r>
        <w:rPr>
          <w:rFonts w:ascii="Palatino Linotype" w:hAnsi="Palatino Linotype" w:cs="Arial"/>
          <w:b/>
          <w:bCs/>
          <w:sz w:val="22"/>
          <w:szCs w:val="22"/>
        </w:rPr>
        <w:t>rtículo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1.- </w:t>
      </w:r>
      <w:r w:rsidR="00084A62">
        <w:rPr>
          <w:rFonts w:ascii="Palatino Linotype" w:hAnsi="Palatino Linotype" w:cs="Arial"/>
          <w:bCs/>
          <w:sz w:val="22"/>
          <w:szCs w:val="22"/>
        </w:rPr>
        <w:t>Agréguese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084A62">
        <w:rPr>
          <w:rFonts w:ascii="Palatino Linotype" w:hAnsi="Palatino Linotype" w:cs="Arial"/>
          <w:bCs/>
          <w:sz w:val="22"/>
          <w:szCs w:val="22"/>
        </w:rPr>
        <w:t>a</w:t>
      </w:r>
      <w:r w:rsidRPr="003A616B">
        <w:rPr>
          <w:rFonts w:ascii="Palatino Linotype" w:hAnsi="Palatino Linotype" w:cs="Arial"/>
          <w:bCs/>
          <w:sz w:val="22"/>
          <w:szCs w:val="22"/>
        </w:rPr>
        <w:t xml:space="preserve">l artículo </w:t>
      </w:r>
      <w:r w:rsidR="00084A62">
        <w:rPr>
          <w:rFonts w:ascii="Palatino Linotype" w:hAnsi="Palatino Linotype" w:cs="Arial"/>
          <w:bCs/>
          <w:sz w:val="22"/>
          <w:szCs w:val="22"/>
        </w:rPr>
        <w:t xml:space="preserve">1 de la Ordenanza No. </w:t>
      </w:r>
      <w:r w:rsidR="00F66E58">
        <w:rPr>
          <w:rFonts w:ascii="Palatino Linotype" w:hAnsi="Palatino Linotype" w:cs="Arial"/>
          <w:bCs/>
          <w:sz w:val="22"/>
          <w:szCs w:val="22"/>
        </w:rPr>
        <w:t>0212</w:t>
      </w:r>
      <w:r w:rsidR="00084A62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F66E58">
        <w:rPr>
          <w:rFonts w:ascii="Palatino Linotype" w:hAnsi="Palatino Linotype" w:cs="Arial"/>
          <w:bCs/>
          <w:sz w:val="22"/>
          <w:szCs w:val="22"/>
        </w:rPr>
        <w:t>un inciso final al tenor d</w:t>
      </w:r>
      <w:r w:rsidR="00B1006D">
        <w:rPr>
          <w:rFonts w:ascii="Palatino Linotype" w:hAnsi="Palatino Linotype" w:cs="Arial"/>
          <w:bCs/>
          <w:sz w:val="22"/>
          <w:szCs w:val="22"/>
        </w:rPr>
        <w:t>el siguiente</w:t>
      </w:r>
      <w:r w:rsidR="00084A62">
        <w:rPr>
          <w:rFonts w:ascii="Palatino Linotype" w:hAnsi="Palatino Linotype" w:cs="Arial"/>
          <w:bCs/>
          <w:sz w:val="22"/>
          <w:szCs w:val="22"/>
        </w:rPr>
        <w:t xml:space="preserve"> texto</w:t>
      </w:r>
      <w:r w:rsidRPr="003A616B">
        <w:rPr>
          <w:rFonts w:ascii="Palatino Linotype" w:hAnsi="Palatino Linotype" w:cs="Arial"/>
          <w:bCs/>
          <w:sz w:val="22"/>
          <w:szCs w:val="22"/>
        </w:rPr>
        <w:t>:</w:t>
      </w:r>
    </w:p>
    <w:p w:rsidR="00F66E58" w:rsidRPr="00F66E58" w:rsidRDefault="003A616B" w:rsidP="00F66E58">
      <w:pPr>
        <w:pStyle w:val="Ttulo7"/>
        <w:spacing w:before="0" w:after="240" w:line="276" w:lineRule="auto"/>
        <w:ind w:left="708"/>
        <w:jc w:val="both"/>
        <w:rPr>
          <w:rFonts w:ascii="Palatino Linotype" w:hAnsi="Palatino Linotype" w:cs="Arial"/>
          <w:b/>
          <w:i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“</w:t>
      </w:r>
      <w:r w:rsidR="00F66E58" w:rsidRPr="00F66E58">
        <w:rPr>
          <w:rFonts w:ascii="Palatino Linotype" w:hAnsi="Palatino Linotype"/>
          <w:i/>
          <w:sz w:val="22"/>
          <w:szCs w:val="22"/>
          <w:lang w:val="es-EC"/>
        </w:rPr>
        <w:t>Por las condiciones de asentamiento humano de hecho y consolidado, se lo aprueba considerándolo de interés social.</w:t>
      </w:r>
      <w:r w:rsidR="00F66E58">
        <w:rPr>
          <w:rFonts w:ascii="Palatino Linotype" w:hAnsi="Palatino Linotype"/>
          <w:i/>
          <w:sz w:val="22"/>
          <w:szCs w:val="22"/>
          <w:lang w:val="es-EC"/>
        </w:rPr>
        <w:t>”</w:t>
      </w:r>
    </w:p>
    <w:p w:rsidR="00F66E58" w:rsidRPr="003A616B" w:rsidRDefault="003A616B" w:rsidP="00F66E58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3A616B">
        <w:rPr>
          <w:rFonts w:ascii="Palatino Linotype" w:hAnsi="Palatino Linotype" w:cs="Arial"/>
          <w:b/>
          <w:bCs/>
          <w:sz w:val="22"/>
          <w:szCs w:val="22"/>
        </w:rPr>
        <w:t>Art</w:t>
      </w:r>
      <w:r>
        <w:rPr>
          <w:rFonts w:ascii="Palatino Linotype" w:hAnsi="Palatino Linotype" w:cs="Arial"/>
          <w:b/>
          <w:bCs/>
          <w:sz w:val="22"/>
          <w:szCs w:val="22"/>
        </w:rPr>
        <w:t>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2.- </w:t>
      </w:r>
      <w:r w:rsidR="00F66E58">
        <w:rPr>
          <w:rFonts w:ascii="Palatino Linotype" w:hAnsi="Palatino Linotype" w:cs="Arial"/>
          <w:bCs/>
          <w:sz w:val="22"/>
          <w:szCs w:val="22"/>
        </w:rPr>
        <w:t>Sustitúya</w:t>
      </w:r>
      <w:r w:rsidR="00B12228">
        <w:rPr>
          <w:rFonts w:ascii="Palatino Linotype" w:hAnsi="Palatino Linotype" w:cs="Arial"/>
          <w:bCs/>
          <w:sz w:val="22"/>
          <w:szCs w:val="22"/>
        </w:rPr>
        <w:t>n</w:t>
      </w:r>
      <w:r w:rsidR="00F66E58">
        <w:rPr>
          <w:rFonts w:ascii="Palatino Linotype" w:hAnsi="Palatino Linotype" w:cs="Arial"/>
          <w:bCs/>
          <w:sz w:val="22"/>
          <w:szCs w:val="22"/>
        </w:rPr>
        <w:t>se en e</w:t>
      </w:r>
      <w:r w:rsidR="00F66E58" w:rsidRPr="003A616B">
        <w:rPr>
          <w:rFonts w:ascii="Palatino Linotype" w:hAnsi="Palatino Linotype" w:cs="Arial"/>
          <w:bCs/>
          <w:sz w:val="22"/>
          <w:szCs w:val="22"/>
        </w:rPr>
        <w:t xml:space="preserve">l artículo </w:t>
      </w:r>
      <w:r w:rsidR="00F66E58">
        <w:rPr>
          <w:rFonts w:ascii="Palatino Linotype" w:hAnsi="Palatino Linotype" w:cs="Arial"/>
          <w:bCs/>
          <w:sz w:val="22"/>
          <w:szCs w:val="22"/>
        </w:rPr>
        <w:t>2 de la Ordenanza No. 0212, las especificaciones técnicas correspondientes a las áreas, por el siguiente texto</w:t>
      </w:r>
      <w:r w:rsidR="00F66E58" w:rsidRPr="003A616B">
        <w:rPr>
          <w:rFonts w:ascii="Palatino Linotype" w:hAnsi="Palatino Linotype" w:cs="Arial"/>
          <w:bCs/>
          <w:sz w:val="22"/>
          <w:szCs w:val="22"/>
        </w:rPr>
        <w:t>:</w:t>
      </w:r>
    </w:p>
    <w:p w:rsidR="00F66E58" w:rsidRPr="00F66E58" w:rsidRDefault="00F66E58" w:rsidP="00F6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240" w:line="276" w:lineRule="auto"/>
        <w:ind w:left="708"/>
        <w:jc w:val="both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b/>
          <w:i/>
          <w:sz w:val="22"/>
          <w:szCs w:val="22"/>
        </w:rPr>
        <w:t>“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>Área útil de lotes:</w:t>
      </w:r>
      <w:r w:rsidRPr="00F66E58">
        <w:rPr>
          <w:rFonts w:ascii="Palatino Linotype" w:hAnsi="Palatino Linotype" w:cs="Arial"/>
          <w:i/>
          <w:sz w:val="22"/>
          <w:szCs w:val="22"/>
        </w:rPr>
        <w:tab/>
      </w:r>
      <w:r w:rsidRPr="00F66E58">
        <w:rPr>
          <w:rFonts w:ascii="Palatino Linotype" w:hAnsi="Palatino Linotype" w:cs="Arial"/>
          <w:i/>
          <w:sz w:val="22"/>
          <w:szCs w:val="22"/>
        </w:rPr>
        <w:tab/>
        <w:t xml:space="preserve">                            </w:t>
      </w:r>
      <w:r>
        <w:rPr>
          <w:rFonts w:ascii="Palatino Linotype" w:hAnsi="Palatino Linotype" w:cs="Arial"/>
          <w:i/>
          <w:sz w:val="22"/>
          <w:szCs w:val="22"/>
        </w:rPr>
        <w:tab/>
      </w:r>
      <w:r w:rsidRPr="00F66E58">
        <w:rPr>
          <w:rFonts w:ascii="Palatino Linotype" w:hAnsi="Palatino Linotype" w:cs="Calibri"/>
          <w:bCs/>
          <w:i/>
          <w:sz w:val="22"/>
          <w:szCs w:val="22"/>
        </w:rPr>
        <w:t>9.238,06</w:t>
      </w:r>
      <w:r w:rsidRPr="00F66E58">
        <w:rPr>
          <w:rFonts w:ascii="Palatino Linotype" w:hAnsi="Palatino Linotype" w:cs="Arial"/>
          <w:i/>
          <w:sz w:val="22"/>
          <w:szCs w:val="22"/>
        </w:rPr>
        <w:t xml:space="preserve"> m</w:t>
      </w:r>
      <w:r w:rsidRPr="00F66E58">
        <w:rPr>
          <w:rFonts w:ascii="Palatino Linotype" w:hAnsi="Palatino Linotype" w:cs="Arial"/>
          <w:i/>
          <w:sz w:val="22"/>
          <w:szCs w:val="22"/>
          <w:vertAlign w:val="superscript"/>
        </w:rPr>
        <w:t>2</w:t>
      </w:r>
      <w:r w:rsidRPr="00F66E58">
        <w:rPr>
          <w:rFonts w:ascii="Palatino Linotype" w:hAnsi="Palatino Linotype" w:cs="Calibri"/>
          <w:i/>
          <w:sz w:val="22"/>
          <w:szCs w:val="22"/>
        </w:rPr>
        <w:t xml:space="preserve">        </w:t>
      </w:r>
      <w:r w:rsidRPr="00F66E58">
        <w:rPr>
          <w:rFonts w:ascii="Palatino Linotype" w:hAnsi="Palatino Linotype" w:cs="Arial"/>
          <w:i/>
          <w:sz w:val="22"/>
          <w:szCs w:val="22"/>
        </w:rPr>
        <w:tab/>
      </w:r>
    </w:p>
    <w:p w:rsidR="00F66E58" w:rsidRPr="00F66E58" w:rsidRDefault="00F66E58" w:rsidP="00F66E58">
      <w:pPr>
        <w:spacing w:after="240" w:line="276" w:lineRule="auto"/>
        <w:ind w:left="70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F66E58">
        <w:rPr>
          <w:rFonts w:ascii="Palatino Linotype" w:hAnsi="Palatino Linotype" w:cs="Arial"/>
          <w:b/>
          <w:i/>
          <w:sz w:val="22"/>
          <w:szCs w:val="22"/>
        </w:rPr>
        <w:t>Área de vías y pasajes:</w:t>
      </w:r>
      <w:r w:rsidRPr="00F66E58">
        <w:rPr>
          <w:rFonts w:ascii="Palatino Linotype" w:hAnsi="Palatino Linotype" w:cs="Arial"/>
          <w:i/>
          <w:sz w:val="22"/>
          <w:szCs w:val="22"/>
        </w:rPr>
        <w:tab/>
        <w:t xml:space="preserve">                            </w:t>
      </w:r>
      <w:r>
        <w:rPr>
          <w:rFonts w:ascii="Palatino Linotype" w:hAnsi="Palatino Linotype" w:cs="Arial"/>
          <w:i/>
          <w:sz w:val="22"/>
          <w:szCs w:val="22"/>
        </w:rPr>
        <w:tab/>
      </w:r>
      <w:r w:rsidRPr="00F66E58">
        <w:rPr>
          <w:rFonts w:ascii="Palatino Linotype" w:hAnsi="Palatino Linotype" w:cs="Calibri"/>
          <w:bCs/>
          <w:i/>
          <w:sz w:val="22"/>
          <w:szCs w:val="22"/>
        </w:rPr>
        <w:t>3.818,66</w:t>
      </w:r>
      <w:r w:rsidRPr="00F66E58">
        <w:rPr>
          <w:rFonts w:ascii="Palatino Linotype" w:hAnsi="Palatino Linotype" w:cs="Arial"/>
          <w:i/>
          <w:sz w:val="22"/>
          <w:szCs w:val="22"/>
        </w:rPr>
        <w:t xml:space="preserve"> m</w:t>
      </w:r>
      <w:r w:rsidRPr="00F66E58">
        <w:rPr>
          <w:rFonts w:ascii="Palatino Linotype" w:hAnsi="Palatino Linotype" w:cs="Arial"/>
          <w:i/>
          <w:sz w:val="22"/>
          <w:szCs w:val="22"/>
          <w:vertAlign w:val="superscript"/>
        </w:rPr>
        <w:t>2</w:t>
      </w:r>
      <w:r w:rsidRPr="00F66E58">
        <w:rPr>
          <w:rFonts w:ascii="Palatino Linotype" w:hAnsi="Palatino Linotype" w:cs="Arial"/>
          <w:i/>
          <w:sz w:val="22"/>
          <w:szCs w:val="22"/>
        </w:rPr>
        <w:t xml:space="preserve">   </w:t>
      </w:r>
    </w:p>
    <w:p w:rsidR="00F66E58" w:rsidRPr="00F66E58" w:rsidRDefault="00F66E58" w:rsidP="00F66E58">
      <w:pPr>
        <w:spacing w:after="240" w:line="276" w:lineRule="auto"/>
        <w:ind w:left="70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F66E58">
        <w:rPr>
          <w:rFonts w:ascii="Palatino Linotype" w:hAnsi="Palatino Linotype" w:cs="Arial"/>
          <w:b/>
          <w:i/>
          <w:sz w:val="22"/>
          <w:szCs w:val="22"/>
        </w:rPr>
        <w:t xml:space="preserve">Área </w:t>
      </w:r>
      <w:r>
        <w:rPr>
          <w:rFonts w:ascii="Palatino Linotype" w:hAnsi="Palatino Linotype" w:cs="Arial"/>
          <w:b/>
          <w:i/>
          <w:sz w:val="22"/>
          <w:szCs w:val="22"/>
        </w:rPr>
        <w:t>v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 xml:space="preserve">erde y de </w:t>
      </w:r>
      <w:r>
        <w:rPr>
          <w:rFonts w:ascii="Palatino Linotype" w:hAnsi="Palatino Linotype" w:cs="Arial"/>
          <w:b/>
          <w:i/>
          <w:sz w:val="22"/>
          <w:szCs w:val="22"/>
        </w:rPr>
        <w:t>e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 xml:space="preserve">quipamiento </w:t>
      </w:r>
      <w:r>
        <w:rPr>
          <w:rFonts w:ascii="Palatino Linotype" w:hAnsi="Palatino Linotype" w:cs="Arial"/>
          <w:b/>
          <w:i/>
          <w:sz w:val="22"/>
          <w:szCs w:val="22"/>
        </w:rPr>
        <w:t>c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>omunal: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ab/>
        <w:t xml:space="preserve">        </w:t>
      </w:r>
      <w:r>
        <w:rPr>
          <w:rFonts w:ascii="Palatino Linotype" w:hAnsi="Palatino Linotype" w:cs="Arial"/>
          <w:b/>
          <w:i/>
          <w:sz w:val="22"/>
          <w:szCs w:val="22"/>
        </w:rPr>
        <w:tab/>
      </w:r>
      <w:r w:rsidRPr="00F66E58">
        <w:rPr>
          <w:rFonts w:ascii="Palatino Linotype" w:hAnsi="Palatino Linotype" w:cs="Arial"/>
          <w:i/>
          <w:sz w:val="22"/>
          <w:szCs w:val="22"/>
        </w:rPr>
        <w:t>981,75 m</w:t>
      </w:r>
      <w:r w:rsidRPr="00F66E58">
        <w:rPr>
          <w:rFonts w:ascii="Palatino Linotype" w:hAnsi="Palatino Linotype" w:cs="Arial"/>
          <w:i/>
          <w:sz w:val="22"/>
          <w:szCs w:val="22"/>
          <w:vertAlign w:val="superscript"/>
        </w:rPr>
        <w:t>2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ab/>
      </w:r>
    </w:p>
    <w:p w:rsidR="00F66E58" w:rsidRPr="00F66E58" w:rsidRDefault="00F66E58" w:rsidP="00F66E58">
      <w:pPr>
        <w:spacing w:after="240" w:line="276" w:lineRule="auto"/>
        <w:ind w:left="70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F66E58">
        <w:rPr>
          <w:rFonts w:ascii="Palatino Linotype" w:hAnsi="Palatino Linotype" w:cs="Arial"/>
          <w:b/>
          <w:i/>
          <w:sz w:val="22"/>
          <w:szCs w:val="22"/>
        </w:rPr>
        <w:t xml:space="preserve">Área </w:t>
      </w:r>
      <w:r>
        <w:rPr>
          <w:rFonts w:ascii="Palatino Linotype" w:hAnsi="Palatino Linotype" w:cs="Arial"/>
          <w:b/>
          <w:i/>
          <w:sz w:val="22"/>
          <w:szCs w:val="22"/>
        </w:rPr>
        <w:t>v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 xml:space="preserve">erde </w:t>
      </w:r>
      <w:r>
        <w:rPr>
          <w:rFonts w:ascii="Palatino Linotype" w:hAnsi="Palatino Linotype" w:cs="Arial"/>
          <w:b/>
          <w:i/>
          <w:sz w:val="22"/>
          <w:szCs w:val="22"/>
        </w:rPr>
        <w:t>a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>dicional</w:t>
      </w:r>
      <w:r>
        <w:rPr>
          <w:rFonts w:ascii="Palatino Linotype" w:hAnsi="Palatino Linotype" w:cs="Arial"/>
          <w:b/>
          <w:i/>
          <w:sz w:val="22"/>
          <w:szCs w:val="22"/>
        </w:rPr>
        <w:t xml:space="preserve"> 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>(</w:t>
      </w:r>
      <w:r>
        <w:rPr>
          <w:rFonts w:ascii="Palatino Linotype" w:hAnsi="Palatino Linotype" w:cs="Arial"/>
          <w:b/>
          <w:i/>
          <w:sz w:val="22"/>
          <w:szCs w:val="22"/>
        </w:rPr>
        <w:t>f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 xml:space="preserve">aja de protección): </w:t>
      </w:r>
      <w:r>
        <w:rPr>
          <w:rFonts w:ascii="Palatino Linotype" w:hAnsi="Palatino Linotype" w:cs="Arial"/>
          <w:b/>
          <w:i/>
          <w:sz w:val="22"/>
          <w:szCs w:val="22"/>
        </w:rPr>
        <w:tab/>
      </w:r>
      <w:r>
        <w:rPr>
          <w:rFonts w:ascii="Palatino Linotype" w:hAnsi="Palatino Linotype" w:cs="Arial"/>
          <w:b/>
          <w:i/>
          <w:sz w:val="22"/>
          <w:szCs w:val="22"/>
        </w:rPr>
        <w:tab/>
      </w:r>
      <w:r w:rsidRPr="00F66E58">
        <w:rPr>
          <w:rFonts w:ascii="Palatino Linotype" w:hAnsi="Palatino Linotype" w:cs="Arial"/>
          <w:i/>
          <w:sz w:val="22"/>
          <w:szCs w:val="22"/>
        </w:rPr>
        <w:t>406,53 m</w:t>
      </w:r>
      <w:r w:rsidRPr="00F66E58">
        <w:rPr>
          <w:rFonts w:ascii="Palatino Linotype" w:hAnsi="Palatino Linotype" w:cs="Arial"/>
          <w:i/>
          <w:sz w:val="22"/>
          <w:szCs w:val="22"/>
          <w:vertAlign w:val="superscript"/>
        </w:rPr>
        <w:t>2</w:t>
      </w:r>
      <w:r w:rsidRPr="00F66E58">
        <w:rPr>
          <w:rFonts w:ascii="Palatino Linotype" w:hAnsi="Palatino Linotype" w:cs="Arial"/>
          <w:i/>
          <w:sz w:val="22"/>
          <w:szCs w:val="22"/>
        </w:rPr>
        <w:t xml:space="preserve"> </w:t>
      </w:r>
    </w:p>
    <w:p w:rsidR="00F66E58" w:rsidRPr="00F66E58" w:rsidRDefault="00F66E58" w:rsidP="00A51540">
      <w:pPr>
        <w:spacing w:after="240" w:line="276" w:lineRule="auto"/>
        <w:ind w:left="708"/>
        <w:jc w:val="both"/>
        <w:rPr>
          <w:rFonts w:ascii="Palatino Linotype" w:hAnsi="Palatino Linotype" w:cs="Arial"/>
          <w:b/>
          <w:i/>
          <w:sz w:val="22"/>
          <w:szCs w:val="22"/>
        </w:rPr>
      </w:pPr>
      <w:r w:rsidRPr="00F66E58">
        <w:rPr>
          <w:rFonts w:ascii="Palatino Linotype" w:hAnsi="Palatino Linotype" w:cs="Arial"/>
          <w:b/>
          <w:i/>
          <w:sz w:val="22"/>
          <w:szCs w:val="22"/>
        </w:rPr>
        <w:t>Área bruta del terreno</w:t>
      </w:r>
      <w:r>
        <w:rPr>
          <w:rFonts w:ascii="Palatino Linotype" w:hAnsi="Palatino Linotype" w:cs="Arial"/>
          <w:b/>
          <w:i/>
          <w:sz w:val="22"/>
          <w:szCs w:val="22"/>
        </w:rPr>
        <w:t>:</w:t>
      </w:r>
      <w:r w:rsidRPr="00F66E58">
        <w:rPr>
          <w:rFonts w:ascii="Palatino Linotype" w:hAnsi="Palatino Linotype" w:cs="Arial"/>
          <w:b/>
          <w:i/>
          <w:sz w:val="22"/>
          <w:szCs w:val="22"/>
        </w:rPr>
        <w:t xml:space="preserve">                                   </w:t>
      </w:r>
      <w:r>
        <w:rPr>
          <w:rFonts w:ascii="Palatino Linotype" w:hAnsi="Palatino Linotype" w:cs="Arial"/>
          <w:b/>
          <w:i/>
          <w:sz w:val="22"/>
          <w:szCs w:val="22"/>
        </w:rPr>
        <w:tab/>
      </w:r>
      <w:r>
        <w:rPr>
          <w:rFonts w:ascii="Palatino Linotype" w:hAnsi="Palatino Linotype" w:cs="Arial"/>
          <w:b/>
          <w:i/>
          <w:sz w:val="22"/>
          <w:szCs w:val="22"/>
        </w:rPr>
        <w:tab/>
      </w:r>
      <w:r w:rsidRPr="00F66E58">
        <w:rPr>
          <w:rFonts w:ascii="Palatino Linotype" w:hAnsi="Palatino Linotype" w:cs="Arial"/>
          <w:i/>
          <w:sz w:val="22"/>
          <w:szCs w:val="22"/>
        </w:rPr>
        <w:t>14.445,00 m</w:t>
      </w:r>
      <w:r w:rsidRPr="00F66E58">
        <w:rPr>
          <w:rFonts w:ascii="Palatino Linotype" w:hAnsi="Palatino Linotype" w:cs="Arial"/>
          <w:i/>
          <w:sz w:val="22"/>
          <w:szCs w:val="22"/>
          <w:vertAlign w:val="superscript"/>
        </w:rPr>
        <w:t>2</w:t>
      </w:r>
      <w:r>
        <w:rPr>
          <w:rFonts w:ascii="Palatino Linotype" w:hAnsi="Palatino Linotype" w:cs="Arial"/>
          <w:i/>
          <w:sz w:val="22"/>
          <w:szCs w:val="22"/>
        </w:rPr>
        <w:t>”</w:t>
      </w:r>
    </w:p>
    <w:p w:rsidR="00E00CAC" w:rsidRDefault="003A616B" w:rsidP="00A51540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1E74C4">
        <w:rPr>
          <w:rFonts w:ascii="Palatino Linotype" w:hAnsi="Palatino Linotype" w:cs="Arial"/>
          <w:b/>
          <w:bCs/>
          <w:sz w:val="22"/>
          <w:szCs w:val="22"/>
        </w:rPr>
        <w:t xml:space="preserve">Artículo 3.- </w:t>
      </w:r>
      <w:r w:rsidR="00194EFD">
        <w:rPr>
          <w:rFonts w:ascii="Palatino Linotype" w:hAnsi="Palatino Linotype" w:cs="Arial"/>
          <w:bCs/>
          <w:sz w:val="22"/>
          <w:szCs w:val="22"/>
        </w:rPr>
        <w:t>Sustitúyase</w:t>
      </w:r>
      <w:r w:rsidR="00E00CAC">
        <w:rPr>
          <w:rFonts w:ascii="Palatino Linotype" w:hAnsi="Palatino Linotype" w:cs="Arial"/>
          <w:bCs/>
          <w:sz w:val="22"/>
          <w:szCs w:val="22"/>
        </w:rPr>
        <w:t xml:space="preserve"> 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 w:rsidR="00194EFD">
        <w:rPr>
          <w:rFonts w:ascii="Palatino Linotype" w:hAnsi="Palatino Linotype" w:cs="Arial"/>
          <w:bCs/>
          <w:sz w:val="22"/>
          <w:szCs w:val="22"/>
        </w:rPr>
        <w:t>4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00CAC">
        <w:rPr>
          <w:rFonts w:ascii="Palatino Linotype" w:hAnsi="Palatino Linotype" w:cs="Arial"/>
          <w:bCs/>
          <w:sz w:val="22"/>
          <w:szCs w:val="22"/>
        </w:rPr>
        <w:t xml:space="preserve">de la Ordenanza No. </w:t>
      </w:r>
      <w:r w:rsidR="00194EFD">
        <w:rPr>
          <w:rFonts w:ascii="Palatino Linotype" w:hAnsi="Palatino Linotype" w:cs="Arial"/>
          <w:bCs/>
          <w:sz w:val="22"/>
          <w:szCs w:val="22"/>
        </w:rPr>
        <w:t>0212</w:t>
      </w:r>
      <w:r w:rsidR="00E00CAC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194EFD">
        <w:rPr>
          <w:rFonts w:ascii="Palatino Linotype" w:hAnsi="Palatino Linotype" w:cs="Arial"/>
          <w:bCs/>
          <w:sz w:val="22"/>
          <w:szCs w:val="22"/>
        </w:rPr>
        <w:t>por el siguiente:</w:t>
      </w:r>
    </w:p>
    <w:p w:rsidR="00194EFD" w:rsidRPr="00194EFD" w:rsidRDefault="00194EFD" w:rsidP="00A51540">
      <w:pPr>
        <w:spacing w:after="240" w:line="276" w:lineRule="auto"/>
        <w:ind w:left="708"/>
        <w:jc w:val="both"/>
        <w:rPr>
          <w:rFonts w:ascii="Palatino Linotype" w:hAnsi="Palatino Linotype" w:cs="Arial"/>
          <w:i/>
          <w:sz w:val="22"/>
          <w:szCs w:val="22"/>
        </w:rPr>
      </w:pPr>
      <w:r>
        <w:rPr>
          <w:rFonts w:ascii="Palatino Linotype" w:hAnsi="Palatino Linotype" w:cs="Arial"/>
          <w:b/>
          <w:bCs/>
          <w:i/>
          <w:sz w:val="22"/>
          <w:szCs w:val="22"/>
        </w:rPr>
        <w:lastRenderedPageBreak/>
        <w:t>“</w:t>
      </w:r>
      <w:r w:rsidRPr="00194EFD">
        <w:rPr>
          <w:rFonts w:ascii="Palatino Linotype" w:hAnsi="Palatino Linotype" w:cs="Arial"/>
          <w:b/>
          <w:bCs/>
          <w:i/>
          <w:sz w:val="22"/>
          <w:szCs w:val="22"/>
        </w:rPr>
        <w:t>Artículo 4.-</w:t>
      </w:r>
      <w:r w:rsidRPr="00194EFD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 </w:t>
      </w:r>
      <w:r>
        <w:rPr>
          <w:rFonts w:ascii="Palatino Linotype" w:hAnsi="Palatino Linotype"/>
          <w:b/>
          <w:bCs/>
          <w:i/>
          <w:sz w:val="22"/>
          <w:szCs w:val="22"/>
          <w:lang w:val="es-EC"/>
        </w:rPr>
        <w:t>Del á</w:t>
      </w:r>
      <w:r w:rsidRPr="00194EFD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rea </w:t>
      </w:r>
      <w:r>
        <w:rPr>
          <w:rFonts w:ascii="Palatino Linotype" w:hAnsi="Palatino Linotype"/>
          <w:b/>
          <w:bCs/>
          <w:i/>
          <w:sz w:val="22"/>
          <w:szCs w:val="22"/>
          <w:lang w:val="es-EC"/>
        </w:rPr>
        <w:t>v</w:t>
      </w:r>
      <w:r w:rsidRPr="00194EFD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erde y </w:t>
      </w:r>
      <w:r>
        <w:rPr>
          <w:rFonts w:ascii="Palatino Linotype" w:hAnsi="Palatino Linotype"/>
          <w:b/>
          <w:bCs/>
          <w:i/>
          <w:sz w:val="22"/>
          <w:szCs w:val="22"/>
          <w:lang w:val="es-EC"/>
        </w:rPr>
        <w:t>á</w:t>
      </w:r>
      <w:r w:rsidRPr="00194EFD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rea de </w:t>
      </w:r>
      <w:r>
        <w:rPr>
          <w:rFonts w:ascii="Palatino Linotype" w:hAnsi="Palatino Linotype"/>
          <w:b/>
          <w:bCs/>
          <w:i/>
          <w:sz w:val="22"/>
          <w:szCs w:val="22"/>
          <w:lang w:val="es-EC"/>
        </w:rPr>
        <w:t>e</w:t>
      </w:r>
      <w:r w:rsidRPr="00194EFD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quipamiento </w:t>
      </w:r>
      <w:r>
        <w:rPr>
          <w:rFonts w:ascii="Palatino Linotype" w:hAnsi="Palatino Linotype"/>
          <w:b/>
          <w:bCs/>
          <w:i/>
          <w:sz w:val="22"/>
          <w:szCs w:val="22"/>
          <w:lang w:val="es-EC"/>
        </w:rPr>
        <w:t>c</w:t>
      </w:r>
      <w:r w:rsidRPr="00194EFD">
        <w:rPr>
          <w:rFonts w:ascii="Palatino Linotype" w:hAnsi="Palatino Linotype"/>
          <w:b/>
          <w:bCs/>
          <w:i/>
          <w:sz w:val="22"/>
          <w:szCs w:val="22"/>
          <w:lang w:val="es-EC"/>
        </w:rPr>
        <w:t xml:space="preserve">omunal.- </w:t>
      </w:r>
      <w:r w:rsidRPr="00194EFD">
        <w:rPr>
          <w:rFonts w:ascii="Palatino Linotype" w:hAnsi="Palatino Linotype"/>
          <w:bCs/>
          <w:i/>
          <w:sz w:val="22"/>
          <w:szCs w:val="22"/>
          <w:lang w:val="es-EC"/>
        </w:rPr>
        <w:t xml:space="preserve">El </w:t>
      </w:r>
      <w:r w:rsidRPr="00194EFD">
        <w:rPr>
          <w:rFonts w:ascii="Palatino Linotype" w:hAnsi="Palatino Linotype" w:cs="Arial"/>
          <w:i/>
          <w:sz w:val="22"/>
          <w:szCs w:val="22"/>
        </w:rPr>
        <w:t>Asentamiento Humano de Hecho y Consolidado denominado</w:t>
      </w:r>
      <w:r w:rsidRPr="00194EFD">
        <w:rPr>
          <w:rFonts w:ascii="Palatino Linotype" w:hAnsi="Palatino Linotype"/>
          <w:i/>
          <w:sz w:val="22"/>
          <w:szCs w:val="22"/>
          <w:lang w:val="es-EC"/>
        </w:rPr>
        <w:t xml:space="preserve"> Comité </w:t>
      </w:r>
      <w:proofErr w:type="spellStart"/>
      <w:r w:rsidRPr="00194EFD">
        <w:rPr>
          <w:rFonts w:ascii="Palatino Linotype" w:hAnsi="Palatino Linotype"/>
          <w:i/>
          <w:sz w:val="22"/>
          <w:szCs w:val="22"/>
          <w:lang w:val="es-EC"/>
        </w:rPr>
        <w:t>Promejoras</w:t>
      </w:r>
      <w:proofErr w:type="spellEnd"/>
      <w:r w:rsidRPr="00194EFD">
        <w:rPr>
          <w:rFonts w:ascii="Palatino Linotype" w:hAnsi="Palatino Linotype"/>
          <w:i/>
          <w:sz w:val="22"/>
          <w:szCs w:val="22"/>
          <w:lang w:val="es-EC"/>
        </w:rPr>
        <w:t xml:space="preserve"> </w:t>
      </w:r>
      <w:proofErr w:type="spellStart"/>
      <w:r w:rsidRPr="00194EFD">
        <w:rPr>
          <w:rFonts w:ascii="Palatino Linotype" w:hAnsi="Palatino Linotype"/>
          <w:i/>
          <w:sz w:val="22"/>
          <w:szCs w:val="22"/>
          <w:lang w:val="es-EC"/>
        </w:rPr>
        <w:t>Pradesur</w:t>
      </w:r>
      <w:proofErr w:type="spellEnd"/>
      <w:r w:rsidRPr="00194EFD">
        <w:rPr>
          <w:rFonts w:ascii="Palatino Linotype" w:hAnsi="Palatino Linotype"/>
          <w:i/>
          <w:sz w:val="22"/>
          <w:szCs w:val="22"/>
          <w:lang w:val="es-EC"/>
        </w:rPr>
        <w:t xml:space="preserve"> Etapa Uno</w:t>
      </w:r>
      <w:r w:rsidRPr="00194EFD">
        <w:rPr>
          <w:rFonts w:ascii="Palatino Linotype" w:hAnsi="Palatino Linotype"/>
          <w:bCs/>
          <w:i/>
          <w:sz w:val="22"/>
          <w:szCs w:val="22"/>
          <w:lang w:val="es-EC"/>
        </w:rPr>
        <w:t xml:space="preserve">, </w:t>
      </w:r>
      <w:r w:rsidRPr="00194EFD">
        <w:rPr>
          <w:rFonts w:ascii="Palatino Linotype" w:hAnsi="Palatino Linotype" w:cs="Arial"/>
          <w:i/>
          <w:sz w:val="22"/>
          <w:szCs w:val="22"/>
        </w:rPr>
        <w:t>transfiere al Municipio del Distrito Metropolitano de Quito, como contribución de áreas verdes, un área total de 981,75</w:t>
      </w:r>
      <w:r w:rsidR="002E2C2B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194EFD">
        <w:rPr>
          <w:rFonts w:ascii="Palatino Linotype" w:hAnsi="Palatino Linotype" w:cs="Arial"/>
          <w:i/>
          <w:sz w:val="22"/>
          <w:szCs w:val="22"/>
        </w:rPr>
        <w:t>m</w:t>
      </w:r>
      <w:r w:rsidRPr="00194EFD">
        <w:rPr>
          <w:rFonts w:ascii="Palatino Linotype" w:hAnsi="Palatino Linotype" w:cs="Arial"/>
          <w:i/>
          <w:sz w:val="22"/>
          <w:szCs w:val="22"/>
          <w:vertAlign w:val="superscript"/>
        </w:rPr>
        <w:t>2</w:t>
      </w:r>
      <w:r w:rsidRPr="00194EFD">
        <w:rPr>
          <w:rFonts w:ascii="Palatino Linotype" w:hAnsi="Palatino Linotype" w:cs="Arial"/>
          <w:i/>
          <w:sz w:val="22"/>
          <w:szCs w:val="22"/>
        </w:rPr>
        <w:t>,</w:t>
      </w:r>
      <w:r w:rsidRPr="00194EFD">
        <w:rPr>
          <w:rFonts w:ascii="Palatino Linotype" w:hAnsi="Palatino Linotype" w:cs="Arial"/>
          <w:i/>
          <w:sz w:val="22"/>
          <w:szCs w:val="22"/>
          <w:vertAlign w:val="superscript"/>
        </w:rPr>
        <w:t xml:space="preserve"> </w:t>
      </w:r>
      <w:r w:rsidRPr="00194EFD">
        <w:rPr>
          <w:rFonts w:ascii="Palatino Linotype" w:hAnsi="Palatino Linotype" w:cs="Arial"/>
          <w:i/>
          <w:sz w:val="22"/>
          <w:szCs w:val="22"/>
        </w:rPr>
        <w:t>que corresponde al</w:t>
      </w:r>
      <w:r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194EFD">
        <w:rPr>
          <w:rFonts w:ascii="Palatino Linotype" w:hAnsi="Palatino Linotype" w:cs="Arial"/>
          <w:i/>
          <w:sz w:val="22"/>
          <w:szCs w:val="22"/>
        </w:rPr>
        <w:t xml:space="preserve">10,63%, del área útil de los lotes, </w:t>
      </w:r>
      <w:r>
        <w:rPr>
          <w:rFonts w:ascii="Palatino Linotype" w:hAnsi="Palatino Linotype" w:cs="Arial"/>
          <w:i/>
          <w:sz w:val="22"/>
          <w:szCs w:val="22"/>
        </w:rPr>
        <w:t>de conformidad al siguiente detalle</w:t>
      </w:r>
      <w:r w:rsidRPr="00194EFD">
        <w:rPr>
          <w:rFonts w:ascii="Palatino Linotype" w:hAnsi="Palatino Linotype" w:cs="Arial"/>
          <w:i/>
          <w:sz w:val="22"/>
          <w:szCs w:val="22"/>
        </w:rPr>
        <w:t>:</w:t>
      </w:r>
    </w:p>
    <w:p w:rsidR="00194EFD" w:rsidRPr="00194EFD" w:rsidRDefault="00194EFD" w:rsidP="00A51540">
      <w:pPr>
        <w:spacing w:after="240" w:line="276" w:lineRule="auto"/>
        <w:ind w:left="708"/>
        <w:jc w:val="both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194EFD">
        <w:rPr>
          <w:rFonts w:ascii="Palatino Linotype" w:hAnsi="Palatino Linotype" w:cs="Arial"/>
          <w:b/>
          <w:bCs/>
          <w:i/>
          <w:sz w:val="22"/>
          <w:szCs w:val="22"/>
        </w:rPr>
        <w:t>Área Verde</w:t>
      </w:r>
      <w:r w:rsidRPr="00194EFD">
        <w:rPr>
          <w:rFonts w:ascii="Palatino Linotype" w:hAnsi="Palatino Linotype" w:cs="Arial"/>
          <w:i/>
          <w:sz w:val="22"/>
          <w:szCs w:val="22"/>
        </w:rPr>
        <w:tab/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bCs/>
          <w:i/>
        </w:rPr>
      </w:pPr>
      <w:r w:rsidRPr="00194EFD">
        <w:rPr>
          <w:rFonts w:ascii="Palatino Linotype" w:hAnsi="Palatino Linotype" w:cs="Arial"/>
          <w:b/>
          <w:bCs/>
          <w:i/>
        </w:rPr>
        <w:t>Superficie:</w:t>
      </w:r>
      <w:r w:rsidRPr="00194EFD">
        <w:rPr>
          <w:rFonts w:ascii="Palatino Linotype" w:hAnsi="Palatino Linotype" w:cs="Arial"/>
          <w:bCs/>
          <w:i/>
        </w:rPr>
        <w:tab/>
      </w:r>
      <w:r w:rsidRPr="00194EFD">
        <w:rPr>
          <w:rFonts w:ascii="Palatino Linotype" w:hAnsi="Palatino Linotype" w:cs="Arial"/>
          <w:i/>
        </w:rPr>
        <w:t>528,22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>m</w:t>
      </w:r>
      <w:r w:rsidRPr="00194EFD">
        <w:rPr>
          <w:rFonts w:ascii="Palatino Linotype" w:hAnsi="Palatino Linotype" w:cs="Arial"/>
          <w:i/>
          <w:vertAlign w:val="superscript"/>
        </w:rPr>
        <w:t>2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i/>
        </w:rPr>
      </w:pPr>
      <w:r w:rsidRPr="00194EFD">
        <w:rPr>
          <w:rFonts w:ascii="Palatino Linotype" w:hAnsi="Palatino Linotype" w:cs="Arial"/>
          <w:b/>
          <w:bCs/>
          <w:i/>
        </w:rPr>
        <w:t>Norte:</w:t>
      </w:r>
      <w:r w:rsidRPr="00194EFD">
        <w:rPr>
          <w:rFonts w:ascii="Palatino Linotype" w:hAnsi="Palatino Linotype" w:cs="Arial"/>
          <w:i/>
        </w:rPr>
        <w:t xml:space="preserve">             </w:t>
      </w:r>
      <w:r w:rsidR="00A51540">
        <w:rPr>
          <w:rFonts w:ascii="Palatino Linotype" w:hAnsi="Palatino Linotype" w:cs="Arial"/>
          <w:i/>
        </w:rPr>
        <w:tab/>
      </w:r>
      <w:r w:rsidRPr="00194EFD">
        <w:rPr>
          <w:rFonts w:ascii="Palatino Linotype" w:hAnsi="Palatino Linotype" w:cs="Arial"/>
          <w:i/>
        </w:rPr>
        <w:t xml:space="preserve">Lote </w:t>
      </w:r>
      <w:r w:rsidR="00A51540">
        <w:rPr>
          <w:rFonts w:ascii="Palatino Linotype" w:hAnsi="Palatino Linotype" w:cs="Arial"/>
          <w:i/>
        </w:rPr>
        <w:t xml:space="preserve">No. </w:t>
      </w:r>
      <w:r w:rsidRPr="00194EFD">
        <w:rPr>
          <w:rFonts w:ascii="Palatino Linotype" w:hAnsi="Palatino Linotype" w:cs="Arial"/>
          <w:i/>
        </w:rPr>
        <w:t>22 en 12,07</w:t>
      </w:r>
      <w:r w:rsidR="002E2C2B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>m.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bCs/>
          <w:i/>
        </w:rPr>
      </w:pPr>
      <w:r w:rsidRPr="00194EFD">
        <w:rPr>
          <w:rFonts w:ascii="Palatino Linotype" w:hAnsi="Palatino Linotype" w:cs="Arial"/>
          <w:b/>
          <w:bCs/>
          <w:i/>
        </w:rPr>
        <w:t>Sur:</w:t>
      </w:r>
      <w:r w:rsidRPr="00194EFD">
        <w:rPr>
          <w:rFonts w:ascii="Palatino Linotype" w:hAnsi="Palatino Linotype" w:cs="Arial"/>
          <w:b/>
          <w:bCs/>
          <w:i/>
        </w:rPr>
        <w:tab/>
        <w:t xml:space="preserve">            </w:t>
      </w:r>
      <w:r w:rsidR="00A51540">
        <w:rPr>
          <w:rFonts w:ascii="Palatino Linotype" w:hAnsi="Palatino Linotype" w:cs="Arial"/>
          <w:b/>
          <w:bCs/>
          <w:i/>
        </w:rPr>
        <w:tab/>
      </w:r>
      <w:r w:rsidR="00A51540">
        <w:rPr>
          <w:rFonts w:ascii="Palatino Linotype" w:hAnsi="Palatino Linotype" w:cs="Arial"/>
          <w:bCs/>
          <w:i/>
        </w:rPr>
        <w:t>Área a</w:t>
      </w:r>
      <w:r w:rsidRPr="00194EFD">
        <w:rPr>
          <w:rFonts w:ascii="Palatino Linotype" w:hAnsi="Palatino Linotype" w:cs="Arial"/>
          <w:bCs/>
          <w:i/>
        </w:rPr>
        <w:t>dicional</w:t>
      </w:r>
      <w:r w:rsidRPr="00194EFD">
        <w:rPr>
          <w:rFonts w:ascii="Palatino Linotype" w:hAnsi="Palatino Linotype" w:cs="Arial"/>
          <w:b/>
          <w:bCs/>
          <w:i/>
        </w:rPr>
        <w:t xml:space="preserve"> </w:t>
      </w:r>
      <w:r w:rsidRPr="00194EFD">
        <w:rPr>
          <w:rFonts w:ascii="Palatino Linotype" w:hAnsi="Palatino Linotype" w:cs="Arial"/>
          <w:bCs/>
          <w:i/>
        </w:rPr>
        <w:t>(</w:t>
      </w:r>
      <w:r w:rsidR="00A51540">
        <w:rPr>
          <w:rFonts w:ascii="Palatino Linotype" w:hAnsi="Palatino Linotype" w:cs="Arial"/>
          <w:bCs/>
          <w:i/>
        </w:rPr>
        <w:t>l</w:t>
      </w:r>
      <w:r w:rsidRPr="00194EFD">
        <w:rPr>
          <w:rFonts w:ascii="Palatino Linotype" w:hAnsi="Palatino Linotype" w:cs="Arial"/>
          <w:bCs/>
          <w:i/>
        </w:rPr>
        <w:t>ongitud desarrollada)</w:t>
      </w:r>
      <w:r w:rsidRPr="00194EFD">
        <w:rPr>
          <w:rFonts w:ascii="Palatino Linotype" w:hAnsi="Palatino Linotype" w:cs="Arial"/>
          <w:b/>
          <w:bCs/>
          <w:i/>
        </w:rPr>
        <w:t xml:space="preserve"> </w:t>
      </w:r>
      <w:r w:rsidRPr="00194EFD">
        <w:rPr>
          <w:rFonts w:ascii="Palatino Linotype" w:hAnsi="Palatino Linotype" w:cs="Arial"/>
          <w:bCs/>
          <w:i/>
        </w:rPr>
        <w:t>en 24,59</w:t>
      </w:r>
      <w:r w:rsidR="00A51540">
        <w:rPr>
          <w:rFonts w:ascii="Palatino Linotype" w:hAnsi="Palatino Linotype" w:cs="Arial"/>
          <w:bCs/>
          <w:i/>
        </w:rPr>
        <w:t xml:space="preserve"> </w:t>
      </w:r>
      <w:r w:rsidRPr="00194EFD">
        <w:rPr>
          <w:rFonts w:ascii="Palatino Linotype" w:hAnsi="Palatino Linotype" w:cs="Arial"/>
          <w:bCs/>
          <w:i/>
        </w:rPr>
        <w:t>m.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b/>
          <w:bCs/>
          <w:i/>
        </w:rPr>
      </w:pPr>
      <w:r w:rsidRPr="00194EFD">
        <w:rPr>
          <w:rFonts w:ascii="Palatino Linotype" w:hAnsi="Palatino Linotype" w:cs="Arial"/>
          <w:b/>
          <w:bCs/>
          <w:i/>
        </w:rPr>
        <w:t>Este:</w:t>
      </w:r>
      <w:r w:rsidRPr="00194EFD">
        <w:rPr>
          <w:rFonts w:ascii="Palatino Linotype" w:hAnsi="Palatino Linotype" w:cs="Arial"/>
          <w:i/>
        </w:rPr>
        <w:tab/>
        <w:t xml:space="preserve">            </w:t>
      </w:r>
      <w:r w:rsidR="00A51540">
        <w:rPr>
          <w:rFonts w:ascii="Palatino Linotype" w:hAnsi="Palatino Linotype" w:cs="Arial"/>
          <w:i/>
        </w:rPr>
        <w:tab/>
      </w:r>
      <w:r w:rsidRPr="00194EFD">
        <w:rPr>
          <w:rFonts w:ascii="Palatino Linotype" w:hAnsi="Palatino Linotype" w:cs="Arial"/>
          <w:i/>
        </w:rPr>
        <w:t>Barrio Puerta del Sol  en 53,40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>m.</w:t>
      </w:r>
    </w:p>
    <w:p w:rsidR="00194EFD" w:rsidRPr="00194EFD" w:rsidRDefault="00194EFD" w:rsidP="00A51540">
      <w:pPr>
        <w:tabs>
          <w:tab w:val="left" w:pos="1418"/>
        </w:tabs>
        <w:spacing w:after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 w:rsidRPr="00194EFD">
        <w:rPr>
          <w:rFonts w:ascii="Palatino Linotype" w:hAnsi="Palatino Linotype" w:cs="Arial"/>
          <w:b/>
          <w:i/>
          <w:sz w:val="22"/>
          <w:szCs w:val="22"/>
        </w:rPr>
        <w:t>O</w:t>
      </w:r>
      <w:r w:rsidRPr="00194EFD">
        <w:rPr>
          <w:rFonts w:ascii="Palatino Linotype" w:hAnsi="Palatino Linotype" w:cs="Arial"/>
          <w:b/>
          <w:bCs/>
          <w:i/>
          <w:sz w:val="22"/>
          <w:szCs w:val="22"/>
        </w:rPr>
        <w:t>este:</w:t>
      </w:r>
      <w:r w:rsidRPr="00194EFD">
        <w:rPr>
          <w:rFonts w:ascii="Palatino Linotype" w:hAnsi="Palatino Linotype" w:cs="Arial"/>
          <w:b/>
          <w:i/>
          <w:sz w:val="22"/>
          <w:szCs w:val="22"/>
        </w:rPr>
        <w:t xml:space="preserve">            </w:t>
      </w:r>
      <w:r w:rsidR="00A51540">
        <w:rPr>
          <w:rFonts w:ascii="Palatino Linotype" w:hAnsi="Palatino Linotype" w:cs="Arial"/>
          <w:b/>
          <w:i/>
          <w:sz w:val="22"/>
          <w:szCs w:val="22"/>
        </w:rPr>
        <w:tab/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>Calle “</w:t>
      </w:r>
      <w:proofErr w:type="spellStart"/>
      <w:r w:rsidRPr="00194EFD">
        <w:rPr>
          <w:rFonts w:ascii="Palatino Linotype" w:hAnsi="Palatino Linotype" w:cs="Arial"/>
          <w:bCs/>
          <w:i/>
          <w:sz w:val="22"/>
          <w:szCs w:val="22"/>
        </w:rPr>
        <w:t>Atacazo</w:t>
      </w:r>
      <w:proofErr w:type="spellEnd"/>
      <w:r w:rsidRPr="00194EFD">
        <w:rPr>
          <w:rFonts w:ascii="Palatino Linotype" w:hAnsi="Palatino Linotype" w:cs="Arial"/>
          <w:bCs/>
          <w:i/>
          <w:sz w:val="22"/>
          <w:szCs w:val="22"/>
        </w:rPr>
        <w:t>” en parte 16,23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 xml:space="preserve"> </w:t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 xml:space="preserve">m.;  </w:t>
      </w:r>
    </w:p>
    <w:p w:rsidR="00194EFD" w:rsidRPr="00194EFD" w:rsidRDefault="00194EFD" w:rsidP="00A51540">
      <w:pPr>
        <w:tabs>
          <w:tab w:val="left" w:pos="1418"/>
        </w:tabs>
        <w:spacing w:after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 w:rsidRPr="00194EFD">
        <w:rPr>
          <w:rFonts w:ascii="Palatino Linotype" w:hAnsi="Palatino Linotype" w:cs="Arial"/>
          <w:b/>
          <w:i/>
          <w:sz w:val="22"/>
          <w:szCs w:val="22"/>
        </w:rPr>
        <w:t xml:space="preserve">    </w:t>
      </w:r>
      <w:r w:rsidRPr="00194EFD">
        <w:rPr>
          <w:rFonts w:ascii="Palatino Linotype" w:hAnsi="Palatino Linotype" w:cs="Arial"/>
          <w:b/>
          <w:bCs/>
          <w:i/>
          <w:sz w:val="22"/>
          <w:szCs w:val="22"/>
        </w:rPr>
        <w:t xml:space="preserve">            </w:t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 xml:space="preserve">       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ab/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>Curva  de retorno (longitud desarrollada) en parte 42,04</w:t>
      </w:r>
      <w:r w:rsidR="002E2C2B">
        <w:rPr>
          <w:rFonts w:ascii="Palatino Linotype" w:hAnsi="Palatino Linotype" w:cs="Arial"/>
          <w:bCs/>
          <w:i/>
          <w:sz w:val="22"/>
          <w:szCs w:val="22"/>
        </w:rPr>
        <w:t xml:space="preserve"> </w:t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>m.;</w:t>
      </w:r>
    </w:p>
    <w:p w:rsidR="00194EFD" w:rsidRPr="00194EFD" w:rsidRDefault="00194EFD" w:rsidP="00A51540">
      <w:pPr>
        <w:tabs>
          <w:tab w:val="left" w:pos="1418"/>
        </w:tabs>
        <w:spacing w:after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 w:rsidRPr="00194EFD">
        <w:rPr>
          <w:rFonts w:ascii="Palatino Linotype" w:hAnsi="Palatino Linotype" w:cs="Arial"/>
          <w:bCs/>
          <w:i/>
          <w:sz w:val="22"/>
          <w:szCs w:val="22"/>
        </w:rPr>
        <w:t xml:space="preserve">                        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ab/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 xml:space="preserve">Lote 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 xml:space="preserve">No. </w:t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>23 en 15,51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 xml:space="preserve"> </w:t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>m., longitud total 73,78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 xml:space="preserve"> </w:t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>m.</w:t>
      </w:r>
    </w:p>
    <w:p w:rsidR="00194EFD" w:rsidRPr="00194EFD" w:rsidRDefault="00194EFD" w:rsidP="00A51540">
      <w:pPr>
        <w:spacing w:after="240" w:line="276" w:lineRule="auto"/>
        <w:ind w:left="708"/>
        <w:jc w:val="both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194EFD">
        <w:rPr>
          <w:rFonts w:ascii="Palatino Linotype" w:hAnsi="Palatino Linotype" w:cs="Arial"/>
          <w:b/>
          <w:bCs/>
          <w:i/>
          <w:sz w:val="22"/>
          <w:szCs w:val="22"/>
        </w:rPr>
        <w:t>Área Comunal: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i/>
          <w:vertAlign w:val="superscript"/>
        </w:rPr>
      </w:pPr>
      <w:r w:rsidRPr="00194EFD">
        <w:rPr>
          <w:rFonts w:ascii="Palatino Linotype" w:hAnsi="Palatino Linotype" w:cs="Arial"/>
          <w:b/>
          <w:bCs/>
          <w:i/>
        </w:rPr>
        <w:t>Superficie:</w:t>
      </w:r>
      <w:r w:rsidR="00A51540">
        <w:rPr>
          <w:rFonts w:ascii="Palatino Linotype" w:hAnsi="Palatino Linotype" w:cs="Arial"/>
          <w:bCs/>
          <w:i/>
        </w:rPr>
        <w:tab/>
      </w:r>
      <w:r w:rsidRPr="00194EFD">
        <w:rPr>
          <w:rFonts w:ascii="Palatino Linotype" w:hAnsi="Palatino Linotype" w:cs="Arial"/>
          <w:bCs/>
          <w:i/>
        </w:rPr>
        <w:t>4</w:t>
      </w:r>
      <w:r w:rsidRPr="00194EFD">
        <w:rPr>
          <w:rFonts w:ascii="Palatino Linotype" w:hAnsi="Palatino Linotype" w:cs="Arial"/>
          <w:i/>
        </w:rPr>
        <w:t>53,53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>m</w:t>
      </w:r>
      <w:r w:rsidRPr="00194EFD">
        <w:rPr>
          <w:rFonts w:ascii="Palatino Linotype" w:hAnsi="Palatino Linotype" w:cs="Arial"/>
          <w:i/>
          <w:vertAlign w:val="superscript"/>
        </w:rPr>
        <w:t>2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i/>
        </w:rPr>
      </w:pPr>
      <w:r w:rsidRPr="00194EFD">
        <w:rPr>
          <w:rFonts w:ascii="Palatino Linotype" w:hAnsi="Palatino Linotype" w:cs="Arial"/>
          <w:b/>
          <w:bCs/>
          <w:i/>
        </w:rPr>
        <w:t>Norte:</w:t>
      </w:r>
      <w:r w:rsidRPr="00194EFD">
        <w:rPr>
          <w:rFonts w:ascii="Palatino Linotype" w:hAnsi="Palatino Linotype" w:cs="Arial"/>
          <w:i/>
        </w:rPr>
        <w:t xml:space="preserve">             </w:t>
      </w:r>
      <w:r w:rsidR="00A51540">
        <w:rPr>
          <w:rFonts w:ascii="Palatino Linotype" w:hAnsi="Palatino Linotype" w:cs="Arial"/>
          <w:i/>
        </w:rPr>
        <w:tab/>
      </w:r>
      <w:r w:rsidRPr="00194EFD">
        <w:rPr>
          <w:rFonts w:ascii="Palatino Linotype" w:hAnsi="Palatino Linotype" w:cs="Arial"/>
          <w:i/>
        </w:rPr>
        <w:t xml:space="preserve">Lote </w:t>
      </w:r>
      <w:r w:rsidR="00A51540">
        <w:rPr>
          <w:rFonts w:ascii="Palatino Linotype" w:hAnsi="Palatino Linotype" w:cs="Arial"/>
          <w:i/>
        </w:rPr>
        <w:t xml:space="preserve">No. </w:t>
      </w:r>
      <w:r w:rsidRPr="00194EFD">
        <w:rPr>
          <w:rFonts w:ascii="Palatino Linotype" w:hAnsi="Palatino Linotype" w:cs="Arial"/>
          <w:i/>
        </w:rPr>
        <w:t>10 en 12,73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>m.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bCs/>
          <w:i/>
        </w:rPr>
      </w:pPr>
      <w:r w:rsidRPr="00194EFD">
        <w:rPr>
          <w:rFonts w:ascii="Palatino Linotype" w:hAnsi="Palatino Linotype" w:cs="Arial"/>
          <w:b/>
          <w:bCs/>
          <w:i/>
        </w:rPr>
        <w:t>Sur:</w:t>
      </w:r>
      <w:r w:rsidRPr="00194EFD">
        <w:rPr>
          <w:rFonts w:ascii="Palatino Linotype" w:hAnsi="Palatino Linotype" w:cs="Arial"/>
          <w:b/>
          <w:bCs/>
          <w:i/>
        </w:rPr>
        <w:tab/>
        <w:t xml:space="preserve">            </w:t>
      </w:r>
      <w:r w:rsidR="00A51540">
        <w:rPr>
          <w:rFonts w:ascii="Palatino Linotype" w:hAnsi="Palatino Linotype" w:cs="Arial"/>
          <w:b/>
          <w:bCs/>
          <w:i/>
        </w:rPr>
        <w:tab/>
      </w:r>
      <w:r w:rsidRPr="00194EFD">
        <w:rPr>
          <w:rFonts w:ascii="Palatino Linotype" w:hAnsi="Palatino Linotype" w:cs="Arial"/>
          <w:i/>
        </w:rPr>
        <w:t xml:space="preserve">Lote </w:t>
      </w:r>
      <w:r w:rsidR="00A51540">
        <w:rPr>
          <w:rFonts w:ascii="Palatino Linotype" w:hAnsi="Palatino Linotype" w:cs="Arial"/>
          <w:i/>
        </w:rPr>
        <w:t xml:space="preserve">No. </w:t>
      </w:r>
      <w:r w:rsidRPr="00194EFD">
        <w:rPr>
          <w:rFonts w:ascii="Palatino Linotype" w:hAnsi="Palatino Linotype" w:cs="Arial"/>
          <w:i/>
        </w:rPr>
        <w:t>11 en 12,51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 xml:space="preserve">m. 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b/>
          <w:bCs/>
          <w:i/>
        </w:rPr>
      </w:pPr>
      <w:r w:rsidRPr="00194EFD">
        <w:rPr>
          <w:rFonts w:ascii="Palatino Linotype" w:hAnsi="Palatino Linotype" w:cs="Arial"/>
          <w:b/>
          <w:bCs/>
          <w:i/>
        </w:rPr>
        <w:t>Este:</w:t>
      </w:r>
      <w:r w:rsidRPr="00194EFD">
        <w:rPr>
          <w:rFonts w:ascii="Palatino Linotype" w:hAnsi="Palatino Linotype" w:cs="Arial"/>
          <w:i/>
        </w:rPr>
        <w:tab/>
        <w:t xml:space="preserve">       </w:t>
      </w:r>
      <w:r w:rsidRPr="00194EFD">
        <w:rPr>
          <w:rFonts w:ascii="Palatino Linotype" w:hAnsi="Palatino Linotype" w:cs="Arial"/>
          <w:b/>
          <w:i/>
        </w:rPr>
        <w:t xml:space="preserve">     </w:t>
      </w:r>
      <w:r w:rsidR="00A51540">
        <w:rPr>
          <w:rFonts w:ascii="Palatino Linotype" w:hAnsi="Palatino Linotype" w:cs="Arial"/>
          <w:b/>
          <w:i/>
        </w:rPr>
        <w:tab/>
      </w:r>
      <w:r w:rsidRPr="00194EFD">
        <w:rPr>
          <w:rFonts w:ascii="Palatino Linotype" w:hAnsi="Palatino Linotype" w:cs="Arial"/>
          <w:i/>
        </w:rPr>
        <w:t>Barrio Puerta del Sol  en 35,97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>m.</w:t>
      </w:r>
    </w:p>
    <w:p w:rsidR="00194EFD" w:rsidRPr="00194EFD" w:rsidRDefault="00194EFD" w:rsidP="00A51540">
      <w:pPr>
        <w:spacing w:after="240" w:line="276" w:lineRule="auto"/>
        <w:ind w:left="708"/>
        <w:jc w:val="both"/>
        <w:rPr>
          <w:rFonts w:ascii="Palatino Linotype" w:hAnsi="Palatino Linotype" w:cs="Arial"/>
          <w:bCs/>
          <w:i/>
          <w:sz w:val="22"/>
          <w:szCs w:val="22"/>
        </w:rPr>
      </w:pPr>
      <w:r w:rsidRPr="00194EFD">
        <w:rPr>
          <w:rFonts w:ascii="Palatino Linotype" w:hAnsi="Palatino Linotype" w:cs="Arial"/>
          <w:b/>
          <w:i/>
          <w:sz w:val="22"/>
          <w:szCs w:val="22"/>
        </w:rPr>
        <w:t>O</w:t>
      </w:r>
      <w:r w:rsidRPr="00194EFD">
        <w:rPr>
          <w:rFonts w:ascii="Palatino Linotype" w:hAnsi="Palatino Linotype" w:cs="Arial"/>
          <w:b/>
          <w:bCs/>
          <w:i/>
          <w:sz w:val="22"/>
          <w:szCs w:val="22"/>
        </w:rPr>
        <w:t xml:space="preserve">este:            </w:t>
      </w:r>
      <w:r w:rsidR="00A51540">
        <w:rPr>
          <w:rFonts w:ascii="Palatino Linotype" w:hAnsi="Palatino Linotype" w:cs="Arial"/>
          <w:b/>
          <w:bCs/>
          <w:i/>
          <w:sz w:val="22"/>
          <w:szCs w:val="22"/>
        </w:rPr>
        <w:tab/>
      </w:r>
      <w:r w:rsidRPr="00194EFD">
        <w:rPr>
          <w:rFonts w:ascii="Palatino Linotype" w:hAnsi="Palatino Linotype" w:cs="Arial"/>
          <w:i/>
          <w:sz w:val="22"/>
          <w:szCs w:val="22"/>
        </w:rPr>
        <w:t>Calle “</w:t>
      </w:r>
      <w:proofErr w:type="spellStart"/>
      <w:r w:rsidRPr="00194EFD">
        <w:rPr>
          <w:rFonts w:ascii="Palatino Linotype" w:hAnsi="Palatino Linotype" w:cs="Arial"/>
          <w:i/>
          <w:sz w:val="22"/>
          <w:szCs w:val="22"/>
        </w:rPr>
        <w:t>Atacazo</w:t>
      </w:r>
      <w:proofErr w:type="spellEnd"/>
      <w:r w:rsidRPr="00194EFD">
        <w:rPr>
          <w:rFonts w:ascii="Palatino Linotype" w:hAnsi="Palatino Linotype" w:cs="Arial"/>
          <w:i/>
          <w:sz w:val="22"/>
          <w:szCs w:val="22"/>
        </w:rPr>
        <w:t>”</w:t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 xml:space="preserve"> en 35,90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 xml:space="preserve"> </w:t>
      </w:r>
      <w:r w:rsidRPr="00194EFD">
        <w:rPr>
          <w:rFonts w:ascii="Palatino Linotype" w:hAnsi="Palatino Linotype" w:cs="Arial"/>
          <w:bCs/>
          <w:i/>
          <w:sz w:val="22"/>
          <w:szCs w:val="22"/>
        </w:rPr>
        <w:t>m.</w:t>
      </w:r>
    </w:p>
    <w:p w:rsidR="00194EFD" w:rsidRPr="00194EFD" w:rsidRDefault="00194EFD" w:rsidP="00A51540">
      <w:pPr>
        <w:spacing w:after="240" w:line="276" w:lineRule="auto"/>
        <w:ind w:left="708"/>
        <w:jc w:val="both"/>
        <w:rPr>
          <w:rFonts w:ascii="Palatino Linotype" w:hAnsi="Palatino Linotype" w:cs="Arial"/>
          <w:b/>
          <w:bCs/>
          <w:i/>
          <w:sz w:val="22"/>
          <w:szCs w:val="22"/>
        </w:rPr>
      </w:pPr>
      <w:r w:rsidRPr="00194EFD">
        <w:rPr>
          <w:rFonts w:ascii="Palatino Linotype" w:hAnsi="Palatino Linotype" w:cs="Arial"/>
          <w:b/>
          <w:bCs/>
          <w:i/>
          <w:sz w:val="22"/>
          <w:szCs w:val="22"/>
        </w:rPr>
        <w:t>Área Verde Adicional</w:t>
      </w:r>
      <w:r w:rsidR="002E2C2B">
        <w:rPr>
          <w:rFonts w:ascii="Palatino Linotype" w:hAnsi="Palatino Linotype" w:cs="Arial"/>
          <w:b/>
          <w:bCs/>
          <w:i/>
          <w:sz w:val="22"/>
          <w:szCs w:val="22"/>
        </w:rPr>
        <w:t>: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i/>
          <w:vertAlign w:val="superscript"/>
        </w:rPr>
      </w:pPr>
      <w:r w:rsidRPr="00194EFD">
        <w:rPr>
          <w:rFonts w:ascii="Palatino Linotype" w:hAnsi="Palatino Linotype" w:cs="Arial"/>
          <w:b/>
          <w:bCs/>
          <w:i/>
        </w:rPr>
        <w:t>Superficie:</w:t>
      </w:r>
      <w:r w:rsidRPr="00194EFD">
        <w:rPr>
          <w:rFonts w:ascii="Palatino Linotype" w:hAnsi="Palatino Linotype" w:cs="Arial"/>
          <w:bCs/>
          <w:i/>
        </w:rPr>
        <w:tab/>
        <w:t>4</w:t>
      </w:r>
      <w:r w:rsidRPr="00194EFD">
        <w:rPr>
          <w:rFonts w:ascii="Palatino Linotype" w:hAnsi="Palatino Linotype" w:cs="Arial"/>
          <w:i/>
        </w:rPr>
        <w:t>06,53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>m</w:t>
      </w:r>
      <w:r w:rsidRPr="00194EFD">
        <w:rPr>
          <w:rFonts w:ascii="Palatino Linotype" w:hAnsi="Palatino Linotype" w:cs="Arial"/>
          <w:i/>
          <w:vertAlign w:val="superscript"/>
        </w:rPr>
        <w:t>2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bCs/>
          <w:i/>
        </w:rPr>
      </w:pPr>
      <w:r w:rsidRPr="00194EFD">
        <w:rPr>
          <w:rFonts w:ascii="Palatino Linotype" w:hAnsi="Palatino Linotype" w:cs="Arial"/>
          <w:b/>
          <w:bCs/>
          <w:i/>
        </w:rPr>
        <w:t>Norte:</w:t>
      </w:r>
      <w:r w:rsidRPr="00194EFD">
        <w:rPr>
          <w:rFonts w:ascii="Palatino Linotype" w:hAnsi="Palatino Linotype" w:cs="Arial"/>
          <w:i/>
        </w:rPr>
        <w:t xml:space="preserve">             </w:t>
      </w:r>
      <w:r w:rsidR="00A51540">
        <w:rPr>
          <w:rFonts w:ascii="Palatino Linotype" w:hAnsi="Palatino Linotype" w:cs="Arial"/>
          <w:i/>
        </w:rPr>
        <w:tab/>
      </w:r>
      <w:r w:rsidRPr="00194EFD">
        <w:rPr>
          <w:rFonts w:ascii="Palatino Linotype" w:hAnsi="Palatino Linotype" w:cs="Arial"/>
          <w:bCs/>
          <w:i/>
        </w:rPr>
        <w:t xml:space="preserve">Área </w:t>
      </w:r>
      <w:r w:rsidR="002E2C2B">
        <w:rPr>
          <w:rFonts w:ascii="Palatino Linotype" w:hAnsi="Palatino Linotype" w:cs="Arial"/>
          <w:bCs/>
          <w:i/>
        </w:rPr>
        <w:t>v</w:t>
      </w:r>
      <w:r w:rsidRPr="00194EFD">
        <w:rPr>
          <w:rFonts w:ascii="Palatino Linotype" w:hAnsi="Palatino Linotype" w:cs="Arial"/>
          <w:bCs/>
          <w:i/>
        </w:rPr>
        <w:t>erde, en parte en 24,59</w:t>
      </w:r>
      <w:r w:rsidR="00A51540">
        <w:rPr>
          <w:rFonts w:ascii="Palatino Linotype" w:hAnsi="Palatino Linotype" w:cs="Arial"/>
          <w:bCs/>
          <w:i/>
        </w:rPr>
        <w:t xml:space="preserve"> </w:t>
      </w:r>
      <w:r w:rsidRPr="00194EFD">
        <w:rPr>
          <w:rFonts w:ascii="Palatino Linotype" w:hAnsi="Palatino Linotype" w:cs="Arial"/>
          <w:bCs/>
          <w:i/>
        </w:rPr>
        <w:t>m.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i/>
        </w:rPr>
      </w:pPr>
      <w:r w:rsidRPr="00194EFD">
        <w:rPr>
          <w:rFonts w:ascii="Palatino Linotype" w:hAnsi="Palatino Linotype" w:cs="Arial"/>
          <w:bCs/>
          <w:i/>
        </w:rPr>
        <w:t xml:space="preserve">                          </w:t>
      </w:r>
      <w:r w:rsidRPr="00194EFD">
        <w:rPr>
          <w:rFonts w:ascii="Palatino Linotype" w:hAnsi="Palatino Linotype" w:cs="Arial"/>
          <w:i/>
        </w:rPr>
        <w:t xml:space="preserve">Lote </w:t>
      </w:r>
      <w:r w:rsidR="00A51540">
        <w:rPr>
          <w:rFonts w:ascii="Palatino Linotype" w:hAnsi="Palatino Linotype" w:cs="Arial"/>
          <w:i/>
        </w:rPr>
        <w:t xml:space="preserve">No. </w:t>
      </w:r>
      <w:r w:rsidRPr="00194EFD">
        <w:rPr>
          <w:rFonts w:ascii="Palatino Linotype" w:hAnsi="Palatino Linotype" w:cs="Arial"/>
          <w:i/>
        </w:rPr>
        <w:t>23 en parte  en 13,63m., (</w:t>
      </w:r>
      <w:r w:rsidR="00A51540">
        <w:rPr>
          <w:rFonts w:ascii="Palatino Linotype" w:hAnsi="Palatino Linotype" w:cs="Arial"/>
          <w:i/>
        </w:rPr>
        <w:t>l</w:t>
      </w:r>
      <w:r w:rsidRPr="00194EFD">
        <w:rPr>
          <w:rFonts w:ascii="Palatino Linotype" w:hAnsi="Palatino Linotype" w:cs="Arial"/>
          <w:i/>
        </w:rPr>
        <w:t xml:space="preserve">ongitud desarrollada) </w:t>
      </w:r>
      <w:r w:rsidRPr="00194EFD">
        <w:rPr>
          <w:rFonts w:ascii="Palatino Linotype" w:hAnsi="Palatino Linotype" w:cs="Arial"/>
          <w:bCs/>
          <w:i/>
        </w:rPr>
        <w:t>total 38,22</w:t>
      </w:r>
      <w:r w:rsidR="00A51540">
        <w:rPr>
          <w:rFonts w:ascii="Palatino Linotype" w:hAnsi="Palatino Linotype" w:cs="Arial"/>
          <w:bCs/>
          <w:i/>
        </w:rPr>
        <w:t xml:space="preserve"> </w:t>
      </w:r>
      <w:r w:rsidRPr="00194EFD">
        <w:rPr>
          <w:rFonts w:ascii="Palatino Linotype" w:hAnsi="Palatino Linotype" w:cs="Arial"/>
          <w:bCs/>
          <w:i/>
        </w:rPr>
        <w:t>m.;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bCs/>
          <w:i/>
        </w:rPr>
      </w:pPr>
      <w:r w:rsidRPr="00194EFD">
        <w:rPr>
          <w:rFonts w:ascii="Palatino Linotype" w:hAnsi="Palatino Linotype" w:cs="Arial"/>
          <w:b/>
          <w:bCs/>
          <w:i/>
        </w:rPr>
        <w:t>Sur:</w:t>
      </w:r>
      <w:r w:rsidRPr="00194EFD">
        <w:rPr>
          <w:rFonts w:ascii="Palatino Linotype" w:hAnsi="Palatino Linotype" w:cs="Arial"/>
          <w:b/>
          <w:bCs/>
          <w:i/>
        </w:rPr>
        <w:tab/>
        <w:t xml:space="preserve">            </w:t>
      </w:r>
      <w:r w:rsidR="00A51540">
        <w:rPr>
          <w:rFonts w:ascii="Palatino Linotype" w:hAnsi="Palatino Linotype" w:cs="Arial"/>
          <w:b/>
          <w:bCs/>
          <w:i/>
        </w:rPr>
        <w:tab/>
      </w:r>
      <w:r w:rsidRPr="00194EFD">
        <w:rPr>
          <w:rFonts w:ascii="Palatino Linotype" w:hAnsi="Palatino Linotype" w:cs="Arial"/>
          <w:i/>
        </w:rPr>
        <w:t xml:space="preserve">Borde </w:t>
      </w:r>
      <w:r w:rsidR="00A51540">
        <w:rPr>
          <w:rFonts w:ascii="Palatino Linotype" w:hAnsi="Palatino Linotype" w:cs="Arial"/>
          <w:i/>
        </w:rPr>
        <w:t>s</w:t>
      </w:r>
      <w:r w:rsidRPr="00194EFD">
        <w:rPr>
          <w:rFonts w:ascii="Palatino Linotype" w:hAnsi="Palatino Linotype" w:cs="Arial"/>
          <w:i/>
        </w:rPr>
        <w:t xml:space="preserve">uperior de </w:t>
      </w:r>
      <w:r w:rsidR="00A51540">
        <w:rPr>
          <w:rFonts w:ascii="Palatino Linotype" w:hAnsi="Palatino Linotype" w:cs="Arial"/>
          <w:i/>
        </w:rPr>
        <w:t>q</w:t>
      </w:r>
      <w:r w:rsidRPr="00194EFD">
        <w:rPr>
          <w:rFonts w:ascii="Palatino Linotype" w:hAnsi="Palatino Linotype" w:cs="Arial"/>
          <w:i/>
        </w:rPr>
        <w:t xml:space="preserve">uebrada </w:t>
      </w:r>
      <w:r w:rsidRPr="00194EFD">
        <w:rPr>
          <w:rFonts w:ascii="Palatino Linotype" w:hAnsi="Palatino Linotype" w:cs="Arial"/>
          <w:bCs/>
          <w:i/>
        </w:rPr>
        <w:t xml:space="preserve">longitud desarrollada </w:t>
      </w:r>
      <w:r w:rsidRPr="00194EFD">
        <w:rPr>
          <w:rFonts w:ascii="Palatino Linotype" w:hAnsi="Palatino Linotype" w:cs="Arial"/>
          <w:i/>
        </w:rPr>
        <w:t>en 42,56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 xml:space="preserve">m. 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b/>
          <w:bCs/>
          <w:i/>
        </w:rPr>
      </w:pPr>
      <w:r w:rsidRPr="00194EFD">
        <w:rPr>
          <w:rFonts w:ascii="Palatino Linotype" w:hAnsi="Palatino Linotype" w:cs="Arial"/>
          <w:b/>
          <w:bCs/>
          <w:i/>
        </w:rPr>
        <w:lastRenderedPageBreak/>
        <w:t>Este:</w:t>
      </w:r>
      <w:r w:rsidRPr="00194EFD">
        <w:rPr>
          <w:rFonts w:ascii="Palatino Linotype" w:hAnsi="Palatino Linotype" w:cs="Arial"/>
          <w:i/>
        </w:rPr>
        <w:tab/>
        <w:t xml:space="preserve">       </w:t>
      </w:r>
      <w:r w:rsidRPr="00194EFD">
        <w:rPr>
          <w:rFonts w:ascii="Palatino Linotype" w:hAnsi="Palatino Linotype" w:cs="Arial"/>
          <w:b/>
          <w:i/>
        </w:rPr>
        <w:t xml:space="preserve">    </w:t>
      </w:r>
      <w:r w:rsidR="00A51540">
        <w:rPr>
          <w:rFonts w:ascii="Palatino Linotype" w:hAnsi="Palatino Linotype" w:cs="Arial"/>
          <w:b/>
          <w:i/>
        </w:rPr>
        <w:tab/>
      </w:r>
      <w:r w:rsidRPr="00194EFD">
        <w:rPr>
          <w:rFonts w:ascii="Palatino Linotype" w:hAnsi="Palatino Linotype" w:cs="Arial"/>
          <w:i/>
        </w:rPr>
        <w:t>Barrio Puerta del Sol en 16,62 m.</w:t>
      </w:r>
    </w:p>
    <w:p w:rsidR="00194EFD" w:rsidRPr="00194EFD" w:rsidRDefault="00194EFD" w:rsidP="00A51540">
      <w:pPr>
        <w:pStyle w:val="Sinespaciado"/>
        <w:spacing w:after="240" w:line="276" w:lineRule="auto"/>
        <w:ind w:left="708"/>
        <w:jc w:val="both"/>
        <w:rPr>
          <w:rFonts w:ascii="Palatino Linotype" w:hAnsi="Palatino Linotype" w:cs="Arial"/>
          <w:i/>
        </w:rPr>
      </w:pPr>
      <w:r w:rsidRPr="00194EFD">
        <w:rPr>
          <w:rFonts w:ascii="Palatino Linotype" w:hAnsi="Palatino Linotype" w:cs="Arial"/>
          <w:b/>
          <w:i/>
        </w:rPr>
        <w:t>O</w:t>
      </w:r>
      <w:r w:rsidRPr="00194EFD">
        <w:rPr>
          <w:rFonts w:ascii="Palatino Linotype" w:hAnsi="Palatino Linotype" w:cs="Arial"/>
          <w:b/>
          <w:bCs/>
          <w:i/>
        </w:rPr>
        <w:t xml:space="preserve">este:             </w:t>
      </w:r>
      <w:r w:rsidR="00A51540">
        <w:rPr>
          <w:rFonts w:ascii="Palatino Linotype" w:hAnsi="Palatino Linotype" w:cs="Arial"/>
          <w:b/>
          <w:bCs/>
          <w:i/>
        </w:rPr>
        <w:tab/>
      </w:r>
      <w:r w:rsidRPr="00194EFD">
        <w:rPr>
          <w:rFonts w:ascii="Palatino Linotype" w:hAnsi="Palatino Linotype" w:cs="Arial"/>
          <w:i/>
        </w:rPr>
        <w:t>Barrio Cuatro de Marzo de los Arrayanes en 10,00</w:t>
      </w:r>
      <w:r w:rsidR="00A51540">
        <w:rPr>
          <w:rFonts w:ascii="Palatino Linotype" w:hAnsi="Palatino Linotype" w:cs="Arial"/>
          <w:i/>
        </w:rPr>
        <w:t xml:space="preserve"> </w:t>
      </w:r>
      <w:r w:rsidRPr="00194EFD">
        <w:rPr>
          <w:rFonts w:ascii="Palatino Linotype" w:hAnsi="Palatino Linotype" w:cs="Arial"/>
          <w:i/>
        </w:rPr>
        <w:t>m.”</w:t>
      </w:r>
    </w:p>
    <w:p w:rsidR="00E00CAC" w:rsidRDefault="00E00CAC" w:rsidP="00F66E58">
      <w:pPr>
        <w:spacing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 w:rsidRPr="001E74C4">
        <w:rPr>
          <w:rFonts w:ascii="Palatino Linotype" w:hAnsi="Palatino Linotype" w:cs="Arial"/>
          <w:b/>
          <w:bCs/>
          <w:sz w:val="22"/>
          <w:szCs w:val="22"/>
        </w:rPr>
        <w:t xml:space="preserve">Artículo </w:t>
      </w:r>
      <w:r>
        <w:rPr>
          <w:rFonts w:ascii="Palatino Linotype" w:hAnsi="Palatino Linotype" w:cs="Arial"/>
          <w:b/>
          <w:bCs/>
          <w:sz w:val="22"/>
          <w:szCs w:val="22"/>
        </w:rPr>
        <w:t>4</w:t>
      </w:r>
      <w:r w:rsidRPr="001E74C4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 w:rsidR="00A51540">
        <w:rPr>
          <w:rFonts w:ascii="Palatino Linotype" w:hAnsi="Palatino Linotype" w:cs="Arial"/>
          <w:bCs/>
          <w:sz w:val="22"/>
          <w:szCs w:val="22"/>
        </w:rPr>
        <w:t>Elimínese el</w:t>
      </w:r>
      <w:r w:rsidR="00A51540" w:rsidRPr="001E74C4">
        <w:rPr>
          <w:rFonts w:ascii="Palatino Linotype" w:hAnsi="Palatino Linotype" w:cs="Arial"/>
          <w:bCs/>
          <w:sz w:val="22"/>
          <w:szCs w:val="22"/>
        </w:rPr>
        <w:t xml:space="preserve"> artículo </w:t>
      </w:r>
      <w:r w:rsidR="00A51540">
        <w:rPr>
          <w:rFonts w:ascii="Palatino Linotype" w:hAnsi="Palatino Linotype" w:cs="Arial"/>
          <w:bCs/>
          <w:sz w:val="22"/>
          <w:szCs w:val="22"/>
        </w:rPr>
        <w:t>5</w:t>
      </w:r>
      <w:r w:rsidR="00A51540" w:rsidRPr="001E74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A51540">
        <w:rPr>
          <w:rFonts w:ascii="Palatino Linotype" w:hAnsi="Palatino Linotype" w:cs="Arial"/>
          <w:bCs/>
          <w:sz w:val="22"/>
          <w:szCs w:val="22"/>
        </w:rPr>
        <w:t>de la Ordenanza No. 0212.</w:t>
      </w:r>
    </w:p>
    <w:p w:rsidR="003A616B" w:rsidRPr="00A51540" w:rsidRDefault="003A616B" w:rsidP="00A51540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sz w:val="22"/>
          <w:szCs w:val="22"/>
          <w:highlight w:val="yellow"/>
        </w:rPr>
      </w:pPr>
      <w:r w:rsidRPr="003A616B">
        <w:rPr>
          <w:rFonts w:ascii="Palatino Linotype" w:hAnsi="Palatino Linotype" w:cs="Arial"/>
          <w:b/>
          <w:bCs/>
          <w:sz w:val="22"/>
          <w:szCs w:val="22"/>
        </w:rPr>
        <w:t>Art</w:t>
      </w:r>
      <w:r w:rsidR="001E2419">
        <w:rPr>
          <w:rFonts w:ascii="Palatino Linotype" w:hAnsi="Palatino Linotype" w:cs="Arial"/>
          <w:b/>
          <w:bCs/>
          <w:sz w:val="22"/>
          <w:szCs w:val="22"/>
        </w:rPr>
        <w:t>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E00CAC">
        <w:rPr>
          <w:rFonts w:ascii="Palatino Linotype" w:hAnsi="Palatino Linotype" w:cs="Arial"/>
          <w:b/>
          <w:bCs/>
          <w:sz w:val="22"/>
          <w:szCs w:val="22"/>
        </w:rPr>
        <w:t>5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 w:rsidR="00A51540">
        <w:rPr>
          <w:rFonts w:ascii="Palatino Linotype" w:hAnsi="Palatino Linotype" w:cs="Arial"/>
          <w:bCs/>
          <w:sz w:val="22"/>
          <w:szCs w:val="22"/>
        </w:rPr>
        <w:t>En el artículo 6 de la Ordenanza No. 0212, sustitúyase el grado de consolidación de viviendas de “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>20,41%”</w:t>
      </w:r>
      <w:r w:rsidR="00A51540">
        <w:rPr>
          <w:rFonts w:ascii="Palatino Linotype" w:hAnsi="Palatino Linotype" w:cs="Arial"/>
          <w:bCs/>
          <w:sz w:val="22"/>
          <w:szCs w:val="22"/>
        </w:rPr>
        <w:t xml:space="preserve"> por “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>30,61%”</w:t>
      </w:r>
      <w:r w:rsidR="00A51540">
        <w:rPr>
          <w:rFonts w:ascii="Palatino Linotype" w:hAnsi="Palatino Linotype" w:cs="Arial"/>
          <w:bCs/>
          <w:sz w:val="22"/>
          <w:szCs w:val="22"/>
        </w:rPr>
        <w:t>; y, elimínese la frase “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>Calle César Amable Viera: 12,00 m.”</w:t>
      </w:r>
    </w:p>
    <w:p w:rsidR="003A616B" w:rsidRPr="0049576F" w:rsidRDefault="0049576F" w:rsidP="00A51540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="003A616B" w:rsidRPr="003A616B">
        <w:rPr>
          <w:rFonts w:ascii="Palatino Linotype" w:hAnsi="Palatino Linotype" w:cs="Arial"/>
          <w:b/>
          <w:bCs/>
          <w:sz w:val="22"/>
          <w:szCs w:val="22"/>
        </w:rPr>
        <w:t xml:space="preserve"> 6.- </w:t>
      </w:r>
      <w:r w:rsidR="003A616B" w:rsidRPr="0049576F">
        <w:rPr>
          <w:rFonts w:ascii="Palatino Linotype" w:hAnsi="Palatino Linotype" w:cs="Arial"/>
          <w:bCs/>
          <w:sz w:val="22"/>
          <w:szCs w:val="22"/>
        </w:rPr>
        <w:t xml:space="preserve">Sustitúyase </w:t>
      </w:r>
      <w:r w:rsidR="00E3662B" w:rsidRPr="001E2419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 w:rsidR="00A51540">
        <w:rPr>
          <w:rFonts w:ascii="Palatino Linotype" w:hAnsi="Palatino Linotype" w:cs="Arial"/>
          <w:bCs/>
          <w:sz w:val="22"/>
          <w:szCs w:val="22"/>
        </w:rPr>
        <w:t>7</w:t>
      </w:r>
      <w:r w:rsidR="00E3662B" w:rsidRPr="001E74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00CAC">
        <w:rPr>
          <w:rFonts w:ascii="Palatino Linotype" w:hAnsi="Palatino Linotype" w:cs="Arial"/>
          <w:bCs/>
          <w:sz w:val="22"/>
          <w:szCs w:val="22"/>
        </w:rPr>
        <w:t xml:space="preserve">de la Ordenanza No. </w:t>
      </w:r>
      <w:r w:rsidR="00A51540">
        <w:rPr>
          <w:rFonts w:ascii="Palatino Linotype" w:hAnsi="Palatino Linotype" w:cs="Arial"/>
          <w:bCs/>
          <w:sz w:val="22"/>
          <w:szCs w:val="22"/>
        </w:rPr>
        <w:t>0212</w:t>
      </w:r>
      <w:r w:rsidR="00E3662B" w:rsidRPr="001E74C4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E3662B">
        <w:rPr>
          <w:rFonts w:ascii="Palatino Linotype" w:hAnsi="Palatino Linotype" w:cs="Arial"/>
          <w:bCs/>
          <w:sz w:val="22"/>
          <w:szCs w:val="22"/>
        </w:rPr>
        <w:t>por el siguiente</w:t>
      </w:r>
      <w:r w:rsidR="00E3662B" w:rsidRPr="001E74C4">
        <w:rPr>
          <w:rFonts w:ascii="Palatino Linotype" w:hAnsi="Palatino Linotype" w:cs="Arial"/>
          <w:bCs/>
          <w:sz w:val="22"/>
          <w:szCs w:val="22"/>
        </w:rPr>
        <w:t>:</w:t>
      </w:r>
    </w:p>
    <w:p w:rsidR="00A51540" w:rsidRPr="00A51540" w:rsidRDefault="00A51540" w:rsidP="00A51540">
      <w:pPr>
        <w:shd w:val="clear" w:color="auto" w:fill="FFFFFF"/>
        <w:spacing w:after="240" w:line="276" w:lineRule="auto"/>
        <w:ind w:left="708"/>
        <w:jc w:val="both"/>
        <w:rPr>
          <w:rFonts w:ascii="Palatino Linotype" w:hAnsi="Palatino Linotype" w:cs="Arial"/>
          <w:b/>
          <w:bCs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“</w:t>
      </w:r>
      <w:r w:rsidR="006E472C">
        <w:rPr>
          <w:rFonts w:ascii="Palatino Linotype" w:hAnsi="Palatino Linotype"/>
          <w:b/>
          <w:i/>
          <w:sz w:val="22"/>
          <w:szCs w:val="22"/>
        </w:rPr>
        <w:t>Artículo 7.-  De las o</w:t>
      </w:r>
      <w:r w:rsidRPr="00A51540">
        <w:rPr>
          <w:rFonts w:ascii="Palatino Linotype" w:hAnsi="Palatino Linotype"/>
          <w:b/>
          <w:i/>
          <w:sz w:val="22"/>
          <w:szCs w:val="22"/>
        </w:rPr>
        <w:t xml:space="preserve">bras a ejecutarse.- </w:t>
      </w:r>
      <w:r w:rsidRPr="00A51540">
        <w:rPr>
          <w:rFonts w:ascii="Palatino Linotype" w:hAnsi="Palatino Linotype"/>
          <w:i/>
          <w:sz w:val="22"/>
          <w:szCs w:val="22"/>
        </w:rPr>
        <w:t>Las obras a ejecutarse</w:t>
      </w:r>
      <w:r w:rsidRPr="00A51540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A51540">
        <w:rPr>
          <w:rFonts w:ascii="Palatino Linotype" w:hAnsi="Palatino Linotype"/>
          <w:i/>
          <w:sz w:val="22"/>
          <w:szCs w:val="22"/>
        </w:rPr>
        <w:t xml:space="preserve">en el asentamiento </w:t>
      </w:r>
      <w:r>
        <w:rPr>
          <w:rFonts w:ascii="Palatino Linotype" w:hAnsi="Palatino Linotype"/>
          <w:i/>
          <w:sz w:val="22"/>
          <w:szCs w:val="22"/>
        </w:rPr>
        <w:t xml:space="preserve">humano de hecho y consolidado </w:t>
      </w:r>
      <w:r w:rsidRPr="00A51540">
        <w:rPr>
          <w:rFonts w:ascii="Palatino Linotype" w:hAnsi="Palatino Linotype"/>
          <w:i/>
          <w:sz w:val="22"/>
          <w:szCs w:val="22"/>
        </w:rPr>
        <w:t>son las siguientes:</w:t>
      </w:r>
    </w:p>
    <w:p w:rsidR="00A51540" w:rsidRPr="002E70F1" w:rsidRDefault="00A51540" w:rsidP="00A51540">
      <w:pPr>
        <w:spacing w:after="240" w:line="276" w:lineRule="auto"/>
        <w:ind w:left="708"/>
        <w:jc w:val="both"/>
        <w:rPr>
          <w:rFonts w:ascii="Palatino Linotype" w:hAnsi="Palatino Linotype"/>
          <w:sz w:val="22"/>
          <w:szCs w:val="22"/>
          <w:lang w:val="es-EC"/>
        </w:rPr>
      </w:pPr>
      <w:r w:rsidRPr="00A51540">
        <w:rPr>
          <w:rFonts w:ascii="Palatino Linotype" w:hAnsi="Palatino Linotype"/>
          <w:i/>
          <w:sz w:val="22"/>
          <w:szCs w:val="22"/>
          <w:lang w:val="es-EC"/>
        </w:rPr>
        <w:t>Calzadas</w:t>
      </w:r>
      <w:r>
        <w:rPr>
          <w:rFonts w:ascii="Palatino Linotype" w:hAnsi="Palatino Linotype"/>
          <w:i/>
          <w:sz w:val="22"/>
          <w:szCs w:val="22"/>
          <w:lang w:val="es-EC"/>
        </w:rPr>
        <w:t>:</w:t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 w:rsidRPr="00A51540">
        <w:rPr>
          <w:rFonts w:ascii="Palatino Linotype" w:hAnsi="Palatino Linotype"/>
          <w:i/>
          <w:sz w:val="22"/>
          <w:szCs w:val="22"/>
          <w:lang w:val="es-EC"/>
        </w:rPr>
        <w:t>100%</w:t>
      </w:r>
      <w:r w:rsidR="000E49CE">
        <w:rPr>
          <w:rFonts w:ascii="Palatino Linotype" w:hAnsi="Palatino Linotype"/>
          <w:i/>
          <w:sz w:val="22"/>
          <w:szCs w:val="22"/>
          <w:lang w:val="es-EC"/>
        </w:rPr>
        <w:t xml:space="preserve">       </w:t>
      </w:r>
      <w:r w:rsidR="000E49CE">
        <w:rPr>
          <w:rFonts w:ascii="Palatino Linotype" w:hAnsi="Palatino Linotype"/>
          <w:i/>
          <w:sz w:val="22"/>
          <w:szCs w:val="22"/>
          <w:lang w:val="es-EC"/>
        </w:rPr>
        <w:tab/>
      </w:r>
      <w:r w:rsidR="000E49CE">
        <w:rPr>
          <w:rFonts w:ascii="Palatino Linotype" w:hAnsi="Palatino Linotype"/>
          <w:i/>
          <w:sz w:val="22"/>
          <w:szCs w:val="22"/>
          <w:lang w:val="es-EC"/>
        </w:rPr>
        <w:tab/>
      </w:r>
      <w:r w:rsidRPr="00A51540">
        <w:rPr>
          <w:rFonts w:ascii="Palatino Linotype" w:hAnsi="Palatino Linotype"/>
          <w:i/>
          <w:sz w:val="22"/>
          <w:szCs w:val="22"/>
          <w:lang w:val="es-EC"/>
        </w:rPr>
        <w:t>Aceras</w:t>
      </w:r>
      <w:r>
        <w:rPr>
          <w:rFonts w:ascii="Palatino Linotype" w:hAnsi="Palatino Linotype"/>
          <w:i/>
          <w:sz w:val="22"/>
          <w:szCs w:val="22"/>
          <w:lang w:val="es-EC"/>
        </w:rPr>
        <w:t>:</w:t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>
        <w:rPr>
          <w:rFonts w:ascii="Palatino Linotype" w:hAnsi="Palatino Linotype"/>
          <w:i/>
          <w:sz w:val="22"/>
          <w:szCs w:val="22"/>
          <w:lang w:val="es-EC"/>
        </w:rPr>
        <w:tab/>
      </w:r>
      <w:r w:rsidRPr="00A51540">
        <w:rPr>
          <w:rFonts w:ascii="Palatino Linotype" w:hAnsi="Palatino Linotype"/>
          <w:i/>
          <w:sz w:val="22"/>
          <w:szCs w:val="22"/>
          <w:lang w:val="es-EC"/>
        </w:rPr>
        <w:t>100%</w:t>
      </w:r>
      <w:r>
        <w:rPr>
          <w:rFonts w:ascii="Palatino Linotype" w:hAnsi="Palatino Linotype"/>
          <w:i/>
          <w:sz w:val="22"/>
          <w:szCs w:val="22"/>
          <w:lang w:val="es-EC"/>
        </w:rPr>
        <w:t>”</w:t>
      </w:r>
    </w:p>
    <w:p w:rsidR="00E3662B" w:rsidRPr="0049576F" w:rsidRDefault="00E3662B" w:rsidP="00455361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</w:rPr>
        <w:t>7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 w:rsidR="00A51540">
        <w:rPr>
          <w:rFonts w:ascii="Palatino Linotype" w:hAnsi="Palatino Linotype" w:cs="Arial"/>
          <w:bCs/>
          <w:sz w:val="22"/>
          <w:szCs w:val="22"/>
        </w:rPr>
        <w:t xml:space="preserve">En el </w:t>
      </w:r>
      <w:r w:rsidR="00363CAD" w:rsidRPr="001E74C4">
        <w:rPr>
          <w:rFonts w:ascii="Palatino Linotype" w:hAnsi="Palatino Linotype" w:cs="Arial"/>
          <w:bCs/>
          <w:sz w:val="22"/>
          <w:szCs w:val="22"/>
        </w:rPr>
        <w:t xml:space="preserve">artículo </w:t>
      </w:r>
      <w:r w:rsidR="00A51540">
        <w:rPr>
          <w:rFonts w:ascii="Palatino Linotype" w:hAnsi="Palatino Linotype" w:cs="Arial"/>
          <w:bCs/>
          <w:sz w:val="22"/>
          <w:szCs w:val="22"/>
        </w:rPr>
        <w:t>8</w:t>
      </w:r>
      <w:r w:rsidR="00363CAD" w:rsidRPr="001E74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363CAD">
        <w:rPr>
          <w:rFonts w:ascii="Palatino Linotype" w:hAnsi="Palatino Linotype" w:cs="Arial"/>
          <w:bCs/>
          <w:sz w:val="22"/>
          <w:szCs w:val="22"/>
        </w:rPr>
        <w:t xml:space="preserve">de la Ordenanza No. </w:t>
      </w:r>
      <w:r w:rsidR="00A51540">
        <w:rPr>
          <w:rFonts w:ascii="Palatino Linotype" w:hAnsi="Palatino Linotype" w:cs="Arial"/>
          <w:bCs/>
          <w:sz w:val="22"/>
          <w:szCs w:val="22"/>
        </w:rPr>
        <w:t>0212, sustitúyase el plazo de ejecución de la totalidad de obras de “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>3 años”</w:t>
      </w:r>
      <w:r w:rsidR="00A51540">
        <w:rPr>
          <w:rFonts w:ascii="Palatino Linotype" w:hAnsi="Palatino Linotype" w:cs="Arial"/>
          <w:bCs/>
          <w:sz w:val="22"/>
          <w:szCs w:val="22"/>
        </w:rPr>
        <w:t xml:space="preserve"> por “</w:t>
      </w:r>
      <w:r w:rsidR="00A51540">
        <w:rPr>
          <w:rFonts w:ascii="Palatino Linotype" w:hAnsi="Palatino Linotype" w:cs="Arial"/>
          <w:bCs/>
          <w:i/>
          <w:sz w:val="22"/>
          <w:szCs w:val="22"/>
        </w:rPr>
        <w:t>cuatro (4) años”</w:t>
      </w:r>
      <w:r w:rsidR="00A51540">
        <w:rPr>
          <w:rFonts w:ascii="Palatino Linotype" w:hAnsi="Palatino Linotype" w:cs="Arial"/>
          <w:bCs/>
          <w:sz w:val="22"/>
          <w:szCs w:val="22"/>
        </w:rPr>
        <w:t>.</w:t>
      </w:r>
    </w:p>
    <w:p w:rsidR="00E3662B" w:rsidRPr="0049576F" w:rsidRDefault="00E3662B" w:rsidP="00455361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</w:rPr>
        <w:t>8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 w:rsidR="00B12228">
        <w:rPr>
          <w:rFonts w:ascii="Palatino Linotype" w:hAnsi="Palatino Linotype" w:cs="Arial"/>
          <w:bCs/>
          <w:sz w:val="22"/>
          <w:szCs w:val="22"/>
        </w:rPr>
        <w:t xml:space="preserve">Sustitúyase </w:t>
      </w:r>
      <w:r w:rsidRPr="001E2419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 w:rsidR="00B12228">
        <w:rPr>
          <w:rFonts w:ascii="Palatino Linotype" w:hAnsi="Palatino Linotype" w:cs="Arial"/>
          <w:bCs/>
          <w:sz w:val="22"/>
          <w:szCs w:val="22"/>
        </w:rPr>
        <w:t>12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363CAD">
        <w:rPr>
          <w:rFonts w:ascii="Palatino Linotype" w:hAnsi="Palatino Linotype" w:cs="Arial"/>
          <w:bCs/>
          <w:sz w:val="22"/>
          <w:szCs w:val="22"/>
        </w:rPr>
        <w:t xml:space="preserve">de la Ordenanza No. </w:t>
      </w:r>
      <w:r w:rsidR="00B12228">
        <w:rPr>
          <w:rFonts w:ascii="Palatino Linotype" w:hAnsi="Palatino Linotype" w:cs="Arial"/>
          <w:bCs/>
          <w:sz w:val="22"/>
          <w:szCs w:val="22"/>
        </w:rPr>
        <w:t>0212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B12228">
        <w:rPr>
          <w:rFonts w:ascii="Palatino Linotype" w:hAnsi="Palatino Linotype" w:cs="Arial"/>
          <w:bCs/>
          <w:sz w:val="22"/>
          <w:szCs w:val="22"/>
        </w:rPr>
        <w:t>por el siguiente</w:t>
      </w:r>
      <w:r w:rsidRPr="001E74C4">
        <w:rPr>
          <w:rFonts w:ascii="Palatino Linotype" w:hAnsi="Palatino Linotype" w:cs="Arial"/>
          <w:bCs/>
          <w:sz w:val="22"/>
          <w:szCs w:val="22"/>
        </w:rPr>
        <w:t>:</w:t>
      </w:r>
    </w:p>
    <w:p w:rsidR="00B12228" w:rsidRPr="00B12228" w:rsidRDefault="00B12228" w:rsidP="00B12228">
      <w:pPr>
        <w:spacing w:after="240" w:line="276" w:lineRule="auto"/>
        <w:ind w:left="708"/>
        <w:jc w:val="both"/>
        <w:rPr>
          <w:rFonts w:ascii="Palatino Linotype" w:hAnsi="Palatino Linotype"/>
          <w:i/>
          <w:sz w:val="22"/>
          <w:szCs w:val="22"/>
          <w:lang w:val="es-ES_tradnl"/>
        </w:rPr>
      </w:pPr>
      <w:r>
        <w:rPr>
          <w:rFonts w:ascii="Palatino Linotype" w:hAnsi="Palatino Linotype"/>
          <w:b/>
          <w:bCs/>
          <w:i/>
          <w:szCs w:val="22"/>
          <w:lang w:val="es-EC"/>
        </w:rPr>
        <w:t>“</w:t>
      </w:r>
      <w:r w:rsidRPr="00B12228">
        <w:rPr>
          <w:rFonts w:ascii="Palatino Linotype" w:hAnsi="Palatino Linotype"/>
          <w:b/>
          <w:bCs/>
          <w:i/>
          <w:sz w:val="22"/>
          <w:szCs w:val="22"/>
          <w:lang w:val="es-EC"/>
        </w:rPr>
        <w:t>Artículo</w:t>
      </w:r>
      <w:r w:rsidRPr="00B12228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 xml:space="preserve"> 12.- De la protocolización e inscripción de la ordenanza.-</w:t>
      </w:r>
      <w:r w:rsidRPr="00B12228">
        <w:rPr>
          <w:rFonts w:ascii="Palatino Linotype" w:hAnsi="Palatino Linotype"/>
          <w:i/>
          <w:sz w:val="22"/>
          <w:szCs w:val="22"/>
          <w:lang w:val="es-EC"/>
        </w:rPr>
        <w:t xml:space="preserve"> El Comité </w:t>
      </w:r>
      <w:proofErr w:type="spellStart"/>
      <w:r w:rsidRPr="00B12228">
        <w:rPr>
          <w:rFonts w:ascii="Palatino Linotype" w:hAnsi="Palatino Linotype"/>
          <w:i/>
          <w:sz w:val="22"/>
          <w:szCs w:val="22"/>
          <w:lang w:val="es-EC"/>
        </w:rPr>
        <w:t>Promejoras</w:t>
      </w:r>
      <w:proofErr w:type="spellEnd"/>
      <w:r w:rsidRPr="00B12228">
        <w:rPr>
          <w:rFonts w:ascii="Palatino Linotype" w:hAnsi="Palatino Linotype"/>
          <w:i/>
          <w:sz w:val="22"/>
          <w:szCs w:val="22"/>
          <w:lang w:val="es-EC"/>
        </w:rPr>
        <w:t xml:space="preserve"> </w:t>
      </w:r>
      <w:proofErr w:type="spellStart"/>
      <w:r w:rsidRPr="00B12228">
        <w:rPr>
          <w:rFonts w:ascii="Palatino Linotype" w:hAnsi="Palatino Linotype"/>
          <w:i/>
          <w:sz w:val="22"/>
          <w:szCs w:val="22"/>
          <w:lang w:val="es-EC"/>
        </w:rPr>
        <w:t>Pradesur</w:t>
      </w:r>
      <w:proofErr w:type="spellEnd"/>
      <w:r w:rsidRPr="00B12228">
        <w:rPr>
          <w:rFonts w:ascii="Palatino Linotype" w:hAnsi="Palatino Linotype"/>
          <w:i/>
          <w:sz w:val="22"/>
          <w:szCs w:val="22"/>
          <w:lang w:val="es-EC"/>
        </w:rPr>
        <w:t xml:space="preserve"> Etapa Uno,</w:t>
      </w:r>
      <w:r w:rsidRPr="00B12228">
        <w:rPr>
          <w:rFonts w:ascii="Palatino Linotype" w:hAnsi="Palatino Linotype"/>
          <w:i/>
          <w:sz w:val="22"/>
          <w:szCs w:val="22"/>
          <w:lang w:val="es-ES_tradnl"/>
        </w:rPr>
        <w:t xml:space="preserve"> se compromete en el término de ciento ochenta (180) días, contados a partir de la fecha de sanción a </w:t>
      </w:r>
      <w:r w:rsidRPr="00B12228">
        <w:rPr>
          <w:rFonts w:ascii="Palatino Linotype" w:hAnsi="Palatino Linotype"/>
          <w:i/>
          <w:sz w:val="22"/>
          <w:szCs w:val="22"/>
          <w:lang w:val="es-EC"/>
        </w:rPr>
        <w:t xml:space="preserve">protocolizar la presente Ordenanza ante Notario Público, e inscribirla en el Registro de la Propiedad del Distrito Metropolitano de Quito, </w:t>
      </w:r>
      <w:r w:rsidRPr="00B12228">
        <w:rPr>
          <w:rFonts w:ascii="Palatino Linotype" w:hAnsi="Palatino Linotype"/>
          <w:i/>
          <w:sz w:val="22"/>
          <w:szCs w:val="22"/>
          <w:lang w:val="es-ES_tradnl"/>
        </w:rPr>
        <w:t>con todos sus documentos habilitantes</w:t>
      </w:r>
      <w:r w:rsidRPr="00B12228">
        <w:rPr>
          <w:rFonts w:ascii="Palatino Linotype" w:hAnsi="Palatino Linotype"/>
          <w:i/>
          <w:sz w:val="22"/>
          <w:szCs w:val="22"/>
          <w:lang w:val="es-EC"/>
        </w:rPr>
        <w:t>;</w:t>
      </w:r>
      <w:r w:rsidRPr="00B12228">
        <w:rPr>
          <w:rFonts w:ascii="Palatino Linotype" w:hAnsi="Palatino Linotype"/>
          <w:i/>
          <w:sz w:val="22"/>
          <w:szCs w:val="22"/>
          <w:lang w:val="es-ES_tradnl"/>
        </w:rPr>
        <w:t xml:space="preserve"> caso contrario el Concejo Metropolitano revocará la presente ordenanza, notificándose del particular a la Comisaría de la Administración Zonal correspondiente, para que inicie las acciones pertinentes.</w:t>
      </w:r>
      <w:r>
        <w:rPr>
          <w:rFonts w:ascii="Palatino Linotype" w:hAnsi="Palatino Linotype"/>
          <w:i/>
          <w:sz w:val="22"/>
          <w:szCs w:val="22"/>
          <w:lang w:val="es-ES_tradnl"/>
        </w:rPr>
        <w:t>”</w:t>
      </w:r>
    </w:p>
    <w:p w:rsidR="00B12228" w:rsidRDefault="00B12228" w:rsidP="00B12228">
      <w:pPr>
        <w:pStyle w:val="Ttulo7"/>
        <w:spacing w:before="0" w:after="24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</w:rPr>
        <w:t>9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Arial"/>
          <w:bCs/>
          <w:sz w:val="22"/>
          <w:szCs w:val="22"/>
        </w:rPr>
        <w:t xml:space="preserve">En </w:t>
      </w:r>
      <w:r w:rsidRPr="001E2419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>
        <w:rPr>
          <w:rFonts w:ascii="Palatino Linotype" w:hAnsi="Palatino Linotype" w:cs="Arial"/>
          <w:bCs/>
          <w:sz w:val="22"/>
          <w:szCs w:val="22"/>
        </w:rPr>
        <w:t>13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de la Ordenanza No. 0212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, </w:t>
      </w:r>
      <w:r>
        <w:rPr>
          <w:rFonts w:ascii="Palatino Linotype" w:hAnsi="Palatino Linotype" w:cs="Arial"/>
          <w:bCs/>
          <w:sz w:val="22"/>
          <w:szCs w:val="22"/>
        </w:rPr>
        <w:t>elimínese la frase “</w:t>
      </w:r>
      <w:r w:rsidRPr="00B12228">
        <w:rPr>
          <w:rFonts w:ascii="Palatino Linotype" w:hAnsi="Palatino Linotype"/>
          <w:i/>
          <w:sz w:val="22"/>
          <w:szCs w:val="22"/>
        </w:rPr>
        <w:t>de acuerdo al cuadro de beneficiarios que consta en el plano adjunto a esta Ordenanza.</w:t>
      </w:r>
      <w:r>
        <w:rPr>
          <w:rFonts w:ascii="Palatino Linotype" w:hAnsi="Palatino Linotype"/>
          <w:sz w:val="22"/>
          <w:szCs w:val="22"/>
        </w:rPr>
        <w:t>”</w:t>
      </w:r>
    </w:p>
    <w:p w:rsidR="00B12228" w:rsidRPr="0049576F" w:rsidRDefault="00B12228" w:rsidP="00B12228">
      <w:pPr>
        <w:pStyle w:val="Ttulo7"/>
        <w:spacing w:before="0" w:after="240" w:line="276" w:lineRule="auto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Artículo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</w:rPr>
        <w:t>10</w:t>
      </w:r>
      <w:r w:rsidRPr="003A616B">
        <w:rPr>
          <w:rFonts w:ascii="Palatino Linotype" w:hAnsi="Palatino Linotype" w:cs="Arial"/>
          <w:b/>
          <w:bCs/>
          <w:sz w:val="22"/>
          <w:szCs w:val="22"/>
        </w:rPr>
        <w:t xml:space="preserve">.- </w:t>
      </w:r>
      <w:r>
        <w:rPr>
          <w:rFonts w:ascii="Palatino Linotype" w:hAnsi="Palatino Linotype" w:cs="Arial"/>
          <w:bCs/>
          <w:sz w:val="22"/>
          <w:szCs w:val="22"/>
        </w:rPr>
        <w:t>A continuación d</w:t>
      </w:r>
      <w:r w:rsidRPr="001E2419">
        <w:rPr>
          <w:rFonts w:ascii="Palatino Linotype" w:hAnsi="Palatino Linotype" w:cs="Arial"/>
          <w:bCs/>
          <w:sz w:val="22"/>
          <w:szCs w:val="22"/>
        </w:rPr>
        <w:t xml:space="preserve">el artículo </w:t>
      </w:r>
      <w:r>
        <w:rPr>
          <w:rFonts w:ascii="Palatino Linotype" w:hAnsi="Palatino Linotype" w:cs="Arial"/>
          <w:bCs/>
          <w:sz w:val="22"/>
          <w:szCs w:val="22"/>
        </w:rPr>
        <w:t>14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de la Ordenanza No. 0212</w:t>
      </w:r>
      <w:r w:rsidRPr="001E74C4">
        <w:rPr>
          <w:rFonts w:ascii="Palatino Linotype" w:hAnsi="Palatino Linotype" w:cs="Arial"/>
          <w:bCs/>
          <w:sz w:val="22"/>
          <w:szCs w:val="22"/>
        </w:rPr>
        <w:t xml:space="preserve">, </w:t>
      </w:r>
      <w:r>
        <w:rPr>
          <w:rFonts w:ascii="Palatino Linotype" w:hAnsi="Palatino Linotype" w:cs="Arial"/>
          <w:bCs/>
          <w:sz w:val="22"/>
          <w:szCs w:val="22"/>
        </w:rPr>
        <w:t>agréguense los siguientes artículos</w:t>
      </w:r>
      <w:r w:rsidRPr="001E74C4">
        <w:rPr>
          <w:rFonts w:ascii="Palatino Linotype" w:hAnsi="Palatino Linotype" w:cs="Arial"/>
          <w:bCs/>
          <w:sz w:val="22"/>
          <w:szCs w:val="22"/>
        </w:rPr>
        <w:t>:</w:t>
      </w:r>
    </w:p>
    <w:p w:rsidR="00B12228" w:rsidRDefault="00B12228" w:rsidP="00B12228">
      <w:pPr>
        <w:spacing w:after="240" w:line="276" w:lineRule="auto"/>
        <w:ind w:left="709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12228">
        <w:rPr>
          <w:rFonts w:ascii="Palatino Linotype" w:hAnsi="Palatino Linotype"/>
          <w:b/>
          <w:bCs/>
          <w:i/>
          <w:szCs w:val="22"/>
          <w:lang w:val="es-EC"/>
        </w:rPr>
        <w:t>“</w:t>
      </w:r>
      <w:r w:rsidRPr="00B12228">
        <w:rPr>
          <w:rFonts w:ascii="Palatino Linotype" w:hAnsi="Palatino Linotype"/>
          <w:b/>
          <w:i/>
          <w:sz w:val="22"/>
          <w:szCs w:val="22"/>
          <w:lang w:val="es-EC"/>
        </w:rPr>
        <w:t xml:space="preserve">Artículo 15.- Lotes por excepción.- </w:t>
      </w:r>
      <w:r w:rsidRPr="00B12228">
        <w:rPr>
          <w:rFonts w:ascii="Palatino Linotype" w:hAnsi="Palatino Linotype" w:cs="Arial"/>
          <w:bCs/>
          <w:i/>
          <w:sz w:val="22"/>
          <w:szCs w:val="22"/>
        </w:rPr>
        <w:t xml:space="preserve">Por tratarse de un </w:t>
      </w:r>
      <w:r>
        <w:rPr>
          <w:rFonts w:ascii="Palatino Linotype" w:hAnsi="Palatino Linotype" w:cs="Arial"/>
          <w:bCs/>
          <w:i/>
          <w:sz w:val="22"/>
          <w:szCs w:val="22"/>
        </w:rPr>
        <w:t>a</w:t>
      </w:r>
      <w:r w:rsidRPr="00B12228">
        <w:rPr>
          <w:rFonts w:ascii="Palatino Linotype" w:hAnsi="Palatino Linotype" w:cs="Arial"/>
          <w:bCs/>
          <w:i/>
          <w:sz w:val="22"/>
          <w:szCs w:val="22"/>
        </w:rPr>
        <w:t xml:space="preserve">sentamiento </w:t>
      </w:r>
      <w:r>
        <w:rPr>
          <w:rFonts w:ascii="Palatino Linotype" w:hAnsi="Palatino Linotype" w:cs="Arial"/>
          <w:bCs/>
          <w:i/>
          <w:sz w:val="22"/>
          <w:szCs w:val="22"/>
        </w:rPr>
        <w:t>h</w:t>
      </w:r>
      <w:r w:rsidRPr="00B12228">
        <w:rPr>
          <w:rFonts w:ascii="Palatino Linotype" w:hAnsi="Palatino Linotype" w:cs="Arial"/>
          <w:bCs/>
          <w:i/>
          <w:sz w:val="22"/>
          <w:szCs w:val="22"/>
        </w:rPr>
        <w:t xml:space="preserve">umano de </w:t>
      </w:r>
      <w:r>
        <w:rPr>
          <w:rFonts w:ascii="Palatino Linotype" w:hAnsi="Palatino Linotype" w:cs="Arial"/>
          <w:bCs/>
          <w:i/>
          <w:sz w:val="22"/>
          <w:szCs w:val="22"/>
        </w:rPr>
        <w:t>h</w:t>
      </w:r>
      <w:r w:rsidRPr="00B12228">
        <w:rPr>
          <w:rFonts w:ascii="Palatino Linotype" w:hAnsi="Palatino Linotype" w:cs="Arial"/>
          <w:bCs/>
          <w:i/>
          <w:sz w:val="22"/>
          <w:szCs w:val="22"/>
        </w:rPr>
        <w:t xml:space="preserve">echo y </w:t>
      </w:r>
      <w:r>
        <w:rPr>
          <w:rFonts w:ascii="Palatino Linotype" w:hAnsi="Palatino Linotype" w:cs="Arial"/>
          <w:bCs/>
          <w:i/>
          <w:sz w:val="22"/>
          <w:szCs w:val="22"/>
        </w:rPr>
        <w:t>c</w:t>
      </w:r>
      <w:r w:rsidRPr="00B12228">
        <w:rPr>
          <w:rFonts w:ascii="Palatino Linotype" w:hAnsi="Palatino Linotype" w:cs="Arial"/>
          <w:bCs/>
          <w:i/>
          <w:sz w:val="22"/>
          <w:szCs w:val="22"/>
        </w:rPr>
        <w:t xml:space="preserve">onsolidado, se aprueban </w:t>
      </w:r>
      <w:r>
        <w:rPr>
          <w:rFonts w:ascii="Palatino Linotype" w:hAnsi="Palatino Linotype" w:cs="Arial"/>
          <w:bCs/>
          <w:i/>
          <w:sz w:val="22"/>
          <w:szCs w:val="22"/>
        </w:rPr>
        <w:t>por excepción los siguientes lotes de menor superficie conforme el plano adjunto</w:t>
      </w:r>
      <w:r w:rsidRPr="00B12228">
        <w:rPr>
          <w:rFonts w:ascii="Palatino Linotype" w:hAnsi="Palatino Linotype" w:cs="Arial"/>
          <w:bCs/>
          <w:i/>
          <w:sz w:val="22"/>
          <w:szCs w:val="22"/>
        </w:rPr>
        <w:t xml:space="preserve">: 1, 2, 3, 4, 5, 6, 7, 8, 9, 10, 11, 12, 13, 16, 17, 18, 19, 20, 21, 22, 24, 25, 26, 27, 28, 29, 30, 31, </w:t>
      </w:r>
      <w:r>
        <w:rPr>
          <w:rFonts w:ascii="Palatino Linotype" w:hAnsi="Palatino Linotype" w:cs="Arial"/>
          <w:bCs/>
          <w:i/>
          <w:sz w:val="22"/>
          <w:szCs w:val="22"/>
        </w:rPr>
        <w:t xml:space="preserve">34, </w:t>
      </w:r>
      <w:r w:rsidRPr="00B12228">
        <w:rPr>
          <w:rFonts w:ascii="Palatino Linotype" w:hAnsi="Palatino Linotype" w:cs="Arial"/>
          <w:bCs/>
          <w:i/>
          <w:sz w:val="22"/>
          <w:szCs w:val="22"/>
        </w:rPr>
        <w:t>35, 36, 37, 38, 39, 40, 41, 42, 43, 44, 45, 46, 47, 48 y 49</w:t>
      </w:r>
      <w:r>
        <w:rPr>
          <w:rFonts w:ascii="Palatino Linotype" w:hAnsi="Palatino Linotype" w:cs="Arial"/>
          <w:bCs/>
          <w:i/>
          <w:sz w:val="22"/>
          <w:szCs w:val="22"/>
        </w:rPr>
        <w:t>.</w:t>
      </w:r>
    </w:p>
    <w:p w:rsidR="00B12228" w:rsidRDefault="00B12228" w:rsidP="00B12228">
      <w:pPr>
        <w:spacing w:after="240" w:line="276" w:lineRule="auto"/>
        <w:ind w:left="709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12228">
        <w:rPr>
          <w:rFonts w:ascii="Palatino Linotype" w:hAnsi="Palatino Linotype" w:cs="Arial"/>
          <w:b/>
          <w:bCs/>
          <w:i/>
          <w:sz w:val="22"/>
          <w:szCs w:val="22"/>
        </w:rPr>
        <w:lastRenderedPageBreak/>
        <w:t>Artículo 1</w:t>
      </w:r>
      <w:r w:rsidR="000E49CE">
        <w:rPr>
          <w:rFonts w:ascii="Palatino Linotype" w:hAnsi="Palatino Linotype" w:cs="Arial"/>
          <w:b/>
          <w:bCs/>
          <w:i/>
          <w:sz w:val="22"/>
          <w:szCs w:val="22"/>
        </w:rPr>
        <w:t>6</w:t>
      </w:r>
      <w:r w:rsidRPr="00B12228">
        <w:rPr>
          <w:rFonts w:ascii="Palatino Linotype" w:hAnsi="Palatino Linotype" w:cs="Arial"/>
          <w:b/>
          <w:bCs/>
          <w:i/>
          <w:sz w:val="22"/>
          <w:szCs w:val="22"/>
        </w:rPr>
        <w:t xml:space="preserve">.- </w:t>
      </w:r>
      <w:r>
        <w:rPr>
          <w:rFonts w:ascii="Palatino Linotype" w:hAnsi="Palatino Linotype" w:cs="Arial"/>
          <w:b/>
          <w:bCs/>
          <w:i/>
          <w:sz w:val="22"/>
          <w:szCs w:val="22"/>
        </w:rPr>
        <w:t>Recomendaciones t</w:t>
      </w:r>
      <w:r w:rsidRPr="00B12228">
        <w:rPr>
          <w:rFonts w:ascii="Palatino Linotype" w:hAnsi="Palatino Linotype" w:cs="Arial"/>
          <w:b/>
          <w:bCs/>
          <w:i/>
          <w:sz w:val="22"/>
          <w:szCs w:val="22"/>
        </w:rPr>
        <w:t xml:space="preserve">écnicas de riesgos.- </w:t>
      </w:r>
      <w:r w:rsidRPr="00B12228">
        <w:rPr>
          <w:rFonts w:ascii="Palatino Linotype" w:hAnsi="Palatino Linotype"/>
          <w:bCs/>
          <w:i/>
          <w:sz w:val="22"/>
          <w:szCs w:val="22"/>
        </w:rPr>
        <w:t xml:space="preserve">Se debe considerar las recomendaciones emitidas por la Secretaría de General de Seguridad y Gobernabilidad, que </w:t>
      </w:r>
      <w:r w:rsidRPr="00B12228">
        <w:rPr>
          <w:rFonts w:ascii="Palatino Linotype" w:hAnsi="Palatino Linotype"/>
          <w:i/>
          <w:sz w:val="22"/>
          <w:szCs w:val="22"/>
        </w:rPr>
        <w:t xml:space="preserve"> determina</w:t>
      </w:r>
      <w:r w:rsidRPr="00B12228">
        <w:rPr>
          <w:rFonts w:ascii="Palatino Linotype" w:hAnsi="Palatino Linotype"/>
          <w:bCs/>
          <w:i/>
          <w:sz w:val="22"/>
          <w:szCs w:val="22"/>
        </w:rPr>
        <w:t xml:space="preserve"> que en los lotes más cercanos a la quebrada donde se presenta una estabilidad geomorfológica desfavorable, se debe realizar un estudio técnico más profundo del suelo para determinar los parámetros técnicos que se deben implementar en las actuales y futuras construcciones.  </w:t>
      </w:r>
    </w:p>
    <w:p w:rsidR="000E49CE" w:rsidRDefault="00B12228" w:rsidP="000E49CE">
      <w:pPr>
        <w:spacing w:after="240" w:line="276" w:lineRule="auto"/>
        <w:ind w:left="709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12228">
        <w:rPr>
          <w:rFonts w:ascii="Palatino Linotype" w:hAnsi="Palatino Linotype"/>
          <w:i/>
          <w:sz w:val="22"/>
          <w:szCs w:val="22"/>
        </w:rPr>
        <w:t xml:space="preserve">Los terrenos que conforman el Barrio </w:t>
      </w:r>
      <w:proofErr w:type="spellStart"/>
      <w:r w:rsidRPr="00B12228">
        <w:rPr>
          <w:rFonts w:ascii="Palatino Linotype" w:hAnsi="Palatino Linotype"/>
          <w:i/>
          <w:sz w:val="22"/>
          <w:szCs w:val="22"/>
        </w:rPr>
        <w:t>Pradesur</w:t>
      </w:r>
      <w:proofErr w:type="spellEnd"/>
      <w:r w:rsidRPr="00B12228">
        <w:rPr>
          <w:rFonts w:ascii="Palatino Linotype" w:hAnsi="Palatino Linotype"/>
          <w:i/>
          <w:sz w:val="22"/>
          <w:szCs w:val="22"/>
        </w:rPr>
        <w:t xml:space="preserve"> Etapa 1</w:t>
      </w:r>
      <w:r w:rsidRPr="00B12228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B12228">
        <w:rPr>
          <w:rFonts w:ascii="Palatino Linotype" w:hAnsi="Palatino Linotype"/>
          <w:i/>
          <w:sz w:val="22"/>
          <w:szCs w:val="22"/>
        </w:rPr>
        <w:t>pueden continuar con el trámite</w:t>
      </w:r>
      <w:r w:rsidRPr="00B12228">
        <w:rPr>
          <w:rFonts w:ascii="Palatino Linotype" w:hAnsi="Palatino Linotype"/>
          <w:b/>
          <w:i/>
          <w:sz w:val="22"/>
          <w:szCs w:val="22"/>
        </w:rPr>
        <w:t xml:space="preserve"> </w:t>
      </w:r>
      <w:r w:rsidRPr="00B12228">
        <w:rPr>
          <w:rFonts w:ascii="Palatino Linotype" w:hAnsi="Palatino Linotype"/>
          <w:i/>
          <w:sz w:val="22"/>
          <w:szCs w:val="22"/>
        </w:rPr>
        <w:t xml:space="preserve">de la regularización; inclusive los lotes </w:t>
      </w:r>
      <w:r>
        <w:rPr>
          <w:rFonts w:ascii="Palatino Linotype" w:hAnsi="Palatino Linotype"/>
          <w:i/>
          <w:sz w:val="22"/>
          <w:szCs w:val="22"/>
        </w:rPr>
        <w:t xml:space="preserve">Nos. </w:t>
      </w:r>
      <w:r w:rsidRPr="00B12228">
        <w:rPr>
          <w:rFonts w:ascii="Palatino Linotype" w:hAnsi="Palatino Linotype"/>
          <w:i/>
          <w:sz w:val="22"/>
          <w:szCs w:val="22"/>
        </w:rPr>
        <w:t xml:space="preserve">23, 24 y 25,  los propietarios de los mismos para construir deben realizar los estudios de mecánica de suelos para determinar la capacidad portante de </w:t>
      </w:r>
      <w:r>
        <w:rPr>
          <w:rFonts w:ascii="Palatino Linotype" w:hAnsi="Palatino Linotype"/>
          <w:i/>
          <w:sz w:val="22"/>
          <w:szCs w:val="22"/>
        </w:rPr>
        <w:t>los terrenos</w:t>
      </w:r>
      <w:r w:rsidRPr="00B12228">
        <w:rPr>
          <w:rFonts w:ascii="Palatino Linotype" w:hAnsi="Palatino Linotype"/>
          <w:i/>
          <w:sz w:val="22"/>
          <w:szCs w:val="22"/>
        </w:rPr>
        <w:t>, los mismos que determinarán la estructura para las construcciones a realizarse.</w:t>
      </w:r>
    </w:p>
    <w:p w:rsidR="000E49CE" w:rsidRPr="000E49CE" w:rsidRDefault="00B12228" w:rsidP="000E49CE">
      <w:pPr>
        <w:spacing w:after="240" w:line="276" w:lineRule="auto"/>
        <w:ind w:left="709"/>
        <w:jc w:val="both"/>
        <w:rPr>
          <w:rFonts w:ascii="Palatino Linotype" w:hAnsi="Palatino Linotype"/>
          <w:b/>
          <w:bCs/>
          <w:sz w:val="22"/>
          <w:szCs w:val="22"/>
          <w:lang w:val="es-EC"/>
        </w:rPr>
      </w:pPr>
      <w:r w:rsidRPr="00B12228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>Artículo 1</w:t>
      </w:r>
      <w:r>
        <w:rPr>
          <w:rFonts w:ascii="Palatino Linotype" w:hAnsi="Palatino Linotype"/>
          <w:b/>
          <w:bCs/>
          <w:i/>
          <w:sz w:val="22"/>
          <w:szCs w:val="22"/>
          <w:lang w:val="es-ES_tradnl"/>
        </w:rPr>
        <w:t>7</w:t>
      </w:r>
      <w:r w:rsidRPr="00B12228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 xml:space="preserve">.- Solicitudes de ampliación de plazo.- </w:t>
      </w:r>
      <w:r w:rsidRPr="00B12228">
        <w:rPr>
          <w:rFonts w:ascii="Palatino Linotype" w:hAnsi="Palatino Linotype"/>
          <w:bCs/>
          <w:i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 Las solicitudes de ampliación de plazo para ejecución de obras de urbanización serán resueltas por la Administración Zonal correspondiente.</w:t>
      </w:r>
      <w:r>
        <w:rPr>
          <w:rFonts w:ascii="Palatino Linotype" w:hAnsi="Palatino Linotype"/>
          <w:bCs/>
          <w:i/>
          <w:sz w:val="22"/>
          <w:szCs w:val="22"/>
          <w:lang w:val="es-ES_tradnl"/>
        </w:rPr>
        <w:t>”</w:t>
      </w:r>
    </w:p>
    <w:p w:rsidR="001D42BA" w:rsidRDefault="0009638B" w:rsidP="000E49CE">
      <w:pPr>
        <w:spacing w:after="240" w:line="276" w:lineRule="auto"/>
        <w:contextualSpacing/>
        <w:jc w:val="both"/>
        <w:rPr>
          <w:rFonts w:ascii="Palatino Linotype" w:hAnsi="Palatino Linotype" w:cs="Calibri"/>
          <w:i/>
          <w:sz w:val="22"/>
          <w:szCs w:val="22"/>
          <w:lang w:val="es-ES_tradnl"/>
        </w:rPr>
      </w:pPr>
      <w:r w:rsidRPr="00B452F1">
        <w:rPr>
          <w:rFonts w:ascii="Palatino Linotype" w:hAnsi="Palatino Linotype" w:cs="Arial"/>
          <w:b/>
          <w:sz w:val="22"/>
          <w:szCs w:val="22"/>
          <w:lang w:val="es-ES_tradnl"/>
        </w:rPr>
        <w:t xml:space="preserve">Disposición </w:t>
      </w:r>
      <w:r w:rsidR="001D7E64">
        <w:rPr>
          <w:rFonts w:ascii="Palatino Linotype" w:hAnsi="Palatino Linotype" w:cs="Arial"/>
          <w:b/>
          <w:sz w:val="22"/>
          <w:szCs w:val="22"/>
          <w:lang w:val="es-ES_tradnl"/>
        </w:rPr>
        <w:t>f</w:t>
      </w:r>
      <w:r w:rsidRPr="00B452F1">
        <w:rPr>
          <w:rFonts w:ascii="Palatino Linotype" w:hAnsi="Palatino Linotype" w:cs="Arial"/>
          <w:b/>
          <w:sz w:val="22"/>
          <w:szCs w:val="22"/>
          <w:lang w:val="es-ES_tradnl"/>
        </w:rPr>
        <w:t xml:space="preserve">inal.- </w:t>
      </w:r>
      <w:r w:rsidRPr="00B452F1">
        <w:rPr>
          <w:rFonts w:ascii="Palatino Linotype" w:hAnsi="Palatino Linotype" w:cs="Arial"/>
          <w:bCs/>
          <w:sz w:val="22"/>
          <w:szCs w:val="22"/>
          <w:lang w:val="es-ES_tradnl"/>
        </w:rPr>
        <w:t xml:space="preserve"> Esta ordenanza entrará en vigencia a partir de la fecha de su sanción</w:t>
      </w:r>
      <w:r>
        <w:rPr>
          <w:rFonts w:ascii="Palatino Linotype" w:hAnsi="Palatino Linotype" w:cs="Arial"/>
          <w:bCs/>
          <w:sz w:val="22"/>
          <w:szCs w:val="22"/>
          <w:lang w:val="es-ES_tradnl"/>
        </w:rPr>
        <w:t>, sin perjuicio de su publicación en la página web institucional de la Municipalidad</w:t>
      </w:r>
      <w:r w:rsidRPr="00B452F1">
        <w:rPr>
          <w:rFonts w:ascii="Palatino Linotype" w:hAnsi="Palatino Linotype" w:cs="Arial"/>
          <w:bCs/>
          <w:sz w:val="22"/>
          <w:szCs w:val="22"/>
          <w:lang w:val="es-ES_tradnl"/>
        </w:rPr>
        <w:t>.</w:t>
      </w:r>
    </w:p>
    <w:p w:rsidR="001D42BA" w:rsidRPr="000E49CE" w:rsidRDefault="001D42BA" w:rsidP="001D42BA">
      <w:pPr>
        <w:spacing w:after="240" w:line="276" w:lineRule="auto"/>
        <w:contextualSpacing/>
        <w:jc w:val="both"/>
        <w:rPr>
          <w:rFonts w:ascii="Palatino Linotype" w:hAnsi="Palatino Linotype" w:cs="Arial"/>
          <w:sz w:val="22"/>
          <w:szCs w:val="22"/>
          <w:lang w:val="es-ES_tradnl"/>
        </w:rPr>
      </w:pPr>
    </w:p>
    <w:p w:rsidR="0009638B" w:rsidRPr="001D42BA" w:rsidRDefault="0009638B" w:rsidP="001D42BA">
      <w:pPr>
        <w:spacing w:after="240" w:line="276" w:lineRule="auto"/>
        <w:contextualSpacing/>
        <w:jc w:val="both"/>
        <w:rPr>
          <w:rFonts w:ascii="Palatino Linotype" w:hAnsi="Palatino Linotype" w:cs="Calibri"/>
          <w:i/>
          <w:sz w:val="22"/>
          <w:szCs w:val="22"/>
          <w:lang w:val="es-ES_tradnl"/>
        </w:rPr>
      </w:pPr>
      <w:r w:rsidRPr="003843CA">
        <w:rPr>
          <w:rFonts w:ascii="Palatino Linotype" w:hAnsi="Palatino Linotype" w:cs="Arial"/>
          <w:sz w:val="22"/>
          <w:szCs w:val="22"/>
        </w:rPr>
        <w:t xml:space="preserve">Dada, en la Sala de Sesiones del Concejo Metropolitano de Quito, el </w:t>
      </w:r>
      <w:r w:rsidR="000E49CE">
        <w:rPr>
          <w:rFonts w:ascii="Palatino Linotype" w:hAnsi="Palatino Linotype" w:cs="Arial"/>
          <w:sz w:val="22"/>
          <w:szCs w:val="22"/>
        </w:rPr>
        <w:t>27</w:t>
      </w:r>
      <w:r w:rsidRPr="003843CA">
        <w:rPr>
          <w:rFonts w:ascii="Palatino Linotype" w:hAnsi="Palatino Linotype" w:cs="Arial"/>
          <w:sz w:val="22"/>
          <w:szCs w:val="22"/>
        </w:rPr>
        <w:t xml:space="preserve"> de </w:t>
      </w:r>
      <w:r w:rsidR="000E49CE">
        <w:rPr>
          <w:rFonts w:ascii="Palatino Linotype" w:hAnsi="Palatino Linotype" w:cs="Arial"/>
          <w:sz w:val="22"/>
          <w:szCs w:val="22"/>
        </w:rPr>
        <w:t xml:space="preserve">agosto </w:t>
      </w:r>
      <w:r w:rsidRPr="003843CA">
        <w:rPr>
          <w:rFonts w:ascii="Palatino Linotype" w:hAnsi="Palatino Linotype" w:cs="Arial"/>
          <w:sz w:val="22"/>
          <w:szCs w:val="22"/>
        </w:rPr>
        <w:t>de 201</w:t>
      </w:r>
      <w:r>
        <w:rPr>
          <w:rFonts w:ascii="Palatino Linotype" w:hAnsi="Palatino Linotype" w:cs="Arial"/>
          <w:sz w:val="22"/>
          <w:szCs w:val="22"/>
        </w:rPr>
        <w:t>5</w:t>
      </w:r>
      <w:r w:rsidRPr="003843CA">
        <w:rPr>
          <w:rFonts w:ascii="Palatino Linotype" w:hAnsi="Palatino Linotype" w:cs="Arial"/>
          <w:sz w:val="22"/>
          <w:szCs w:val="22"/>
        </w:rPr>
        <w:t>.</w:t>
      </w:r>
    </w:p>
    <w:p w:rsidR="0009638B" w:rsidRPr="000E49CE" w:rsidRDefault="0009638B" w:rsidP="0009638B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</w:rPr>
      </w:pPr>
    </w:p>
    <w:p w:rsidR="00B12228" w:rsidRPr="003843CA" w:rsidRDefault="00B12228" w:rsidP="0009638B">
      <w:pPr>
        <w:pStyle w:val="Textopredeterminado"/>
        <w:shd w:val="clear" w:color="auto" w:fill="FFFFFF"/>
        <w:jc w:val="both"/>
        <w:rPr>
          <w:rFonts w:ascii="Palatino Linotype" w:hAnsi="Palatino Linotype" w:cs="Arial"/>
          <w:sz w:val="22"/>
          <w:szCs w:val="22"/>
          <w:lang w:val="es-ES"/>
        </w:rPr>
      </w:pPr>
    </w:p>
    <w:tbl>
      <w:tblPr>
        <w:tblW w:w="10899" w:type="dxa"/>
        <w:jc w:val="center"/>
        <w:tblInd w:w="-885" w:type="dxa"/>
        <w:tblLook w:val="04A0"/>
      </w:tblPr>
      <w:tblGrid>
        <w:gridCol w:w="5575"/>
        <w:gridCol w:w="5324"/>
      </w:tblGrid>
      <w:tr w:rsidR="0009638B" w:rsidRPr="00680EAC" w:rsidTr="0009638B">
        <w:trPr>
          <w:jc w:val="center"/>
        </w:trPr>
        <w:tc>
          <w:tcPr>
            <w:tcW w:w="5575" w:type="dxa"/>
            <w:hideMark/>
          </w:tcPr>
          <w:p w:rsidR="0009638B" w:rsidRPr="00680EAC" w:rsidRDefault="000E49CE" w:rsidP="0009638B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Ing. Anabel Hermosa Acosta</w:t>
            </w:r>
          </w:p>
          <w:p w:rsidR="0009638B" w:rsidRPr="00680EAC" w:rsidRDefault="000E49CE" w:rsidP="0009638B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>
              <w:rPr>
                <w:rFonts w:ascii="Palatino Linotype" w:hAnsi="Palatino Linotype" w:cs="Arial"/>
                <w:b/>
                <w:sz w:val="19"/>
                <w:szCs w:val="19"/>
              </w:rPr>
              <w:t xml:space="preserve">Segunda </w:t>
            </w:r>
            <w:r w:rsidR="0009638B" w:rsidRPr="00680EAC">
              <w:rPr>
                <w:rFonts w:ascii="Palatino Linotype" w:hAnsi="Palatino Linotype" w:cs="Arial"/>
                <w:b/>
                <w:sz w:val="19"/>
                <w:szCs w:val="19"/>
              </w:rPr>
              <w:t>Vicepresident</w:t>
            </w:r>
            <w:r w:rsidR="0009638B">
              <w:rPr>
                <w:rFonts w:ascii="Palatino Linotype" w:hAnsi="Palatino Linotype" w:cs="Arial"/>
                <w:b/>
                <w:sz w:val="19"/>
                <w:szCs w:val="19"/>
              </w:rPr>
              <w:t>a</w:t>
            </w:r>
            <w:r w:rsidR="0009638B"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09638B" w:rsidRPr="00680EAC" w:rsidRDefault="00AB5D0C" w:rsidP="0009638B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  <w:r>
              <w:rPr>
                <w:rFonts w:ascii="Palatino Linotype" w:hAnsi="Palatino Linotype" w:cs="Arial"/>
                <w:sz w:val="19"/>
                <w:szCs w:val="19"/>
              </w:rPr>
              <w:t>Dr. Mauricio Bustamante Holguín</w:t>
            </w:r>
          </w:p>
          <w:p w:rsidR="0009638B" w:rsidRDefault="0009638B" w:rsidP="0009638B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9"/>
                <w:szCs w:val="19"/>
              </w:rPr>
            </w:pP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>Secretar</w:t>
            </w:r>
            <w:r w:rsidR="00AB5D0C">
              <w:rPr>
                <w:rFonts w:ascii="Palatino Linotype" w:hAnsi="Palatino Linotype" w:cs="Arial"/>
                <w:b/>
                <w:sz w:val="19"/>
                <w:szCs w:val="19"/>
              </w:rPr>
              <w:t>io</w:t>
            </w:r>
            <w:r w:rsidRPr="00680EAC">
              <w:rPr>
                <w:rFonts w:ascii="Palatino Linotype" w:hAnsi="Palatino Linotype" w:cs="Arial"/>
                <w:b/>
                <w:sz w:val="19"/>
                <w:szCs w:val="19"/>
              </w:rPr>
              <w:t xml:space="preserve"> General del Concejo Metropolitano de Quito</w:t>
            </w:r>
          </w:p>
          <w:p w:rsidR="00D82D01" w:rsidRPr="00680EAC" w:rsidRDefault="00D82D01" w:rsidP="00D82D01">
            <w:pPr>
              <w:pStyle w:val="Textopredeterminado"/>
              <w:rPr>
                <w:rFonts w:ascii="Palatino Linotype" w:hAnsi="Palatino Linotype" w:cs="Arial"/>
                <w:b/>
                <w:sz w:val="19"/>
                <w:szCs w:val="19"/>
              </w:rPr>
            </w:pPr>
          </w:p>
        </w:tc>
      </w:tr>
      <w:tr w:rsidR="0009638B" w:rsidRPr="00680EAC" w:rsidTr="0009638B">
        <w:trPr>
          <w:jc w:val="center"/>
        </w:trPr>
        <w:tc>
          <w:tcPr>
            <w:tcW w:w="5575" w:type="dxa"/>
            <w:hideMark/>
          </w:tcPr>
          <w:p w:rsidR="0009638B" w:rsidRDefault="0009638B" w:rsidP="0009638B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</w:tc>
        <w:tc>
          <w:tcPr>
            <w:tcW w:w="5324" w:type="dxa"/>
            <w:hideMark/>
          </w:tcPr>
          <w:p w:rsidR="0009638B" w:rsidRDefault="0009638B" w:rsidP="0009638B">
            <w:pPr>
              <w:pStyle w:val="Textopredeterminado"/>
              <w:jc w:val="center"/>
              <w:rPr>
                <w:rFonts w:ascii="Palatino Linotype" w:hAnsi="Palatino Linotype" w:cs="Arial"/>
                <w:sz w:val="19"/>
                <w:szCs w:val="19"/>
              </w:rPr>
            </w:pPr>
          </w:p>
        </w:tc>
      </w:tr>
    </w:tbl>
    <w:p w:rsidR="0009638B" w:rsidRPr="003843CA" w:rsidRDefault="0009638B" w:rsidP="0009638B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09638B" w:rsidRPr="003843CA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Secretari</w:t>
      </w:r>
      <w:r>
        <w:rPr>
          <w:rFonts w:ascii="Palatino Linotype" w:eastAsia="MS Mincho" w:hAnsi="Palatino Linotype" w:cs="Arial"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8937FE">
        <w:rPr>
          <w:rFonts w:ascii="Palatino Linotype" w:eastAsia="MS Mincho" w:hAnsi="Palatino Linotype" w:cs="Arial"/>
          <w:sz w:val="22"/>
          <w:szCs w:val="22"/>
        </w:rPr>
        <w:t>13</w:t>
      </w:r>
      <w:r w:rsidR="00DD0EB3">
        <w:rPr>
          <w:rFonts w:ascii="Palatino Linotype" w:eastAsia="MS Mincho" w:hAnsi="Palatino Linotype" w:cs="Arial"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 xml:space="preserve">y </w:t>
      </w:r>
      <w:r w:rsidR="008937FE">
        <w:rPr>
          <w:rFonts w:ascii="Palatino Linotype" w:eastAsia="MS Mincho" w:hAnsi="Palatino Linotype" w:cs="Arial"/>
          <w:sz w:val="22"/>
          <w:szCs w:val="22"/>
        </w:rPr>
        <w:t>27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8937FE">
        <w:rPr>
          <w:rFonts w:ascii="Palatino Linotype" w:eastAsia="MS Mincho" w:hAnsi="Palatino Linotype" w:cs="Arial"/>
          <w:sz w:val="22"/>
          <w:szCs w:val="22"/>
        </w:rPr>
        <w:t xml:space="preserve">agosto </w:t>
      </w:r>
      <w:r w:rsidRPr="003843CA">
        <w:rPr>
          <w:rFonts w:ascii="Palatino Linotype" w:eastAsia="MS Mincho" w:hAnsi="Palatino Linotype" w:cs="Arial"/>
          <w:sz w:val="22"/>
          <w:szCs w:val="22"/>
        </w:rPr>
        <w:t>de 201</w:t>
      </w:r>
      <w:r>
        <w:rPr>
          <w:rFonts w:ascii="Palatino Linotype" w:eastAsia="MS Mincho" w:hAnsi="Palatino Linotype" w:cs="Arial"/>
          <w:sz w:val="22"/>
          <w:szCs w:val="22"/>
        </w:rPr>
        <w:t>5</w:t>
      </w:r>
      <w:r w:rsidRPr="003843C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09638B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D82D01" w:rsidRPr="003843CA" w:rsidRDefault="00D82D01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638B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B12228" w:rsidRDefault="00B12228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D82D01" w:rsidRPr="003843CA" w:rsidRDefault="00D82D01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 xml:space="preserve">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Default="0009638B" w:rsidP="0009638B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3843C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</w:t>
      </w:r>
      <w:r>
        <w:rPr>
          <w:rFonts w:ascii="Palatino Linotype" w:eastAsia="MS Mincho" w:hAnsi="Palatino Linotype" w:cs="Arial"/>
          <w:sz w:val="22"/>
          <w:szCs w:val="22"/>
        </w:rPr>
        <w:t>Mauricio Rodas Espinel</w:t>
      </w:r>
      <w:r w:rsidRPr="003843CA">
        <w:rPr>
          <w:rFonts w:ascii="Palatino Linotype" w:eastAsia="MS Mincho" w:hAnsi="Palatino Linotype" w:cs="Arial"/>
          <w:sz w:val="22"/>
          <w:szCs w:val="22"/>
        </w:rPr>
        <w:t>, Alcalde  del Distrito Metropolitano de Quito, el</w:t>
      </w:r>
    </w:p>
    <w:p w:rsidR="0009638B" w:rsidRPr="003843CA" w:rsidRDefault="0009638B" w:rsidP="0009638B">
      <w:pPr>
        <w:pStyle w:val="Textosinformato"/>
        <w:tabs>
          <w:tab w:val="right" w:pos="8504"/>
        </w:tabs>
        <w:jc w:val="both"/>
        <w:rPr>
          <w:rFonts w:ascii="Palatino Linotype" w:eastAsia="MS Mincho" w:hAnsi="Palatino Linotype" w:cs="Arial"/>
          <w:sz w:val="22"/>
          <w:szCs w:val="22"/>
        </w:rPr>
      </w:pPr>
      <w:r w:rsidRPr="003843C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Dr. Mauricio Bustamante Holguín</w:t>
      </w:r>
    </w:p>
    <w:p w:rsidR="0009638B" w:rsidRPr="003843CA" w:rsidRDefault="0009638B" w:rsidP="0009638B">
      <w:pPr>
        <w:pStyle w:val="Textosinformato"/>
        <w:jc w:val="center"/>
        <w:rPr>
          <w:rFonts w:ascii="Palatino Linotype" w:eastAsia="MS Mincho" w:hAnsi="Palatino Linotype" w:cs="Arial"/>
          <w:bCs/>
          <w:sz w:val="22"/>
          <w:szCs w:val="22"/>
        </w:rPr>
      </w:pP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3843C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CA554A" w:rsidRPr="008937FE" w:rsidRDefault="008937FE" w:rsidP="0009638B">
      <w:pPr>
        <w:pStyle w:val="Ttulo"/>
        <w:spacing w:after="240" w:line="276" w:lineRule="auto"/>
        <w:jc w:val="both"/>
        <w:rPr>
          <w:rFonts w:ascii="Palatino Linotype" w:eastAsia="MS Mincho" w:hAnsi="Palatino Linotype" w:cs="Arial"/>
          <w:bCs w:val="0"/>
          <w:sz w:val="12"/>
          <w:szCs w:val="12"/>
        </w:rPr>
      </w:pPr>
      <w:r>
        <w:rPr>
          <w:rFonts w:ascii="Palatino Linotype" w:eastAsia="MS Mincho" w:hAnsi="Palatino Linotype" w:cs="Arial"/>
          <w:bCs w:val="0"/>
          <w:sz w:val="12"/>
          <w:szCs w:val="12"/>
        </w:rPr>
        <w:t>DSCS</w:t>
      </w:r>
    </w:p>
    <w:sectPr w:rsidR="00CA554A" w:rsidRPr="008937FE" w:rsidSect="008D5B1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402" w:right="1416" w:bottom="567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2B" w:rsidRDefault="002E2C2B" w:rsidP="00B14643">
      <w:r>
        <w:separator/>
      </w:r>
    </w:p>
  </w:endnote>
  <w:endnote w:type="continuationSeparator" w:id="1">
    <w:p w:rsidR="002E2C2B" w:rsidRDefault="002E2C2B" w:rsidP="00B1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B" w:rsidRPr="00723B61" w:rsidRDefault="002E2C2B">
    <w:pPr>
      <w:pStyle w:val="Piedepgina"/>
      <w:jc w:val="right"/>
      <w:rPr>
        <w:rFonts w:ascii="Palatino Linotype" w:hAnsi="Palatino Linotype"/>
      </w:rPr>
    </w:pPr>
  </w:p>
  <w:p w:rsidR="002E2C2B" w:rsidRDefault="002E2C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B" w:rsidRPr="00FF2426" w:rsidRDefault="002E2C2B" w:rsidP="003078EC">
    <w:pPr>
      <w:pStyle w:val="Piedepgina"/>
      <w:jc w:val="right"/>
      <w:rPr>
        <w:rFonts w:ascii="Palatino Linotype" w:hAnsi="Palatino Linotype"/>
        <w:sz w:val="22"/>
        <w:szCs w:val="22"/>
      </w:rPr>
    </w:pPr>
    <w:r w:rsidRPr="00FF2426">
      <w:rPr>
        <w:rFonts w:ascii="Palatino Linotype" w:hAnsi="Palatino Linotype"/>
        <w:sz w:val="22"/>
        <w:szCs w:val="22"/>
      </w:rPr>
      <w:t xml:space="preserve">Página </w:t>
    </w:r>
    <w:r w:rsidR="009C0D72" w:rsidRPr="00FF2426">
      <w:rPr>
        <w:rFonts w:ascii="Palatino Linotype" w:hAnsi="Palatino Linotype"/>
        <w:b/>
        <w:sz w:val="22"/>
        <w:szCs w:val="22"/>
      </w:rPr>
      <w:fldChar w:fldCharType="begin"/>
    </w:r>
    <w:r w:rsidRPr="00FF2426">
      <w:rPr>
        <w:rFonts w:ascii="Palatino Linotype" w:hAnsi="Palatino Linotype"/>
        <w:b/>
        <w:sz w:val="22"/>
        <w:szCs w:val="22"/>
      </w:rPr>
      <w:instrText>PAGE</w:instrText>
    </w:r>
    <w:r w:rsidR="009C0D72" w:rsidRPr="00FF2426">
      <w:rPr>
        <w:rFonts w:ascii="Palatino Linotype" w:hAnsi="Palatino Linotype"/>
        <w:b/>
        <w:sz w:val="22"/>
        <w:szCs w:val="22"/>
      </w:rPr>
      <w:fldChar w:fldCharType="separate"/>
    </w:r>
    <w:r w:rsidR="00DD0EB3">
      <w:rPr>
        <w:rFonts w:ascii="Palatino Linotype" w:hAnsi="Palatino Linotype"/>
        <w:b/>
        <w:noProof/>
        <w:sz w:val="22"/>
        <w:szCs w:val="22"/>
      </w:rPr>
      <w:t>7</w:t>
    </w:r>
    <w:r w:rsidR="009C0D72" w:rsidRPr="00FF2426">
      <w:rPr>
        <w:rFonts w:ascii="Palatino Linotype" w:hAnsi="Palatino Linotype"/>
        <w:b/>
        <w:sz w:val="22"/>
        <w:szCs w:val="22"/>
      </w:rPr>
      <w:fldChar w:fldCharType="end"/>
    </w:r>
    <w:r w:rsidRPr="00FF2426">
      <w:rPr>
        <w:rFonts w:ascii="Palatino Linotype" w:hAnsi="Palatino Linotype"/>
        <w:sz w:val="22"/>
        <w:szCs w:val="22"/>
      </w:rPr>
      <w:t xml:space="preserve"> de </w:t>
    </w:r>
    <w:r>
      <w:rPr>
        <w:rFonts w:ascii="Palatino Linotype" w:hAnsi="Palatino Linotype"/>
        <w:b/>
        <w:sz w:val="22"/>
        <w:szCs w:val="22"/>
      </w:rPr>
      <w:t>7</w:t>
    </w:r>
  </w:p>
  <w:p w:rsidR="002E2C2B" w:rsidRDefault="002E2C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2B" w:rsidRDefault="002E2C2B" w:rsidP="00B14643">
      <w:r>
        <w:separator/>
      </w:r>
    </w:p>
  </w:footnote>
  <w:footnote w:type="continuationSeparator" w:id="1">
    <w:p w:rsidR="002E2C2B" w:rsidRDefault="002E2C2B" w:rsidP="00B1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B" w:rsidRDefault="002E2C2B">
    <w:pPr>
      <w:pStyle w:val="Encabezado"/>
      <w:rPr>
        <w:lang w:val="es-EC"/>
      </w:rPr>
    </w:pPr>
  </w:p>
  <w:p w:rsidR="002E2C2B" w:rsidRDefault="002E2C2B">
    <w:pPr>
      <w:pStyle w:val="Encabezado"/>
      <w:rPr>
        <w:lang w:val="es-EC"/>
      </w:rPr>
    </w:pPr>
  </w:p>
  <w:p w:rsidR="002E2C2B" w:rsidRDefault="002E2C2B">
    <w:pPr>
      <w:pStyle w:val="Encabezado"/>
      <w:rPr>
        <w:lang w:val="es-EC"/>
      </w:rPr>
    </w:pPr>
  </w:p>
  <w:p w:rsidR="002E2C2B" w:rsidRDefault="002E2C2B">
    <w:pPr>
      <w:pStyle w:val="Encabezado"/>
      <w:rPr>
        <w:lang w:val="es-EC"/>
      </w:rPr>
    </w:pPr>
  </w:p>
  <w:p w:rsidR="002E2C2B" w:rsidRDefault="002E2C2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150606">
    <w:pPr>
      <w:pStyle w:val="Ttulo"/>
      <w:rPr>
        <w:rFonts w:ascii="Palatino Linotype" w:hAnsi="Palatino Linotype" w:cs="Arial"/>
        <w:sz w:val="22"/>
        <w:szCs w:val="22"/>
      </w:rPr>
    </w:pPr>
  </w:p>
  <w:p w:rsidR="002E2C2B" w:rsidRPr="00476B21" w:rsidRDefault="002E2C2B" w:rsidP="00150606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2E2C2B" w:rsidRPr="00150606" w:rsidRDefault="002E2C2B">
    <w:pPr>
      <w:pStyle w:val="Encabezado"/>
      <w:rPr>
        <w:lang w:val="es-EC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B" w:rsidRDefault="002E2C2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B" w:rsidRDefault="002E2C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2E2C2B" w:rsidRDefault="002E2C2B" w:rsidP="002D3569">
    <w:pPr>
      <w:pStyle w:val="Ttulo"/>
      <w:rPr>
        <w:rFonts w:ascii="Palatino Linotype" w:hAnsi="Palatino Linotype" w:cs="Arial"/>
        <w:sz w:val="22"/>
        <w:szCs w:val="22"/>
      </w:rPr>
    </w:pPr>
  </w:p>
  <w:p w:rsidR="002E2C2B" w:rsidRPr="00476B21" w:rsidRDefault="002E2C2B" w:rsidP="002D3569">
    <w:pPr>
      <w:pStyle w:val="Ttulo"/>
      <w:rPr>
        <w:rFonts w:ascii="Palatino Linotype" w:hAnsi="Palatino Linotype" w:cs="Arial"/>
        <w:sz w:val="22"/>
        <w:szCs w:val="22"/>
      </w:rPr>
    </w:pPr>
    <w:r w:rsidRPr="00716956">
      <w:rPr>
        <w:rFonts w:ascii="Palatino Linotype" w:hAnsi="Palatino Linotype" w:cs="Arial"/>
        <w:sz w:val="22"/>
        <w:szCs w:val="22"/>
      </w:rPr>
      <w:t>ORDENANZA No.</w:t>
    </w:r>
  </w:p>
  <w:p w:rsidR="002E2C2B" w:rsidRDefault="002E2C2B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2B" w:rsidRDefault="002E2C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DF"/>
    <w:multiLevelType w:val="hybridMultilevel"/>
    <w:tmpl w:val="4252D592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6C4F80"/>
    <w:multiLevelType w:val="hybridMultilevel"/>
    <w:tmpl w:val="5D8C1806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6C1"/>
    <w:multiLevelType w:val="hybridMultilevel"/>
    <w:tmpl w:val="298A1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90EA4"/>
    <w:multiLevelType w:val="hybridMultilevel"/>
    <w:tmpl w:val="3E6AEF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06498"/>
    <w:multiLevelType w:val="hybridMultilevel"/>
    <w:tmpl w:val="DF6A7A38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D873472"/>
    <w:multiLevelType w:val="hybridMultilevel"/>
    <w:tmpl w:val="7A663E1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5FFF"/>
    <w:multiLevelType w:val="hybridMultilevel"/>
    <w:tmpl w:val="B7908B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38A3ACC"/>
    <w:multiLevelType w:val="hybridMultilevel"/>
    <w:tmpl w:val="4A005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77720"/>
    <w:multiLevelType w:val="hybridMultilevel"/>
    <w:tmpl w:val="CB82D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545A55"/>
    <w:multiLevelType w:val="hybridMultilevel"/>
    <w:tmpl w:val="5D166C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4A0972"/>
    <w:multiLevelType w:val="hybridMultilevel"/>
    <w:tmpl w:val="01162A3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4D2CBA"/>
    <w:multiLevelType w:val="hybridMultilevel"/>
    <w:tmpl w:val="1BB8B20A"/>
    <w:lvl w:ilvl="0" w:tplc="300A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A2A90"/>
    <w:multiLevelType w:val="hybridMultilevel"/>
    <w:tmpl w:val="085AC3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83C2C"/>
    <w:multiLevelType w:val="hybridMultilevel"/>
    <w:tmpl w:val="44B087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560"/>
    <w:multiLevelType w:val="hybridMultilevel"/>
    <w:tmpl w:val="8A2A05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97857"/>
    <w:multiLevelType w:val="hybridMultilevel"/>
    <w:tmpl w:val="DA209C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821FD"/>
    <w:multiLevelType w:val="hybridMultilevel"/>
    <w:tmpl w:val="5FD86A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11278"/>
    <w:multiLevelType w:val="hybridMultilevel"/>
    <w:tmpl w:val="24E835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30F63"/>
    <w:multiLevelType w:val="hybridMultilevel"/>
    <w:tmpl w:val="FDDA3240"/>
    <w:lvl w:ilvl="0" w:tplc="B39600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F4F4F"/>
    <w:multiLevelType w:val="hybridMultilevel"/>
    <w:tmpl w:val="3572E02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617476"/>
    <w:multiLevelType w:val="hybridMultilevel"/>
    <w:tmpl w:val="263E8FEC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F7292F"/>
    <w:multiLevelType w:val="hybridMultilevel"/>
    <w:tmpl w:val="36CA46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63526B"/>
    <w:multiLevelType w:val="hybridMultilevel"/>
    <w:tmpl w:val="300E0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41488"/>
    <w:multiLevelType w:val="hybridMultilevel"/>
    <w:tmpl w:val="90AEF9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72A54"/>
    <w:multiLevelType w:val="hybridMultilevel"/>
    <w:tmpl w:val="A162D0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5081224"/>
    <w:multiLevelType w:val="hybridMultilevel"/>
    <w:tmpl w:val="600C4A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F2A2B"/>
    <w:multiLevelType w:val="hybridMultilevel"/>
    <w:tmpl w:val="E480A170"/>
    <w:lvl w:ilvl="0" w:tplc="04125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F38E7"/>
    <w:multiLevelType w:val="hybridMultilevel"/>
    <w:tmpl w:val="8984F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2"/>
  </w:num>
  <w:num w:numId="11">
    <w:abstractNumId w:val="24"/>
  </w:num>
  <w:num w:numId="12">
    <w:abstractNumId w:val="1"/>
  </w:num>
  <w:num w:numId="13">
    <w:abstractNumId w:val="25"/>
  </w:num>
  <w:num w:numId="14">
    <w:abstractNumId w:val="19"/>
  </w:num>
  <w:num w:numId="15">
    <w:abstractNumId w:val="9"/>
  </w:num>
  <w:num w:numId="16">
    <w:abstractNumId w:val="12"/>
  </w:num>
  <w:num w:numId="17">
    <w:abstractNumId w:val="8"/>
  </w:num>
  <w:num w:numId="18">
    <w:abstractNumId w:val="20"/>
  </w:num>
  <w:num w:numId="19">
    <w:abstractNumId w:val="6"/>
  </w:num>
  <w:num w:numId="20">
    <w:abstractNumId w:val="17"/>
  </w:num>
  <w:num w:numId="21">
    <w:abstractNumId w:val="23"/>
  </w:num>
  <w:num w:numId="22">
    <w:abstractNumId w:val="16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</w:num>
  <w:num w:numId="27">
    <w:abstractNumId w:val="13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CE618E"/>
    <w:rsid w:val="0001073E"/>
    <w:rsid w:val="00012F1B"/>
    <w:rsid w:val="000136D6"/>
    <w:rsid w:val="00013A2A"/>
    <w:rsid w:val="0001402B"/>
    <w:rsid w:val="00017279"/>
    <w:rsid w:val="00021C1B"/>
    <w:rsid w:val="000268A4"/>
    <w:rsid w:val="00027CF0"/>
    <w:rsid w:val="00031646"/>
    <w:rsid w:val="00035326"/>
    <w:rsid w:val="00035CA2"/>
    <w:rsid w:val="000401C2"/>
    <w:rsid w:val="000401D6"/>
    <w:rsid w:val="0004594B"/>
    <w:rsid w:val="000526F7"/>
    <w:rsid w:val="00052BA7"/>
    <w:rsid w:val="000535A7"/>
    <w:rsid w:val="00061AF6"/>
    <w:rsid w:val="00064C9D"/>
    <w:rsid w:val="00070E32"/>
    <w:rsid w:val="00074B5F"/>
    <w:rsid w:val="0008239D"/>
    <w:rsid w:val="00084A62"/>
    <w:rsid w:val="00090566"/>
    <w:rsid w:val="00090C24"/>
    <w:rsid w:val="000926DD"/>
    <w:rsid w:val="000950B5"/>
    <w:rsid w:val="0009638B"/>
    <w:rsid w:val="00097181"/>
    <w:rsid w:val="000A3329"/>
    <w:rsid w:val="000B40F4"/>
    <w:rsid w:val="000B4F6E"/>
    <w:rsid w:val="000B666A"/>
    <w:rsid w:val="000B6870"/>
    <w:rsid w:val="000B72A1"/>
    <w:rsid w:val="000B7427"/>
    <w:rsid w:val="000C098E"/>
    <w:rsid w:val="000C2709"/>
    <w:rsid w:val="000C4F9D"/>
    <w:rsid w:val="000C5C84"/>
    <w:rsid w:val="000C70D0"/>
    <w:rsid w:val="000C7E13"/>
    <w:rsid w:val="000D151E"/>
    <w:rsid w:val="000D164A"/>
    <w:rsid w:val="000D1E40"/>
    <w:rsid w:val="000D2B87"/>
    <w:rsid w:val="000D496E"/>
    <w:rsid w:val="000D7DC1"/>
    <w:rsid w:val="000E004E"/>
    <w:rsid w:val="000E0679"/>
    <w:rsid w:val="000E2281"/>
    <w:rsid w:val="000E2E99"/>
    <w:rsid w:val="000E49CE"/>
    <w:rsid w:val="000E54E1"/>
    <w:rsid w:val="000E7241"/>
    <w:rsid w:val="000E7480"/>
    <w:rsid w:val="000F35C3"/>
    <w:rsid w:val="000F4323"/>
    <w:rsid w:val="000F577D"/>
    <w:rsid w:val="00102DA6"/>
    <w:rsid w:val="001039D9"/>
    <w:rsid w:val="001077B2"/>
    <w:rsid w:val="00111E73"/>
    <w:rsid w:val="0011233B"/>
    <w:rsid w:val="001123C1"/>
    <w:rsid w:val="00113693"/>
    <w:rsid w:val="00114402"/>
    <w:rsid w:val="00115232"/>
    <w:rsid w:val="00115375"/>
    <w:rsid w:val="00115715"/>
    <w:rsid w:val="00115C2A"/>
    <w:rsid w:val="001169DD"/>
    <w:rsid w:val="001207F6"/>
    <w:rsid w:val="001210C3"/>
    <w:rsid w:val="00122030"/>
    <w:rsid w:val="00126483"/>
    <w:rsid w:val="00126E69"/>
    <w:rsid w:val="00134032"/>
    <w:rsid w:val="0014048D"/>
    <w:rsid w:val="00140520"/>
    <w:rsid w:val="00142B47"/>
    <w:rsid w:val="001439B8"/>
    <w:rsid w:val="00145416"/>
    <w:rsid w:val="00150606"/>
    <w:rsid w:val="00151EA5"/>
    <w:rsid w:val="001532F0"/>
    <w:rsid w:val="00153F7D"/>
    <w:rsid w:val="00156D5D"/>
    <w:rsid w:val="00164973"/>
    <w:rsid w:val="001673CA"/>
    <w:rsid w:val="001708B8"/>
    <w:rsid w:val="00175CD2"/>
    <w:rsid w:val="00175DFA"/>
    <w:rsid w:val="00185FA7"/>
    <w:rsid w:val="00187214"/>
    <w:rsid w:val="0018731A"/>
    <w:rsid w:val="00190B61"/>
    <w:rsid w:val="0019102C"/>
    <w:rsid w:val="00194EFD"/>
    <w:rsid w:val="001961DC"/>
    <w:rsid w:val="001969C7"/>
    <w:rsid w:val="001974CE"/>
    <w:rsid w:val="001A05AB"/>
    <w:rsid w:val="001A1E74"/>
    <w:rsid w:val="001A2A2E"/>
    <w:rsid w:val="001A37BD"/>
    <w:rsid w:val="001A5B94"/>
    <w:rsid w:val="001A725D"/>
    <w:rsid w:val="001B14D2"/>
    <w:rsid w:val="001B26BE"/>
    <w:rsid w:val="001B3133"/>
    <w:rsid w:val="001B69C8"/>
    <w:rsid w:val="001B6BF2"/>
    <w:rsid w:val="001C370A"/>
    <w:rsid w:val="001C4043"/>
    <w:rsid w:val="001C5676"/>
    <w:rsid w:val="001C5B7C"/>
    <w:rsid w:val="001C788E"/>
    <w:rsid w:val="001D2138"/>
    <w:rsid w:val="001D2853"/>
    <w:rsid w:val="001D2DBF"/>
    <w:rsid w:val="001D42BA"/>
    <w:rsid w:val="001D44CB"/>
    <w:rsid w:val="001D55AF"/>
    <w:rsid w:val="001D7E64"/>
    <w:rsid w:val="001E0584"/>
    <w:rsid w:val="001E1441"/>
    <w:rsid w:val="001E156B"/>
    <w:rsid w:val="001E2419"/>
    <w:rsid w:val="001E3A15"/>
    <w:rsid w:val="001E74C4"/>
    <w:rsid w:val="001F49BC"/>
    <w:rsid w:val="00200A5C"/>
    <w:rsid w:val="00201A13"/>
    <w:rsid w:val="0020264C"/>
    <w:rsid w:val="002035E9"/>
    <w:rsid w:val="00203A7C"/>
    <w:rsid w:val="00203D43"/>
    <w:rsid w:val="002076F1"/>
    <w:rsid w:val="00210EC5"/>
    <w:rsid w:val="002149A1"/>
    <w:rsid w:val="002151EE"/>
    <w:rsid w:val="00220E90"/>
    <w:rsid w:val="002216D7"/>
    <w:rsid w:val="00221CC1"/>
    <w:rsid w:val="002224A1"/>
    <w:rsid w:val="0022742E"/>
    <w:rsid w:val="00230B0D"/>
    <w:rsid w:val="0023157E"/>
    <w:rsid w:val="00231E7F"/>
    <w:rsid w:val="002342B1"/>
    <w:rsid w:val="00235290"/>
    <w:rsid w:val="00235A34"/>
    <w:rsid w:val="00235D33"/>
    <w:rsid w:val="002400BF"/>
    <w:rsid w:val="00241BC9"/>
    <w:rsid w:val="00250682"/>
    <w:rsid w:val="002507D3"/>
    <w:rsid w:val="0025315F"/>
    <w:rsid w:val="00254C55"/>
    <w:rsid w:val="002554A1"/>
    <w:rsid w:val="00256CC0"/>
    <w:rsid w:val="00260246"/>
    <w:rsid w:val="002603C6"/>
    <w:rsid w:val="0026615B"/>
    <w:rsid w:val="0027616E"/>
    <w:rsid w:val="00280339"/>
    <w:rsid w:val="00280717"/>
    <w:rsid w:val="00285D7F"/>
    <w:rsid w:val="00287155"/>
    <w:rsid w:val="00291C0F"/>
    <w:rsid w:val="00292811"/>
    <w:rsid w:val="00292FD6"/>
    <w:rsid w:val="002938EA"/>
    <w:rsid w:val="002939C3"/>
    <w:rsid w:val="00293F7D"/>
    <w:rsid w:val="002953DF"/>
    <w:rsid w:val="00295609"/>
    <w:rsid w:val="002A0FD3"/>
    <w:rsid w:val="002A300E"/>
    <w:rsid w:val="002A4305"/>
    <w:rsid w:val="002A4C01"/>
    <w:rsid w:val="002A766D"/>
    <w:rsid w:val="002B00D4"/>
    <w:rsid w:val="002B103B"/>
    <w:rsid w:val="002B5335"/>
    <w:rsid w:val="002B73F5"/>
    <w:rsid w:val="002C2187"/>
    <w:rsid w:val="002C2A63"/>
    <w:rsid w:val="002C3D9C"/>
    <w:rsid w:val="002C4C42"/>
    <w:rsid w:val="002D143B"/>
    <w:rsid w:val="002D165C"/>
    <w:rsid w:val="002D3569"/>
    <w:rsid w:val="002D3C51"/>
    <w:rsid w:val="002D4476"/>
    <w:rsid w:val="002D4869"/>
    <w:rsid w:val="002D6035"/>
    <w:rsid w:val="002D742D"/>
    <w:rsid w:val="002E27D9"/>
    <w:rsid w:val="002E2C2B"/>
    <w:rsid w:val="002E3DDA"/>
    <w:rsid w:val="002E50E0"/>
    <w:rsid w:val="002E6990"/>
    <w:rsid w:val="002E6E48"/>
    <w:rsid w:val="002F2233"/>
    <w:rsid w:val="002F3331"/>
    <w:rsid w:val="002F575A"/>
    <w:rsid w:val="00301F0B"/>
    <w:rsid w:val="003027F9"/>
    <w:rsid w:val="00302F52"/>
    <w:rsid w:val="003078EC"/>
    <w:rsid w:val="00307FF2"/>
    <w:rsid w:val="00310945"/>
    <w:rsid w:val="0031234E"/>
    <w:rsid w:val="00313986"/>
    <w:rsid w:val="003153D2"/>
    <w:rsid w:val="003176EC"/>
    <w:rsid w:val="00324764"/>
    <w:rsid w:val="00325E9B"/>
    <w:rsid w:val="003261DA"/>
    <w:rsid w:val="003336D9"/>
    <w:rsid w:val="00336F6D"/>
    <w:rsid w:val="00341621"/>
    <w:rsid w:val="0034212F"/>
    <w:rsid w:val="00344324"/>
    <w:rsid w:val="00345E3C"/>
    <w:rsid w:val="00354992"/>
    <w:rsid w:val="003562D9"/>
    <w:rsid w:val="00356889"/>
    <w:rsid w:val="00363CAD"/>
    <w:rsid w:val="003654EA"/>
    <w:rsid w:val="003664D5"/>
    <w:rsid w:val="003667C0"/>
    <w:rsid w:val="00372E2D"/>
    <w:rsid w:val="003759CD"/>
    <w:rsid w:val="003834FF"/>
    <w:rsid w:val="00383E00"/>
    <w:rsid w:val="003843CA"/>
    <w:rsid w:val="003843DB"/>
    <w:rsid w:val="003870B9"/>
    <w:rsid w:val="003946FB"/>
    <w:rsid w:val="0039693E"/>
    <w:rsid w:val="003A0D5E"/>
    <w:rsid w:val="003A129C"/>
    <w:rsid w:val="003A4365"/>
    <w:rsid w:val="003A54E4"/>
    <w:rsid w:val="003A569E"/>
    <w:rsid w:val="003A616B"/>
    <w:rsid w:val="003B1021"/>
    <w:rsid w:val="003B2299"/>
    <w:rsid w:val="003B2354"/>
    <w:rsid w:val="003B2C55"/>
    <w:rsid w:val="003B7293"/>
    <w:rsid w:val="003B75C9"/>
    <w:rsid w:val="003C43F4"/>
    <w:rsid w:val="003C77BE"/>
    <w:rsid w:val="003C7B78"/>
    <w:rsid w:val="003D3737"/>
    <w:rsid w:val="003D3E2C"/>
    <w:rsid w:val="003D5BEF"/>
    <w:rsid w:val="003D6DAD"/>
    <w:rsid w:val="003D73D9"/>
    <w:rsid w:val="003E6DFE"/>
    <w:rsid w:val="003F0E2B"/>
    <w:rsid w:val="003F177C"/>
    <w:rsid w:val="003F2208"/>
    <w:rsid w:val="003F6342"/>
    <w:rsid w:val="003F6C73"/>
    <w:rsid w:val="003F74D6"/>
    <w:rsid w:val="004024F7"/>
    <w:rsid w:val="00403CA1"/>
    <w:rsid w:val="004047DA"/>
    <w:rsid w:val="00410359"/>
    <w:rsid w:val="004108C2"/>
    <w:rsid w:val="0041311B"/>
    <w:rsid w:val="00415843"/>
    <w:rsid w:val="00417DFE"/>
    <w:rsid w:val="0042289A"/>
    <w:rsid w:val="0042664C"/>
    <w:rsid w:val="00426E5A"/>
    <w:rsid w:val="004334C1"/>
    <w:rsid w:val="00453A3B"/>
    <w:rsid w:val="00453BC2"/>
    <w:rsid w:val="00455361"/>
    <w:rsid w:val="00460147"/>
    <w:rsid w:val="00461AE0"/>
    <w:rsid w:val="00462E51"/>
    <w:rsid w:val="00466235"/>
    <w:rsid w:val="004678BC"/>
    <w:rsid w:val="0046790E"/>
    <w:rsid w:val="004750CA"/>
    <w:rsid w:val="00476B21"/>
    <w:rsid w:val="004809D5"/>
    <w:rsid w:val="004824E7"/>
    <w:rsid w:val="0048545E"/>
    <w:rsid w:val="004868B3"/>
    <w:rsid w:val="00487ABE"/>
    <w:rsid w:val="00492BEE"/>
    <w:rsid w:val="0049576F"/>
    <w:rsid w:val="004A00A6"/>
    <w:rsid w:val="004A4C76"/>
    <w:rsid w:val="004B052C"/>
    <w:rsid w:val="004C15AD"/>
    <w:rsid w:val="004C24A3"/>
    <w:rsid w:val="004C2E58"/>
    <w:rsid w:val="004C3380"/>
    <w:rsid w:val="004C418B"/>
    <w:rsid w:val="004C5073"/>
    <w:rsid w:val="004C58C7"/>
    <w:rsid w:val="004C6E38"/>
    <w:rsid w:val="004D3164"/>
    <w:rsid w:val="004E12F6"/>
    <w:rsid w:val="004E413D"/>
    <w:rsid w:val="004E5EE5"/>
    <w:rsid w:val="004F0A6D"/>
    <w:rsid w:val="004F2312"/>
    <w:rsid w:val="004F2EE4"/>
    <w:rsid w:val="004F40E5"/>
    <w:rsid w:val="004F6AB2"/>
    <w:rsid w:val="004F727F"/>
    <w:rsid w:val="00500590"/>
    <w:rsid w:val="00510372"/>
    <w:rsid w:val="00511176"/>
    <w:rsid w:val="00516E13"/>
    <w:rsid w:val="00516FFD"/>
    <w:rsid w:val="00523121"/>
    <w:rsid w:val="005231E7"/>
    <w:rsid w:val="005256AA"/>
    <w:rsid w:val="00527301"/>
    <w:rsid w:val="0053123C"/>
    <w:rsid w:val="00532FDF"/>
    <w:rsid w:val="005332FB"/>
    <w:rsid w:val="00533481"/>
    <w:rsid w:val="00535B31"/>
    <w:rsid w:val="0053751B"/>
    <w:rsid w:val="005402D2"/>
    <w:rsid w:val="0054036D"/>
    <w:rsid w:val="005408BE"/>
    <w:rsid w:val="0054440D"/>
    <w:rsid w:val="00544EEB"/>
    <w:rsid w:val="00545995"/>
    <w:rsid w:val="005473C3"/>
    <w:rsid w:val="00550DC7"/>
    <w:rsid w:val="00554B2F"/>
    <w:rsid w:val="0055533F"/>
    <w:rsid w:val="00556CE1"/>
    <w:rsid w:val="00561414"/>
    <w:rsid w:val="00562440"/>
    <w:rsid w:val="00562572"/>
    <w:rsid w:val="00563A05"/>
    <w:rsid w:val="0056510A"/>
    <w:rsid w:val="00567405"/>
    <w:rsid w:val="005709A8"/>
    <w:rsid w:val="00573F9B"/>
    <w:rsid w:val="0057409F"/>
    <w:rsid w:val="00574311"/>
    <w:rsid w:val="00580137"/>
    <w:rsid w:val="00581B8B"/>
    <w:rsid w:val="005831C5"/>
    <w:rsid w:val="00584B04"/>
    <w:rsid w:val="00587621"/>
    <w:rsid w:val="005878A2"/>
    <w:rsid w:val="00590CEC"/>
    <w:rsid w:val="005925D4"/>
    <w:rsid w:val="005A556F"/>
    <w:rsid w:val="005A5EB9"/>
    <w:rsid w:val="005B126F"/>
    <w:rsid w:val="005B2C64"/>
    <w:rsid w:val="005B34EF"/>
    <w:rsid w:val="005B40BD"/>
    <w:rsid w:val="005B5A38"/>
    <w:rsid w:val="005B78FD"/>
    <w:rsid w:val="005C01D0"/>
    <w:rsid w:val="005C0836"/>
    <w:rsid w:val="005C15D2"/>
    <w:rsid w:val="005C68FC"/>
    <w:rsid w:val="005D2616"/>
    <w:rsid w:val="005D43CA"/>
    <w:rsid w:val="005E0184"/>
    <w:rsid w:val="005E4085"/>
    <w:rsid w:val="005E7CBA"/>
    <w:rsid w:val="005F1A76"/>
    <w:rsid w:val="005F2841"/>
    <w:rsid w:val="005F5F81"/>
    <w:rsid w:val="00602EA3"/>
    <w:rsid w:val="006043DB"/>
    <w:rsid w:val="00611984"/>
    <w:rsid w:val="00611CE1"/>
    <w:rsid w:val="0061591D"/>
    <w:rsid w:val="0061664E"/>
    <w:rsid w:val="0061728D"/>
    <w:rsid w:val="00620946"/>
    <w:rsid w:val="00620C70"/>
    <w:rsid w:val="00621472"/>
    <w:rsid w:val="006216BB"/>
    <w:rsid w:val="00622107"/>
    <w:rsid w:val="00625C0D"/>
    <w:rsid w:val="00632D9A"/>
    <w:rsid w:val="00635AC1"/>
    <w:rsid w:val="00640A15"/>
    <w:rsid w:val="00641D37"/>
    <w:rsid w:val="006432E2"/>
    <w:rsid w:val="00644F06"/>
    <w:rsid w:val="00645AC6"/>
    <w:rsid w:val="00654F80"/>
    <w:rsid w:val="00661700"/>
    <w:rsid w:val="00664DB0"/>
    <w:rsid w:val="0066756C"/>
    <w:rsid w:val="00670BD6"/>
    <w:rsid w:val="006736CC"/>
    <w:rsid w:val="00673884"/>
    <w:rsid w:val="00674DBD"/>
    <w:rsid w:val="00680EAC"/>
    <w:rsid w:val="00681045"/>
    <w:rsid w:val="00681246"/>
    <w:rsid w:val="00681922"/>
    <w:rsid w:val="00682A51"/>
    <w:rsid w:val="00683788"/>
    <w:rsid w:val="006845B4"/>
    <w:rsid w:val="00684B3B"/>
    <w:rsid w:val="00690D3E"/>
    <w:rsid w:val="0069147B"/>
    <w:rsid w:val="006926BA"/>
    <w:rsid w:val="00694D23"/>
    <w:rsid w:val="006974FF"/>
    <w:rsid w:val="006A186D"/>
    <w:rsid w:val="006A2248"/>
    <w:rsid w:val="006A2572"/>
    <w:rsid w:val="006A596D"/>
    <w:rsid w:val="006B357E"/>
    <w:rsid w:val="006D3DD7"/>
    <w:rsid w:val="006D6757"/>
    <w:rsid w:val="006D7BAE"/>
    <w:rsid w:val="006E111C"/>
    <w:rsid w:val="006E2129"/>
    <w:rsid w:val="006E2294"/>
    <w:rsid w:val="006E24E6"/>
    <w:rsid w:val="006E472C"/>
    <w:rsid w:val="006E56AD"/>
    <w:rsid w:val="006F435D"/>
    <w:rsid w:val="006F4DF0"/>
    <w:rsid w:val="006F5682"/>
    <w:rsid w:val="006F5A11"/>
    <w:rsid w:val="006F77BC"/>
    <w:rsid w:val="00701131"/>
    <w:rsid w:val="00703563"/>
    <w:rsid w:val="00703851"/>
    <w:rsid w:val="00705B99"/>
    <w:rsid w:val="00714C8B"/>
    <w:rsid w:val="007165BB"/>
    <w:rsid w:val="00717A14"/>
    <w:rsid w:val="00723B61"/>
    <w:rsid w:val="00724088"/>
    <w:rsid w:val="007259B0"/>
    <w:rsid w:val="00725EF6"/>
    <w:rsid w:val="00726EC8"/>
    <w:rsid w:val="00731C13"/>
    <w:rsid w:val="007322CD"/>
    <w:rsid w:val="007330BB"/>
    <w:rsid w:val="007364EF"/>
    <w:rsid w:val="007366FB"/>
    <w:rsid w:val="007413A1"/>
    <w:rsid w:val="00741C69"/>
    <w:rsid w:val="007459D5"/>
    <w:rsid w:val="00747C7E"/>
    <w:rsid w:val="007513B7"/>
    <w:rsid w:val="0075242D"/>
    <w:rsid w:val="00753307"/>
    <w:rsid w:val="00755D54"/>
    <w:rsid w:val="00757823"/>
    <w:rsid w:val="007603D3"/>
    <w:rsid w:val="00773042"/>
    <w:rsid w:val="0077379E"/>
    <w:rsid w:val="00773E17"/>
    <w:rsid w:val="00781256"/>
    <w:rsid w:val="00785173"/>
    <w:rsid w:val="007863C1"/>
    <w:rsid w:val="00786458"/>
    <w:rsid w:val="00796803"/>
    <w:rsid w:val="0079736E"/>
    <w:rsid w:val="007A0447"/>
    <w:rsid w:val="007A0765"/>
    <w:rsid w:val="007B196C"/>
    <w:rsid w:val="007B2D3B"/>
    <w:rsid w:val="007B58EA"/>
    <w:rsid w:val="007B7A1B"/>
    <w:rsid w:val="007B7DB2"/>
    <w:rsid w:val="007C0681"/>
    <w:rsid w:val="007C1D08"/>
    <w:rsid w:val="007C54B6"/>
    <w:rsid w:val="007C7FCF"/>
    <w:rsid w:val="007D4E08"/>
    <w:rsid w:val="007D62F0"/>
    <w:rsid w:val="007E2C33"/>
    <w:rsid w:val="007F1F08"/>
    <w:rsid w:val="007F44D9"/>
    <w:rsid w:val="007F69CD"/>
    <w:rsid w:val="007F7470"/>
    <w:rsid w:val="00800224"/>
    <w:rsid w:val="00801DD7"/>
    <w:rsid w:val="008053AC"/>
    <w:rsid w:val="0081056B"/>
    <w:rsid w:val="00813CBA"/>
    <w:rsid w:val="0081441B"/>
    <w:rsid w:val="00815428"/>
    <w:rsid w:val="00816E9E"/>
    <w:rsid w:val="00817FE4"/>
    <w:rsid w:val="00822A59"/>
    <w:rsid w:val="00833268"/>
    <w:rsid w:val="0083612B"/>
    <w:rsid w:val="00840609"/>
    <w:rsid w:val="00841633"/>
    <w:rsid w:val="0084430E"/>
    <w:rsid w:val="00844B9B"/>
    <w:rsid w:val="0084725F"/>
    <w:rsid w:val="0084773C"/>
    <w:rsid w:val="008507F5"/>
    <w:rsid w:val="00852F0D"/>
    <w:rsid w:val="00861871"/>
    <w:rsid w:val="0086470F"/>
    <w:rsid w:val="0086515C"/>
    <w:rsid w:val="00870361"/>
    <w:rsid w:val="00870A07"/>
    <w:rsid w:val="008738A7"/>
    <w:rsid w:val="00873FEF"/>
    <w:rsid w:val="0087454E"/>
    <w:rsid w:val="0087490B"/>
    <w:rsid w:val="008764DE"/>
    <w:rsid w:val="0087723A"/>
    <w:rsid w:val="00877520"/>
    <w:rsid w:val="00880553"/>
    <w:rsid w:val="008805E9"/>
    <w:rsid w:val="00880C43"/>
    <w:rsid w:val="00882035"/>
    <w:rsid w:val="008859D2"/>
    <w:rsid w:val="0088712B"/>
    <w:rsid w:val="00890B09"/>
    <w:rsid w:val="00890FE6"/>
    <w:rsid w:val="008923F5"/>
    <w:rsid w:val="008937FE"/>
    <w:rsid w:val="00893F6A"/>
    <w:rsid w:val="008A2C4E"/>
    <w:rsid w:val="008A54E0"/>
    <w:rsid w:val="008A621A"/>
    <w:rsid w:val="008A625B"/>
    <w:rsid w:val="008B0FD4"/>
    <w:rsid w:val="008B13A5"/>
    <w:rsid w:val="008B5E5A"/>
    <w:rsid w:val="008C0056"/>
    <w:rsid w:val="008C3C5A"/>
    <w:rsid w:val="008C4129"/>
    <w:rsid w:val="008C5A77"/>
    <w:rsid w:val="008D173A"/>
    <w:rsid w:val="008D5B15"/>
    <w:rsid w:val="008D6E3B"/>
    <w:rsid w:val="008D7529"/>
    <w:rsid w:val="008E0885"/>
    <w:rsid w:val="008E3010"/>
    <w:rsid w:val="008E4C5D"/>
    <w:rsid w:val="008E4FDC"/>
    <w:rsid w:val="008E6C7E"/>
    <w:rsid w:val="008F0BD5"/>
    <w:rsid w:val="008F1777"/>
    <w:rsid w:val="008F1FFF"/>
    <w:rsid w:val="008F27D0"/>
    <w:rsid w:val="008F56D5"/>
    <w:rsid w:val="008F6E18"/>
    <w:rsid w:val="00900480"/>
    <w:rsid w:val="00902CD9"/>
    <w:rsid w:val="00902D76"/>
    <w:rsid w:val="00903379"/>
    <w:rsid w:val="00905E7E"/>
    <w:rsid w:val="00907FE8"/>
    <w:rsid w:val="00910052"/>
    <w:rsid w:val="0091455D"/>
    <w:rsid w:val="00922D45"/>
    <w:rsid w:val="00923B99"/>
    <w:rsid w:val="00923EC9"/>
    <w:rsid w:val="00924A8D"/>
    <w:rsid w:val="00926E41"/>
    <w:rsid w:val="009362AB"/>
    <w:rsid w:val="00937655"/>
    <w:rsid w:val="0094579B"/>
    <w:rsid w:val="00946E1D"/>
    <w:rsid w:val="00947C79"/>
    <w:rsid w:val="00950E93"/>
    <w:rsid w:val="00952740"/>
    <w:rsid w:val="00953461"/>
    <w:rsid w:val="009561C5"/>
    <w:rsid w:val="00956A82"/>
    <w:rsid w:val="0095730A"/>
    <w:rsid w:val="0096281D"/>
    <w:rsid w:val="00966F7B"/>
    <w:rsid w:val="00967720"/>
    <w:rsid w:val="00970B1F"/>
    <w:rsid w:val="009733D3"/>
    <w:rsid w:val="00974161"/>
    <w:rsid w:val="00974163"/>
    <w:rsid w:val="00980DCE"/>
    <w:rsid w:val="00981FAF"/>
    <w:rsid w:val="009908B4"/>
    <w:rsid w:val="00993328"/>
    <w:rsid w:val="009A54E0"/>
    <w:rsid w:val="009A5C59"/>
    <w:rsid w:val="009A6895"/>
    <w:rsid w:val="009A7C1B"/>
    <w:rsid w:val="009B0837"/>
    <w:rsid w:val="009B4666"/>
    <w:rsid w:val="009C0D72"/>
    <w:rsid w:val="009C2D28"/>
    <w:rsid w:val="009C3ECA"/>
    <w:rsid w:val="009C416E"/>
    <w:rsid w:val="009C43D6"/>
    <w:rsid w:val="009C59DF"/>
    <w:rsid w:val="009C6B20"/>
    <w:rsid w:val="009D0B94"/>
    <w:rsid w:val="009D1285"/>
    <w:rsid w:val="009D1ED8"/>
    <w:rsid w:val="009D6D62"/>
    <w:rsid w:val="009D6F28"/>
    <w:rsid w:val="009E0A7B"/>
    <w:rsid w:val="009E451D"/>
    <w:rsid w:val="009E6DC7"/>
    <w:rsid w:val="009F0091"/>
    <w:rsid w:val="009F1B3D"/>
    <w:rsid w:val="009F315F"/>
    <w:rsid w:val="009F3E71"/>
    <w:rsid w:val="009F504C"/>
    <w:rsid w:val="009F711A"/>
    <w:rsid w:val="00A017C1"/>
    <w:rsid w:val="00A03B98"/>
    <w:rsid w:val="00A04AA2"/>
    <w:rsid w:val="00A10BF3"/>
    <w:rsid w:val="00A12C10"/>
    <w:rsid w:val="00A16612"/>
    <w:rsid w:val="00A2158A"/>
    <w:rsid w:val="00A23680"/>
    <w:rsid w:val="00A340DC"/>
    <w:rsid w:val="00A34BFD"/>
    <w:rsid w:val="00A35F48"/>
    <w:rsid w:val="00A36C02"/>
    <w:rsid w:val="00A37DF6"/>
    <w:rsid w:val="00A40092"/>
    <w:rsid w:val="00A4043C"/>
    <w:rsid w:val="00A4271A"/>
    <w:rsid w:val="00A452E0"/>
    <w:rsid w:val="00A453EC"/>
    <w:rsid w:val="00A462FC"/>
    <w:rsid w:val="00A4759B"/>
    <w:rsid w:val="00A51540"/>
    <w:rsid w:val="00A51A1E"/>
    <w:rsid w:val="00A5219A"/>
    <w:rsid w:val="00A52DF1"/>
    <w:rsid w:val="00A5608D"/>
    <w:rsid w:val="00A571E2"/>
    <w:rsid w:val="00A63552"/>
    <w:rsid w:val="00A64003"/>
    <w:rsid w:val="00A70ABB"/>
    <w:rsid w:val="00A71C61"/>
    <w:rsid w:val="00A731E8"/>
    <w:rsid w:val="00A73E4F"/>
    <w:rsid w:val="00A80160"/>
    <w:rsid w:val="00A83FE7"/>
    <w:rsid w:val="00A8453F"/>
    <w:rsid w:val="00A8723B"/>
    <w:rsid w:val="00A87EBB"/>
    <w:rsid w:val="00A93802"/>
    <w:rsid w:val="00A96341"/>
    <w:rsid w:val="00A97988"/>
    <w:rsid w:val="00AA17E5"/>
    <w:rsid w:val="00AA343C"/>
    <w:rsid w:val="00AA4753"/>
    <w:rsid w:val="00AA4CE6"/>
    <w:rsid w:val="00AA6D98"/>
    <w:rsid w:val="00AA727C"/>
    <w:rsid w:val="00AB2B89"/>
    <w:rsid w:val="00AB2C61"/>
    <w:rsid w:val="00AB4A45"/>
    <w:rsid w:val="00AB52A1"/>
    <w:rsid w:val="00AB5D0C"/>
    <w:rsid w:val="00AC041C"/>
    <w:rsid w:val="00AC18D2"/>
    <w:rsid w:val="00AC643B"/>
    <w:rsid w:val="00AC7244"/>
    <w:rsid w:val="00AD6C36"/>
    <w:rsid w:val="00AD7E9B"/>
    <w:rsid w:val="00AE401C"/>
    <w:rsid w:val="00AE6513"/>
    <w:rsid w:val="00AF1475"/>
    <w:rsid w:val="00AF3FA6"/>
    <w:rsid w:val="00AF57EC"/>
    <w:rsid w:val="00AF7530"/>
    <w:rsid w:val="00B00707"/>
    <w:rsid w:val="00B030DB"/>
    <w:rsid w:val="00B03F29"/>
    <w:rsid w:val="00B064EA"/>
    <w:rsid w:val="00B1006D"/>
    <w:rsid w:val="00B12228"/>
    <w:rsid w:val="00B125FD"/>
    <w:rsid w:val="00B12E92"/>
    <w:rsid w:val="00B13ABD"/>
    <w:rsid w:val="00B14643"/>
    <w:rsid w:val="00B20086"/>
    <w:rsid w:val="00B207A5"/>
    <w:rsid w:val="00B21789"/>
    <w:rsid w:val="00B2220D"/>
    <w:rsid w:val="00B23502"/>
    <w:rsid w:val="00B26E55"/>
    <w:rsid w:val="00B317F8"/>
    <w:rsid w:val="00B322AC"/>
    <w:rsid w:val="00B35D54"/>
    <w:rsid w:val="00B42B46"/>
    <w:rsid w:val="00B43CA6"/>
    <w:rsid w:val="00B4440F"/>
    <w:rsid w:val="00B45D5B"/>
    <w:rsid w:val="00B45D88"/>
    <w:rsid w:val="00B474A0"/>
    <w:rsid w:val="00B50DFB"/>
    <w:rsid w:val="00B50EEB"/>
    <w:rsid w:val="00B5212F"/>
    <w:rsid w:val="00B575DB"/>
    <w:rsid w:val="00B60FAC"/>
    <w:rsid w:val="00B65443"/>
    <w:rsid w:val="00B65EBD"/>
    <w:rsid w:val="00B6630F"/>
    <w:rsid w:val="00B742EF"/>
    <w:rsid w:val="00B74318"/>
    <w:rsid w:val="00B7468B"/>
    <w:rsid w:val="00B747F5"/>
    <w:rsid w:val="00B81472"/>
    <w:rsid w:val="00B81BAF"/>
    <w:rsid w:val="00B84D5C"/>
    <w:rsid w:val="00B875BC"/>
    <w:rsid w:val="00B9169E"/>
    <w:rsid w:val="00B92361"/>
    <w:rsid w:val="00B96145"/>
    <w:rsid w:val="00B96341"/>
    <w:rsid w:val="00BA0C00"/>
    <w:rsid w:val="00BA196D"/>
    <w:rsid w:val="00BA1C4F"/>
    <w:rsid w:val="00BA4D42"/>
    <w:rsid w:val="00BA74F6"/>
    <w:rsid w:val="00BA7F93"/>
    <w:rsid w:val="00BB0974"/>
    <w:rsid w:val="00BB0DB6"/>
    <w:rsid w:val="00BB1211"/>
    <w:rsid w:val="00BB16E7"/>
    <w:rsid w:val="00BB3C81"/>
    <w:rsid w:val="00BB482B"/>
    <w:rsid w:val="00BB695A"/>
    <w:rsid w:val="00BB7F91"/>
    <w:rsid w:val="00BC5C84"/>
    <w:rsid w:val="00BC6487"/>
    <w:rsid w:val="00BC6EE5"/>
    <w:rsid w:val="00BD5A41"/>
    <w:rsid w:val="00BD5A99"/>
    <w:rsid w:val="00BD617B"/>
    <w:rsid w:val="00BE06BA"/>
    <w:rsid w:val="00BE28DF"/>
    <w:rsid w:val="00BE6BAC"/>
    <w:rsid w:val="00BF5971"/>
    <w:rsid w:val="00C05343"/>
    <w:rsid w:val="00C05754"/>
    <w:rsid w:val="00C05911"/>
    <w:rsid w:val="00C06591"/>
    <w:rsid w:val="00C1176C"/>
    <w:rsid w:val="00C16B2C"/>
    <w:rsid w:val="00C173C6"/>
    <w:rsid w:val="00C17CCD"/>
    <w:rsid w:val="00C2221B"/>
    <w:rsid w:val="00C222AD"/>
    <w:rsid w:val="00C236F8"/>
    <w:rsid w:val="00C242AD"/>
    <w:rsid w:val="00C251A6"/>
    <w:rsid w:val="00C269A3"/>
    <w:rsid w:val="00C27958"/>
    <w:rsid w:val="00C44B10"/>
    <w:rsid w:val="00C4528C"/>
    <w:rsid w:val="00C45694"/>
    <w:rsid w:val="00C46842"/>
    <w:rsid w:val="00C46E63"/>
    <w:rsid w:val="00C479A2"/>
    <w:rsid w:val="00C52450"/>
    <w:rsid w:val="00C5522E"/>
    <w:rsid w:val="00C57275"/>
    <w:rsid w:val="00C60CEF"/>
    <w:rsid w:val="00C60F4B"/>
    <w:rsid w:val="00C63342"/>
    <w:rsid w:val="00C66F0D"/>
    <w:rsid w:val="00C7033E"/>
    <w:rsid w:val="00C760E1"/>
    <w:rsid w:val="00C8321D"/>
    <w:rsid w:val="00C83D49"/>
    <w:rsid w:val="00C85FED"/>
    <w:rsid w:val="00C87902"/>
    <w:rsid w:val="00C87916"/>
    <w:rsid w:val="00C90BFA"/>
    <w:rsid w:val="00C92FF4"/>
    <w:rsid w:val="00C9504D"/>
    <w:rsid w:val="00CA4237"/>
    <w:rsid w:val="00CA554A"/>
    <w:rsid w:val="00CA6DDF"/>
    <w:rsid w:val="00CA731F"/>
    <w:rsid w:val="00CB5645"/>
    <w:rsid w:val="00CB5B78"/>
    <w:rsid w:val="00CB5F45"/>
    <w:rsid w:val="00CC205C"/>
    <w:rsid w:val="00CC3BFE"/>
    <w:rsid w:val="00CC4F72"/>
    <w:rsid w:val="00CC5027"/>
    <w:rsid w:val="00CC6DEB"/>
    <w:rsid w:val="00CC73F9"/>
    <w:rsid w:val="00CC785E"/>
    <w:rsid w:val="00CD150D"/>
    <w:rsid w:val="00CD71D8"/>
    <w:rsid w:val="00CE039A"/>
    <w:rsid w:val="00CE0629"/>
    <w:rsid w:val="00CE3E08"/>
    <w:rsid w:val="00CE3FA8"/>
    <w:rsid w:val="00CE618E"/>
    <w:rsid w:val="00CE661B"/>
    <w:rsid w:val="00CE6A80"/>
    <w:rsid w:val="00CF350D"/>
    <w:rsid w:val="00CF3C94"/>
    <w:rsid w:val="00D0271B"/>
    <w:rsid w:val="00D04849"/>
    <w:rsid w:val="00D057C6"/>
    <w:rsid w:val="00D071B4"/>
    <w:rsid w:val="00D123D9"/>
    <w:rsid w:val="00D20544"/>
    <w:rsid w:val="00D21B39"/>
    <w:rsid w:val="00D23621"/>
    <w:rsid w:val="00D238EF"/>
    <w:rsid w:val="00D25592"/>
    <w:rsid w:val="00D3024F"/>
    <w:rsid w:val="00D30AB5"/>
    <w:rsid w:val="00D32C34"/>
    <w:rsid w:val="00D3549F"/>
    <w:rsid w:val="00D3616C"/>
    <w:rsid w:val="00D407F2"/>
    <w:rsid w:val="00D40B49"/>
    <w:rsid w:val="00D40E2B"/>
    <w:rsid w:val="00D40F76"/>
    <w:rsid w:val="00D44738"/>
    <w:rsid w:val="00D458F1"/>
    <w:rsid w:val="00D503B8"/>
    <w:rsid w:val="00D50C10"/>
    <w:rsid w:val="00D50EE9"/>
    <w:rsid w:val="00D6298B"/>
    <w:rsid w:val="00D65291"/>
    <w:rsid w:val="00D7039D"/>
    <w:rsid w:val="00D73F39"/>
    <w:rsid w:val="00D76A72"/>
    <w:rsid w:val="00D8101D"/>
    <w:rsid w:val="00D82CFE"/>
    <w:rsid w:val="00D82D01"/>
    <w:rsid w:val="00D90E6D"/>
    <w:rsid w:val="00D91B5E"/>
    <w:rsid w:val="00D92288"/>
    <w:rsid w:val="00D94DEC"/>
    <w:rsid w:val="00D95385"/>
    <w:rsid w:val="00DA3162"/>
    <w:rsid w:val="00DA329B"/>
    <w:rsid w:val="00DA3641"/>
    <w:rsid w:val="00DB1AD0"/>
    <w:rsid w:val="00DC10E8"/>
    <w:rsid w:val="00DC21E8"/>
    <w:rsid w:val="00DC2B03"/>
    <w:rsid w:val="00DD0375"/>
    <w:rsid w:val="00DD0EB3"/>
    <w:rsid w:val="00DD3BB6"/>
    <w:rsid w:val="00DD74FA"/>
    <w:rsid w:val="00DE1786"/>
    <w:rsid w:val="00DE2952"/>
    <w:rsid w:val="00DE2E81"/>
    <w:rsid w:val="00DE35B0"/>
    <w:rsid w:val="00DF0B3D"/>
    <w:rsid w:val="00DF1C55"/>
    <w:rsid w:val="00DF696C"/>
    <w:rsid w:val="00E00CAC"/>
    <w:rsid w:val="00E02445"/>
    <w:rsid w:val="00E025D5"/>
    <w:rsid w:val="00E02B5F"/>
    <w:rsid w:val="00E06ACC"/>
    <w:rsid w:val="00E07811"/>
    <w:rsid w:val="00E123FB"/>
    <w:rsid w:val="00E130CF"/>
    <w:rsid w:val="00E1530D"/>
    <w:rsid w:val="00E15E2D"/>
    <w:rsid w:val="00E16E4D"/>
    <w:rsid w:val="00E23B34"/>
    <w:rsid w:val="00E2474D"/>
    <w:rsid w:val="00E3168E"/>
    <w:rsid w:val="00E3169E"/>
    <w:rsid w:val="00E32D82"/>
    <w:rsid w:val="00E35FC9"/>
    <w:rsid w:val="00E3662B"/>
    <w:rsid w:val="00E40127"/>
    <w:rsid w:val="00E42468"/>
    <w:rsid w:val="00E43914"/>
    <w:rsid w:val="00E46257"/>
    <w:rsid w:val="00E50930"/>
    <w:rsid w:val="00E515DC"/>
    <w:rsid w:val="00E51A77"/>
    <w:rsid w:val="00E552C1"/>
    <w:rsid w:val="00E60674"/>
    <w:rsid w:val="00E6439B"/>
    <w:rsid w:val="00E64F9D"/>
    <w:rsid w:val="00E73CAC"/>
    <w:rsid w:val="00E7413C"/>
    <w:rsid w:val="00E774B8"/>
    <w:rsid w:val="00E80965"/>
    <w:rsid w:val="00E82399"/>
    <w:rsid w:val="00E83519"/>
    <w:rsid w:val="00E83CAF"/>
    <w:rsid w:val="00E909C1"/>
    <w:rsid w:val="00E918F7"/>
    <w:rsid w:val="00E93F84"/>
    <w:rsid w:val="00E93FB3"/>
    <w:rsid w:val="00E942FB"/>
    <w:rsid w:val="00EA2521"/>
    <w:rsid w:val="00EA4A93"/>
    <w:rsid w:val="00EA5D11"/>
    <w:rsid w:val="00EA682F"/>
    <w:rsid w:val="00EA7DD9"/>
    <w:rsid w:val="00EB2F5E"/>
    <w:rsid w:val="00EB32DC"/>
    <w:rsid w:val="00EC03E6"/>
    <w:rsid w:val="00EC0C55"/>
    <w:rsid w:val="00EC2102"/>
    <w:rsid w:val="00EC46FB"/>
    <w:rsid w:val="00EC5763"/>
    <w:rsid w:val="00EC5CE4"/>
    <w:rsid w:val="00EC6EC9"/>
    <w:rsid w:val="00ED0C3A"/>
    <w:rsid w:val="00ED189D"/>
    <w:rsid w:val="00ED5073"/>
    <w:rsid w:val="00ED7449"/>
    <w:rsid w:val="00ED77A6"/>
    <w:rsid w:val="00EE0199"/>
    <w:rsid w:val="00EE7381"/>
    <w:rsid w:val="00EF6824"/>
    <w:rsid w:val="00EF7C1D"/>
    <w:rsid w:val="00F0318F"/>
    <w:rsid w:val="00F109BB"/>
    <w:rsid w:val="00F11B08"/>
    <w:rsid w:val="00F13F38"/>
    <w:rsid w:val="00F16741"/>
    <w:rsid w:val="00F20B50"/>
    <w:rsid w:val="00F21931"/>
    <w:rsid w:val="00F23026"/>
    <w:rsid w:val="00F24D4E"/>
    <w:rsid w:val="00F26E8C"/>
    <w:rsid w:val="00F37FDA"/>
    <w:rsid w:val="00F44356"/>
    <w:rsid w:val="00F45B48"/>
    <w:rsid w:val="00F45FD4"/>
    <w:rsid w:val="00F46B94"/>
    <w:rsid w:val="00F50459"/>
    <w:rsid w:val="00F50635"/>
    <w:rsid w:val="00F50E37"/>
    <w:rsid w:val="00F51D69"/>
    <w:rsid w:val="00F523C8"/>
    <w:rsid w:val="00F52861"/>
    <w:rsid w:val="00F52FD7"/>
    <w:rsid w:val="00F545BD"/>
    <w:rsid w:val="00F54A34"/>
    <w:rsid w:val="00F561CD"/>
    <w:rsid w:val="00F579E0"/>
    <w:rsid w:val="00F57EAE"/>
    <w:rsid w:val="00F6130B"/>
    <w:rsid w:val="00F63DBE"/>
    <w:rsid w:val="00F652B8"/>
    <w:rsid w:val="00F66595"/>
    <w:rsid w:val="00F66E58"/>
    <w:rsid w:val="00F71F55"/>
    <w:rsid w:val="00F7338E"/>
    <w:rsid w:val="00F761CF"/>
    <w:rsid w:val="00F82258"/>
    <w:rsid w:val="00F82FA9"/>
    <w:rsid w:val="00F87577"/>
    <w:rsid w:val="00F93948"/>
    <w:rsid w:val="00F93F5B"/>
    <w:rsid w:val="00F965A2"/>
    <w:rsid w:val="00FA47C5"/>
    <w:rsid w:val="00FA5013"/>
    <w:rsid w:val="00FA63B3"/>
    <w:rsid w:val="00FA67AE"/>
    <w:rsid w:val="00FA69E4"/>
    <w:rsid w:val="00FB06E8"/>
    <w:rsid w:val="00FB1976"/>
    <w:rsid w:val="00FB3159"/>
    <w:rsid w:val="00FB4475"/>
    <w:rsid w:val="00FB4E3B"/>
    <w:rsid w:val="00FB588A"/>
    <w:rsid w:val="00FB6BF3"/>
    <w:rsid w:val="00FC0B57"/>
    <w:rsid w:val="00FC113F"/>
    <w:rsid w:val="00FC60D5"/>
    <w:rsid w:val="00FD3D61"/>
    <w:rsid w:val="00FD472B"/>
    <w:rsid w:val="00FD4C73"/>
    <w:rsid w:val="00FD4FD7"/>
    <w:rsid w:val="00FD6040"/>
    <w:rsid w:val="00FE057C"/>
    <w:rsid w:val="00FE501C"/>
    <w:rsid w:val="00FF1F5D"/>
    <w:rsid w:val="00FF2426"/>
    <w:rsid w:val="00FF2912"/>
    <w:rsid w:val="00FF3BD9"/>
    <w:rsid w:val="00FF4DE1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618E"/>
    <w:rPr>
      <w:lang w:val="es-ES" w:eastAsia="es-ES"/>
    </w:rPr>
  </w:style>
  <w:style w:type="paragraph" w:styleId="Ttulo2">
    <w:name w:val="heading 2"/>
    <w:basedOn w:val="Normal"/>
    <w:next w:val="Normal"/>
    <w:qFormat/>
    <w:rsid w:val="00C524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F50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E6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88712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AC041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52450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C52450"/>
    <w:pPr>
      <w:jc w:val="center"/>
    </w:pPr>
    <w:rPr>
      <w:b/>
      <w:bCs/>
      <w:sz w:val="24"/>
      <w:szCs w:val="24"/>
    </w:rPr>
  </w:style>
  <w:style w:type="paragraph" w:styleId="Textoindependiente">
    <w:name w:val="Body Text"/>
    <w:basedOn w:val="Normal"/>
    <w:rsid w:val="00C52450"/>
    <w:pPr>
      <w:spacing w:after="120"/>
    </w:pPr>
  </w:style>
  <w:style w:type="paragraph" w:styleId="Textoindependiente2">
    <w:name w:val="Body Text 2"/>
    <w:basedOn w:val="Normal"/>
    <w:link w:val="Textoindependiente2Car"/>
    <w:rsid w:val="00C52450"/>
    <w:pPr>
      <w:spacing w:after="120" w:line="480" w:lineRule="auto"/>
    </w:pPr>
  </w:style>
  <w:style w:type="paragraph" w:styleId="Textoindependiente3">
    <w:name w:val="Body Text 3"/>
    <w:basedOn w:val="Normal"/>
    <w:rsid w:val="00C52450"/>
    <w:pPr>
      <w:spacing w:after="120"/>
    </w:pPr>
    <w:rPr>
      <w:sz w:val="16"/>
      <w:szCs w:val="16"/>
    </w:rPr>
  </w:style>
  <w:style w:type="paragraph" w:styleId="Textosinformato">
    <w:name w:val="Plain Text"/>
    <w:basedOn w:val="Normal"/>
    <w:link w:val="TextosinformatoCar"/>
    <w:rsid w:val="00C52450"/>
    <w:rPr>
      <w:rFonts w:ascii="Courier New" w:hAnsi="Courier New"/>
    </w:rPr>
  </w:style>
  <w:style w:type="paragraph" w:customStyle="1" w:styleId="Textopredeterminado">
    <w:name w:val="Texto predeterminado"/>
    <w:basedOn w:val="Normal"/>
    <w:rsid w:val="00C52450"/>
    <w:rPr>
      <w:sz w:val="24"/>
      <w:lang w:val="es-ES_tradnl"/>
    </w:rPr>
  </w:style>
  <w:style w:type="paragraph" w:styleId="Listaconvietas">
    <w:name w:val="List Bullet"/>
    <w:basedOn w:val="Normal"/>
    <w:autoRedefine/>
    <w:rsid w:val="00E60674"/>
    <w:pPr>
      <w:jc w:val="both"/>
    </w:pPr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B146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14643"/>
    <w:rPr>
      <w:lang w:val="es-ES" w:eastAsia="es-ES"/>
    </w:rPr>
  </w:style>
  <w:style w:type="paragraph" w:styleId="Sinespaciado">
    <w:name w:val="No Spacing"/>
    <w:link w:val="SinespaciadoCar"/>
    <w:uiPriority w:val="1"/>
    <w:qFormat/>
    <w:rsid w:val="00064C9D"/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rsid w:val="00FE057C"/>
    <w:rPr>
      <w:lang w:val="es-ES" w:eastAsia="es-ES"/>
    </w:rPr>
  </w:style>
  <w:style w:type="character" w:styleId="Refdecomentario">
    <w:name w:val="annotation reference"/>
    <w:rsid w:val="00622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2107"/>
  </w:style>
  <w:style w:type="character" w:customStyle="1" w:styleId="TextocomentarioCar">
    <w:name w:val="Texto comentario Car"/>
    <w:link w:val="Textocomentario"/>
    <w:rsid w:val="0062210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2107"/>
    <w:rPr>
      <w:b/>
      <w:bCs/>
    </w:rPr>
  </w:style>
  <w:style w:type="character" w:customStyle="1" w:styleId="AsuntodelcomentarioCar">
    <w:name w:val="Asunto del comentario Car"/>
    <w:link w:val="Asuntodelcomentario"/>
    <w:rsid w:val="00622107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62210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22107"/>
    <w:rPr>
      <w:rFonts w:ascii="Tahoma" w:hAnsi="Tahoma" w:cs="Tahoma"/>
      <w:sz w:val="16"/>
      <w:szCs w:val="16"/>
      <w:lang w:val="es-ES" w:eastAsia="es-ES"/>
    </w:rPr>
  </w:style>
  <w:style w:type="character" w:customStyle="1" w:styleId="TtuloCar">
    <w:name w:val="Título Car"/>
    <w:link w:val="Ttulo"/>
    <w:rsid w:val="00476B21"/>
    <w:rPr>
      <w:b/>
      <w:bCs/>
      <w:sz w:val="24"/>
      <w:szCs w:val="24"/>
      <w:lang w:val="es-ES" w:eastAsia="es-ES"/>
    </w:rPr>
  </w:style>
  <w:style w:type="character" w:styleId="nfasis">
    <w:name w:val="Emphasis"/>
    <w:uiPriority w:val="20"/>
    <w:qFormat/>
    <w:rsid w:val="00C1176C"/>
    <w:rPr>
      <w:i/>
      <w:iCs/>
    </w:rPr>
  </w:style>
  <w:style w:type="paragraph" w:styleId="Prrafodelista">
    <w:name w:val="List Paragraph"/>
    <w:basedOn w:val="Normal"/>
    <w:uiPriority w:val="34"/>
    <w:qFormat/>
    <w:rsid w:val="00E32D82"/>
    <w:pPr>
      <w:ind w:left="708"/>
    </w:pPr>
  </w:style>
  <w:style w:type="character" w:customStyle="1" w:styleId="TextosinformatoCar">
    <w:name w:val="Texto sin formato Car"/>
    <w:link w:val="Textosinformato"/>
    <w:rsid w:val="002C3D9C"/>
    <w:rPr>
      <w:rFonts w:ascii="Courier New" w:hAnsi="Courier New"/>
      <w:lang w:val="es-ES" w:eastAsia="es-ES"/>
    </w:rPr>
  </w:style>
  <w:style w:type="character" w:customStyle="1" w:styleId="Ttulo7Car">
    <w:name w:val="Título 7 Car"/>
    <w:link w:val="Ttulo7"/>
    <w:rsid w:val="00AC041C"/>
    <w:rPr>
      <w:rFonts w:ascii="Calibri" w:eastAsia="Times New Roman" w:hAnsi="Calibri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C0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1B69C8"/>
    <w:rPr>
      <w:rFonts w:ascii="Calibri" w:eastAsia="Calibri" w:hAnsi="Calibri"/>
      <w:sz w:val="22"/>
      <w:szCs w:val="22"/>
      <w:lang w:val="es-EC" w:eastAsia="en-US" w:bidi="ar-SA"/>
    </w:rPr>
  </w:style>
  <w:style w:type="paragraph" w:styleId="NormalWeb">
    <w:name w:val="Normal (Web)"/>
    <w:basedOn w:val="Normal"/>
    <w:uiPriority w:val="99"/>
    <w:unhideWhenUsed/>
    <w:rsid w:val="008E3010"/>
    <w:pPr>
      <w:spacing w:before="100" w:beforeAutospacing="1" w:after="100" w:afterAutospacing="1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09638B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92BB-7A0B-4DD4-84EC-27895449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2170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CONCEJO METROPOLITANO DE QUITO</vt:lpstr>
    </vt:vector>
  </TitlesOfParts>
  <Company>DMPT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CONCEJO METROPOLITANO DE QUITO</dc:title>
  <dc:creator>sescudero</dc:creator>
  <cp:lastModifiedBy>dcevallos</cp:lastModifiedBy>
  <cp:revision>10</cp:revision>
  <cp:lastPrinted>2015-08-27T20:04:00Z</cp:lastPrinted>
  <dcterms:created xsi:type="dcterms:W3CDTF">2015-07-27T19:59:00Z</dcterms:created>
  <dcterms:modified xsi:type="dcterms:W3CDTF">2015-08-27T20:05:00Z</dcterms:modified>
</cp:coreProperties>
</file>