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C" w:rsidRDefault="003078EC" w:rsidP="00077615">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3078EC" w:rsidRDefault="003078EC" w:rsidP="00077615">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 en su artículo 30, garantiza a las personas el “</w:t>
      </w:r>
      <w:r>
        <w:rPr>
          <w:rFonts w:ascii="Palatino Linotype" w:hAnsi="Palatino Linotype" w:cs="Arial"/>
          <w:b w:val="0"/>
          <w:i/>
          <w:sz w:val="22"/>
          <w:szCs w:val="22"/>
        </w:rPr>
        <w:t>derecho a un hábitat seguro y saludable, y a una vivienda adecuada y digna, con independencia de su situación social y económica</w:t>
      </w:r>
      <w:r>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E9318F" w:rsidRDefault="003078EC" w:rsidP="00077615">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078EC" w:rsidRDefault="003078EC" w:rsidP="00077615">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El </w:t>
      </w:r>
      <w:r w:rsidR="00BE4F22" w:rsidRPr="00BE4F22">
        <w:rPr>
          <w:rFonts w:ascii="Palatino Linotype" w:hAnsi="Palatino Linotype" w:cs="Arial"/>
          <w:b w:val="0"/>
          <w:sz w:val="22"/>
          <w:szCs w:val="22"/>
        </w:rPr>
        <w:t xml:space="preserve">Asentamiento Humano de Hecho y Consolidado denominado </w:t>
      </w:r>
      <w:r w:rsidR="00A86186" w:rsidRPr="00A86186">
        <w:rPr>
          <w:rFonts w:ascii="Palatino Linotype" w:hAnsi="Palatino Linotype" w:cs="Arial"/>
          <w:b w:val="0"/>
          <w:sz w:val="22"/>
          <w:szCs w:val="22"/>
        </w:rPr>
        <w:t>Comité Pro</w:t>
      </w:r>
      <w:r w:rsidR="004D7B61">
        <w:rPr>
          <w:rFonts w:ascii="Palatino Linotype" w:hAnsi="Palatino Linotype" w:cs="Arial"/>
          <w:b w:val="0"/>
          <w:sz w:val="22"/>
          <w:szCs w:val="22"/>
        </w:rPr>
        <w:t>-M</w:t>
      </w:r>
      <w:r w:rsidR="00A86186" w:rsidRPr="00A86186">
        <w:rPr>
          <w:rFonts w:ascii="Palatino Linotype" w:hAnsi="Palatino Linotype" w:cs="Arial"/>
          <w:b w:val="0"/>
          <w:sz w:val="22"/>
          <w:szCs w:val="22"/>
        </w:rPr>
        <w:t>ejoras “</w:t>
      </w:r>
      <w:r w:rsidR="004D7B61">
        <w:rPr>
          <w:rFonts w:ascii="Palatino Linotype" w:hAnsi="Palatino Linotype" w:cs="Arial"/>
          <w:b w:val="0"/>
          <w:sz w:val="22"/>
          <w:szCs w:val="22"/>
        </w:rPr>
        <w:t>La Dolorosa Alta</w:t>
      </w:r>
      <w:r w:rsidR="006D3AAD">
        <w:rPr>
          <w:rFonts w:ascii="Palatino Linotype" w:hAnsi="Palatino Linotype" w:cs="Arial"/>
          <w:b w:val="0"/>
          <w:sz w:val="22"/>
          <w:szCs w:val="22"/>
        </w:rPr>
        <w:t>”</w:t>
      </w:r>
      <w:r w:rsidR="004D7B61">
        <w:rPr>
          <w:rFonts w:ascii="Palatino Linotype" w:hAnsi="Palatino Linotype" w:cs="Arial"/>
          <w:b w:val="0"/>
          <w:sz w:val="22"/>
          <w:szCs w:val="22"/>
        </w:rPr>
        <w:t>, de la parroquia Chillogallo,</w:t>
      </w:r>
      <w:r w:rsidR="00A86186" w:rsidRPr="00A86186">
        <w:rPr>
          <w:rFonts w:ascii="Palatino Linotype" w:hAnsi="Palatino Linotype" w:cs="Arial"/>
          <w:b w:val="0"/>
          <w:sz w:val="22"/>
          <w:szCs w:val="22"/>
        </w:rPr>
        <w:t xml:space="preserve"> </w:t>
      </w:r>
      <w:r>
        <w:rPr>
          <w:rFonts w:ascii="Palatino Linotype" w:hAnsi="Palatino Linotype" w:cs="Arial"/>
          <w:b w:val="0"/>
          <w:sz w:val="22"/>
          <w:szCs w:val="22"/>
        </w:rPr>
        <w:t xml:space="preserve">cuenta con </w:t>
      </w:r>
      <w:r w:rsidR="004D7B61">
        <w:rPr>
          <w:rFonts w:ascii="Palatino Linotype" w:hAnsi="Palatino Linotype" w:cs="Arial"/>
          <w:b w:val="0"/>
          <w:sz w:val="22"/>
          <w:szCs w:val="22"/>
        </w:rPr>
        <w:t>19</w:t>
      </w:r>
      <w:r>
        <w:rPr>
          <w:rFonts w:ascii="Palatino Linotype" w:hAnsi="Palatino Linotype" w:cs="Arial"/>
          <w:b w:val="0"/>
          <w:sz w:val="22"/>
          <w:szCs w:val="22"/>
        </w:rPr>
        <w:t xml:space="preserve"> años de asentamiento, </w:t>
      </w:r>
      <w:r w:rsidR="004D7B61">
        <w:rPr>
          <w:rFonts w:ascii="Palatino Linotype" w:hAnsi="Palatino Linotype" w:cs="Arial"/>
          <w:b w:val="0"/>
          <w:sz w:val="22"/>
          <w:szCs w:val="22"/>
        </w:rPr>
        <w:t>19</w:t>
      </w:r>
      <w:r w:rsidR="00BE4F22">
        <w:rPr>
          <w:rFonts w:ascii="Palatino Linotype" w:hAnsi="Palatino Linotype" w:cs="Arial"/>
          <w:b w:val="0"/>
          <w:sz w:val="22"/>
          <w:szCs w:val="22"/>
        </w:rPr>
        <w:t xml:space="preserve"> </w:t>
      </w:r>
      <w:r w:rsidR="006D3AAD">
        <w:rPr>
          <w:rFonts w:ascii="Palatino Linotype" w:hAnsi="Palatino Linotype" w:cs="Arial"/>
          <w:b w:val="0"/>
          <w:sz w:val="22"/>
          <w:szCs w:val="22"/>
        </w:rPr>
        <w:t xml:space="preserve">lotes </w:t>
      </w:r>
      <w:r>
        <w:rPr>
          <w:rFonts w:ascii="Palatino Linotype" w:hAnsi="Palatino Linotype" w:cs="Arial"/>
          <w:b w:val="0"/>
          <w:sz w:val="22"/>
          <w:szCs w:val="22"/>
        </w:rPr>
        <w:t xml:space="preserve">y </w:t>
      </w:r>
      <w:r w:rsidR="004D7B61">
        <w:rPr>
          <w:rFonts w:ascii="Palatino Linotype" w:hAnsi="Palatino Linotype" w:cs="Arial"/>
          <w:b w:val="0"/>
          <w:sz w:val="22"/>
          <w:szCs w:val="22"/>
        </w:rPr>
        <w:t>19</w:t>
      </w:r>
      <w:r>
        <w:rPr>
          <w:rFonts w:ascii="Palatino Linotype" w:hAnsi="Palatino Linotype" w:cs="Arial"/>
          <w:b w:val="0"/>
          <w:sz w:val="22"/>
          <w:szCs w:val="22"/>
        </w:rPr>
        <w:t xml:space="preserve"> </w:t>
      </w:r>
      <w:r w:rsidR="004D7B61">
        <w:rPr>
          <w:rFonts w:ascii="Palatino Linotype" w:hAnsi="Palatino Linotype" w:cs="Arial"/>
          <w:b w:val="0"/>
          <w:sz w:val="22"/>
          <w:szCs w:val="22"/>
        </w:rPr>
        <w:t>socios</w:t>
      </w:r>
      <w:r>
        <w:rPr>
          <w:rFonts w:ascii="Palatino Linotype" w:hAnsi="Palatino Linotype" w:cs="Arial"/>
          <w:b w:val="0"/>
          <w:sz w:val="22"/>
          <w:szCs w:val="22"/>
        </w:rPr>
        <w:t>. 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Default="003078EC" w:rsidP="00077615">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contiene la normativa tendiente a la regularización del </w:t>
      </w:r>
      <w:r w:rsidR="004D7B61" w:rsidRPr="00BE4F22">
        <w:rPr>
          <w:rFonts w:ascii="Palatino Linotype" w:hAnsi="Palatino Linotype" w:cs="Arial"/>
          <w:b w:val="0"/>
          <w:sz w:val="22"/>
          <w:szCs w:val="22"/>
        </w:rPr>
        <w:t xml:space="preserve">Asentamiento Humano de Hecho y Consolidado denominado </w:t>
      </w:r>
      <w:r w:rsidR="004D7B61" w:rsidRPr="00A86186">
        <w:rPr>
          <w:rFonts w:ascii="Palatino Linotype" w:hAnsi="Palatino Linotype" w:cs="Arial"/>
          <w:b w:val="0"/>
          <w:sz w:val="22"/>
          <w:szCs w:val="22"/>
        </w:rPr>
        <w:t>Comité Pro</w:t>
      </w:r>
      <w:r w:rsidR="004D7B61">
        <w:rPr>
          <w:rFonts w:ascii="Palatino Linotype" w:hAnsi="Palatino Linotype" w:cs="Arial"/>
          <w:b w:val="0"/>
          <w:sz w:val="22"/>
          <w:szCs w:val="22"/>
        </w:rPr>
        <w:t>-M</w:t>
      </w:r>
      <w:r w:rsidR="004D7B61" w:rsidRPr="00A86186">
        <w:rPr>
          <w:rFonts w:ascii="Palatino Linotype" w:hAnsi="Palatino Linotype" w:cs="Arial"/>
          <w:b w:val="0"/>
          <w:sz w:val="22"/>
          <w:szCs w:val="22"/>
        </w:rPr>
        <w:t>ejoras “</w:t>
      </w:r>
      <w:r w:rsidR="004D7B61">
        <w:rPr>
          <w:rFonts w:ascii="Palatino Linotype" w:hAnsi="Palatino Linotype" w:cs="Arial"/>
          <w:b w:val="0"/>
          <w:sz w:val="22"/>
          <w:szCs w:val="22"/>
        </w:rPr>
        <w:t>La Dolorosa Alta”, de la parroquia Chillogallo</w:t>
      </w:r>
      <w:r>
        <w:rPr>
          <w:rFonts w:ascii="Palatino Linotype" w:hAnsi="Palatino Linotype" w:cs="Arial"/>
          <w:b w:val="0"/>
          <w:sz w:val="22"/>
          <w:szCs w:val="22"/>
        </w:rPr>
        <w:t>, a fin de garantizar a los beneficiarios el ejercicio de su derecho a la vivienda y el acceso a servicios básicos de calidad.</w:t>
      </w:r>
    </w:p>
    <w:p w:rsidR="003078EC" w:rsidRDefault="003078EC" w:rsidP="00077615">
      <w:pPr>
        <w:pStyle w:val="Ttulo"/>
        <w:spacing w:after="240" w:line="276" w:lineRule="auto"/>
        <w:rPr>
          <w:rFonts w:ascii="Palatino Linotype" w:hAnsi="Palatino Linotype" w:cs="Arial"/>
          <w:sz w:val="22"/>
          <w:szCs w:val="22"/>
        </w:rPr>
      </w:pPr>
    </w:p>
    <w:p w:rsidR="003078EC" w:rsidRDefault="003078EC" w:rsidP="00077615">
      <w:pPr>
        <w:pStyle w:val="Ttulo"/>
        <w:spacing w:after="240" w:line="276" w:lineRule="auto"/>
        <w:rPr>
          <w:rFonts w:ascii="Palatino Linotype" w:hAnsi="Palatino Linotype" w:cs="Arial"/>
          <w:sz w:val="22"/>
          <w:szCs w:val="22"/>
        </w:rPr>
      </w:pPr>
    </w:p>
    <w:p w:rsidR="003078EC" w:rsidRDefault="003078EC" w:rsidP="00077615">
      <w:pPr>
        <w:pStyle w:val="Ttulo"/>
        <w:spacing w:after="240" w:line="276" w:lineRule="auto"/>
        <w:rPr>
          <w:rFonts w:ascii="Palatino Linotype" w:hAnsi="Palatino Linotype" w:cs="Arial"/>
          <w:sz w:val="22"/>
          <w:szCs w:val="22"/>
        </w:rPr>
        <w:sectPr w:rsidR="003078EC" w:rsidSect="00D82CFE">
          <w:headerReference w:type="default" r:id="rId9"/>
          <w:footerReference w:type="default" r:id="rId10"/>
          <w:pgSz w:w="11906" w:h="16838"/>
          <w:pgMar w:top="3402" w:right="1416" w:bottom="567" w:left="1701" w:header="709" w:footer="70" w:gutter="0"/>
          <w:cols w:space="708"/>
          <w:docGrid w:linePitch="360"/>
        </w:sectPr>
      </w:pPr>
    </w:p>
    <w:p w:rsidR="00C52450" w:rsidRPr="003843CA" w:rsidRDefault="00C52450" w:rsidP="00077615">
      <w:pPr>
        <w:pStyle w:val="Ttulo"/>
        <w:spacing w:before="240" w:after="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870361" w:rsidRPr="00870361" w:rsidRDefault="00870361" w:rsidP="00077615">
      <w:pPr>
        <w:spacing w:before="240" w:after="240" w:line="276" w:lineRule="auto"/>
        <w:jc w:val="both"/>
        <w:rPr>
          <w:rFonts w:ascii="Palatino Linotype" w:hAnsi="Palatino Linotype" w:cs="Arial"/>
          <w:sz w:val="22"/>
          <w:szCs w:val="22"/>
        </w:rPr>
      </w:pPr>
      <w:r>
        <w:rPr>
          <w:rFonts w:ascii="Palatino Linotype" w:hAnsi="Palatino Linotype" w:cs="Arial"/>
          <w:sz w:val="22"/>
          <w:szCs w:val="22"/>
        </w:rPr>
        <w:t xml:space="preserve">Visto </w:t>
      </w:r>
      <w:r w:rsidR="00057D41">
        <w:rPr>
          <w:rFonts w:ascii="Palatino Linotype" w:hAnsi="Palatino Linotype" w:cs="Arial"/>
          <w:sz w:val="22"/>
          <w:szCs w:val="22"/>
        </w:rPr>
        <w:t>e</w:t>
      </w:r>
      <w:r>
        <w:rPr>
          <w:rFonts w:ascii="Palatino Linotype" w:hAnsi="Palatino Linotype" w:cs="Arial"/>
          <w:sz w:val="22"/>
          <w:szCs w:val="22"/>
        </w:rPr>
        <w:t>l Informe No. IC-O-201</w:t>
      </w:r>
      <w:r w:rsidR="00057D41">
        <w:rPr>
          <w:rFonts w:ascii="Palatino Linotype" w:hAnsi="Palatino Linotype" w:cs="Arial"/>
          <w:sz w:val="22"/>
          <w:szCs w:val="22"/>
        </w:rPr>
        <w:t>5</w:t>
      </w:r>
      <w:r>
        <w:rPr>
          <w:rFonts w:ascii="Palatino Linotype" w:hAnsi="Palatino Linotype" w:cs="Arial"/>
          <w:sz w:val="22"/>
          <w:szCs w:val="22"/>
        </w:rPr>
        <w:t>-</w:t>
      </w:r>
      <w:r w:rsidR="006D3AAD">
        <w:rPr>
          <w:rFonts w:ascii="Palatino Linotype" w:hAnsi="Palatino Linotype" w:cs="Arial"/>
          <w:sz w:val="22"/>
          <w:szCs w:val="22"/>
        </w:rPr>
        <w:t>15</w:t>
      </w:r>
      <w:r w:rsidR="004D7B61">
        <w:rPr>
          <w:rFonts w:ascii="Palatino Linotype" w:hAnsi="Palatino Linotype" w:cs="Arial"/>
          <w:sz w:val="22"/>
          <w:szCs w:val="22"/>
        </w:rPr>
        <w:t>6</w:t>
      </w:r>
      <w:r w:rsidR="007F3A59">
        <w:rPr>
          <w:rFonts w:ascii="Palatino Linotype" w:hAnsi="Palatino Linotype" w:cs="Arial"/>
          <w:sz w:val="22"/>
          <w:szCs w:val="22"/>
        </w:rPr>
        <w:t xml:space="preserve">, de </w:t>
      </w:r>
      <w:r w:rsidR="006D3AAD">
        <w:rPr>
          <w:rFonts w:ascii="Palatino Linotype" w:hAnsi="Palatino Linotype" w:cs="Arial"/>
          <w:sz w:val="22"/>
          <w:szCs w:val="22"/>
        </w:rPr>
        <w:t>20</w:t>
      </w:r>
      <w:r w:rsidR="00057D41">
        <w:rPr>
          <w:rFonts w:ascii="Palatino Linotype" w:hAnsi="Palatino Linotype" w:cs="Arial"/>
          <w:sz w:val="22"/>
          <w:szCs w:val="22"/>
        </w:rPr>
        <w:t xml:space="preserve"> </w:t>
      </w:r>
      <w:r w:rsidR="007F3A59">
        <w:rPr>
          <w:rFonts w:ascii="Palatino Linotype" w:hAnsi="Palatino Linotype" w:cs="Arial"/>
          <w:sz w:val="22"/>
          <w:szCs w:val="22"/>
        </w:rPr>
        <w:t xml:space="preserve">de </w:t>
      </w:r>
      <w:r w:rsidR="006D3AAD">
        <w:rPr>
          <w:rFonts w:ascii="Palatino Linotype" w:hAnsi="Palatino Linotype" w:cs="Arial"/>
          <w:sz w:val="22"/>
          <w:szCs w:val="22"/>
        </w:rPr>
        <w:t xml:space="preserve">julio </w:t>
      </w:r>
      <w:r w:rsidR="00057D41">
        <w:rPr>
          <w:rFonts w:ascii="Palatino Linotype" w:hAnsi="Palatino Linotype" w:cs="Arial"/>
          <w:sz w:val="22"/>
          <w:szCs w:val="22"/>
        </w:rPr>
        <w:t>de 2015</w:t>
      </w:r>
      <w:r w:rsidR="007F3A59">
        <w:rPr>
          <w:rFonts w:ascii="Palatino Linotype" w:hAnsi="Palatino Linotype" w:cs="Arial"/>
          <w:sz w:val="22"/>
          <w:szCs w:val="22"/>
        </w:rPr>
        <w:t xml:space="preserve">, expedido por la Comisión de </w:t>
      </w:r>
      <w:r>
        <w:rPr>
          <w:rFonts w:ascii="Palatino Linotype" w:hAnsi="Palatino Linotype" w:cs="Arial"/>
          <w:sz w:val="22"/>
          <w:szCs w:val="22"/>
        </w:rPr>
        <w:t>Ordenamiento Territorial.</w:t>
      </w:r>
    </w:p>
    <w:p w:rsidR="001123C1" w:rsidRPr="001123C1" w:rsidRDefault="001123C1" w:rsidP="00077615">
      <w:pPr>
        <w:spacing w:before="240" w:after="240" w:line="276" w:lineRule="auto"/>
        <w:jc w:val="center"/>
        <w:rPr>
          <w:rFonts w:ascii="Palatino Linotype" w:hAnsi="Palatino Linotype" w:cs="Arial"/>
          <w:b/>
          <w:sz w:val="22"/>
          <w:szCs w:val="22"/>
        </w:rPr>
      </w:pPr>
      <w:r>
        <w:rPr>
          <w:rFonts w:ascii="Palatino Linotype" w:hAnsi="Palatino Linotype" w:cs="Arial"/>
          <w:b/>
          <w:sz w:val="22"/>
          <w:szCs w:val="22"/>
        </w:rPr>
        <w:t>CONSIDERANDO:</w:t>
      </w:r>
    </w:p>
    <w:p w:rsidR="003843CA" w:rsidRPr="001842A8" w:rsidRDefault="003843CA" w:rsidP="00077615">
      <w:pPr>
        <w:pStyle w:val="Sinespaciado"/>
        <w:spacing w:before="240" w:after="240" w:line="276" w:lineRule="auto"/>
        <w:ind w:left="709" w:hanging="709"/>
        <w:jc w:val="both"/>
        <w:rPr>
          <w:rFonts w:ascii="Palatino Linotype" w:hAnsi="Palatino Linotype" w:cs="Arial"/>
        </w:rPr>
      </w:pPr>
      <w:r w:rsidRPr="001842A8">
        <w:rPr>
          <w:rFonts w:ascii="Palatino Linotype" w:hAnsi="Palatino Linotype" w:cs="Arial"/>
          <w:b/>
        </w:rPr>
        <w:t xml:space="preserve">Que, </w:t>
      </w:r>
      <w:r w:rsidRPr="001842A8">
        <w:rPr>
          <w:rFonts w:ascii="Palatino Linotype" w:hAnsi="Palatino Linotype" w:cs="Arial"/>
          <w:b/>
        </w:rPr>
        <w:tab/>
      </w:r>
      <w:r w:rsidRPr="001842A8">
        <w:rPr>
          <w:rFonts w:ascii="Palatino Linotype" w:hAnsi="Palatino Linotype" w:cs="Arial"/>
        </w:rPr>
        <w:t>el artículo 30 de la Constitución de la República del Ecuador (en adelante “Constitución”) establece que: “</w:t>
      </w:r>
      <w:r w:rsidRPr="001842A8">
        <w:rPr>
          <w:rFonts w:ascii="Palatino Linotype" w:hAnsi="Palatino Linotype" w:cs="Arial"/>
          <w:i/>
        </w:rPr>
        <w:t>Las personas tienen derecho a un hábitat seguro y saludable, y a una vivienda adecuada y digna, con independencia de su situación social y económica.</w:t>
      </w:r>
      <w:r w:rsidRPr="001842A8">
        <w:rPr>
          <w:rFonts w:ascii="Palatino Linotype" w:hAnsi="Palatino Linotype" w:cs="Arial"/>
        </w:rPr>
        <w:t>”;</w:t>
      </w:r>
    </w:p>
    <w:p w:rsidR="003843CA" w:rsidRPr="001842A8" w:rsidRDefault="003843CA" w:rsidP="00077615">
      <w:pPr>
        <w:pStyle w:val="Sinespaciado"/>
        <w:spacing w:before="240" w:after="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31 de la Constitución expresa que: “</w:t>
      </w:r>
      <w:r w:rsidRPr="001842A8">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842A8">
        <w:rPr>
          <w:rFonts w:ascii="Palatino Linotype" w:hAnsi="Palatino Linotype" w:cs="Arial"/>
          <w:bCs/>
        </w:rPr>
        <w:t xml:space="preserve">”; </w:t>
      </w:r>
    </w:p>
    <w:p w:rsidR="003843CA" w:rsidRPr="001842A8" w:rsidRDefault="003843CA" w:rsidP="00077615">
      <w:pPr>
        <w:pStyle w:val="Sinespaciado"/>
        <w:spacing w:before="240" w:after="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el artículo 240 de la Constitución establece que: “</w:t>
      </w:r>
      <w:r w:rsidRPr="001842A8">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1842A8">
        <w:rPr>
          <w:rFonts w:ascii="Palatino Linotype" w:hAnsi="Palatino Linotype" w:cs="Arial"/>
        </w:rPr>
        <w:t>”;</w:t>
      </w:r>
    </w:p>
    <w:p w:rsidR="003843CA" w:rsidRPr="001842A8" w:rsidRDefault="003843CA" w:rsidP="00077615">
      <w:pPr>
        <w:pStyle w:val="Sinespaciado"/>
        <w:spacing w:before="240" w:after="240" w:line="276" w:lineRule="auto"/>
        <w:ind w:left="709" w:hanging="709"/>
        <w:jc w:val="both"/>
        <w:rPr>
          <w:rFonts w:ascii="Palatino Linotype" w:hAnsi="Palatino Linotype" w:cs="Arial"/>
        </w:rPr>
      </w:pPr>
      <w:r w:rsidRPr="001842A8">
        <w:rPr>
          <w:rFonts w:ascii="Palatino Linotype" w:hAnsi="Palatino Linotype" w:cs="Arial"/>
          <w:b/>
          <w:bCs/>
        </w:rPr>
        <w:t>Que,</w:t>
      </w:r>
      <w:r w:rsidR="00077615">
        <w:rPr>
          <w:rFonts w:ascii="Palatino Linotype" w:hAnsi="Palatino Linotype" w:cs="Arial"/>
        </w:rPr>
        <w:tab/>
        <w:t>el numeral 1 del artí</w:t>
      </w:r>
      <w:r w:rsidRPr="001842A8">
        <w:rPr>
          <w:rFonts w:ascii="Palatino Linotype" w:hAnsi="Palatino Linotype" w:cs="Arial"/>
        </w:rPr>
        <w:t>culo 264 de la Constitución manifiesta que: “</w:t>
      </w:r>
      <w:r w:rsidRPr="001842A8">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1842A8">
        <w:rPr>
          <w:rFonts w:ascii="Palatino Linotype" w:hAnsi="Palatino Linotype" w:cs="Arial"/>
        </w:rPr>
        <w:t>”;</w:t>
      </w:r>
    </w:p>
    <w:p w:rsidR="003843CA" w:rsidRPr="001842A8" w:rsidRDefault="003843CA" w:rsidP="00077615">
      <w:pPr>
        <w:pStyle w:val="Sinespaciado"/>
        <w:spacing w:before="240" w:after="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1842A8">
        <w:rPr>
          <w:rFonts w:ascii="Palatino Linotype" w:hAnsi="Palatino Linotype" w:cs="Arial"/>
          <w:b/>
          <w:bCs/>
        </w:rPr>
        <w:t xml:space="preserve"> </w:t>
      </w:r>
      <w:r w:rsidRPr="001842A8">
        <w:rPr>
          <w:rFonts w:ascii="Palatino Linotype" w:hAnsi="Palatino Linotype" w:cs="Arial"/>
          <w:bCs/>
        </w:rPr>
        <w:t>señala</w:t>
      </w:r>
      <w:r w:rsidRPr="001842A8">
        <w:rPr>
          <w:rFonts w:ascii="Palatino Linotype" w:hAnsi="Palatino Linotype" w:cs="Arial"/>
          <w:b/>
          <w:bCs/>
        </w:rPr>
        <w:t xml:space="preserve"> </w:t>
      </w:r>
      <w:r w:rsidRPr="001842A8">
        <w:rPr>
          <w:rFonts w:ascii="Palatino Linotype" w:hAnsi="Palatino Linotype" w:cs="Arial"/>
          <w:bCs/>
        </w:rPr>
        <w:t>como una función del gobierno autónomo descentralizado municipal</w:t>
      </w:r>
      <w:r w:rsidRPr="001842A8">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1842A8" w:rsidRDefault="003843CA" w:rsidP="00077615">
      <w:pPr>
        <w:pStyle w:val="Sinespaciado"/>
        <w:spacing w:before="240" w:after="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 xml:space="preserve">el artículo 57, en concordancia con el artículo 87 del COOTAD, establece que las funciones del Concejo Municipal, entre otras, son: </w:t>
      </w:r>
      <w:r w:rsidRPr="001842A8">
        <w:rPr>
          <w:rFonts w:ascii="Palatino Linotype" w:hAnsi="Palatino Linotype" w:cs="Arial"/>
          <w:iCs/>
        </w:rPr>
        <w:t>“</w:t>
      </w:r>
      <w:r w:rsidRPr="001842A8">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1842A8">
        <w:rPr>
          <w:rFonts w:ascii="Palatino Linotype" w:hAnsi="Palatino Linotype" w:cs="Arial"/>
          <w:i/>
        </w:rPr>
        <w:t xml:space="preserve"> </w:t>
      </w:r>
      <w:r w:rsidRPr="001842A8">
        <w:rPr>
          <w:rFonts w:ascii="Palatino Linotype" w:hAnsi="Palatino Linotype" w:cs="Arial"/>
          <w:i/>
          <w:iCs/>
        </w:rPr>
        <w:t xml:space="preserve">x) Regular y controlar, mediante la normativa cantonal correspondiente, el uso del suelo en el territorio del cantón, de </w:t>
      </w:r>
      <w:r w:rsidRPr="001842A8">
        <w:rPr>
          <w:rFonts w:ascii="Palatino Linotype" w:hAnsi="Palatino Linotype" w:cs="Arial"/>
          <w:i/>
          <w:iCs/>
        </w:rPr>
        <w:lastRenderedPageBreak/>
        <w:t>conformidad con las leyes sobre la materia, y establecer el régimen urbanístico de la tierra;</w:t>
      </w:r>
      <w:r w:rsidRPr="001842A8">
        <w:rPr>
          <w:rFonts w:ascii="Palatino Linotype" w:hAnsi="Palatino Linotype" w:cs="Arial"/>
          <w:i/>
        </w:rPr>
        <w:t xml:space="preserve"> y, (…) </w:t>
      </w:r>
      <w:r w:rsidRPr="001842A8">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1842A8">
        <w:rPr>
          <w:rFonts w:ascii="Palatino Linotype" w:hAnsi="Palatino Linotype" w:cs="Arial"/>
          <w:i/>
          <w:iCs/>
        </w:rPr>
        <w:t>interbarrial</w:t>
      </w:r>
      <w:proofErr w:type="spellEnd"/>
      <w:r w:rsidRPr="001842A8">
        <w:rPr>
          <w:rFonts w:ascii="Palatino Linotype" w:hAnsi="Palatino Linotype" w:cs="Arial"/>
          <w:i/>
          <w:iCs/>
        </w:rPr>
        <w:t>.</w:t>
      </w:r>
      <w:r w:rsidRPr="001842A8">
        <w:rPr>
          <w:rFonts w:ascii="Palatino Linotype" w:hAnsi="Palatino Linotype" w:cs="Arial"/>
          <w:iCs/>
        </w:rPr>
        <w:t xml:space="preserve">”; </w:t>
      </w:r>
    </w:p>
    <w:p w:rsidR="003843CA" w:rsidRDefault="003843CA" w:rsidP="00077615">
      <w:pPr>
        <w:pStyle w:val="Sinespaciado"/>
        <w:spacing w:before="240" w:after="240" w:line="276" w:lineRule="auto"/>
        <w:ind w:left="709" w:hanging="709"/>
        <w:jc w:val="both"/>
        <w:rPr>
          <w:rFonts w:ascii="Palatino Linotype" w:hAnsi="Palatino Linotype" w:cs="Arial"/>
        </w:rPr>
      </w:pPr>
      <w:r w:rsidRPr="001842A8">
        <w:rPr>
          <w:rFonts w:ascii="Palatino Linotype" w:hAnsi="Palatino Linotype" w:cs="Arial"/>
          <w:b/>
          <w:bCs/>
        </w:rPr>
        <w:t xml:space="preserve">Que,  </w:t>
      </w:r>
      <w:r w:rsidRPr="001842A8">
        <w:rPr>
          <w:rFonts w:ascii="Palatino Linotype" w:hAnsi="Palatino Linotype" w:cs="Arial"/>
        </w:rPr>
        <w:t>el artículo 322 del COOTAD establece el procedimiento para la aprobación de las ordenanzas municipales;</w:t>
      </w:r>
    </w:p>
    <w:p w:rsidR="00C15531" w:rsidRPr="00F24D4E" w:rsidRDefault="00C15531" w:rsidP="00077615">
      <w:pPr>
        <w:pStyle w:val="Sinespaciado"/>
        <w:spacing w:before="240" w:after="240" w:line="276" w:lineRule="auto"/>
        <w:ind w:left="709" w:hanging="709"/>
        <w:jc w:val="both"/>
        <w:rPr>
          <w:rFonts w:ascii="Palatino Linotype" w:hAnsi="Palatino Linotype" w:cs="Arial"/>
          <w:bCs/>
          <w:i/>
        </w:rPr>
      </w:pPr>
      <w:r>
        <w:rPr>
          <w:rFonts w:ascii="Palatino Linotype" w:hAnsi="Palatino Linotype" w:cs="Arial"/>
          <w:b/>
          <w:bCs/>
        </w:rPr>
        <w:t>Que,</w:t>
      </w:r>
      <w:r>
        <w:rPr>
          <w:rFonts w:ascii="Palatino Linotype" w:hAnsi="Palatino Linotype" w:cs="Arial"/>
          <w:b/>
          <w:bCs/>
        </w:rPr>
        <w:tab/>
      </w:r>
      <w:r>
        <w:rPr>
          <w:rFonts w:ascii="Palatino Linotype" w:hAnsi="Palatino Linotype" w:cs="Arial"/>
          <w:bCs/>
        </w:rPr>
        <w:t>la Disposición Transitoria Décima Cuarta del COOTAD, señala: “</w:t>
      </w:r>
      <w:r>
        <w:rPr>
          <w:rFonts w:ascii="Palatino Linotype" w:hAnsi="Palatino Linotype" w:cs="Arial"/>
          <w:bCs/>
          <w:i/>
        </w:rPr>
        <w:t xml:space="preserve">(…) </w:t>
      </w:r>
      <w:r w:rsidRPr="00C15531">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43B95">
        <w:rPr>
          <w:rFonts w:ascii="Palatino Linotype" w:hAnsi="Palatino Linotype" w:cs="Arial"/>
        </w:rPr>
        <w:t>.”</w:t>
      </w:r>
      <w:r>
        <w:rPr>
          <w:rFonts w:ascii="Palatino Linotype" w:hAnsi="Palatino Linotype" w:cs="Arial"/>
        </w:rPr>
        <w:t>;</w:t>
      </w:r>
    </w:p>
    <w:p w:rsidR="003843CA" w:rsidRPr="001842A8" w:rsidRDefault="003843CA" w:rsidP="00077615">
      <w:pPr>
        <w:pStyle w:val="Sinespaciado"/>
        <w:spacing w:before="240" w:after="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1842A8" w:rsidRDefault="003843CA" w:rsidP="00077615">
      <w:pPr>
        <w:pStyle w:val="Sinespaciado"/>
        <w:spacing w:before="240" w:after="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057D41">
        <w:rPr>
          <w:rFonts w:ascii="Palatino Linotype" w:hAnsi="Palatino Linotype" w:cs="Arial"/>
          <w:bCs/>
        </w:rPr>
        <w:t>el</w:t>
      </w:r>
      <w:r w:rsidRPr="001842A8">
        <w:rPr>
          <w:rFonts w:ascii="Palatino Linotype" w:hAnsi="Palatino Linotype" w:cs="Arial"/>
          <w:b/>
          <w:bCs/>
        </w:rPr>
        <w:t xml:space="preserve"> </w:t>
      </w:r>
      <w:r w:rsidRPr="001842A8">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9179C7" w:rsidRDefault="003843CA" w:rsidP="00077615">
      <w:pPr>
        <w:pStyle w:val="Sinespaciado"/>
        <w:spacing w:before="240" w:after="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4D7B61" w:rsidRPr="000F73D6" w:rsidRDefault="004D7B61" w:rsidP="00C15A37">
      <w:pPr>
        <w:spacing w:after="240" w:line="276" w:lineRule="auto"/>
        <w:ind w:left="705" w:hanging="705"/>
        <w:jc w:val="both"/>
        <w:rPr>
          <w:rFonts w:ascii="Palatino Linotype" w:eastAsia="Calibri" w:hAnsi="Palatino Linotype"/>
          <w:sz w:val="22"/>
          <w:szCs w:val="22"/>
          <w:lang w:val="es-EC" w:eastAsia="en-US"/>
        </w:rPr>
      </w:pPr>
      <w:r w:rsidRPr="00AA4753">
        <w:rPr>
          <w:rFonts w:ascii="Palatino Linotype" w:eastAsia="Calibri" w:hAnsi="Palatino Linotype"/>
          <w:b/>
          <w:bCs/>
          <w:sz w:val="22"/>
          <w:szCs w:val="22"/>
          <w:lang w:val="es-EC" w:eastAsia="en-US"/>
        </w:rPr>
        <w:t>Que,</w:t>
      </w:r>
      <w:r w:rsidR="00C15A37">
        <w:rPr>
          <w:rFonts w:ascii="Palatino Linotype" w:eastAsia="Calibri" w:hAnsi="Palatino Linotype"/>
          <w:b/>
          <w:bCs/>
          <w:sz w:val="22"/>
          <w:szCs w:val="22"/>
          <w:lang w:val="es-EC" w:eastAsia="en-US"/>
        </w:rPr>
        <w:tab/>
      </w:r>
      <w:r w:rsidR="00C15A37">
        <w:rPr>
          <w:rFonts w:ascii="Palatino Linotype" w:eastAsia="Calibri" w:hAnsi="Palatino Linotype"/>
          <w:b/>
          <w:bCs/>
          <w:sz w:val="22"/>
          <w:szCs w:val="22"/>
          <w:lang w:val="es-EC" w:eastAsia="en-US"/>
        </w:rPr>
        <w:tab/>
      </w:r>
      <w:r w:rsidRPr="00AA4753">
        <w:rPr>
          <w:rFonts w:ascii="Palatino Linotype" w:eastAsia="Calibri" w:hAnsi="Palatino Linotype"/>
          <w:sz w:val="22"/>
          <w:szCs w:val="22"/>
          <w:lang w:val="es-EC" w:eastAsia="en-US"/>
        </w:rPr>
        <w:t>la</w:t>
      </w:r>
      <w:r>
        <w:rPr>
          <w:rFonts w:ascii="Palatino Linotype" w:eastAsia="Calibri" w:hAnsi="Palatino Linotype"/>
          <w:sz w:val="22"/>
          <w:szCs w:val="22"/>
          <w:lang w:val="es-EC" w:eastAsia="en-US"/>
        </w:rPr>
        <w:t xml:space="preserve"> </w:t>
      </w:r>
      <w:r w:rsidRPr="00AA4753">
        <w:rPr>
          <w:rFonts w:ascii="Palatino Linotype" w:eastAsia="Calibri" w:hAnsi="Palatino Linotype"/>
          <w:sz w:val="22"/>
          <w:szCs w:val="22"/>
          <w:lang w:val="es-EC" w:eastAsia="en-US"/>
        </w:rPr>
        <w:t>Mesa Institucional d</w:t>
      </w:r>
      <w:r>
        <w:rPr>
          <w:rFonts w:ascii="Palatino Linotype" w:eastAsia="Calibri" w:hAnsi="Palatino Linotype"/>
          <w:sz w:val="22"/>
          <w:szCs w:val="22"/>
          <w:lang w:val="es-EC" w:eastAsia="en-US"/>
        </w:rPr>
        <w:t>e Trabajo</w:t>
      </w:r>
      <w:r w:rsidRPr="00DB6074">
        <w:rPr>
          <w:rFonts w:ascii="Palatino Linotype" w:eastAsia="Calibri" w:hAnsi="Palatino Linotype"/>
          <w:sz w:val="22"/>
          <w:szCs w:val="22"/>
          <w:lang w:val="es-EC" w:eastAsia="en-US"/>
        </w:rPr>
        <w:t xml:space="preserve">, </w:t>
      </w:r>
      <w:r>
        <w:rPr>
          <w:rFonts w:ascii="Palatino Linotype" w:eastAsia="Calibri" w:hAnsi="Palatino Linotype"/>
          <w:sz w:val="22"/>
          <w:szCs w:val="22"/>
          <w:lang w:val="es-EC" w:eastAsia="en-US"/>
        </w:rPr>
        <w:t>reunida el 18 de diciembre de 2014</w:t>
      </w:r>
      <w:r w:rsidRPr="00EA4743">
        <w:rPr>
          <w:rFonts w:ascii="Palatino Linotype" w:eastAsia="Calibri" w:hAnsi="Palatino Linotype"/>
          <w:sz w:val="22"/>
          <w:szCs w:val="22"/>
          <w:lang w:val="es-EC" w:eastAsia="en-US"/>
        </w:rPr>
        <w:t xml:space="preserve"> en la Administración Zonal Quitumbe, integrad</w:t>
      </w:r>
      <w:r>
        <w:rPr>
          <w:rFonts w:ascii="Palatino Linotype" w:eastAsia="Calibri" w:hAnsi="Palatino Linotype"/>
          <w:sz w:val="22"/>
          <w:szCs w:val="22"/>
          <w:lang w:val="es-EC" w:eastAsia="en-US"/>
        </w:rPr>
        <w:t>a por los siguientes funcionario</w:t>
      </w:r>
      <w:r w:rsidRPr="00EA4743">
        <w:rPr>
          <w:rFonts w:ascii="Palatino Linotype" w:eastAsia="Calibri" w:hAnsi="Palatino Linotype"/>
          <w:sz w:val="22"/>
          <w:szCs w:val="22"/>
          <w:lang w:val="es-EC" w:eastAsia="en-US"/>
        </w:rPr>
        <w:t>s</w:t>
      </w:r>
      <w:r>
        <w:rPr>
          <w:rFonts w:ascii="Palatino Linotype" w:eastAsia="Calibri" w:hAnsi="Palatino Linotype"/>
          <w:sz w:val="22"/>
          <w:szCs w:val="22"/>
          <w:lang w:val="es-EC" w:eastAsia="en-US"/>
        </w:rPr>
        <w:t xml:space="preserve"> y dependencias: Dr. Ramiro Cobos, Administrador Zonal Quitumbe; Dr. Iván Pacheco, Director de Asesoría Jurídica </w:t>
      </w:r>
      <w:r w:rsidRPr="00EA4743">
        <w:rPr>
          <w:rFonts w:ascii="Palatino Linotype" w:eastAsia="Calibri" w:hAnsi="Palatino Linotype"/>
          <w:sz w:val="22"/>
          <w:szCs w:val="22"/>
          <w:lang w:val="es-EC" w:eastAsia="en-US"/>
        </w:rPr>
        <w:t>Administración Zonal Quitumbe</w:t>
      </w:r>
      <w:r>
        <w:rPr>
          <w:rFonts w:ascii="Palatino Linotype" w:eastAsia="Calibri" w:hAnsi="Palatino Linotype"/>
          <w:sz w:val="22"/>
          <w:szCs w:val="22"/>
          <w:lang w:val="es-EC" w:eastAsia="en-US"/>
        </w:rPr>
        <w:t xml:space="preserve">; </w:t>
      </w:r>
      <w:r w:rsidRPr="00EA4743">
        <w:rPr>
          <w:rFonts w:ascii="Palatino Linotype" w:eastAsia="Calibri" w:hAnsi="Palatino Linotype"/>
          <w:sz w:val="22"/>
          <w:szCs w:val="22"/>
          <w:lang w:val="es-EC" w:eastAsia="en-US"/>
        </w:rPr>
        <w:t xml:space="preserve"> </w:t>
      </w:r>
      <w:r>
        <w:rPr>
          <w:rFonts w:ascii="Palatino Linotype" w:eastAsia="Calibri" w:hAnsi="Palatino Linotype"/>
          <w:sz w:val="22"/>
          <w:szCs w:val="22"/>
          <w:lang w:val="es-EC" w:eastAsia="en-US"/>
        </w:rPr>
        <w:t xml:space="preserve">Arq. Alfonso Cevallos, Dirección de </w:t>
      </w:r>
      <w:r w:rsidRPr="00EA4743">
        <w:rPr>
          <w:rFonts w:ascii="Palatino Linotype" w:eastAsia="Calibri" w:hAnsi="Palatino Linotype"/>
          <w:sz w:val="22"/>
          <w:szCs w:val="22"/>
          <w:lang w:val="es-EC" w:eastAsia="en-US"/>
        </w:rPr>
        <w:t xml:space="preserve">Gestión </w:t>
      </w:r>
      <w:r>
        <w:rPr>
          <w:rFonts w:ascii="Palatino Linotype" w:eastAsia="Calibri" w:hAnsi="Palatino Linotype"/>
          <w:sz w:val="22"/>
          <w:szCs w:val="22"/>
          <w:lang w:val="es-EC" w:eastAsia="en-US"/>
        </w:rPr>
        <w:t xml:space="preserve">del Territorio </w:t>
      </w:r>
      <w:r w:rsidRPr="00EA4743">
        <w:rPr>
          <w:rFonts w:ascii="Palatino Linotype" w:eastAsia="Calibri" w:hAnsi="Palatino Linotype"/>
          <w:sz w:val="22"/>
          <w:szCs w:val="22"/>
          <w:lang w:val="es-EC" w:eastAsia="en-US"/>
        </w:rPr>
        <w:t xml:space="preserve"> de la Administración Zonal Quitumbe; </w:t>
      </w:r>
      <w:r>
        <w:rPr>
          <w:rFonts w:ascii="Palatino Linotype" w:eastAsia="Calibri" w:hAnsi="Palatino Linotype"/>
          <w:sz w:val="22"/>
          <w:szCs w:val="22"/>
          <w:lang w:val="es-EC" w:eastAsia="en-US"/>
        </w:rPr>
        <w:t xml:space="preserve">Sr. Miguel </w:t>
      </w:r>
      <w:proofErr w:type="spellStart"/>
      <w:r>
        <w:rPr>
          <w:rFonts w:ascii="Palatino Linotype" w:eastAsia="Calibri" w:hAnsi="Palatino Linotype"/>
          <w:sz w:val="22"/>
          <w:szCs w:val="22"/>
          <w:lang w:val="es-EC" w:eastAsia="en-US"/>
        </w:rPr>
        <w:t>Bosquez</w:t>
      </w:r>
      <w:proofErr w:type="spellEnd"/>
      <w:r>
        <w:rPr>
          <w:rFonts w:ascii="Palatino Linotype" w:eastAsia="Calibri" w:hAnsi="Palatino Linotype"/>
          <w:sz w:val="22"/>
          <w:szCs w:val="22"/>
          <w:lang w:val="es-EC" w:eastAsia="en-US"/>
        </w:rPr>
        <w:t xml:space="preserve">, delegado de la </w:t>
      </w:r>
      <w:r w:rsidRPr="00EA4743">
        <w:rPr>
          <w:rFonts w:ascii="Palatino Linotype" w:eastAsia="Calibri" w:hAnsi="Palatino Linotype"/>
          <w:sz w:val="22"/>
          <w:szCs w:val="22"/>
          <w:lang w:val="es-EC" w:eastAsia="en-US"/>
        </w:rPr>
        <w:t xml:space="preserve">Dirección Metropolitana de Catastro; </w:t>
      </w:r>
      <w:r>
        <w:rPr>
          <w:rFonts w:ascii="Palatino Linotype" w:eastAsia="Calibri" w:hAnsi="Palatino Linotype"/>
          <w:sz w:val="22"/>
          <w:szCs w:val="22"/>
          <w:lang w:val="es-EC" w:eastAsia="en-US"/>
        </w:rPr>
        <w:t xml:space="preserve">Arq. Iván Martínez, delegado de la </w:t>
      </w:r>
      <w:r w:rsidRPr="00EA4743">
        <w:rPr>
          <w:rFonts w:ascii="Palatino Linotype" w:eastAsia="Calibri" w:hAnsi="Palatino Linotype"/>
          <w:sz w:val="22"/>
          <w:szCs w:val="22"/>
          <w:lang w:val="es-EC" w:eastAsia="en-US"/>
        </w:rPr>
        <w:t xml:space="preserve">Secretaría de Territorio, Hábitat y Vivienda; y, Unidad Especial Regula Tu Barrio, </w:t>
      </w:r>
      <w:r w:rsidRPr="00EA4743">
        <w:rPr>
          <w:rFonts w:ascii="Palatino Linotype" w:eastAsia="Calibri" w:hAnsi="Palatino Linotype"/>
          <w:iCs/>
          <w:sz w:val="22"/>
          <w:szCs w:val="22"/>
          <w:lang w:val="es-EC" w:eastAsia="en-US"/>
        </w:rPr>
        <w:t xml:space="preserve">emitió el </w:t>
      </w:r>
      <w:r w:rsidRPr="001B49A9">
        <w:rPr>
          <w:rFonts w:ascii="Palatino Linotype" w:hAnsi="Palatino Linotype" w:cs="Arial"/>
          <w:sz w:val="22"/>
          <w:szCs w:val="22"/>
        </w:rPr>
        <w:t>informe No. 026-</w:t>
      </w:r>
      <w:r w:rsidRPr="001B49A9">
        <w:rPr>
          <w:rFonts w:ascii="Palatino Linotype" w:hAnsi="Palatino Linotype" w:cs="Arial"/>
          <w:sz w:val="22"/>
          <w:szCs w:val="22"/>
          <w:lang w:val="es-EC"/>
        </w:rPr>
        <w:t>UERB-</w:t>
      </w:r>
      <w:r w:rsidRPr="000A1C26">
        <w:rPr>
          <w:rFonts w:ascii="Palatino Linotype" w:hAnsi="Palatino Linotype" w:cs="Arial"/>
          <w:sz w:val="22"/>
          <w:szCs w:val="22"/>
          <w:lang w:val="es-EC"/>
        </w:rPr>
        <w:t>Q-SOLT-2014</w:t>
      </w:r>
      <w:r w:rsidRPr="00EA4743">
        <w:rPr>
          <w:rFonts w:ascii="Palatino Linotype" w:hAnsi="Palatino Linotype" w:cs="Arial"/>
          <w:sz w:val="22"/>
          <w:szCs w:val="22"/>
        </w:rPr>
        <w:t xml:space="preserve">, </w:t>
      </w:r>
      <w:r>
        <w:rPr>
          <w:rFonts w:ascii="Palatino Linotype" w:eastAsia="Calibri" w:hAnsi="Palatino Linotype"/>
          <w:sz w:val="22"/>
          <w:szCs w:val="22"/>
          <w:lang w:val="es-EC" w:eastAsia="en-US"/>
        </w:rPr>
        <w:t>para la aprobación del</w:t>
      </w:r>
      <w:r w:rsidRPr="00710A4A">
        <w:rPr>
          <w:rFonts w:ascii="Palatino Linotype" w:eastAsia="Calibri" w:hAnsi="Palatino Linotype"/>
          <w:sz w:val="22"/>
          <w:szCs w:val="22"/>
          <w:lang w:val="es-EC" w:eastAsia="en-US"/>
        </w:rPr>
        <w:t xml:space="preserve"> </w:t>
      </w:r>
      <w:r>
        <w:rPr>
          <w:rFonts w:ascii="Palatino Linotype" w:hAnsi="Palatino Linotype"/>
          <w:sz w:val="22"/>
          <w:szCs w:val="22"/>
          <w:lang w:val="es-EC"/>
        </w:rPr>
        <w:t>Asentamiento Humano de Hecho y Consolidado denominado</w:t>
      </w:r>
      <w:r w:rsidRPr="00055CD9">
        <w:rPr>
          <w:rFonts w:ascii="Palatino Linotype" w:eastAsia="Calibri" w:hAnsi="Palatino Linotype"/>
          <w:sz w:val="22"/>
          <w:szCs w:val="22"/>
          <w:lang w:val="es-EC" w:eastAsia="en-US"/>
        </w:rPr>
        <w:t xml:space="preserve"> </w:t>
      </w:r>
      <w:r>
        <w:rPr>
          <w:rFonts w:ascii="Palatino Linotype" w:eastAsia="Calibri" w:hAnsi="Palatino Linotype"/>
          <w:sz w:val="22"/>
          <w:szCs w:val="22"/>
          <w:lang w:val="es-EC" w:eastAsia="en-US"/>
        </w:rPr>
        <w:t xml:space="preserve">Comité Pro-mejoras del Barrio “La Dolorosa Alta” de la parroquia </w:t>
      </w:r>
      <w:proofErr w:type="spellStart"/>
      <w:r>
        <w:rPr>
          <w:rFonts w:ascii="Palatino Linotype" w:eastAsia="Calibri" w:hAnsi="Palatino Linotype"/>
          <w:sz w:val="22"/>
          <w:szCs w:val="22"/>
          <w:lang w:val="es-EC" w:eastAsia="en-US"/>
        </w:rPr>
        <w:t>Chillogallo</w:t>
      </w:r>
      <w:proofErr w:type="spellEnd"/>
      <w:r>
        <w:rPr>
          <w:rFonts w:ascii="Palatino Linotype" w:eastAsia="Calibri" w:hAnsi="Palatino Linotype"/>
          <w:sz w:val="22"/>
          <w:szCs w:val="22"/>
          <w:lang w:val="es-EC" w:eastAsia="en-US"/>
        </w:rPr>
        <w:t>.</w:t>
      </w:r>
    </w:p>
    <w:p w:rsidR="008079C6" w:rsidRPr="00A837DE" w:rsidRDefault="008079C6" w:rsidP="00077615">
      <w:pPr>
        <w:pStyle w:val="Sinespaciado"/>
        <w:spacing w:after="240" w:line="276" w:lineRule="auto"/>
        <w:jc w:val="both"/>
        <w:outlineLvl w:val="0"/>
        <w:rPr>
          <w:rFonts w:ascii="Palatino Linotype" w:hAnsi="Palatino Linotype" w:cs="Arial"/>
          <w:b/>
        </w:rPr>
      </w:pPr>
      <w:r w:rsidRPr="003843CA">
        <w:rPr>
          <w:rFonts w:ascii="Palatino Linotype" w:hAnsi="Palatino Linotype" w:cs="Arial"/>
          <w:b/>
          <w:bCs/>
        </w:rPr>
        <w:lastRenderedPageBreak/>
        <w:t xml:space="preserve">En </w:t>
      </w:r>
      <w:r w:rsidRPr="003843CA">
        <w:rPr>
          <w:rFonts w:ascii="Palatino Linotype" w:hAnsi="Palatino Linotype" w:cs="Arial"/>
          <w:b/>
        </w:rPr>
        <w:t xml:space="preserve">ejercicio  de  sus  atribuciones  legales  constantes en los artículos 30, 31, 240 y </w:t>
      </w:r>
      <w:r w:rsidRPr="00A837DE">
        <w:rPr>
          <w:rFonts w:ascii="Palatino Linotype" w:hAnsi="Palatino Linotype" w:cs="Arial"/>
          <w:b/>
        </w:rPr>
        <w:t>264 numeral 1 de la Constitución  de la República</w:t>
      </w:r>
      <w:r>
        <w:rPr>
          <w:rFonts w:ascii="Palatino Linotype" w:hAnsi="Palatino Linotype" w:cs="Arial"/>
          <w:b/>
        </w:rPr>
        <w:t xml:space="preserve"> del Ecuador</w:t>
      </w:r>
      <w:r w:rsidRPr="00A837DE">
        <w:rPr>
          <w:rFonts w:ascii="Palatino Linotype" w:hAnsi="Palatino Linotype" w:cs="Arial"/>
          <w:b/>
        </w:rPr>
        <w:t>; 84, literal c), 87, literales a), v)</w:t>
      </w:r>
      <w:r>
        <w:rPr>
          <w:rFonts w:ascii="Palatino Linotype" w:hAnsi="Palatino Linotype" w:cs="Arial"/>
          <w:b/>
        </w:rPr>
        <w:t xml:space="preserve"> y</w:t>
      </w:r>
      <w:r w:rsidRPr="00A837DE">
        <w:rPr>
          <w:rFonts w:ascii="Palatino Linotype" w:hAnsi="Palatino Linotype" w:cs="Arial"/>
          <w:b/>
        </w:rPr>
        <w:t xml:space="preserve"> x), </w:t>
      </w:r>
      <w:r>
        <w:rPr>
          <w:rFonts w:ascii="Palatino Linotype" w:hAnsi="Palatino Linotype" w:cs="Arial"/>
          <w:b/>
        </w:rPr>
        <w:t xml:space="preserve">y </w:t>
      </w:r>
      <w:r w:rsidRPr="00A837DE">
        <w:rPr>
          <w:rFonts w:ascii="Palatino Linotype" w:hAnsi="Palatino Linotype" w:cs="Arial"/>
          <w:b/>
        </w:rPr>
        <w:t>322 del Código Orgánico de Organización Territorial Autonomía y Descentralización; 2, numeral 1</w:t>
      </w:r>
      <w:r>
        <w:rPr>
          <w:rFonts w:ascii="Palatino Linotype" w:hAnsi="Palatino Linotype" w:cs="Arial"/>
          <w:b/>
        </w:rPr>
        <w:t>,</w:t>
      </w:r>
      <w:r w:rsidRPr="00A837DE">
        <w:rPr>
          <w:rFonts w:ascii="Palatino Linotype" w:hAnsi="Palatino Linotype" w:cs="Arial"/>
          <w:b/>
        </w:rPr>
        <w:t xml:space="preserve"> </w:t>
      </w:r>
      <w:bookmarkStart w:id="0" w:name="_GoBack"/>
      <w:bookmarkEnd w:id="0"/>
      <w:r w:rsidRPr="00A837DE">
        <w:rPr>
          <w:rFonts w:ascii="Palatino Linotype" w:hAnsi="Palatino Linotype" w:cs="Arial"/>
          <w:b/>
        </w:rPr>
        <w:t>8, numeral 1 de la Ley Orgánica de Régimen para el  Distrito Metropolitano de Quito</w:t>
      </w:r>
      <w:r>
        <w:rPr>
          <w:rFonts w:ascii="Palatino Linotype" w:hAnsi="Palatino Linotype" w:cs="Arial"/>
          <w:b/>
        </w:rPr>
        <w:t>;</w:t>
      </w:r>
      <w:r w:rsidRPr="00A837DE">
        <w:rPr>
          <w:rFonts w:ascii="Palatino Linotype" w:hAnsi="Palatino Linotype" w:cs="Arial"/>
          <w:b/>
        </w:rPr>
        <w:t xml:space="preserve"> y</w:t>
      </w:r>
      <w:r>
        <w:rPr>
          <w:rFonts w:ascii="Palatino Linotype" w:hAnsi="Palatino Linotype" w:cs="Arial"/>
          <w:b/>
        </w:rPr>
        <w:t>,</w:t>
      </w:r>
      <w:r w:rsidRPr="00A837DE">
        <w:rPr>
          <w:rFonts w:ascii="Palatino Linotype" w:hAnsi="Palatino Linotype" w:cs="Arial"/>
          <w:b/>
        </w:rPr>
        <w:t xml:space="preserve"> 2 de la  Resolución No. A0010</w:t>
      </w:r>
      <w:r>
        <w:rPr>
          <w:rFonts w:ascii="Palatino Linotype" w:hAnsi="Palatino Linotype" w:cs="Arial"/>
          <w:b/>
        </w:rPr>
        <w:t>,</w:t>
      </w:r>
      <w:r w:rsidRPr="00A837DE">
        <w:rPr>
          <w:rFonts w:ascii="Palatino Linotype" w:hAnsi="Palatino Linotype" w:cs="Arial"/>
          <w:b/>
        </w:rPr>
        <w:t xml:space="preserve"> de 19 de marzo de 2010,</w:t>
      </w:r>
    </w:p>
    <w:p w:rsidR="003667C0" w:rsidRPr="00B072AF" w:rsidRDefault="00C52450" w:rsidP="00077615">
      <w:pPr>
        <w:spacing w:after="240" w:line="276" w:lineRule="auto"/>
        <w:jc w:val="center"/>
        <w:rPr>
          <w:rFonts w:ascii="Palatino Linotype" w:hAnsi="Palatino Linotype" w:cs="Arial"/>
          <w:b/>
          <w:bCs/>
          <w:sz w:val="22"/>
          <w:szCs w:val="22"/>
        </w:rPr>
      </w:pPr>
      <w:r w:rsidRPr="00B072AF">
        <w:rPr>
          <w:rFonts w:ascii="Palatino Linotype" w:hAnsi="Palatino Linotype"/>
          <w:b/>
          <w:sz w:val="22"/>
          <w:szCs w:val="22"/>
        </w:rPr>
        <w:t>EXPIDE</w:t>
      </w:r>
      <w:r w:rsidR="00B452F1" w:rsidRPr="00B072AF">
        <w:rPr>
          <w:rFonts w:ascii="Palatino Linotype" w:hAnsi="Palatino Linotype"/>
          <w:b/>
          <w:sz w:val="22"/>
          <w:szCs w:val="22"/>
        </w:rPr>
        <w:t xml:space="preserve"> LA SIGUIENTE</w:t>
      </w:r>
      <w:r w:rsidR="007863C1" w:rsidRPr="00B072AF">
        <w:rPr>
          <w:rFonts w:ascii="Palatino Linotype" w:hAnsi="Palatino Linotype"/>
          <w:b/>
          <w:sz w:val="22"/>
          <w:szCs w:val="22"/>
        </w:rPr>
        <w:t>:</w:t>
      </w:r>
    </w:p>
    <w:p w:rsidR="004D7B61" w:rsidRPr="004D7B61" w:rsidRDefault="004D7B61" w:rsidP="004D7B61">
      <w:pPr>
        <w:pStyle w:val="Sinespaciado"/>
        <w:spacing w:after="240" w:line="276" w:lineRule="auto"/>
        <w:jc w:val="center"/>
        <w:outlineLvl w:val="0"/>
        <w:rPr>
          <w:rFonts w:ascii="Palatino Linotype" w:hAnsi="Palatino Linotype" w:cs="Arial"/>
          <w:b/>
        </w:rPr>
      </w:pPr>
      <w:r w:rsidRPr="004D7B61">
        <w:rPr>
          <w:rFonts w:ascii="Palatino Linotype" w:hAnsi="Palatino Linotype" w:cs="Arial"/>
          <w:b/>
        </w:rPr>
        <w:t>ORDENANZA QUE RECONOCE Y APRUEBA EL ASENTAMIENTO HUMANO DE HECHO Y CONSOLIDADO DENOMINADO COMITÉ PRO-MEJORAS DEL BARRIO  “LA DOLOROSA ALTA”DE LA</w:t>
      </w:r>
      <w:r w:rsidR="008A6FBC">
        <w:rPr>
          <w:rFonts w:ascii="Palatino Linotype" w:hAnsi="Palatino Linotype" w:cs="Arial"/>
          <w:b/>
        </w:rPr>
        <w:t xml:space="preserve"> </w:t>
      </w:r>
      <w:r w:rsidRPr="004D7B61">
        <w:rPr>
          <w:rFonts w:ascii="Palatino Linotype" w:hAnsi="Palatino Linotype" w:cs="Arial"/>
          <w:b/>
        </w:rPr>
        <w:t>PARROQUIA CHILLOGALLO, A FAVOR DEL COMITÉ PRO-MEJORAS DEL BARRIO “LA DOLOROSA ALTA” DE LA PARROQUIA CHILLOGALLO</w:t>
      </w:r>
    </w:p>
    <w:p w:rsidR="004D7B61" w:rsidRPr="004D7B61" w:rsidRDefault="004D7B61" w:rsidP="004D7B61">
      <w:pPr>
        <w:spacing w:before="240" w:line="276" w:lineRule="auto"/>
        <w:jc w:val="both"/>
        <w:rPr>
          <w:rFonts w:ascii="Palatino Linotype" w:hAnsi="Palatino Linotype"/>
          <w:sz w:val="22"/>
          <w:szCs w:val="22"/>
          <w:lang w:val="es-EC"/>
        </w:rPr>
      </w:pPr>
      <w:r w:rsidRPr="004D7B61">
        <w:rPr>
          <w:rFonts w:ascii="Palatino Linotype" w:hAnsi="Palatino Linotype"/>
          <w:b/>
          <w:bCs/>
          <w:sz w:val="22"/>
          <w:szCs w:val="22"/>
          <w:lang w:val="es-EC"/>
        </w:rPr>
        <w:t>Artículo</w:t>
      </w:r>
      <w:r w:rsidRPr="004D7B61">
        <w:rPr>
          <w:rFonts w:ascii="Palatino Linotype" w:hAnsi="Palatino Linotype"/>
          <w:b/>
          <w:sz w:val="22"/>
          <w:szCs w:val="22"/>
          <w:lang w:val="es-EC"/>
        </w:rPr>
        <w:t xml:space="preserve"> 1.- De los planos y documentos presentados.-</w:t>
      </w:r>
      <w:r w:rsidRPr="004D7B61">
        <w:rPr>
          <w:rFonts w:ascii="Palatino Linotype" w:hAnsi="Palatino Linotype"/>
          <w:sz w:val="22"/>
          <w:szCs w:val="22"/>
          <w:lang w:val="es-EC"/>
        </w:rPr>
        <w:t xml:space="preserve"> Los planos y documentos presentados son de exclusiva responsabilidad del proyectista, y dirigentes del Comité Pro</w:t>
      </w:r>
      <w:r w:rsidR="00C15A37">
        <w:rPr>
          <w:rFonts w:ascii="Palatino Linotype" w:hAnsi="Palatino Linotype"/>
          <w:sz w:val="22"/>
          <w:szCs w:val="22"/>
          <w:lang w:val="es-EC"/>
        </w:rPr>
        <w:t>-</w:t>
      </w:r>
      <w:r w:rsidRPr="004D7B61">
        <w:rPr>
          <w:rFonts w:ascii="Palatino Linotype" w:hAnsi="Palatino Linotype"/>
          <w:sz w:val="22"/>
          <w:szCs w:val="22"/>
          <w:lang w:val="es-EC"/>
        </w:rPr>
        <w:t xml:space="preserve">Mejoras del </w:t>
      </w:r>
      <w:r w:rsidRPr="004D7B61">
        <w:rPr>
          <w:rFonts w:ascii="Palatino Linotype" w:hAnsi="Palatino Linotype" w:cs="Arial"/>
          <w:sz w:val="22"/>
          <w:szCs w:val="22"/>
        </w:rPr>
        <w:t>Barrio “La Dolorosa Alta”</w:t>
      </w:r>
      <w:r w:rsidRPr="004D7B61">
        <w:rPr>
          <w:rFonts w:ascii="Palatino Linotype" w:eastAsia="Calibri" w:hAnsi="Palatino Linotype"/>
          <w:sz w:val="22"/>
          <w:szCs w:val="22"/>
          <w:lang w:val="es-EC" w:eastAsia="en-US"/>
        </w:rPr>
        <w:t xml:space="preserve"> de la parroquia Chillogallo</w:t>
      </w:r>
      <w:r w:rsidRPr="004D7B61">
        <w:rPr>
          <w:rFonts w:ascii="Palatino Linotype" w:hAnsi="Palatino Linotype"/>
          <w:sz w:val="22"/>
          <w:szCs w:val="22"/>
          <w:lang w:val="es-EC"/>
        </w:rPr>
        <w:t>, sin perjuicio de la responsabilidad de quienes revisaron los planos y los documentos legales, excepto en caso de que hayan sido inducidos a engaño.</w:t>
      </w:r>
    </w:p>
    <w:p w:rsidR="004D7B61" w:rsidRPr="004D7B61" w:rsidRDefault="004D7B61" w:rsidP="004D7B61">
      <w:pPr>
        <w:spacing w:line="276" w:lineRule="auto"/>
        <w:jc w:val="both"/>
        <w:rPr>
          <w:rFonts w:ascii="Palatino Linotype" w:hAnsi="Palatino Linotype"/>
          <w:sz w:val="22"/>
          <w:szCs w:val="22"/>
          <w:lang w:val="es-EC"/>
        </w:rPr>
      </w:pPr>
    </w:p>
    <w:p w:rsidR="004D7B61" w:rsidRPr="004D7B61" w:rsidRDefault="004D7B61" w:rsidP="004D7B61">
      <w:pPr>
        <w:spacing w:line="276" w:lineRule="auto"/>
        <w:jc w:val="both"/>
        <w:rPr>
          <w:rFonts w:ascii="Palatino Linotype" w:hAnsi="Palatino Linotype"/>
          <w:sz w:val="22"/>
          <w:szCs w:val="22"/>
          <w:lang w:val="es-EC"/>
        </w:rPr>
      </w:pPr>
      <w:r w:rsidRPr="004D7B61">
        <w:rPr>
          <w:rFonts w:ascii="Palatino Linotype" w:hAnsi="Palatino Linotype"/>
          <w:sz w:val="22"/>
          <w:szCs w:val="22"/>
          <w:lang w:val="es-EC"/>
        </w:rPr>
        <w:t>En caso de comprobarse ocultación o falsedad en planos, datos, documentos; o de existir reclamos de terceros afectados, será de exclusiva responsabilidad del técnico y de los dirigentes del Comité Pro-</w:t>
      </w:r>
      <w:r w:rsidR="00C15A37">
        <w:rPr>
          <w:rFonts w:ascii="Palatino Linotype" w:hAnsi="Palatino Linotype"/>
          <w:sz w:val="22"/>
          <w:szCs w:val="22"/>
          <w:lang w:val="es-EC"/>
        </w:rPr>
        <w:t>M</w:t>
      </w:r>
      <w:r w:rsidRPr="004D7B61">
        <w:rPr>
          <w:rFonts w:ascii="Palatino Linotype" w:hAnsi="Palatino Linotype"/>
          <w:sz w:val="22"/>
          <w:szCs w:val="22"/>
          <w:lang w:val="es-EC"/>
        </w:rPr>
        <w:t xml:space="preserve">ejoras del </w:t>
      </w:r>
      <w:r w:rsidRPr="004D7B61">
        <w:rPr>
          <w:rFonts w:ascii="Palatino Linotype" w:hAnsi="Palatino Linotype" w:cs="Arial"/>
          <w:sz w:val="22"/>
          <w:szCs w:val="22"/>
        </w:rPr>
        <w:t>Barrio “La Dolorosa Alta”</w:t>
      </w:r>
      <w:r w:rsidRPr="004D7B61">
        <w:rPr>
          <w:rFonts w:ascii="Palatino Linotype" w:eastAsia="Calibri" w:hAnsi="Palatino Linotype"/>
          <w:sz w:val="22"/>
          <w:szCs w:val="22"/>
          <w:lang w:val="es-EC" w:eastAsia="en-US"/>
        </w:rPr>
        <w:t xml:space="preserve"> de la parroquia Chillogallo</w:t>
      </w:r>
      <w:r w:rsidRPr="004D7B61">
        <w:rPr>
          <w:rFonts w:ascii="Palatino Linotype" w:hAnsi="Palatino Linotype"/>
          <w:sz w:val="22"/>
          <w:szCs w:val="22"/>
        </w:rPr>
        <w:t xml:space="preserve">. </w:t>
      </w:r>
      <w:r w:rsidRPr="004D7B61">
        <w:rPr>
          <w:rFonts w:ascii="Palatino Linotype" w:hAnsi="Palatino Linotype"/>
          <w:sz w:val="22"/>
          <w:szCs w:val="22"/>
          <w:lang w:val="es-EC"/>
        </w:rPr>
        <w:t xml:space="preserve"> </w:t>
      </w:r>
    </w:p>
    <w:p w:rsidR="004D7B61" w:rsidRPr="004D7B61" w:rsidRDefault="004D7B61" w:rsidP="004D7B61">
      <w:pPr>
        <w:spacing w:before="240" w:line="276" w:lineRule="auto"/>
        <w:jc w:val="both"/>
        <w:rPr>
          <w:rFonts w:ascii="Palatino Linotype" w:hAnsi="Palatino Linotype"/>
          <w:sz w:val="22"/>
          <w:szCs w:val="22"/>
          <w:lang w:val="es-EC"/>
        </w:rPr>
      </w:pPr>
      <w:r w:rsidRPr="004D7B61">
        <w:rPr>
          <w:rFonts w:ascii="Palatino Linotype" w:hAnsi="Palatino Linotype"/>
          <w:sz w:val="22"/>
          <w:szCs w:val="22"/>
          <w:lang w:val="es-EC"/>
        </w:rPr>
        <w:t>Las dimensiones y superficies de los lotes son las determinadas en el plano aprobatorio siendo en el futuro indivisibles.</w:t>
      </w:r>
    </w:p>
    <w:p w:rsidR="00C15A37" w:rsidRDefault="004D7B61" w:rsidP="00C15A37">
      <w:pPr>
        <w:spacing w:before="240" w:line="276" w:lineRule="auto"/>
        <w:jc w:val="both"/>
        <w:rPr>
          <w:rFonts w:ascii="Palatino Linotype" w:hAnsi="Palatino Linotype"/>
          <w:sz w:val="22"/>
          <w:szCs w:val="22"/>
          <w:lang w:val="es-EC"/>
        </w:rPr>
      </w:pPr>
      <w:r w:rsidRPr="004D7B61">
        <w:rPr>
          <w:rFonts w:ascii="Palatino Linotype" w:hAnsi="Palatino Linotype"/>
          <w:sz w:val="22"/>
          <w:szCs w:val="22"/>
          <w:lang w:val="es-EC"/>
        </w:rPr>
        <w:t>Por las condiciones de asentamiento humano de hecho y consolidado, se lo aprueba considerándolo de interés social.</w:t>
      </w:r>
    </w:p>
    <w:p w:rsidR="00C15A37" w:rsidRDefault="004D7B61" w:rsidP="00C15A37">
      <w:pPr>
        <w:spacing w:before="240" w:line="276" w:lineRule="auto"/>
        <w:jc w:val="both"/>
        <w:rPr>
          <w:rFonts w:ascii="Palatino Linotype" w:hAnsi="Palatino Linotype"/>
          <w:sz w:val="22"/>
          <w:szCs w:val="22"/>
          <w:lang w:val="es-EC"/>
        </w:rPr>
      </w:pPr>
      <w:r w:rsidRPr="004D7B61">
        <w:rPr>
          <w:rFonts w:ascii="Palatino Linotype" w:hAnsi="Palatino Linotype"/>
          <w:b/>
          <w:bCs/>
          <w:sz w:val="22"/>
          <w:szCs w:val="22"/>
          <w:lang w:val="es-EC"/>
        </w:rPr>
        <w:t>Artículo 2.- Especificaciones técnicas.-</w:t>
      </w:r>
    </w:p>
    <w:p w:rsidR="00C15A37" w:rsidRDefault="004D7B61" w:rsidP="00C15A37">
      <w:pPr>
        <w:spacing w:before="240" w:line="276" w:lineRule="auto"/>
        <w:jc w:val="both"/>
        <w:rPr>
          <w:rFonts w:ascii="Palatino Linotype" w:hAnsi="Palatino Linotype"/>
          <w:sz w:val="22"/>
          <w:szCs w:val="22"/>
          <w:lang w:val="es-EC"/>
        </w:rPr>
      </w:pPr>
      <w:r w:rsidRPr="004D7B61">
        <w:rPr>
          <w:rFonts w:ascii="Palatino Linotype" w:hAnsi="Palatino Linotype"/>
          <w:b/>
          <w:sz w:val="22"/>
          <w:szCs w:val="22"/>
        </w:rPr>
        <w:t>Zonificación:</w:t>
      </w:r>
      <w:r w:rsidRPr="004D7B61">
        <w:rPr>
          <w:rFonts w:ascii="Palatino Linotype" w:hAnsi="Palatino Linotype"/>
          <w:b/>
          <w:sz w:val="22"/>
          <w:szCs w:val="22"/>
        </w:rPr>
        <w:tab/>
      </w:r>
      <w:r w:rsidRPr="004D7B61">
        <w:rPr>
          <w:rFonts w:ascii="Palatino Linotype" w:hAnsi="Palatino Linotype"/>
          <w:b/>
          <w:sz w:val="22"/>
          <w:szCs w:val="22"/>
        </w:rPr>
        <w:tab/>
      </w:r>
      <w:r w:rsidRPr="004D7B61">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sidRPr="004D7B61">
        <w:rPr>
          <w:rFonts w:ascii="Palatino Linotype" w:hAnsi="Palatino Linotype"/>
          <w:sz w:val="22"/>
          <w:szCs w:val="22"/>
        </w:rPr>
        <w:t>A7</w:t>
      </w:r>
      <w:r>
        <w:rPr>
          <w:rFonts w:ascii="Palatino Linotype" w:hAnsi="Palatino Linotype"/>
          <w:sz w:val="22"/>
          <w:szCs w:val="22"/>
        </w:rPr>
        <w:t xml:space="preserve"> </w:t>
      </w:r>
      <w:r w:rsidRPr="004D7B61">
        <w:rPr>
          <w:rFonts w:ascii="Palatino Linotype" w:hAnsi="Palatino Linotype"/>
          <w:sz w:val="22"/>
          <w:szCs w:val="22"/>
        </w:rPr>
        <w:t xml:space="preserve">(A50002-1) </w:t>
      </w:r>
    </w:p>
    <w:p w:rsidR="00C15A37" w:rsidRDefault="004D7B61" w:rsidP="00C15A37">
      <w:pPr>
        <w:spacing w:before="240" w:line="276" w:lineRule="auto"/>
        <w:jc w:val="both"/>
        <w:rPr>
          <w:rFonts w:ascii="Palatino Linotype" w:hAnsi="Palatino Linotype"/>
          <w:sz w:val="22"/>
          <w:szCs w:val="22"/>
          <w:lang w:val="es-EC"/>
        </w:rPr>
      </w:pPr>
      <w:r w:rsidRPr="004D7B61">
        <w:rPr>
          <w:rFonts w:ascii="Palatino Linotype" w:hAnsi="Palatino Linotype"/>
          <w:b/>
          <w:sz w:val="22"/>
          <w:szCs w:val="22"/>
        </w:rPr>
        <w:t>Lote mínimo:</w:t>
      </w:r>
      <w:r w:rsidRPr="004D7B61">
        <w:rPr>
          <w:rFonts w:ascii="Palatino Linotype" w:hAnsi="Palatino Linotype"/>
          <w:b/>
          <w:sz w:val="22"/>
          <w:szCs w:val="22"/>
        </w:rPr>
        <w:tab/>
      </w:r>
      <w:r w:rsidRPr="004D7B61">
        <w:rPr>
          <w:rFonts w:ascii="Palatino Linotype" w:hAnsi="Palatino Linotype"/>
          <w:b/>
          <w:sz w:val="22"/>
          <w:szCs w:val="22"/>
        </w:rPr>
        <w:tab/>
      </w:r>
      <w:r w:rsidRPr="004D7B61">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sidRPr="004D7B61">
        <w:rPr>
          <w:rFonts w:ascii="Palatino Linotype" w:hAnsi="Palatino Linotype" w:cs="Calibri"/>
          <w:sz w:val="22"/>
          <w:szCs w:val="22"/>
        </w:rPr>
        <w:t>50</w:t>
      </w:r>
      <w:r>
        <w:rPr>
          <w:rFonts w:ascii="Palatino Linotype" w:hAnsi="Palatino Linotype" w:cs="Calibri"/>
          <w:sz w:val="22"/>
          <w:szCs w:val="22"/>
        </w:rPr>
        <w:t>.</w:t>
      </w:r>
      <w:r w:rsidRPr="004D7B61">
        <w:rPr>
          <w:rFonts w:ascii="Palatino Linotype" w:hAnsi="Palatino Linotype" w:cs="Calibri"/>
          <w:sz w:val="22"/>
          <w:szCs w:val="22"/>
        </w:rPr>
        <w:t>000 m</w:t>
      </w:r>
      <w:r w:rsidRPr="004D7B61">
        <w:rPr>
          <w:rFonts w:ascii="Palatino Linotype" w:hAnsi="Palatino Linotype" w:cs="Calibri"/>
          <w:sz w:val="22"/>
          <w:szCs w:val="22"/>
          <w:vertAlign w:val="superscript"/>
        </w:rPr>
        <w:t>2</w:t>
      </w:r>
      <w:r w:rsidRPr="004D7B61">
        <w:rPr>
          <w:rFonts w:ascii="Palatino Linotype" w:hAnsi="Palatino Linotype" w:cs="Calibri"/>
          <w:sz w:val="22"/>
          <w:szCs w:val="22"/>
        </w:rPr>
        <w:t xml:space="preserve"> </w:t>
      </w:r>
    </w:p>
    <w:p w:rsidR="00C15A37" w:rsidRDefault="004D7B61" w:rsidP="00C15A37">
      <w:pPr>
        <w:spacing w:before="240" w:line="276" w:lineRule="auto"/>
        <w:jc w:val="both"/>
        <w:rPr>
          <w:rFonts w:ascii="Palatino Linotype" w:hAnsi="Palatino Linotype"/>
          <w:sz w:val="22"/>
          <w:szCs w:val="22"/>
          <w:lang w:val="es-EC"/>
        </w:rPr>
      </w:pPr>
      <w:r w:rsidRPr="004D7B61">
        <w:rPr>
          <w:rFonts w:ascii="Palatino Linotype" w:hAnsi="Palatino Linotype"/>
          <w:b/>
          <w:sz w:val="22"/>
          <w:szCs w:val="22"/>
        </w:rPr>
        <w:t>Forma de Ocupación del suelo:</w:t>
      </w:r>
      <w:r w:rsidRPr="004D7B61">
        <w:rPr>
          <w:rFonts w:ascii="Palatino Linotype" w:hAnsi="Palatino Linotype"/>
          <w:b/>
          <w:sz w:val="22"/>
          <w:szCs w:val="22"/>
        </w:rPr>
        <w:tab/>
      </w:r>
      <w:r>
        <w:rPr>
          <w:rFonts w:ascii="Palatino Linotype" w:hAnsi="Palatino Linotype"/>
          <w:b/>
          <w:sz w:val="22"/>
          <w:szCs w:val="22"/>
        </w:rPr>
        <w:tab/>
      </w:r>
      <w:r w:rsidRPr="004D7B61">
        <w:rPr>
          <w:rFonts w:ascii="Palatino Linotype" w:hAnsi="Palatino Linotype"/>
          <w:sz w:val="22"/>
          <w:szCs w:val="22"/>
        </w:rPr>
        <w:t xml:space="preserve">(A) Aislada </w:t>
      </w:r>
    </w:p>
    <w:p w:rsidR="00C15A37" w:rsidRDefault="004D7B61" w:rsidP="00C15A37">
      <w:pPr>
        <w:spacing w:before="240" w:line="276" w:lineRule="auto"/>
        <w:jc w:val="both"/>
        <w:rPr>
          <w:rFonts w:ascii="Palatino Linotype" w:hAnsi="Palatino Linotype"/>
          <w:sz w:val="22"/>
          <w:szCs w:val="22"/>
          <w:lang w:val="es-EC"/>
        </w:rPr>
      </w:pPr>
      <w:r w:rsidRPr="004D7B61">
        <w:rPr>
          <w:rFonts w:ascii="Palatino Linotype" w:hAnsi="Palatino Linotype"/>
          <w:b/>
          <w:sz w:val="22"/>
          <w:szCs w:val="22"/>
        </w:rPr>
        <w:t>Uso principal del suelo:</w:t>
      </w:r>
      <w:r w:rsidRPr="004D7B61">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sidRPr="004D7B61">
        <w:rPr>
          <w:rFonts w:ascii="Palatino Linotype" w:hAnsi="Palatino Linotype"/>
          <w:sz w:val="22"/>
          <w:szCs w:val="22"/>
        </w:rPr>
        <w:t>(PE) Protección ecológica / Áreas naturales</w:t>
      </w:r>
    </w:p>
    <w:p w:rsidR="00C15A37" w:rsidRDefault="004D7B61" w:rsidP="00C15A37">
      <w:pPr>
        <w:spacing w:before="240" w:line="276" w:lineRule="auto"/>
        <w:jc w:val="both"/>
        <w:rPr>
          <w:rFonts w:ascii="Palatino Linotype" w:hAnsi="Palatino Linotype"/>
          <w:sz w:val="22"/>
          <w:szCs w:val="22"/>
          <w:lang w:val="es-EC"/>
        </w:rPr>
      </w:pPr>
      <w:r w:rsidRPr="004D7B61">
        <w:rPr>
          <w:rFonts w:ascii="Palatino Linotype" w:hAnsi="Palatino Linotype"/>
          <w:b/>
          <w:sz w:val="22"/>
          <w:szCs w:val="22"/>
        </w:rPr>
        <w:t xml:space="preserve">Área </w:t>
      </w:r>
      <w:r>
        <w:rPr>
          <w:rFonts w:ascii="Palatino Linotype" w:hAnsi="Palatino Linotype"/>
          <w:b/>
          <w:sz w:val="22"/>
          <w:szCs w:val="22"/>
        </w:rPr>
        <w:t>ú</w:t>
      </w:r>
      <w:r w:rsidRPr="004D7B61">
        <w:rPr>
          <w:rFonts w:ascii="Palatino Linotype" w:hAnsi="Palatino Linotype"/>
          <w:b/>
          <w:sz w:val="22"/>
          <w:szCs w:val="22"/>
        </w:rPr>
        <w:t xml:space="preserve">til de </w:t>
      </w:r>
      <w:r>
        <w:rPr>
          <w:rFonts w:ascii="Palatino Linotype" w:hAnsi="Palatino Linotype"/>
          <w:b/>
          <w:sz w:val="22"/>
          <w:szCs w:val="22"/>
        </w:rPr>
        <w:t>l</w:t>
      </w:r>
      <w:r w:rsidRPr="004D7B61">
        <w:rPr>
          <w:rFonts w:ascii="Palatino Linotype" w:hAnsi="Palatino Linotype"/>
          <w:b/>
          <w:sz w:val="22"/>
          <w:szCs w:val="22"/>
        </w:rPr>
        <w:t>otes</w:t>
      </w:r>
      <w:r w:rsidRPr="004D7B61">
        <w:rPr>
          <w:rFonts w:ascii="Palatino Linotype" w:hAnsi="Palatino Linotype"/>
          <w:sz w:val="22"/>
          <w:szCs w:val="22"/>
        </w:rPr>
        <w:t>:</w:t>
      </w:r>
      <w:r w:rsidRPr="004D7B61">
        <w:rPr>
          <w:rFonts w:ascii="Palatino Linotype" w:hAnsi="Palatino Linotype"/>
          <w:sz w:val="22"/>
          <w:szCs w:val="22"/>
        </w:rPr>
        <w:tab/>
      </w:r>
      <w:r w:rsidRPr="004D7B61">
        <w:rPr>
          <w:rFonts w:ascii="Palatino Linotype" w:hAnsi="Palatino Linotype"/>
          <w:sz w:val="22"/>
          <w:szCs w:val="22"/>
        </w:rPr>
        <w:tab/>
      </w:r>
      <w:r w:rsidRPr="004D7B61">
        <w:rPr>
          <w:rFonts w:ascii="Palatino Linotype" w:hAnsi="Palatino Linotype"/>
          <w:sz w:val="22"/>
          <w:szCs w:val="22"/>
        </w:rPr>
        <w:tab/>
      </w:r>
      <w:r>
        <w:rPr>
          <w:rFonts w:ascii="Palatino Linotype" w:hAnsi="Palatino Linotype"/>
          <w:sz w:val="22"/>
          <w:szCs w:val="22"/>
        </w:rPr>
        <w:tab/>
      </w:r>
      <w:r w:rsidRPr="004D7B61">
        <w:rPr>
          <w:rFonts w:ascii="Palatino Linotype" w:hAnsi="Palatino Linotype"/>
          <w:sz w:val="22"/>
          <w:szCs w:val="22"/>
        </w:rPr>
        <w:t>7.805,78</w:t>
      </w:r>
      <w:r>
        <w:rPr>
          <w:rFonts w:ascii="Palatino Linotype" w:hAnsi="Palatino Linotype"/>
          <w:sz w:val="22"/>
          <w:szCs w:val="22"/>
        </w:rPr>
        <w:t xml:space="preserve"> </w:t>
      </w:r>
      <w:r w:rsidRPr="004D7B61">
        <w:rPr>
          <w:rFonts w:ascii="Palatino Linotype" w:hAnsi="Palatino Linotype" w:cs="Calibri"/>
          <w:bCs/>
          <w:sz w:val="22"/>
          <w:szCs w:val="22"/>
        </w:rPr>
        <w:t>m</w:t>
      </w:r>
      <w:r w:rsidRPr="004D7B61">
        <w:rPr>
          <w:rFonts w:ascii="Palatino Linotype" w:hAnsi="Palatino Linotype" w:cs="Calibri"/>
          <w:bCs/>
          <w:sz w:val="22"/>
          <w:szCs w:val="22"/>
          <w:vertAlign w:val="superscript"/>
        </w:rPr>
        <w:t>2</w:t>
      </w:r>
    </w:p>
    <w:p w:rsidR="00C15A37" w:rsidRDefault="004D7B61" w:rsidP="00C15A37">
      <w:pPr>
        <w:spacing w:before="240" w:line="276" w:lineRule="auto"/>
        <w:jc w:val="both"/>
        <w:rPr>
          <w:rFonts w:ascii="Palatino Linotype" w:hAnsi="Palatino Linotype"/>
          <w:sz w:val="22"/>
          <w:szCs w:val="22"/>
          <w:lang w:val="es-EC"/>
        </w:rPr>
      </w:pPr>
      <w:r w:rsidRPr="004D7B61">
        <w:rPr>
          <w:rFonts w:ascii="Palatino Linotype" w:hAnsi="Palatino Linotype"/>
          <w:b/>
          <w:sz w:val="22"/>
          <w:szCs w:val="22"/>
        </w:rPr>
        <w:lastRenderedPageBreak/>
        <w:t xml:space="preserve">Área de vías y </w:t>
      </w:r>
      <w:r>
        <w:rPr>
          <w:rFonts w:ascii="Palatino Linotype" w:hAnsi="Palatino Linotype"/>
          <w:b/>
          <w:sz w:val="22"/>
          <w:szCs w:val="22"/>
        </w:rPr>
        <w:t>p</w:t>
      </w:r>
      <w:r w:rsidRPr="004D7B61">
        <w:rPr>
          <w:rFonts w:ascii="Palatino Linotype" w:hAnsi="Palatino Linotype"/>
          <w:b/>
          <w:sz w:val="22"/>
          <w:szCs w:val="22"/>
        </w:rPr>
        <w:t>asajes</w:t>
      </w:r>
      <w:r w:rsidRPr="004D7B61">
        <w:rPr>
          <w:rFonts w:ascii="Palatino Linotype" w:hAnsi="Palatino Linotype"/>
          <w:sz w:val="22"/>
          <w:szCs w:val="22"/>
        </w:rPr>
        <w:t>:</w:t>
      </w:r>
      <w:r w:rsidRPr="004D7B61">
        <w:rPr>
          <w:rFonts w:ascii="Palatino Linotype" w:hAnsi="Palatino Linotype"/>
          <w:sz w:val="22"/>
          <w:szCs w:val="22"/>
        </w:rPr>
        <w:tab/>
      </w:r>
      <w:r w:rsidRPr="004D7B61">
        <w:rPr>
          <w:rFonts w:ascii="Palatino Linotype" w:hAnsi="Palatino Linotype"/>
          <w:sz w:val="22"/>
          <w:szCs w:val="22"/>
        </w:rPr>
        <w:tab/>
      </w:r>
      <w:r>
        <w:rPr>
          <w:rFonts w:ascii="Palatino Linotype" w:hAnsi="Palatino Linotype"/>
          <w:sz w:val="22"/>
          <w:szCs w:val="22"/>
        </w:rPr>
        <w:tab/>
      </w:r>
      <w:r w:rsidRPr="004D7B61">
        <w:rPr>
          <w:rFonts w:ascii="Palatino Linotype" w:hAnsi="Palatino Linotype"/>
          <w:sz w:val="22"/>
          <w:szCs w:val="22"/>
        </w:rPr>
        <w:t>3.095,42</w:t>
      </w:r>
      <w:r>
        <w:rPr>
          <w:rFonts w:ascii="Palatino Linotype" w:hAnsi="Palatino Linotype"/>
          <w:sz w:val="22"/>
          <w:szCs w:val="22"/>
        </w:rPr>
        <w:t xml:space="preserve"> </w:t>
      </w:r>
      <w:r w:rsidRPr="004D7B61">
        <w:rPr>
          <w:rFonts w:ascii="Palatino Linotype" w:hAnsi="Palatino Linotype" w:cs="Calibri"/>
          <w:bCs/>
          <w:sz w:val="22"/>
          <w:szCs w:val="22"/>
        </w:rPr>
        <w:t>m</w:t>
      </w:r>
      <w:r w:rsidRPr="004D7B61">
        <w:rPr>
          <w:rFonts w:ascii="Palatino Linotype" w:hAnsi="Palatino Linotype" w:cs="Calibri"/>
          <w:bCs/>
          <w:sz w:val="22"/>
          <w:szCs w:val="22"/>
          <w:vertAlign w:val="superscript"/>
        </w:rPr>
        <w:t>2</w:t>
      </w:r>
    </w:p>
    <w:p w:rsidR="00C15A37" w:rsidRDefault="004D7B61" w:rsidP="00C15A37">
      <w:pPr>
        <w:spacing w:before="240" w:line="276" w:lineRule="auto"/>
        <w:jc w:val="both"/>
        <w:rPr>
          <w:rFonts w:ascii="Palatino Linotype" w:hAnsi="Palatino Linotype"/>
          <w:sz w:val="22"/>
          <w:szCs w:val="22"/>
          <w:lang w:val="es-EC"/>
        </w:rPr>
      </w:pPr>
      <w:r w:rsidRPr="004D7B61">
        <w:rPr>
          <w:rFonts w:ascii="Palatino Linotype" w:hAnsi="Palatino Linotype"/>
          <w:b/>
          <w:sz w:val="22"/>
          <w:szCs w:val="22"/>
        </w:rPr>
        <w:t xml:space="preserve">Área </w:t>
      </w:r>
      <w:r>
        <w:rPr>
          <w:rFonts w:ascii="Palatino Linotype" w:hAnsi="Palatino Linotype"/>
          <w:b/>
          <w:sz w:val="22"/>
          <w:szCs w:val="22"/>
        </w:rPr>
        <w:t>v</w:t>
      </w:r>
      <w:r w:rsidRPr="004D7B61">
        <w:rPr>
          <w:rFonts w:ascii="Palatino Linotype" w:hAnsi="Palatino Linotype"/>
          <w:b/>
          <w:sz w:val="22"/>
          <w:szCs w:val="22"/>
        </w:rPr>
        <w:t xml:space="preserve">erde y </w:t>
      </w:r>
      <w:r>
        <w:rPr>
          <w:rFonts w:ascii="Palatino Linotype" w:hAnsi="Palatino Linotype"/>
          <w:b/>
          <w:sz w:val="22"/>
          <w:szCs w:val="22"/>
        </w:rPr>
        <w:t>c</w:t>
      </w:r>
      <w:r w:rsidRPr="004D7B61">
        <w:rPr>
          <w:rFonts w:ascii="Palatino Linotype" w:hAnsi="Palatino Linotype"/>
          <w:b/>
          <w:sz w:val="22"/>
          <w:szCs w:val="22"/>
        </w:rPr>
        <w:t>omunal</w:t>
      </w:r>
      <w:r w:rsidRPr="004D7B61">
        <w:rPr>
          <w:rFonts w:ascii="Palatino Linotype" w:hAnsi="Palatino Linotype"/>
          <w:sz w:val="22"/>
          <w:szCs w:val="22"/>
        </w:rPr>
        <w:t>:</w:t>
      </w:r>
      <w:r w:rsidRPr="004D7B61">
        <w:rPr>
          <w:rFonts w:ascii="Palatino Linotype" w:hAnsi="Palatino Linotype"/>
          <w:sz w:val="22"/>
          <w:szCs w:val="22"/>
        </w:rPr>
        <w:tab/>
      </w:r>
      <w:r w:rsidRPr="004D7B61">
        <w:rPr>
          <w:rFonts w:ascii="Palatino Linotype" w:hAnsi="Palatino Linotype"/>
          <w:sz w:val="22"/>
          <w:szCs w:val="22"/>
        </w:rPr>
        <w:tab/>
      </w:r>
      <w:r>
        <w:rPr>
          <w:rFonts w:ascii="Palatino Linotype" w:hAnsi="Palatino Linotype"/>
          <w:sz w:val="22"/>
          <w:szCs w:val="22"/>
        </w:rPr>
        <w:tab/>
      </w:r>
      <w:r w:rsidRPr="004D7B61">
        <w:rPr>
          <w:rFonts w:ascii="Palatino Linotype" w:hAnsi="Palatino Linotype"/>
          <w:sz w:val="22"/>
          <w:szCs w:val="22"/>
        </w:rPr>
        <w:t>1.252,37</w:t>
      </w:r>
      <w:r>
        <w:rPr>
          <w:rFonts w:ascii="Palatino Linotype" w:hAnsi="Palatino Linotype"/>
          <w:sz w:val="22"/>
          <w:szCs w:val="22"/>
        </w:rPr>
        <w:t xml:space="preserve"> </w:t>
      </w:r>
      <w:r w:rsidRPr="004D7B61">
        <w:rPr>
          <w:rFonts w:ascii="Palatino Linotype" w:hAnsi="Palatino Linotype" w:cs="Calibri"/>
          <w:bCs/>
          <w:sz w:val="22"/>
          <w:szCs w:val="22"/>
        </w:rPr>
        <w:t>m</w:t>
      </w:r>
      <w:r w:rsidRPr="004D7B61">
        <w:rPr>
          <w:rFonts w:ascii="Palatino Linotype" w:hAnsi="Palatino Linotype" w:cs="Calibri"/>
          <w:bCs/>
          <w:sz w:val="22"/>
          <w:szCs w:val="22"/>
          <w:vertAlign w:val="superscript"/>
        </w:rPr>
        <w:t>2</w:t>
      </w:r>
    </w:p>
    <w:p w:rsidR="00C15A37" w:rsidRDefault="004D7B61" w:rsidP="00C15A37">
      <w:pPr>
        <w:spacing w:before="240" w:line="276" w:lineRule="auto"/>
        <w:jc w:val="both"/>
        <w:rPr>
          <w:rFonts w:ascii="Palatino Linotype" w:hAnsi="Palatino Linotype"/>
          <w:sz w:val="22"/>
          <w:szCs w:val="22"/>
          <w:lang w:val="es-EC"/>
        </w:rPr>
      </w:pPr>
      <w:r w:rsidRPr="004D7B61">
        <w:rPr>
          <w:rFonts w:ascii="Palatino Linotype" w:hAnsi="Palatino Linotype"/>
          <w:b/>
          <w:sz w:val="22"/>
          <w:szCs w:val="22"/>
        </w:rPr>
        <w:t xml:space="preserve">Faja protección quebrada </w:t>
      </w:r>
    </w:p>
    <w:p w:rsidR="00C15A37" w:rsidRDefault="004D7B61" w:rsidP="00C15A37">
      <w:pPr>
        <w:spacing w:before="240" w:line="276" w:lineRule="auto"/>
        <w:jc w:val="both"/>
        <w:rPr>
          <w:rFonts w:ascii="Palatino Linotype" w:hAnsi="Palatino Linotype"/>
          <w:sz w:val="22"/>
          <w:szCs w:val="22"/>
          <w:lang w:val="es-EC"/>
        </w:rPr>
      </w:pPr>
      <w:r w:rsidRPr="004D7B61">
        <w:rPr>
          <w:rFonts w:ascii="Palatino Linotype" w:hAnsi="Palatino Linotype"/>
          <w:b/>
          <w:sz w:val="22"/>
          <w:szCs w:val="22"/>
        </w:rPr>
        <w:t>(</w:t>
      </w:r>
      <w:proofErr w:type="gramStart"/>
      <w:r w:rsidRPr="004D7B61">
        <w:rPr>
          <w:rFonts w:ascii="Palatino Linotype" w:hAnsi="Palatino Linotype"/>
          <w:b/>
          <w:sz w:val="22"/>
          <w:szCs w:val="22"/>
        </w:rPr>
        <w:t>área</w:t>
      </w:r>
      <w:proofErr w:type="gramEnd"/>
      <w:r w:rsidRPr="004D7B61">
        <w:rPr>
          <w:rFonts w:ascii="Palatino Linotype" w:hAnsi="Palatino Linotype"/>
          <w:b/>
          <w:sz w:val="22"/>
          <w:szCs w:val="22"/>
        </w:rPr>
        <w:t xml:space="preserve"> verde adicional):</w:t>
      </w:r>
      <w:r w:rsidRPr="004D7B61">
        <w:rPr>
          <w:rFonts w:ascii="Palatino Linotype" w:hAnsi="Palatino Linotype"/>
          <w:sz w:val="22"/>
          <w:szCs w:val="22"/>
        </w:rPr>
        <w:tab/>
      </w:r>
      <w:r w:rsidRPr="004D7B61">
        <w:rPr>
          <w:rFonts w:ascii="Palatino Linotype" w:hAnsi="Palatino Linotype"/>
          <w:sz w:val="22"/>
          <w:szCs w:val="22"/>
        </w:rPr>
        <w:tab/>
      </w:r>
      <w:r>
        <w:rPr>
          <w:rFonts w:ascii="Palatino Linotype" w:hAnsi="Palatino Linotype"/>
          <w:sz w:val="22"/>
          <w:szCs w:val="22"/>
        </w:rPr>
        <w:tab/>
      </w:r>
      <w:r w:rsidRPr="004D7B61">
        <w:rPr>
          <w:rFonts w:ascii="Palatino Linotype" w:hAnsi="Palatino Linotype"/>
          <w:sz w:val="22"/>
          <w:szCs w:val="22"/>
        </w:rPr>
        <w:t>734,15</w:t>
      </w:r>
      <w:r>
        <w:rPr>
          <w:rFonts w:ascii="Palatino Linotype" w:hAnsi="Palatino Linotype"/>
          <w:sz w:val="22"/>
          <w:szCs w:val="22"/>
        </w:rPr>
        <w:t xml:space="preserve"> </w:t>
      </w:r>
      <w:r w:rsidRPr="004D7B61">
        <w:rPr>
          <w:rFonts w:ascii="Palatino Linotype" w:hAnsi="Palatino Linotype" w:cs="Calibri"/>
          <w:bCs/>
          <w:sz w:val="22"/>
          <w:szCs w:val="22"/>
        </w:rPr>
        <w:t>m</w:t>
      </w:r>
      <w:r w:rsidRPr="004D7B61">
        <w:rPr>
          <w:rFonts w:ascii="Palatino Linotype" w:hAnsi="Palatino Linotype" w:cs="Calibri"/>
          <w:bCs/>
          <w:sz w:val="22"/>
          <w:szCs w:val="22"/>
          <w:vertAlign w:val="superscript"/>
        </w:rPr>
        <w:t>2</w:t>
      </w:r>
    </w:p>
    <w:p w:rsidR="00C15A37" w:rsidRDefault="004D7B61" w:rsidP="00C15A37">
      <w:pPr>
        <w:spacing w:before="240" w:line="276" w:lineRule="auto"/>
        <w:jc w:val="both"/>
        <w:rPr>
          <w:rFonts w:ascii="Palatino Linotype" w:hAnsi="Palatino Linotype"/>
          <w:sz w:val="22"/>
          <w:szCs w:val="22"/>
          <w:lang w:val="es-EC"/>
        </w:rPr>
      </w:pPr>
      <w:r w:rsidRPr="004D7B61">
        <w:rPr>
          <w:rFonts w:ascii="Palatino Linotype" w:hAnsi="Palatino Linotype"/>
          <w:b/>
          <w:sz w:val="22"/>
          <w:szCs w:val="22"/>
        </w:rPr>
        <w:t>Área bruta del terreno</w:t>
      </w:r>
      <w:r>
        <w:rPr>
          <w:rFonts w:ascii="Palatino Linotype" w:hAnsi="Palatino Linotype"/>
          <w:b/>
          <w:sz w:val="22"/>
          <w:szCs w:val="22"/>
        </w:rPr>
        <w:t xml:space="preserve"> </w:t>
      </w:r>
      <w:r w:rsidRPr="004D7B61">
        <w:rPr>
          <w:rFonts w:ascii="Palatino Linotype" w:hAnsi="Palatino Linotype"/>
          <w:b/>
          <w:sz w:val="22"/>
          <w:szCs w:val="22"/>
        </w:rPr>
        <w:t xml:space="preserve">(Lev. </w:t>
      </w:r>
      <w:r w:rsidR="00C15A37">
        <w:rPr>
          <w:rFonts w:ascii="Palatino Linotype" w:hAnsi="Palatino Linotype"/>
          <w:b/>
          <w:sz w:val="22"/>
          <w:szCs w:val="22"/>
        </w:rPr>
        <w:t>T</w:t>
      </w:r>
      <w:r w:rsidRPr="004D7B61">
        <w:rPr>
          <w:rFonts w:ascii="Palatino Linotype" w:hAnsi="Palatino Linotype"/>
          <w:b/>
          <w:sz w:val="22"/>
          <w:szCs w:val="22"/>
        </w:rPr>
        <w:t>op)</w:t>
      </w:r>
      <w:r>
        <w:rPr>
          <w:rFonts w:ascii="Palatino Linotype" w:hAnsi="Palatino Linotype"/>
          <w:b/>
          <w:sz w:val="22"/>
          <w:szCs w:val="22"/>
        </w:rPr>
        <w:t>:</w:t>
      </w:r>
      <w:r w:rsidRPr="004D7B61">
        <w:rPr>
          <w:rFonts w:ascii="Palatino Linotype" w:hAnsi="Palatino Linotype"/>
          <w:b/>
          <w:sz w:val="22"/>
          <w:szCs w:val="22"/>
        </w:rPr>
        <w:tab/>
      </w:r>
      <w:r>
        <w:rPr>
          <w:rFonts w:ascii="Palatino Linotype" w:hAnsi="Palatino Linotype"/>
          <w:b/>
          <w:sz w:val="22"/>
          <w:szCs w:val="22"/>
        </w:rPr>
        <w:tab/>
      </w:r>
      <w:r w:rsidRPr="004D7B61">
        <w:rPr>
          <w:rFonts w:ascii="Palatino Linotype" w:hAnsi="Palatino Linotype"/>
          <w:sz w:val="22"/>
          <w:szCs w:val="22"/>
        </w:rPr>
        <w:t>12.887,72</w:t>
      </w:r>
      <w:r>
        <w:rPr>
          <w:rFonts w:ascii="Palatino Linotype" w:hAnsi="Palatino Linotype"/>
          <w:sz w:val="22"/>
          <w:szCs w:val="22"/>
        </w:rPr>
        <w:t xml:space="preserve"> </w:t>
      </w:r>
      <w:r w:rsidRPr="004D7B61">
        <w:rPr>
          <w:rFonts w:ascii="Palatino Linotype" w:hAnsi="Palatino Linotype" w:cs="Calibri"/>
          <w:bCs/>
          <w:sz w:val="22"/>
          <w:szCs w:val="22"/>
        </w:rPr>
        <w:t>m</w:t>
      </w:r>
      <w:r w:rsidRPr="004D7B61">
        <w:rPr>
          <w:rFonts w:ascii="Palatino Linotype" w:hAnsi="Palatino Linotype" w:cs="Calibri"/>
          <w:bCs/>
          <w:sz w:val="22"/>
          <w:szCs w:val="22"/>
          <w:vertAlign w:val="superscript"/>
        </w:rPr>
        <w:t>2</w:t>
      </w:r>
    </w:p>
    <w:p w:rsidR="00C15A37" w:rsidRDefault="004D7B61" w:rsidP="00C15A37">
      <w:pPr>
        <w:spacing w:before="240" w:line="276" w:lineRule="auto"/>
        <w:jc w:val="both"/>
        <w:rPr>
          <w:rFonts w:ascii="Palatino Linotype" w:hAnsi="Palatino Linotype"/>
          <w:sz w:val="22"/>
          <w:szCs w:val="22"/>
          <w:lang w:val="es-EC"/>
        </w:rPr>
      </w:pPr>
      <w:r w:rsidRPr="004D7B61">
        <w:rPr>
          <w:rFonts w:ascii="Palatino Linotype" w:hAnsi="Palatino Linotype"/>
          <w:b/>
          <w:sz w:val="22"/>
          <w:szCs w:val="22"/>
        </w:rPr>
        <w:t>Área total del terreno (Escr</w:t>
      </w:r>
      <w:r w:rsidR="00C15A37">
        <w:rPr>
          <w:rFonts w:ascii="Palatino Linotype" w:hAnsi="Palatino Linotype"/>
          <w:b/>
          <w:sz w:val="22"/>
          <w:szCs w:val="22"/>
        </w:rPr>
        <w:t>i</w:t>
      </w:r>
      <w:r w:rsidRPr="004D7B61">
        <w:rPr>
          <w:rFonts w:ascii="Palatino Linotype" w:hAnsi="Palatino Linotype"/>
          <w:b/>
          <w:sz w:val="22"/>
          <w:szCs w:val="22"/>
        </w:rPr>
        <w:t>t.):</w:t>
      </w:r>
      <w:r w:rsidRPr="004D7B61">
        <w:rPr>
          <w:rFonts w:ascii="Palatino Linotype" w:hAnsi="Palatino Linotype"/>
          <w:b/>
          <w:sz w:val="22"/>
          <w:szCs w:val="22"/>
        </w:rPr>
        <w:tab/>
      </w:r>
      <w:r>
        <w:rPr>
          <w:rFonts w:ascii="Palatino Linotype" w:hAnsi="Palatino Linotype"/>
          <w:b/>
          <w:sz w:val="22"/>
          <w:szCs w:val="22"/>
        </w:rPr>
        <w:tab/>
      </w:r>
      <w:r w:rsidRPr="004D7B61">
        <w:rPr>
          <w:rFonts w:ascii="Palatino Linotype" w:hAnsi="Palatino Linotype" w:cs="Calibri"/>
          <w:sz w:val="22"/>
          <w:szCs w:val="22"/>
        </w:rPr>
        <w:t xml:space="preserve">12.016,40 </w:t>
      </w:r>
      <w:r w:rsidRPr="004D7B61">
        <w:rPr>
          <w:rFonts w:ascii="Palatino Linotype" w:hAnsi="Palatino Linotype" w:cs="Calibri"/>
          <w:bCs/>
          <w:sz w:val="22"/>
          <w:szCs w:val="22"/>
        </w:rPr>
        <w:t>m</w:t>
      </w:r>
      <w:r w:rsidRPr="004D7B61">
        <w:rPr>
          <w:rFonts w:ascii="Palatino Linotype" w:hAnsi="Palatino Linotype" w:cs="Calibri"/>
          <w:bCs/>
          <w:sz w:val="22"/>
          <w:szCs w:val="22"/>
          <w:vertAlign w:val="superscript"/>
        </w:rPr>
        <w:t>2</w:t>
      </w:r>
    </w:p>
    <w:p w:rsidR="00C15A37" w:rsidRDefault="004D7B61" w:rsidP="00C15A37">
      <w:pPr>
        <w:spacing w:before="240" w:line="276" w:lineRule="auto"/>
        <w:jc w:val="both"/>
        <w:rPr>
          <w:rFonts w:ascii="Palatino Linotype" w:hAnsi="Palatino Linotype"/>
          <w:sz w:val="22"/>
          <w:szCs w:val="22"/>
          <w:lang w:val="es-EC"/>
        </w:rPr>
      </w:pPr>
      <w:r>
        <w:rPr>
          <w:rFonts w:ascii="Palatino Linotype" w:hAnsi="Palatino Linotype"/>
          <w:b/>
          <w:sz w:val="22"/>
          <w:szCs w:val="22"/>
        </w:rPr>
        <w:t>Área v</w:t>
      </w:r>
      <w:r w:rsidRPr="004D7B61">
        <w:rPr>
          <w:rFonts w:ascii="Palatino Linotype" w:hAnsi="Palatino Linotype"/>
          <w:b/>
          <w:sz w:val="22"/>
          <w:szCs w:val="22"/>
        </w:rPr>
        <w:t xml:space="preserve">erde y </w:t>
      </w:r>
      <w:r>
        <w:rPr>
          <w:rFonts w:ascii="Palatino Linotype" w:hAnsi="Palatino Linotype"/>
          <w:b/>
          <w:sz w:val="22"/>
          <w:szCs w:val="22"/>
        </w:rPr>
        <w:t>c</w:t>
      </w:r>
      <w:r w:rsidRPr="004D7B61">
        <w:rPr>
          <w:rFonts w:ascii="Palatino Linotype" w:hAnsi="Palatino Linotype"/>
          <w:b/>
          <w:sz w:val="22"/>
          <w:szCs w:val="22"/>
        </w:rPr>
        <w:t xml:space="preserve">omunal en relación </w:t>
      </w:r>
    </w:p>
    <w:p w:rsidR="00C15A37" w:rsidRDefault="004D7B61" w:rsidP="00C15A37">
      <w:pPr>
        <w:spacing w:before="240" w:line="276" w:lineRule="auto"/>
        <w:jc w:val="both"/>
        <w:rPr>
          <w:rFonts w:ascii="Palatino Linotype" w:hAnsi="Palatino Linotype"/>
          <w:sz w:val="22"/>
          <w:szCs w:val="22"/>
          <w:lang w:val="es-EC"/>
        </w:rPr>
      </w:pPr>
      <w:proofErr w:type="gramStart"/>
      <w:r w:rsidRPr="004D7B61">
        <w:rPr>
          <w:rFonts w:ascii="Palatino Linotype" w:hAnsi="Palatino Linotype"/>
          <w:b/>
          <w:sz w:val="22"/>
          <w:szCs w:val="22"/>
        </w:rPr>
        <w:t>al</w:t>
      </w:r>
      <w:proofErr w:type="gramEnd"/>
      <w:r w:rsidRPr="004D7B61">
        <w:rPr>
          <w:rFonts w:ascii="Palatino Linotype" w:hAnsi="Palatino Linotype"/>
          <w:b/>
          <w:sz w:val="22"/>
          <w:szCs w:val="22"/>
        </w:rPr>
        <w:t xml:space="preserve"> área útil de lotes: </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sidRPr="004D7B61">
        <w:rPr>
          <w:rFonts w:ascii="Palatino Linotype" w:hAnsi="Palatino Linotype"/>
          <w:sz w:val="22"/>
          <w:szCs w:val="22"/>
        </w:rPr>
        <w:t>16,04%</w:t>
      </w:r>
    </w:p>
    <w:p w:rsidR="00C15A37" w:rsidRDefault="004D7B61" w:rsidP="00C15A37">
      <w:pPr>
        <w:spacing w:before="240" w:line="276" w:lineRule="auto"/>
        <w:jc w:val="both"/>
        <w:rPr>
          <w:rFonts w:ascii="Palatino Linotype" w:hAnsi="Palatino Linotype"/>
          <w:sz w:val="22"/>
          <w:szCs w:val="22"/>
          <w:lang w:val="es-EC"/>
        </w:rPr>
      </w:pPr>
      <w:r w:rsidRPr="004D7B61">
        <w:rPr>
          <w:rFonts w:ascii="Palatino Linotype" w:hAnsi="Palatino Linotype" w:cs="Arial"/>
          <w:b/>
          <w:bCs/>
          <w:sz w:val="22"/>
          <w:szCs w:val="22"/>
        </w:rPr>
        <w:t xml:space="preserve">Artículo 3.- Zonificación de los lotes.- </w:t>
      </w:r>
      <w:r w:rsidR="006C53D9">
        <w:rPr>
          <w:rFonts w:ascii="Palatino Linotype" w:hAnsi="Palatino Linotype" w:cs="Arial"/>
          <w:bCs/>
          <w:sz w:val="22"/>
          <w:szCs w:val="22"/>
        </w:rPr>
        <w:t xml:space="preserve">A </w:t>
      </w:r>
      <w:r w:rsidRPr="004D7B61">
        <w:rPr>
          <w:rFonts w:ascii="Palatino Linotype" w:hAnsi="Palatino Linotype" w:cs="Arial"/>
          <w:bCs/>
          <w:sz w:val="22"/>
          <w:szCs w:val="22"/>
        </w:rPr>
        <w:t xml:space="preserve">los lotes fraccionados se </w:t>
      </w:r>
      <w:r w:rsidR="006C53D9">
        <w:rPr>
          <w:rFonts w:ascii="Palatino Linotype" w:hAnsi="Palatino Linotype" w:cs="Arial"/>
          <w:bCs/>
          <w:sz w:val="22"/>
          <w:szCs w:val="22"/>
        </w:rPr>
        <w:t xml:space="preserve">les asigna la siguiente </w:t>
      </w:r>
      <w:r w:rsidRPr="004D7B61">
        <w:rPr>
          <w:rFonts w:ascii="Palatino Linotype" w:hAnsi="Palatino Linotype"/>
          <w:sz w:val="22"/>
          <w:szCs w:val="22"/>
          <w:lang w:val="es-EC"/>
        </w:rPr>
        <w:t xml:space="preserve">zonificación: </w:t>
      </w:r>
      <w:r w:rsidRPr="004D7B61">
        <w:rPr>
          <w:rFonts w:ascii="Palatino Linotype" w:eastAsia="Calibri" w:hAnsi="Palatino Linotype" w:cs="Arial"/>
          <w:sz w:val="22"/>
          <w:szCs w:val="22"/>
        </w:rPr>
        <w:t>D3 (D203-80); forma de ocupación: (D) sobre línea de fábrica; lote mínimo</w:t>
      </w:r>
      <w:r w:rsidR="006C53D9">
        <w:rPr>
          <w:rFonts w:ascii="Palatino Linotype" w:eastAsia="Calibri" w:hAnsi="Palatino Linotype" w:cs="Arial"/>
          <w:sz w:val="22"/>
          <w:szCs w:val="22"/>
        </w:rPr>
        <w:t>:</w:t>
      </w:r>
      <w:r w:rsidRPr="004D7B61">
        <w:rPr>
          <w:rFonts w:ascii="Palatino Linotype" w:eastAsia="Calibri" w:hAnsi="Palatino Linotype" w:cs="Arial"/>
          <w:sz w:val="22"/>
          <w:szCs w:val="22"/>
        </w:rPr>
        <w:t xml:space="preserve"> 200,00 m</w:t>
      </w:r>
      <w:r w:rsidRPr="004D7B61">
        <w:rPr>
          <w:rFonts w:ascii="Palatino Linotype" w:eastAsia="Calibri" w:hAnsi="Palatino Linotype" w:cs="Arial"/>
          <w:sz w:val="22"/>
          <w:szCs w:val="22"/>
          <w:vertAlign w:val="superscript"/>
        </w:rPr>
        <w:t>2</w:t>
      </w:r>
      <w:r w:rsidRPr="004D7B61">
        <w:rPr>
          <w:rFonts w:ascii="Palatino Linotype" w:eastAsia="Calibri" w:hAnsi="Palatino Linotype" w:cs="Arial"/>
          <w:sz w:val="22"/>
          <w:szCs w:val="22"/>
        </w:rPr>
        <w:t>; número de pisos: 3; COS planta baja</w:t>
      </w:r>
      <w:r w:rsidR="006C53D9">
        <w:rPr>
          <w:rFonts w:ascii="Palatino Linotype" w:eastAsia="Calibri" w:hAnsi="Palatino Linotype" w:cs="Arial"/>
          <w:sz w:val="22"/>
          <w:szCs w:val="22"/>
        </w:rPr>
        <w:t>:</w:t>
      </w:r>
      <w:r w:rsidRPr="004D7B61">
        <w:rPr>
          <w:rFonts w:ascii="Palatino Linotype" w:eastAsia="Calibri" w:hAnsi="Palatino Linotype" w:cs="Arial"/>
          <w:sz w:val="22"/>
          <w:szCs w:val="22"/>
        </w:rPr>
        <w:t xml:space="preserve"> 80 %, COS total</w:t>
      </w:r>
      <w:r w:rsidR="006C53D9">
        <w:rPr>
          <w:rFonts w:ascii="Palatino Linotype" w:eastAsia="Calibri" w:hAnsi="Palatino Linotype" w:cs="Arial"/>
          <w:sz w:val="22"/>
          <w:szCs w:val="22"/>
        </w:rPr>
        <w:t>:</w:t>
      </w:r>
      <w:r w:rsidRPr="004D7B61">
        <w:rPr>
          <w:rFonts w:ascii="Palatino Linotype" w:eastAsia="Calibri" w:hAnsi="Palatino Linotype" w:cs="Arial"/>
          <w:sz w:val="22"/>
          <w:szCs w:val="22"/>
        </w:rPr>
        <w:t xml:space="preserve"> 240%; clasificación del suelo: (SU) Suelo Urbano; Uso principal: (R2) Residencia mediana densidad.</w:t>
      </w:r>
    </w:p>
    <w:p w:rsidR="004D7B61" w:rsidRPr="00C15A37" w:rsidRDefault="004D7B61" w:rsidP="00C15A37">
      <w:pPr>
        <w:spacing w:before="240" w:line="276" w:lineRule="auto"/>
        <w:jc w:val="both"/>
        <w:rPr>
          <w:rFonts w:ascii="Palatino Linotype" w:hAnsi="Palatino Linotype"/>
          <w:sz w:val="22"/>
          <w:szCs w:val="22"/>
          <w:lang w:val="es-EC"/>
        </w:rPr>
      </w:pPr>
      <w:r w:rsidRPr="004D7B61">
        <w:rPr>
          <w:rFonts w:ascii="Palatino Linotype" w:hAnsi="Palatino Linotype"/>
          <w:b/>
          <w:bCs/>
          <w:sz w:val="22"/>
          <w:szCs w:val="22"/>
          <w:lang w:val="es-EC"/>
        </w:rPr>
        <w:t xml:space="preserve">Artículo 4.- Excedentes o </w:t>
      </w:r>
      <w:r w:rsidR="006C53D9">
        <w:rPr>
          <w:rFonts w:ascii="Palatino Linotype" w:hAnsi="Palatino Linotype"/>
          <w:b/>
          <w:bCs/>
          <w:sz w:val="22"/>
          <w:szCs w:val="22"/>
          <w:lang w:val="es-EC"/>
        </w:rPr>
        <w:t>d</w:t>
      </w:r>
      <w:r w:rsidRPr="004D7B61">
        <w:rPr>
          <w:rFonts w:ascii="Palatino Linotype" w:hAnsi="Palatino Linotype"/>
          <w:b/>
          <w:bCs/>
          <w:sz w:val="22"/>
          <w:szCs w:val="22"/>
          <w:lang w:val="es-EC"/>
        </w:rPr>
        <w:t xml:space="preserve">iferencias de áreas.- </w:t>
      </w:r>
      <w:r w:rsidRPr="004D7B61">
        <w:rPr>
          <w:rFonts w:ascii="Palatino Linotype" w:hAnsi="Palatino Linotype"/>
          <w:bCs/>
          <w:sz w:val="22"/>
          <w:szCs w:val="22"/>
          <w:lang w:val="es-EC"/>
        </w:rPr>
        <w:t xml:space="preserve">Por cuanto dentro del proceso de regularización se detectó la existencia de una variación de área, previo a la protocolización e inscripción de la presente ordenanza se deberá regularizar el área, de conformidad con lo establecido en la Disposición General Segunda de la Ordenanza Metropolitana No. 269, sancionada el 30 de </w:t>
      </w:r>
      <w:r w:rsidR="006C53D9">
        <w:rPr>
          <w:rFonts w:ascii="Palatino Linotype" w:hAnsi="Palatino Linotype"/>
          <w:bCs/>
          <w:sz w:val="22"/>
          <w:szCs w:val="22"/>
          <w:lang w:val="es-EC"/>
        </w:rPr>
        <w:t>j</w:t>
      </w:r>
      <w:r w:rsidRPr="004D7B61">
        <w:rPr>
          <w:rFonts w:ascii="Palatino Linotype" w:hAnsi="Palatino Linotype"/>
          <w:bCs/>
          <w:sz w:val="22"/>
          <w:szCs w:val="22"/>
          <w:lang w:val="es-EC"/>
        </w:rPr>
        <w:t>ulio de 2012.</w:t>
      </w:r>
    </w:p>
    <w:p w:rsidR="004D7B61" w:rsidRPr="004D7B61" w:rsidRDefault="004D7B61" w:rsidP="004D7B61">
      <w:pPr>
        <w:spacing w:line="276" w:lineRule="auto"/>
        <w:jc w:val="both"/>
        <w:rPr>
          <w:rFonts w:ascii="Palatino Linotype" w:hAnsi="Palatino Linotype"/>
          <w:bCs/>
          <w:sz w:val="22"/>
          <w:szCs w:val="22"/>
          <w:highlight w:val="yellow"/>
          <w:lang w:val="es-EC"/>
        </w:rPr>
      </w:pPr>
    </w:p>
    <w:p w:rsidR="004D7B61" w:rsidRPr="004D7B61" w:rsidRDefault="004D7B61" w:rsidP="004D7B61">
      <w:pPr>
        <w:spacing w:line="276" w:lineRule="auto"/>
        <w:jc w:val="both"/>
        <w:rPr>
          <w:rFonts w:ascii="Palatino Linotype" w:hAnsi="Palatino Linotype" w:cs="Arial"/>
          <w:sz w:val="22"/>
          <w:szCs w:val="22"/>
        </w:rPr>
      </w:pPr>
      <w:r w:rsidRPr="004D7B61">
        <w:rPr>
          <w:rFonts w:ascii="Palatino Linotype" w:hAnsi="Palatino Linotype"/>
          <w:b/>
          <w:bCs/>
          <w:sz w:val="22"/>
          <w:szCs w:val="22"/>
          <w:lang w:val="es-EC"/>
        </w:rPr>
        <w:t xml:space="preserve">Artículo 5.- Del </w:t>
      </w:r>
      <w:r w:rsidR="006C53D9">
        <w:rPr>
          <w:rFonts w:ascii="Palatino Linotype" w:hAnsi="Palatino Linotype"/>
          <w:b/>
          <w:bCs/>
          <w:sz w:val="22"/>
          <w:szCs w:val="22"/>
          <w:lang w:val="es-EC"/>
        </w:rPr>
        <w:t>á</w:t>
      </w:r>
      <w:r w:rsidRPr="004D7B61">
        <w:rPr>
          <w:rFonts w:ascii="Palatino Linotype" w:hAnsi="Palatino Linotype"/>
          <w:b/>
          <w:bCs/>
          <w:sz w:val="22"/>
          <w:szCs w:val="22"/>
          <w:lang w:val="es-EC"/>
        </w:rPr>
        <w:t xml:space="preserve">rea </w:t>
      </w:r>
      <w:r w:rsidR="006C53D9">
        <w:rPr>
          <w:rFonts w:ascii="Palatino Linotype" w:hAnsi="Palatino Linotype"/>
          <w:b/>
          <w:bCs/>
          <w:sz w:val="22"/>
          <w:szCs w:val="22"/>
          <w:lang w:val="es-EC"/>
        </w:rPr>
        <w:t>v</w:t>
      </w:r>
      <w:r w:rsidRPr="004D7B61">
        <w:rPr>
          <w:rFonts w:ascii="Palatino Linotype" w:hAnsi="Palatino Linotype"/>
          <w:b/>
          <w:bCs/>
          <w:sz w:val="22"/>
          <w:szCs w:val="22"/>
          <w:lang w:val="es-EC"/>
        </w:rPr>
        <w:t xml:space="preserve">erde.- </w:t>
      </w:r>
      <w:r w:rsidRPr="004D7B61">
        <w:rPr>
          <w:rFonts w:ascii="Palatino Linotype" w:hAnsi="Palatino Linotype"/>
          <w:bCs/>
          <w:sz w:val="22"/>
          <w:szCs w:val="22"/>
          <w:lang w:val="es-EC"/>
        </w:rPr>
        <w:t xml:space="preserve">El </w:t>
      </w:r>
      <w:r w:rsidRPr="004D7B61">
        <w:rPr>
          <w:rFonts w:ascii="Palatino Linotype" w:hAnsi="Palatino Linotype"/>
          <w:sz w:val="22"/>
          <w:szCs w:val="22"/>
          <w:lang w:val="es-EC"/>
        </w:rPr>
        <w:t>Comité Pro</w:t>
      </w:r>
      <w:r w:rsidR="006C53D9">
        <w:rPr>
          <w:rFonts w:ascii="Palatino Linotype" w:hAnsi="Palatino Linotype"/>
          <w:sz w:val="22"/>
          <w:szCs w:val="22"/>
          <w:lang w:val="es-EC"/>
        </w:rPr>
        <w:t>-</w:t>
      </w:r>
      <w:r w:rsidR="00C15A37">
        <w:rPr>
          <w:rFonts w:ascii="Palatino Linotype" w:hAnsi="Palatino Linotype"/>
          <w:sz w:val="22"/>
          <w:szCs w:val="22"/>
          <w:lang w:val="es-EC"/>
        </w:rPr>
        <w:t>M</w:t>
      </w:r>
      <w:r w:rsidRPr="004D7B61">
        <w:rPr>
          <w:rFonts w:ascii="Palatino Linotype" w:hAnsi="Palatino Linotype"/>
          <w:sz w:val="22"/>
          <w:szCs w:val="22"/>
          <w:lang w:val="es-EC"/>
        </w:rPr>
        <w:t xml:space="preserve">ejoras del </w:t>
      </w:r>
      <w:r w:rsidRPr="004D7B61">
        <w:rPr>
          <w:rFonts w:ascii="Palatino Linotype" w:hAnsi="Palatino Linotype" w:cs="Arial"/>
          <w:sz w:val="22"/>
          <w:szCs w:val="22"/>
        </w:rPr>
        <w:t>Barrio “La Dolorosa Alta”</w:t>
      </w:r>
      <w:r w:rsidRPr="004D7B61">
        <w:rPr>
          <w:rFonts w:ascii="Palatino Linotype" w:eastAsia="Calibri" w:hAnsi="Palatino Linotype"/>
          <w:sz w:val="22"/>
          <w:szCs w:val="22"/>
          <w:lang w:val="es-EC" w:eastAsia="en-US"/>
        </w:rPr>
        <w:t xml:space="preserve"> de la </w:t>
      </w:r>
      <w:r w:rsidR="006C53D9">
        <w:rPr>
          <w:rFonts w:ascii="Palatino Linotype" w:eastAsia="Calibri" w:hAnsi="Palatino Linotype"/>
          <w:sz w:val="22"/>
          <w:szCs w:val="22"/>
          <w:lang w:val="es-EC" w:eastAsia="en-US"/>
        </w:rPr>
        <w:t>p</w:t>
      </w:r>
      <w:r w:rsidRPr="004D7B61">
        <w:rPr>
          <w:rFonts w:ascii="Palatino Linotype" w:eastAsia="Calibri" w:hAnsi="Palatino Linotype"/>
          <w:sz w:val="22"/>
          <w:szCs w:val="22"/>
          <w:lang w:val="es-EC" w:eastAsia="en-US"/>
        </w:rPr>
        <w:t>arroquia Chillogallo</w:t>
      </w:r>
      <w:r w:rsidR="006C53D9">
        <w:rPr>
          <w:rFonts w:ascii="Palatino Linotype" w:eastAsia="Calibri" w:hAnsi="Palatino Linotype"/>
          <w:sz w:val="22"/>
          <w:szCs w:val="22"/>
          <w:lang w:val="es-EC" w:eastAsia="en-US"/>
        </w:rPr>
        <w:t>,</w:t>
      </w:r>
      <w:r w:rsidRPr="004D7B61">
        <w:rPr>
          <w:rFonts w:ascii="Palatino Linotype" w:hAnsi="Palatino Linotype"/>
          <w:bCs/>
          <w:sz w:val="22"/>
          <w:szCs w:val="22"/>
          <w:lang w:val="es-EC"/>
        </w:rPr>
        <w:t xml:space="preserve"> propietario del inmueble donde se encuentra el </w:t>
      </w:r>
      <w:r w:rsidR="006C53D9">
        <w:rPr>
          <w:rFonts w:ascii="Palatino Linotype" w:hAnsi="Palatino Linotype"/>
          <w:bCs/>
          <w:sz w:val="22"/>
          <w:szCs w:val="22"/>
          <w:lang w:val="es-EC"/>
        </w:rPr>
        <w:t>a</w:t>
      </w:r>
      <w:r w:rsidRPr="004D7B61">
        <w:rPr>
          <w:rFonts w:ascii="Palatino Linotype" w:hAnsi="Palatino Linotype" w:cs="Arial"/>
          <w:sz w:val="22"/>
          <w:szCs w:val="22"/>
        </w:rPr>
        <w:t>sentamiento</w:t>
      </w:r>
      <w:r w:rsidRPr="004D7B61">
        <w:rPr>
          <w:rFonts w:ascii="Palatino Linotype" w:hAnsi="Palatino Linotype"/>
          <w:bCs/>
          <w:sz w:val="22"/>
          <w:szCs w:val="22"/>
          <w:lang w:val="es-EC"/>
        </w:rPr>
        <w:t xml:space="preserve">, </w:t>
      </w:r>
      <w:r w:rsidRPr="004D7B61">
        <w:rPr>
          <w:rFonts w:ascii="Palatino Linotype" w:hAnsi="Palatino Linotype" w:cs="Arial"/>
          <w:sz w:val="22"/>
          <w:szCs w:val="22"/>
        </w:rPr>
        <w:t xml:space="preserve">transfiere al Municipio del Distrito Metropolitano de Quito, como contribución de áreas verdes, un área total de </w:t>
      </w:r>
      <w:r w:rsidRPr="004D7B61">
        <w:rPr>
          <w:rFonts w:ascii="Palatino Linotype" w:hAnsi="Palatino Linotype"/>
          <w:sz w:val="22"/>
          <w:szCs w:val="22"/>
        </w:rPr>
        <w:t>1.252,37</w:t>
      </w:r>
      <w:r w:rsidR="006C53D9">
        <w:rPr>
          <w:rFonts w:ascii="Palatino Linotype" w:hAnsi="Palatino Linotype"/>
          <w:sz w:val="22"/>
          <w:szCs w:val="22"/>
        </w:rPr>
        <w:t xml:space="preserve"> </w:t>
      </w:r>
      <w:r w:rsidRPr="004D7B61">
        <w:rPr>
          <w:rFonts w:ascii="Palatino Linotype" w:hAnsi="Palatino Linotype" w:cs="Arial"/>
          <w:sz w:val="22"/>
          <w:szCs w:val="22"/>
        </w:rPr>
        <w:t>m</w:t>
      </w:r>
      <w:r w:rsidRPr="004D7B61">
        <w:rPr>
          <w:rFonts w:ascii="Palatino Linotype" w:hAnsi="Palatino Linotype" w:cs="Arial"/>
          <w:sz w:val="22"/>
          <w:szCs w:val="22"/>
          <w:vertAlign w:val="superscript"/>
        </w:rPr>
        <w:t>2</w:t>
      </w:r>
      <w:r w:rsidRPr="004D7B61">
        <w:rPr>
          <w:rFonts w:ascii="Palatino Linotype" w:hAnsi="Palatino Linotype" w:cs="Arial"/>
          <w:sz w:val="22"/>
          <w:szCs w:val="22"/>
        </w:rPr>
        <w:t xml:space="preserve"> que corresponde al 16,04% del área útil de los lotes, </w:t>
      </w:r>
      <w:r w:rsidR="006C53D9">
        <w:rPr>
          <w:rFonts w:ascii="Palatino Linotype" w:hAnsi="Palatino Linotype" w:cs="Arial"/>
          <w:sz w:val="22"/>
          <w:szCs w:val="22"/>
        </w:rPr>
        <w:t>de conformidad al siguiente detalle</w:t>
      </w:r>
      <w:r w:rsidRPr="004D7B61">
        <w:rPr>
          <w:rFonts w:ascii="Palatino Linotype" w:hAnsi="Palatino Linotype" w:cs="Arial"/>
          <w:sz w:val="22"/>
          <w:szCs w:val="22"/>
        </w:rPr>
        <w:t>:</w:t>
      </w:r>
    </w:p>
    <w:p w:rsidR="004D7B61" w:rsidRPr="004D7B61" w:rsidRDefault="004D7B61" w:rsidP="004D7B61">
      <w:pPr>
        <w:spacing w:line="276" w:lineRule="auto"/>
        <w:jc w:val="both"/>
        <w:rPr>
          <w:rFonts w:ascii="Palatino Linotype" w:hAnsi="Palatino Linotype" w:cs="Arial"/>
          <w:sz w:val="22"/>
          <w:szCs w:val="22"/>
        </w:rPr>
      </w:pP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2"/>
        <w:gridCol w:w="848"/>
        <w:gridCol w:w="2462"/>
        <w:gridCol w:w="1223"/>
        <w:gridCol w:w="1204"/>
        <w:gridCol w:w="1418"/>
      </w:tblGrid>
      <w:tr w:rsidR="004D7B61" w:rsidRPr="004D7B61" w:rsidTr="006C53D9">
        <w:trPr>
          <w:jc w:val="center"/>
        </w:trPr>
        <w:tc>
          <w:tcPr>
            <w:tcW w:w="8897"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D7B61" w:rsidRPr="004D7B61" w:rsidRDefault="006C53D9" w:rsidP="006C53D9">
            <w:pPr>
              <w:jc w:val="center"/>
              <w:rPr>
                <w:rFonts w:ascii="Palatino Linotype" w:hAnsi="Palatino Linotype" w:cs="Calibri"/>
                <w:b/>
                <w:sz w:val="22"/>
                <w:szCs w:val="22"/>
              </w:rPr>
            </w:pPr>
            <w:r w:rsidRPr="004D7B61">
              <w:rPr>
                <w:rFonts w:ascii="Palatino Linotype" w:hAnsi="Palatino Linotype" w:cs="Calibri"/>
                <w:b/>
                <w:sz w:val="22"/>
                <w:szCs w:val="22"/>
              </w:rPr>
              <w:t xml:space="preserve">Área </w:t>
            </w:r>
            <w:r>
              <w:rPr>
                <w:rFonts w:ascii="Palatino Linotype" w:hAnsi="Palatino Linotype" w:cs="Calibri"/>
                <w:b/>
                <w:sz w:val="22"/>
                <w:szCs w:val="22"/>
              </w:rPr>
              <w:t>v</w:t>
            </w:r>
            <w:r w:rsidRPr="004D7B61">
              <w:rPr>
                <w:rFonts w:ascii="Palatino Linotype" w:hAnsi="Palatino Linotype" w:cs="Calibri"/>
                <w:b/>
                <w:sz w:val="22"/>
                <w:szCs w:val="22"/>
              </w:rPr>
              <w:t xml:space="preserve">erde </w:t>
            </w:r>
            <w:r>
              <w:rPr>
                <w:rFonts w:ascii="Palatino Linotype" w:hAnsi="Palatino Linotype" w:cs="Calibri"/>
                <w:b/>
                <w:sz w:val="22"/>
                <w:szCs w:val="22"/>
              </w:rPr>
              <w:t>y</w:t>
            </w:r>
            <w:r w:rsidRPr="004D7B61">
              <w:rPr>
                <w:rFonts w:ascii="Palatino Linotype" w:hAnsi="Palatino Linotype" w:cs="Calibri"/>
                <w:b/>
                <w:sz w:val="22"/>
                <w:szCs w:val="22"/>
              </w:rPr>
              <w:t xml:space="preserve"> </w:t>
            </w:r>
            <w:r>
              <w:rPr>
                <w:rFonts w:ascii="Palatino Linotype" w:hAnsi="Palatino Linotype" w:cs="Calibri"/>
                <w:b/>
                <w:sz w:val="22"/>
                <w:szCs w:val="22"/>
              </w:rPr>
              <w:t>c</w:t>
            </w:r>
            <w:r w:rsidRPr="004D7B61">
              <w:rPr>
                <w:rFonts w:ascii="Palatino Linotype" w:hAnsi="Palatino Linotype" w:cs="Calibri"/>
                <w:b/>
                <w:sz w:val="22"/>
                <w:szCs w:val="22"/>
              </w:rPr>
              <w:t>omunal</w:t>
            </w:r>
          </w:p>
        </w:tc>
      </w:tr>
      <w:tr w:rsidR="004D7B61" w:rsidRPr="004D7B61" w:rsidTr="006C53D9">
        <w:trPr>
          <w:jc w:val="center"/>
        </w:trPr>
        <w:tc>
          <w:tcPr>
            <w:tcW w:w="1742" w:type="dxa"/>
            <w:vMerge w:val="restart"/>
            <w:shd w:val="clear" w:color="auto" w:fill="FFFFFF"/>
            <w:vAlign w:val="center"/>
          </w:tcPr>
          <w:p w:rsidR="006C53D9" w:rsidRDefault="006C53D9" w:rsidP="004D7B61">
            <w:pPr>
              <w:jc w:val="center"/>
              <w:rPr>
                <w:rFonts w:ascii="Palatino Linotype" w:hAnsi="Palatino Linotype" w:cs="Calibri"/>
                <w:b/>
                <w:sz w:val="22"/>
                <w:szCs w:val="22"/>
              </w:rPr>
            </w:pPr>
          </w:p>
          <w:p w:rsidR="006C53D9" w:rsidRDefault="006C53D9" w:rsidP="004D7B61">
            <w:pPr>
              <w:jc w:val="center"/>
              <w:rPr>
                <w:rFonts w:ascii="Palatino Linotype" w:hAnsi="Palatino Linotype" w:cs="Calibri"/>
                <w:b/>
                <w:sz w:val="22"/>
                <w:szCs w:val="22"/>
              </w:rPr>
            </w:pPr>
          </w:p>
          <w:p w:rsidR="006C53D9" w:rsidRDefault="006C53D9" w:rsidP="004D7B61">
            <w:pPr>
              <w:jc w:val="center"/>
              <w:rPr>
                <w:rFonts w:ascii="Palatino Linotype" w:hAnsi="Palatino Linotype" w:cs="Calibri"/>
                <w:b/>
                <w:sz w:val="22"/>
                <w:szCs w:val="22"/>
              </w:rPr>
            </w:pPr>
          </w:p>
          <w:p w:rsidR="006C53D9" w:rsidRDefault="006C53D9" w:rsidP="004D7B61">
            <w:pPr>
              <w:jc w:val="center"/>
              <w:rPr>
                <w:rFonts w:ascii="Palatino Linotype" w:hAnsi="Palatino Linotype" w:cs="Calibri"/>
                <w:b/>
                <w:sz w:val="22"/>
                <w:szCs w:val="22"/>
              </w:rPr>
            </w:pPr>
          </w:p>
          <w:p w:rsidR="006C53D9" w:rsidRDefault="006C53D9" w:rsidP="004D7B61">
            <w:pPr>
              <w:jc w:val="center"/>
              <w:rPr>
                <w:rFonts w:ascii="Palatino Linotype" w:hAnsi="Palatino Linotype" w:cs="Calibri"/>
                <w:b/>
                <w:sz w:val="22"/>
                <w:szCs w:val="22"/>
              </w:rPr>
            </w:pPr>
          </w:p>
          <w:p w:rsidR="006C53D9" w:rsidRDefault="006C53D9" w:rsidP="004D7B61">
            <w:pPr>
              <w:jc w:val="center"/>
              <w:rPr>
                <w:rFonts w:ascii="Palatino Linotype" w:hAnsi="Palatino Linotype" w:cs="Calibri"/>
                <w:b/>
                <w:sz w:val="22"/>
                <w:szCs w:val="22"/>
              </w:rPr>
            </w:pPr>
          </w:p>
          <w:p w:rsidR="004D7B61" w:rsidRPr="004D7B61" w:rsidRDefault="004D7B61" w:rsidP="004D7B61">
            <w:pPr>
              <w:jc w:val="center"/>
              <w:rPr>
                <w:rFonts w:ascii="Palatino Linotype" w:hAnsi="Palatino Linotype" w:cs="Calibri"/>
                <w:b/>
                <w:sz w:val="22"/>
                <w:szCs w:val="22"/>
              </w:rPr>
            </w:pPr>
            <w:r w:rsidRPr="004D7B61">
              <w:rPr>
                <w:rFonts w:ascii="Palatino Linotype" w:hAnsi="Palatino Linotype" w:cs="Calibri"/>
                <w:b/>
                <w:sz w:val="22"/>
                <w:szCs w:val="22"/>
              </w:rPr>
              <w:t xml:space="preserve">Área Verde </w:t>
            </w:r>
          </w:p>
          <w:p w:rsidR="004D7B61" w:rsidRPr="004D7B61" w:rsidRDefault="004D7B61" w:rsidP="004D7B61">
            <w:pPr>
              <w:jc w:val="center"/>
              <w:rPr>
                <w:rFonts w:ascii="Palatino Linotype" w:hAnsi="Palatino Linotype" w:cs="Calibri"/>
                <w:sz w:val="22"/>
                <w:szCs w:val="22"/>
              </w:rPr>
            </w:pPr>
          </w:p>
        </w:tc>
        <w:tc>
          <w:tcPr>
            <w:tcW w:w="848" w:type="dxa"/>
            <w:tcBorders>
              <w:right w:val="single" w:sz="4" w:space="0" w:color="auto"/>
            </w:tcBorders>
            <w:shd w:val="clear" w:color="auto" w:fill="FFFFFF"/>
          </w:tcPr>
          <w:p w:rsidR="004D7B61" w:rsidRPr="004D7B61" w:rsidRDefault="004D7B61" w:rsidP="004D7B61">
            <w:pPr>
              <w:rPr>
                <w:rFonts w:ascii="Palatino Linotype" w:hAnsi="Palatino Linotype" w:cs="Calibri"/>
                <w:b/>
                <w:sz w:val="22"/>
                <w:szCs w:val="22"/>
              </w:rPr>
            </w:pPr>
          </w:p>
        </w:tc>
        <w:tc>
          <w:tcPr>
            <w:tcW w:w="2462" w:type="dxa"/>
            <w:tcBorders>
              <w:left w:val="single" w:sz="4" w:space="0" w:color="auto"/>
            </w:tcBorders>
            <w:shd w:val="clear" w:color="auto" w:fill="FFFFFF"/>
          </w:tcPr>
          <w:p w:rsidR="004D7B61" w:rsidRPr="004D7B61" w:rsidRDefault="006C53D9" w:rsidP="004D7B61">
            <w:pPr>
              <w:jc w:val="center"/>
              <w:rPr>
                <w:rFonts w:ascii="Palatino Linotype" w:hAnsi="Palatino Linotype" w:cs="Calibri"/>
                <w:b/>
                <w:sz w:val="22"/>
                <w:szCs w:val="22"/>
              </w:rPr>
            </w:pPr>
            <w:r w:rsidRPr="004D7B61">
              <w:rPr>
                <w:rFonts w:ascii="Palatino Linotype" w:hAnsi="Palatino Linotype" w:cs="Calibri"/>
                <w:b/>
                <w:sz w:val="22"/>
                <w:szCs w:val="22"/>
              </w:rPr>
              <w:t>Lindero</w:t>
            </w:r>
          </w:p>
        </w:tc>
        <w:tc>
          <w:tcPr>
            <w:tcW w:w="1223" w:type="dxa"/>
            <w:tcBorders>
              <w:left w:val="single" w:sz="4" w:space="0" w:color="auto"/>
              <w:right w:val="single" w:sz="4" w:space="0" w:color="auto"/>
            </w:tcBorders>
            <w:shd w:val="clear" w:color="auto" w:fill="FFFFFF"/>
            <w:vAlign w:val="center"/>
          </w:tcPr>
          <w:p w:rsidR="004D7B61" w:rsidRPr="004D7B61" w:rsidRDefault="006C53D9" w:rsidP="004D7B61">
            <w:pPr>
              <w:jc w:val="center"/>
              <w:rPr>
                <w:rFonts w:ascii="Palatino Linotype" w:hAnsi="Palatino Linotype" w:cs="Calibri"/>
                <w:b/>
                <w:sz w:val="22"/>
                <w:szCs w:val="22"/>
              </w:rPr>
            </w:pPr>
            <w:r w:rsidRPr="004D7B61">
              <w:rPr>
                <w:rFonts w:ascii="Palatino Linotype" w:hAnsi="Palatino Linotype" w:cs="Calibri"/>
                <w:b/>
                <w:sz w:val="22"/>
                <w:szCs w:val="22"/>
              </w:rPr>
              <w:t>En Parte</w:t>
            </w:r>
          </w:p>
        </w:tc>
        <w:tc>
          <w:tcPr>
            <w:tcW w:w="1204" w:type="dxa"/>
            <w:tcBorders>
              <w:left w:val="single" w:sz="4" w:space="0" w:color="auto"/>
            </w:tcBorders>
            <w:shd w:val="clear" w:color="auto" w:fill="FFFFFF"/>
            <w:vAlign w:val="center"/>
          </w:tcPr>
          <w:p w:rsidR="004D7B61" w:rsidRPr="004D7B61" w:rsidRDefault="006C53D9" w:rsidP="004D7B61">
            <w:pPr>
              <w:jc w:val="center"/>
              <w:rPr>
                <w:rFonts w:ascii="Palatino Linotype" w:hAnsi="Palatino Linotype" w:cs="Calibri"/>
                <w:b/>
                <w:sz w:val="22"/>
                <w:szCs w:val="22"/>
              </w:rPr>
            </w:pPr>
            <w:r w:rsidRPr="004D7B61">
              <w:rPr>
                <w:rFonts w:ascii="Palatino Linotype" w:hAnsi="Palatino Linotype" w:cs="Calibri"/>
                <w:b/>
                <w:sz w:val="22"/>
                <w:szCs w:val="22"/>
              </w:rPr>
              <w:t>Total</w:t>
            </w:r>
          </w:p>
        </w:tc>
        <w:tc>
          <w:tcPr>
            <w:tcW w:w="1418" w:type="dxa"/>
            <w:tcBorders>
              <w:top w:val="single" w:sz="4" w:space="0" w:color="auto"/>
              <w:bottom w:val="single" w:sz="4" w:space="0" w:color="auto"/>
            </w:tcBorders>
            <w:shd w:val="clear" w:color="auto" w:fill="FFFFFF"/>
            <w:vAlign w:val="center"/>
          </w:tcPr>
          <w:p w:rsidR="004D7B61" w:rsidRPr="004D7B61" w:rsidRDefault="006C53D9" w:rsidP="004D7B61">
            <w:pPr>
              <w:jc w:val="center"/>
              <w:rPr>
                <w:rFonts w:ascii="Palatino Linotype" w:hAnsi="Palatino Linotype" w:cs="Calibri"/>
                <w:sz w:val="22"/>
                <w:szCs w:val="22"/>
              </w:rPr>
            </w:pPr>
            <w:r w:rsidRPr="004D7B61">
              <w:rPr>
                <w:rFonts w:ascii="Palatino Linotype" w:hAnsi="Palatino Linotype" w:cs="Calibri"/>
                <w:b/>
                <w:sz w:val="22"/>
                <w:szCs w:val="22"/>
              </w:rPr>
              <w:t>Superficie</w:t>
            </w:r>
          </w:p>
        </w:tc>
      </w:tr>
      <w:tr w:rsidR="004D7B61" w:rsidRPr="004D7B61" w:rsidTr="006C53D9">
        <w:trPr>
          <w:trHeight w:val="293"/>
          <w:jc w:val="center"/>
        </w:trPr>
        <w:tc>
          <w:tcPr>
            <w:tcW w:w="1742" w:type="dxa"/>
            <w:vMerge/>
            <w:shd w:val="clear" w:color="auto" w:fill="FFFFFF"/>
          </w:tcPr>
          <w:p w:rsidR="004D7B61" w:rsidRPr="004D7B61" w:rsidRDefault="004D7B61" w:rsidP="004D7B61">
            <w:pPr>
              <w:rPr>
                <w:rFonts w:ascii="Palatino Linotype" w:hAnsi="Palatino Linotype" w:cs="Calibri"/>
                <w:sz w:val="22"/>
                <w:szCs w:val="22"/>
              </w:rPr>
            </w:pPr>
          </w:p>
        </w:tc>
        <w:tc>
          <w:tcPr>
            <w:tcW w:w="848" w:type="dxa"/>
            <w:shd w:val="clear" w:color="auto" w:fill="FFFFFF"/>
          </w:tcPr>
          <w:p w:rsidR="004D7B61" w:rsidRPr="004D7B61" w:rsidRDefault="004D7B61" w:rsidP="004D7B61">
            <w:pPr>
              <w:rPr>
                <w:rFonts w:ascii="Palatino Linotype" w:hAnsi="Palatino Linotype" w:cs="Calibri"/>
                <w:b/>
                <w:sz w:val="22"/>
                <w:szCs w:val="22"/>
              </w:rPr>
            </w:pPr>
            <w:r w:rsidRPr="004D7B61">
              <w:rPr>
                <w:rFonts w:ascii="Palatino Linotype" w:hAnsi="Palatino Linotype" w:cs="Calibri"/>
                <w:b/>
                <w:sz w:val="22"/>
                <w:szCs w:val="22"/>
              </w:rPr>
              <w:t>Norte:</w:t>
            </w:r>
          </w:p>
        </w:tc>
        <w:tc>
          <w:tcPr>
            <w:tcW w:w="2462" w:type="dxa"/>
            <w:shd w:val="clear" w:color="auto" w:fill="FFFFFF"/>
          </w:tcPr>
          <w:p w:rsidR="004D7B61" w:rsidRPr="004D7B61" w:rsidRDefault="006C53D9" w:rsidP="006C53D9">
            <w:pPr>
              <w:jc w:val="both"/>
              <w:rPr>
                <w:rFonts w:ascii="Palatino Linotype" w:hAnsi="Palatino Linotype" w:cs="Calibri"/>
                <w:sz w:val="22"/>
                <w:szCs w:val="22"/>
              </w:rPr>
            </w:pPr>
            <w:r>
              <w:rPr>
                <w:rFonts w:ascii="Palatino Linotype" w:hAnsi="Palatino Linotype" w:cs="Calibri"/>
                <w:sz w:val="22"/>
                <w:szCs w:val="22"/>
              </w:rPr>
              <w:t xml:space="preserve">Lote No. </w:t>
            </w:r>
            <w:r w:rsidR="004D7B61" w:rsidRPr="004D7B61">
              <w:rPr>
                <w:rFonts w:ascii="Palatino Linotype" w:hAnsi="Palatino Linotype" w:cs="Calibri"/>
                <w:sz w:val="22"/>
                <w:szCs w:val="22"/>
              </w:rPr>
              <w:t xml:space="preserve">11 </w:t>
            </w:r>
          </w:p>
          <w:p w:rsidR="004D7B61" w:rsidRPr="004D7B61" w:rsidRDefault="004D7B61" w:rsidP="006C53D9">
            <w:pPr>
              <w:jc w:val="both"/>
              <w:rPr>
                <w:rFonts w:ascii="Palatino Linotype" w:hAnsi="Palatino Linotype" w:cs="Calibri"/>
                <w:sz w:val="22"/>
                <w:szCs w:val="22"/>
              </w:rPr>
            </w:pPr>
            <w:r w:rsidRPr="004D7B61">
              <w:rPr>
                <w:rFonts w:ascii="Palatino Linotype" w:hAnsi="Palatino Linotype" w:cs="Calibri"/>
                <w:sz w:val="22"/>
                <w:szCs w:val="22"/>
              </w:rPr>
              <w:t>Escalinata</w:t>
            </w:r>
          </w:p>
          <w:p w:rsidR="004D7B61" w:rsidRPr="004D7B61" w:rsidRDefault="004D7B61" w:rsidP="006C53D9">
            <w:pPr>
              <w:jc w:val="both"/>
              <w:rPr>
                <w:rFonts w:ascii="Palatino Linotype" w:hAnsi="Palatino Linotype" w:cs="Calibri"/>
                <w:sz w:val="22"/>
                <w:szCs w:val="22"/>
              </w:rPr>
            </w:pPr>
            <w:r w:rsidRPr="004D7B61">
              <w:rPr>
                <w:rFonts w:ascii="Palatino Linotype" w:hAnsi="Palatino Linotype" w:cs="Calibri"/>
                <w:sz w:val="22"/>
                <w:szCs w:val="22"/>
              </w:rPr>
              <w:t xml:space="preserve">Lote </w:t>
            </w:r>
            <w:r w:rsidR="006C53D9">
              <w:rPr>
                <w:rFonts w:ascii="Palatino Linotype" w:hAnsi="Palatino Linotype" w:cs="Calibri"/>
                <w:sz w:val="22"/>
                <w:szCs w:val="22"/>
              </w:rPr>
              <w:t xml:space="preserve">No. </w:t>
            </w:r>
            <w:r w:rsidRPr="004D7B61">
              <w:rPr>
                <w:rFonts w:ascii="Palatino Linotype" w:hAnsi="Palatino Linotype" w:cs="Calibri"/>
                <w:sz w:val="22"/>
                <w:szCs w:val="22"/>
              </w:rPr>
              <w:t>12</w:t>
            </w:r>
          </w:p>
        </w:tc>
        <w:tc>
          <w:tcPr>
            <w:tcW w:w="1223" w:type="dxa"/>
            <w:tcBorders>
              <w:right w:val="single" w:sz="4" w:space="0" w:color="auto"/>
            </w:tcBorders>
            <w:shd w:val="clear" w:color="auto" w:fill="FFFFFF"/>
            <w:vAlign w:val="center"/>
          </w:tcPr>
          <w:p w:rsidR="004D7B61" w:rsidRPr="004D7B61" w:rsidRDefault="004D7B61" w:rsidP="004D7B61">
            <w:pPr>
              <w:jc w:val="center"/>
              <w:rPr>
                <w:rFonts w:ascii="Palatino Linotype" w:hAnsi="Palatino Linotype" w:cs="Calibri"/>
                <w:sz w:val="22"/>
                <w:szCs w:val="22"/>
              </w:rPr>
            </w:pPr>
            <w:r w:rsidRPr="004D7B61">
              <w:rPr>
                <w:rFonts w:ascii="Palatino Linotype" w:hAnsi="Palatino Linotype" w:cs="Calibri"/>
                <w:sz w:val="22"/>
                <w:szCs w:val="22"/>
              </w:rPr>
              <w:t>21,38m.</w:t>
            </w:r>
          </w:p>
          <w:p w:rsidR="004D7B61" w:rsidRPr="004D7B61" w:rsidRDefault="004D7B61" w:rsidP="004D7B61">
            <w:pPr>
              <w:jc w:val="center"/>
              <w:rPr>
                <w:rFonts w:ascii="Palatino Linotype" w:hAnsi="Palatino Linotype" w:cs="Calibri"/>
                <w:sz w:val="22"/>
                <w:szCs w:val="22"/>
              </w:rPr>
            </w:pPr>
            <w:r w:rsidRPr="004D7B61">
              <w:rPr>
                <w:rFonts w:ascii="Palatino Linotype" w:hAnsi="Palatino Linotype" w:cs="Calibri"/>
                <w:sz w:val="22"/>
                <w:szCs w:val="22"/>
              </w:rPr>
              <w:t>8,00 m.</w:t>
            </w:r>
          </w:p>
          <w:p w:rsidR="004D7B61" w:rsidRPr="004D7B61" w:rsidRDefault="004D7B61" w:rsidP="004D7B61">
            <w:pPr>
              <w:jc w:val="center"/>
              <w:rPr>
                <w:rFonts w:ascii="Palatino Linotype" w:hAnsi="Palatino Linotype" w:cs="Calibri"/>
                <w:sz w:val="22"/>
                <w:szCs w:val="22"/>
              </w:rPr>
            </w:pPr>
            <w:r w:rsidRPr="004D7B61">
              <w:rPr>
                <w:rFonts w:ascii="Palatino Linotype" w:hAnsi="Palatino Linotype" w:cs="Calibri"/>
                <w:sz w:val="22"/>
                <w:szCs w:val="22"/>
              </w:rPr>
              <w:t>15,49 m.</w:t>
            </w:r>
          </w:p>
        </w:tc>
        <w:tc>
          <w:tcPr>
            <w:tcW w:w="1204" w:type="dxa"/>
            <w:tcBorders>
              <w:left w:val="single" w:sz="4" w:space="0" w:color="auto"/>
            </w:tcBorders>
            <w:shd w:val="clear" w:color="auto" w:fill="FFFFFF"/>
            <w:vAlign w:val="center"/>
          </w:tcPr>
          <w:p w:rsidR="004D7B61" w:rsidRPr="004D7B61" w:rsidRDefault="004D7B61" w:rsidP="006C53D9">
            <w:pPr>
              <w:jc w:val="center"/>
              <w:rPr>
                <w:rFonts w:ascii="Palatino Linotype" w:hAnsi="Palatino Linotype" w:cs="Calibri"/>
                <w:sz w:val="22"/>
                <w:szCs w:val="22"/>
              </w:rPr>
            </w:pPr>
            <w:r w:rsidRPr="004D7B61">
              <w:rPr>
                <w:rFonts w:ascii="Palatino Linotype" w:hAnsi="Palatino Linotype" w:cs="Calibri"/>
                <w:sz w:val="22"/>
                <w:szCs w:val="22"/>
              </w:rPr>
              <w:t>44,87 m.</w:t>
            </w:r>
          </w:p>
        </w:tc>
        <w:tc>
          <w:tcPr>
            <w:tcW w:w="1418" w:type="dxa"/>
            <w:vMerge w:val="restart"/>
            <w:tcBorders>
              <w:top w:val="single" w:sz="4" w:space="0" w:color="auto"/>
            </w:tcBorders>
            <w:shd w:val="clear" w:color="auto" w:fill="FFFFFF"/>
            <w:vAlign w:val="center"/>
          </w:tcPr>
          <w:p w:rsidR="00E649A7" w:rsidRDefault="00E649A7" w:rsidP="006C53D9">
            <w:pPr>
              <w:jc w:val="center"/>
              <w:rPr>
                <w:rFonts w:ascii="Palatino Linotype" w:hAnsi="Palatino Linotype" w:cs="Calibri"/>
                <w:sz w:val="22"/>
                <w:szCs w:val="22"/>
              </w:rPr>
            </w:pPr>
          </w:p>
          <w:p w:rsidR="00E649A7" w:rsidRDefault="00E649A7" w:rsidP="006C53D9">
            <w:pPr>
              <w:jc w:val="center"/>
              <w:rPr>
                <w:rFonts w:ascii="Palatino Linotype" w:hAnsi="Palatino Linotype" w:cs="Calibri"/>
                <w:sz w:val="22"/>
                <w:szCs w:val="22"/>
              </w:rPr>
            </w:pPr>
          </w:p>
          <w:p w:rsidR="00E649A7" w:rsidRDefault="00E649A7" w:rsidP="006C53D9">
            <w:pPr>
              <w:jc w:val="center"/>
              <w:rPr>
                <w:rFonts w:ascii="Palatino Linotype" w:hAnsi="Palatino Linotype" w:cs="Calibri"/>
                <w:sz w:val="22"/>
                <w:szCs w:val="22"/>
              </w:rPr>
            </w:pPr>
          </w:p>
          <w:p w:rsidR="00E649A7" w:rsidRDefault="00E649A7" w:rsidP="006C53D9">
            <w:pPr>
              <w:jc w:val="center"/>
              <w:rPr>
                <w:rFonts w:ascii="Palatino Linotype" w:hAnsi="Palatino Linotype" w:cs="Calibri"/>
                <w:sz w:val="22"/>
                <w:szCs w:val="22"/>
              </w:rPr>
            </w:pPr>
          </w:p>
          <w:p w:rsidR="004D7B61" w:rsidRPr="004D7B61" w:rsidRDefault="004D7B61" w:rsidP="006C53D9">
            <w:pPr>
              <w:jc w:val="center"/>
              <w:rPr>
                <w:rFonts w:ascii="Palatino Linotype" w:hAnsi="Palatino Linotype" w:cs="Calibri"/>
                <w:sz w:val="22"/>
                <w:szCs w:val="22"/>
              </w:rPr>
            </w:pPr>
            <w:r w:rsidRPr="004D7B61">
              <w:rPr>
                <w:rFonts w:ascii="Palatino Linotype" w:hAnsi="Palatino Linotype" w:cs="Calibri"/>
                <w:sz w:val="22"/>
                <w:szCs w:val="22"/>
              </w:rPr>
              <w:t>1.252,37 m</w:t>
            </w:r>
            <w:r w:rsidRPr="006C53D9">
              <w:rPr>
                <w:rFonts w:ascii="Palatino Linotype" w:hAnsi="Palatino Linotype" w:cs="Calibri"/>
                <w:sz w:val="22"/>
                <w:szCs w:val="22"/>
                <w:vertAlign w:val="superscript"/>
              </w:rPr>
              <w:t>2</w:t>
            </w:r>
          </w:p>
        </w:tc>
      </w:tr>
      <w:tr w:rsidR="004D7B61" w:rsidRPr="004D7B61" w:rsidTr="006C53D9">
        <w:trPr>
          <w:jc w:val="center"/>
        </w:trPr>
        <w:tc>
          <w:tcPr>
            <w:tcW w:w="1742" w:type="dxa"/>
            <w:vMerge/>
            <w:shd w:val="clear" w:color="auto" w:fill="FFFFFF"/>
          </w:tcPr>
          <w:p w:rsidR="004D7B61" w:rsidRPr="004D7B61" w:rsidRDefault="004D7B61" w:rsidP="004D7B61">
            <w:pPr>
              <w:rPr>
                <w:rFonts w:ascii="Palatino Linotype" w:hAnsi="Palatino Linotype" w:cs="Calibri"/>
                <w:sz w:val="22"/>
                <w:szCs w:val="22"/>
              </w:rPr>
            </w:pPr>
          </w:p>
        </w:tc>
        <w:tc>
          <w:tcPr>
            <w:tcW w:w="848" w:type="dxa"/>
            <w:shd w:val="clear" w:color="auto" w:fill="FFFFFF"/>
          </w:tcPr>
          <w:p w:rsidR="004D7B61" w:rsidRPr="004D7B61" w:rsidRDefault="004D7B61" w:rsidP="004D7B61">
            <w:pPr>
              <w:rPr>
                <w:rFonts w:ascii="Palatino Linotype" w:hAnsi="Palatino Linotype" w:cs="Calibri"/>
                <w:b/>
                <w:sz w:val="22"/>
                <w:szCs w:val="22"/>
              </w:rPr>
            </w:pPr>
            <w:r w:rsidRPr="004D7B61">
              <w:rPr>
                <w:rFonts w:ascii="Palatino Linotype" w:hAnsi="Palatino Linotype" w:cs="Calibri"/>
                <w:b/>
                <w:sz w:val="22"/>
                <w:szCs w:val="22"/>
              </w:rPr>
              <w:t>Sur:</w:t>
            </w:r>
          </w:p>
        </w:tc>
        <w:tc>
          <w:tcPr>
            <w:tcW w:w="2462" w:type="dxa"/>
            <w:shd w:val="clear" w:color="auto" w:fill="FFFFFF"/>
          </w:tcPr>
          <w:p w:rsidR="004D7B61" w:rsidRPr="004D7B61" w:rsidRDefault="004D7B61" w:rsidP="006C53D9">
            <w:pPr>
              <w:jc w:val="both"/>
              <w:rPr>
                <w:rFonts w:ascii="Palatino Linotype" w:hAnsi="Palatino Linotype" w:cs="Calibri"/>
                <w:sz w:val="22"/>
                <w:szCs w:val="22"/>
              </w:rPr>
            </w:pPr>
            <w:r w:rsidRPr="004D7B61">
              <w:rPr>
                <w:rFonts w:ascii="Palatino Linotype" w:hAnsi="Palatino Linotype" w:cs="Calibri"/>
                <w:sz w:val="22"/>
                <w:szCs w:val="22"/>
              </w:rPr>
              <w:t xml:space="preserve">Faja de protección de </w:t>
            </w:r>
            <w:r w:rsidR="006C53D9">
              <w:rPr>
                <w:rFonts w:ascii="Palatino Linotype" w:hAnsi="Palatino Linotype" w:cs="Calibri"/>
                <w:sz w:val="22"/>
                <w:szCs w:val="22"/>
              </w:rPr>
              <w:t>q</w:t>
            </w:r>
            <w:r w:rsidRPr="004D7B61">
              <w:rPr>
                <w:rFonts w:ascii="Palatino Linotype" w:hAnsi="Palatino Linotype" w:cs="Calibri"/>
                <w:sz w:val="22"/>
                <w:szCs w:val="22"/>
              </w:rPr>
              <w:t>uebrada</w:t>
            </w:r>
          </w:p>
        </w:tc>
        <w:tc>
          <w:tcPr>
            <w:tcW w:w="1223" w:type="dxa"/>
            <w:tcBorders>
              <w:right w:val="single" w:sz="4" w:space="0" w:color="auto"/>
            </w:tcBorders>
            <w:shd w:val="clear" w:color="auto" w:fill="FFFFFF"/>
            <w:vAlign w:val="center"/>
          </w:tcPr>
          <w:p w:rsidR="004D7B61" w:rsidRPr="004D7B61" w:rsidRDefault="004D7B61" w:rsidP="004D7B61">
            <w:pPr>
              <w:jc w:val="center"/>
              <w:rPr>
                <w:rFonts w:ascii="Palatino Linotype" w:hAnsi="Palatino Linotype" w:cs="Calibri"/>
                <w:sz w:val="22"/>
                <w:szCs w:val="22"/>
              </w:rPr>
            </w:pPr>
            <w:r w:rsidRPr="004D7B61">
              <w:rPr>
                <w:rFonts w:ascii="Palatino Linotype" w:hAnsi="Palatino Linotype" w:cs="Calibri"/>
                <w:sz w:val="22"/>
                <w:szCs w:val="22"/>
              </w:rPr>
              <w:t>14,19 m.</w:t>
            </w:r>
          </w:p>
          <w:p w:rsidR="004D7B61" w:rsidRPr="004D7B61" w:rsidRDefault="004D7B61" w:rsidP="004D7B61">
            <w:pPr>
              <w:jc w:val="center"/>
              <w:rPr>
                <w:rFonts w:ascii="Palatino Linotype" w:hAnsi="Palatino Linotype" w:cs="Calibri"/>
                <w:sz w:val="22"/>
                <w:szCs w:val="22"/>
              </w:rPr>
            </w:pPr>
            <w:r w:rsidRPr="004D7B61">
              <w:rPr>
                <w:rFonts w:ascii="Palatino Linotype" w:hAnsi="Palatino Linotype" w:cs="Calibri"/>
                <w:sz w:val="22"/>
                <w:szCs w:val="22"/>
              </w:rPr>
              <w:t>12,90 m.</w:t>
            </w:r>
          </w:p>
          <w:p w:rsidR="004D7B61" w:rsidRPr="004D7B61" w:rsidRDefault="004D7B61" w:rsidP="004D7B61">
            <w:pPr>
              <w:jc w:val="center"/>
              <w:rPr>
                <w:rFonts w:ascii="Palatino Linotype" w:hAnsi="Palatino Linotype" w:cs="Calibri"/>
                <w:sz w:val="22"/>
                <w:szCs w:val="22"/>
              </w:rPr>
            </w:pPr>
            <w:r w:rsidRPr="004D7B61">
              <w:rPr>
                <w:rFonts w:ascii="Palatino Linotype" w:hAnsi="Palatino Linotype" w:cs="Calibri"/>
                <w:sz w:val="22"/>
                <w:szCs w:val="22"/>
              </w:rPr>
              <w:t>14,26 m.</w:t>
            </w:r>
          </w:p>
          <w:p w:rsidR="004D7B61" w:rsidRPr="004D7B61" w:rsidRDefault="004D7B61" w:rsidP="004D7B61">
            <w:pPr>
              <w:jc w:val="center"/>
              <w:rPr>
                <w:rFonts w:ascii="Palatino Linotype" w:hAnsi="Palatino Linotype" w:cs="Calibri"/>
                <w:sz w:val="22"/>
                <w:szCs w:val="22"/>
              </w:rPr>
            </w:pPr>
            <w:r w:rsidRPr="004D7B61">
              <w:rPr>
                <w:rFonts w:ascii="Palatino Linotype" w:hAnsi="Palatino Linotype" w:cs="Calibri"/>
                <w:sz w:val="22"/>
                <w:szCs w:val="22"/>
              </w:rPr>
              <w:lastRenderedPageBreak/>
              <w:t>7,89 m.</w:t>
            </w:r>
          </w:p>
        </w:tc>
        <w:tc>
          <w:tcPr>
            <w:tcW w:w="1204" w:type="dxa"/>
            <w:tcBorders>
              <w:left w:val="single" w:sz="4" w:space="0" w:color="auto"/>
            </w:tcBorders>
            <w:shd w:val="clear" w:color="auto" w:fill="FFFFFF"/>
            <w:vAlign w:val="center"/>
          </w:tcPr>
          <w:p w:rsidR="004D7B61" w:rsidRPr="004D7B61" w:rsidRDefault="004D7B61" w:rsidP="006C53D9">
            <w:pPr>
              <w:jc w:val="center"/>
              <w:rPr>
                <w:rFonts w:ascii="Palatino Linotype" w:hAnsi="Palatino Linotype" w:cs="Calibri"/>
                <w:sz w:val="22"/>
                <w:szCs w:val="22"/>
              </w:rPr>
            </w:pPr>
            <w:r w:rsidRPr="004D7B61">
              <w:rPr>
                <w:rFonts w:ascii="Palatino Linotype" w:hAnsi="Palatino Linotype" w:cs="Calibri"/>
                <w:sz w:val="22"/>
                <w:szCs w:val="22"/>
              </w:rPr>
              <w:lastRenderedPageBreak/>
              <w:t>49,24 m.</w:t>
            </w:r>
          </w:p>
        </w:tc>
        <w:tc>
          <w:tcPr>
            <w:tcW w:w="1418" w:type="dxa"/>
            <w:vMerge/>
            <w:shd w:val="clear" w:color="auto" w:fill="FFFFFF"/>
          </w:tcPr>
          <w:p w:rsidR="004D7B61" w:rsidRPr="004D7B61" w:rsidRDefault="004D7B61" w:rsidP="006C53D9">
            <w:pPr>
              <w:jc w:val="center"/>
              <w:rPr>
                <w:rFonts w:ascii="Palatino Linotype" w:hAnsi="Palatino Linotype" w:cs="Calibri"/>
                <w:sz w:val="22"/>
                <w:szCs w:val="22"/>
              </w:rPr>
            </w:pPr>
          </w:p>
        </w:tc>
      </w:tr>
      <w:tr w:rsidR="004D7B61" w:rsidRPr="004D7B61" w:rsidTr="006C53D9">
        <w:trPr>
          <w:jc w:val="center"/>
        </w:trPr>
        <w:tc>
          <w:tcPr>
            <w:tcW w:w="1742" w:type="dxa"/>
            <w:vMerge/>
            <w:shd w:val="clear" w:color="auto" w:fill="FFFFFF"/>
          </w:tcPr>
          <w:p w:rsidR="004D7B61" w:rsidRPr="004D7B61" w:rsidRDefault="004D7B61" w:rsidP="004D7B61">
            <w:pPr>
              <w:rPr>
                <w:rFonts w:ascii="Palatino Linotype" w:hAnsi="Palatino Linotype" w:cs="Calibri"/>
                <w:sz w:val="22"/>
                <w:szCs w:val="22"/>
              </w:rPr>
            </w:pPr>
          </w:p>
        </w:tc>
        <w:tc>
          <w:tcPr>
            <w:tcW w:w="848" w:type="dxa"/>
            <w:shd w:val="clear" w:color="auto" w:fill="FFFFFF"/>
            <w:vAlign w:val="center"/>
          </w:tcPr>
          <w:p w:rsidR="004D7B61" w:rsidRPr="004D7B61" w:rsidRDefault="004D7B61" w:rsidP="004D7B61">
            <w:pPr>
              <w:rPr>
                <w:rFonts w:ascii="Palatino Linotype" w:hAnsi="Palatino Linotype" w:cs="Calibri"/>
                <w:b/>
                <w:sz w:val="22"/>
                <w:szCs w:val="22"/>
              </w:rPr>
            </w:pPr>
            <w:r w:rsidRPr="004D7B61">
              <w:rPr>
                <w:rFonts w:ascii="Palatino Linotype" w:hAnsi="Palatino Linotype" w:cs="Calibri"/>
                <w:b/>
                <w:sz w:val="22"/>
                <w:szCs w:val="22"/>
              </w:rPr>
              <w:t>Este:</w:t>
            </w:r>
          </w:p>
        </w:tc>
        <w:tc>
          <w:tcPr>
            <w:tcW w:w="2462" w:type="dxa"/>
            <w:shd w:val="clear" w:color="auto" w:fill="FFFFFF"/>
            <w:vAlign w:val="center"/>
          </w:tcPr>
          <w:p w:rsidR="004D7B61" w:rsidRDefault="004D7B61" w:rsidP="006C53D9">
            <w:pPr>
              <w:jc w:val="both"/>
              <w:rPr>
                <w:rFonts w:ascii="Palatino Linotype" w:hAnsi="Palatino Linotype" w:cs="Calibri"/>
                <w:sz w:val="22"/>
                <w:szCs w:val="22"/>
              </w:rPr>
            </w:pPr>
            <w:r w:rsidRPr="004D7B61">
              <w:rPr>
                <w:rFonts w:ascii="Palatino Linotype" w:hAnsi="Palatino Linotype" w:cs="Calibri"/>
                <w:sz w:val="22"/>
                <w:szCs w:val="22"/>
              </w:rPr>
              <w:t xml:space="preserve">Propiedad </w:t>
            </w:r>
            <w:r w:rsidR="006C53D9">
              <w:rPr>
                <w:rFonts w:ascii="Palatino Linotype" w:hAnsi="Palatino Linotype" w:cs="Calibri"/>
                <w:sz w:val="22"/>
                <w:szCs w:val="22"/>
              </w:rPr>
              <w:t>p</w:t>
            </w:r>
            <w:r w:rsidRPr="004D7B61">
              <w:rPr>
                <w:rFonts w:ascii="Palatino Linotype" w:hAnsi="Palatino Linotype" w:cs="Calibri"/>
                <w:sz w:val="22"/>
                <w:szCs w:val="22"/>
              </w:rPr>
              <w:t>articular</w:t>
            </w:r>
          </w:p>
          <w:p w:rsidR="00E649A7" w:rsidRPr="004D7B61" w:rsidRDefault="00E649A7" w:rsidP="006C53D9">
            <w:pPr>
              <w:jc w:val="both"/>
              <w:rPr>
                <w:rFonts w:ascii="Palatino Linotype" w:hAnsi="Palatino Linotype" w:cs="Calibri"/>
                <w:sz w:val="22"/>
                <w:szCs w:val="22"/>
              </w:rPr>
            </w:pPr>
            <w:r>
              <w:rPr>
                <w:rFonts w:ascii="Palatino Linotype" w:hAnsi="Palatino Linotype" w:cs="Calibri"/>
                <w:sz w:val="22"/>
                <w:szCs w:val="22"/>
              </w:rPr>
              <w:t>Escalinata</w:t>
            </w:r>
          </w:p>
        </w:tc>
        <w:tc>
          <w:tcPr>
            <w:tcW w:w="1223" w:type="dxa"/>
            <w:tcBorders>
              <w:right w:val="single" w:sz="4" w:space="0" w:color="auto"/>
            </w:tcBorders>
            <w:shd w:val="clear" w:color="auto" w:fill="FFFFFF"/>
            <w:vAlign w:val="center"/>
          </w:tcPr>
          <w:p w:rsidR="004D7B61" w:rsidRPr="004D7B61" w:rsidRDefault="004D7B61" w:rsidP="004D7B61">
            <w:pPr>
              <w:jc w:val="center"/>
              <w:rPr>
                <w:rFonts w:ascii="Palatino Linotype" w:hAnsi="Palatino Linotype" w:cs="Calibri"/>
                <w:sz w:val="22"/>
                <w:szCs w:val="22"/>
              </w:rPr>
            </w:pPr>
            <w:r w:rsidRPr="004D7B61">
              <w:rPr>
                <w:rFonts w:ascii="Palatino Linotype" w:hAnsi="Palatino Linotype" w:cs="Calibri"/>
                <w:sz w:val="22"/>
                <w:szCs w:val="22"/>
              </w:rPr>
              <w:t>43,12 m.</w:t>
            </w:r>
          </w:p>
          <w:p w:rsidR="004D7B61" w:rsidRPr="004D7B61" w:rsidRDefault="004D7B61" w:rsidP="00E649A7">
            <w:pPr>
              <w:jc w:val="center"/>
              <w:rPr>
                <w:rFonts w:ascii="Palatino Linotype" w:hAnsi="Palatino Linotype" w:cs="Calibri"/>
                <w:sz w:val="22"/>
                <w:szCs w:val="22"/>
              </w:rPr>
            </w:pPr>
            <w:r w:rsidRPr="004D7B61">
              <w:rPr>
                <w:rFonts w:ascii="Palatino Linotype" w:hAnsi="Palatino Linotype" w:cs="Calibri"/>
                <w:sz w:val="22"/>
                <w:szCs w:val="22"/>
              </w:rPr>
              <w:t>5,</w:t>
            </w:r>
            <w:r w:rsidR="00E649A7">
              <w:rPr>
                <w:rFonts w:ascii="Palatino Linotype" w:hAnsi="Palatino Linotype" w:cs="Calibri"/>
                <w:sz w:val="22"/>
                <w:szCs w:val="22"/>
              </w:rPr>
              <w:t>2</w:t>
            </w:r>
            <w:r w:rsidRPr="004D7B61">
              <w:rPr>
                <w:rFonts w:ascii="Palatino Linotype" w:hAnsi="Palatino Linotype" w:cs="Calibri"/>
                <w:sz w:val="22"/>
                <w:szCs w:val="22"/>
              </w:rPr>
              <w:t>8 m.</w:t>
            </w:r>
          </w:p>
        </w:tc>
        <w:tc>
          <w:tcPr>
            <w:tcW w:w="1204" w:type="dxa"/>
            <w:tcBorders>
              <w:left w:val="single" w:sz="4" w:space="0" w:color="auto"/>
            </w:tcBorders>
            <w:shd w:val="clear" w:color="auto" w:fill="FFFFFF"/>
            <w:vAlign w:val="center"/>
          </w:tcPr>
          <w:p w:rsidR="004D7B61" w:rsidRPr="004D7B61" w:rsidRDefault="004D7B61" w:rsidP="006C53D9">
            <w:pPr>
              <w:jc w:val="center"/>
              <w:rPr>
                <w:rFonts w:ascii="Palatino Linotype" w:hAnsi="Palatino Linotype" w:cs="Calibri"/>
                <w:sz w:val="22"/>
                <w:szCs w:val="22"/>
              </w:rPr>
            </w:pPr>
            <w:r w:rsidRPr="004D7B61">
              <w:rPr>
                <w:rFonts w:ascii="Palatino Linotype" w:hAnsi="Palatino Linotype" w:cs="Calibri"/>
                <w:sz w:val="22"/>
                <w:szCs w:val="22"/>
              </w:rPr>
              <w:t>48,40 m.</w:t>
            </w:r>
          </w:p>
        </w:tc>
        <w:tc>
          <w:tcPr>
            <w:tcW w:w="1418" w:type="dxa"/>
            <w:vMerge/>
            <w:shd w:val="clear" w:color="auto" w:fill="FFFFFF"/>
          </w:tcPr>
          <w:p w:rsidR="004D7B61" w:rsidRPr="004D7B61" w:rsidRDefault="004D7B61" w:rsidP="006C53D9">
            <w:pPr>
              <w:jc w:val="center"/>
              <w:rPr>
                <w:rFonts w:ascii="Palatino Linotype" w:hAnsi="Palatino Linotype" w:cs="Calibri"/>
                <w:sz w:val="22"/>
                <w:szCs w:val="22"/>
              </w:rPr>
            </w:pPr>
          </w:p>
        </w:tc>
      </w:tr>
      <w:tr w:rsidR="004D7B61" w:rsidRPr="004D7B61" w:rsidTr="006C53D9">
        <w:trPr>
          <w:jc w:val="center"/>
        </w:trPr>
        <w:tc>
          <w:tcPr>
            <w:tcW w:w="1742" w:type="dxa"/>
            <w:vMerge/>
            <w:shd w:val="clear" w:color="auto" w:fill="FFFFFF"/>
          </w:tcPr>
          <w:p w:rsidR="004D7B61" w:rsidRPr="004D7B61" w:rsidRDefault="004D7B61" w:rsidP="004D7B61">
            <w:pPr>
              <w:rPr>
                <w:rFonts w:ascii="Palatino Linotype" w:hAnsi="Palatino Linotype" w:cs="Calibri"/>
                <w:sz w:val="22"/>
                <w:szCs w:val="22"/>
              </w:rPr>
            </w:pPr>
          </w:p>
        </w:tc>
        <w:tc>
          <w:tcPr>
            <w:tcW w:w="848" w:type="dxa"/>
            <w:shd w:val="clear" w:color="auto" w:fill="FFFFFF"/>
          </w:tcPr>
          <w:p w:rsidR="004D7B61" w:rsidRPr="004D7B61" w:rsidRDefault="004D7B61" w:rsidP="004D7B61">
            <w:pPr>
              <w:rPr>
                <w:rFonts w:ascii="Palatino Linotype" w:hAnsi="Palatino Linotype" w:cs="Calibri"/>
                <w:b/>
                <w:sz w:val="22"/>
                <w:szCs w:val="22"/>
              </w:rPr>
            </w:pPr>
            <w:r w:rsidRPr="004D7B61">
              <w:rPr>
                <w:rFonts w:ascii="Palatino Linotype" w:hAnsi="Palatino Linotype" w:cs="Calibri"/>
                <w:b/>
                <w:sz w:val="22"/>
                <w:szCs w:val="22"/>
              </w:rPr>
              <w:t>Oeste:</w:t>
            </w:r>
          </w:p>
        </w:tc>
        <w:tc>
          <w:tcPr>
            <w:tcW w:w="2462" w:type="dxa"/>
            <w:shd w:val="clear" w:color="auto" w:fill="FFFFFF"/>
          </w:tcPr>
          <w:p w:rsidR="004D7B61" w:rsidRPr="004D7B61" w:rsidRDefault="004D7B61" w:rsidP="006C53D9">
            <w:pPr>
              <w:jc w:val="both"/>
              <w:rPr>
                <w:rFonts w:ascii="Palatino Linotype" w:hAnsi="Palatino Linotype" w:cs="Calibri"/>
                <w:sz w:val="22"/>
                <w:szCs w:val="22"/>
              </w:rPr>
            </w:pPr>
            <w:r w:rsidRPr="004D7B61">
              <w:rPr>
                <w:rFonts w:ascii="Palatino Linotype" w:hAnsi="Palatino Linotype" w:cs="Calibri"/>
                <w:sz w:val="22"/>
                <w:szCs w:val="22"/>
              </w:rPr>
              <w:t xml:space="preserve">Propiedad </w:t>
            </w:r>
            <w:r w:rsidR="006C53D9">
              <w:rPr>
                <w:rFonts w:ascii="Palatino Linotype" w:hAnsi="Palatino Linotype" w:cs="Calibri"/>
                <w:sz w:val="22"/>
                <w:szCs w:val="22"/>
              </w:rPr>
              <w:t>p</w:t>
            </w:r>
            <w:r w:rsidRPr="004D7B61">
              <w:rPr>
                <w:rFonts w:ascii="Palatino Linotype" w:hAnsi="Palatino Linotype" w:cs="Calibri"/>
                <w:sz w:val="22"/>
                <w:szCs w:val="22"/>
              </w:rPr>
              <w:t>articular</w:t>
            </w:r>
          </w:p>
          <w:p w:rsidR="004D7B61" w:rsidRPr="004D7B61" w:rsidRDefault="004D7B61" w:rsidP="006C53D9">
            <w:pPr>
              <w:jc w:val="both"/>
              <w:rPr>
                <w:rFonts w:ascii="Palatino Linotype" w:hAnsi="Palatino Linotype" w:cs="Calibri"/>
                <w:sz w:val="22"/>
                <w:szCs w:val="22"/>
              </w:rPr>
            </w:pPr>
            <w:r w:rsidRPr="004D7B61">
              <w:rPr>
                <w:rFonts w:ascii="Palatino Linotype" w:hAnsi="Palatino Linotype" w:cs="Calibri"/>
                <w:sz w:val="22"/>
                <w:szCs w:val="22"/>
              </w:rPr>
              <w:t>Escalinata</w:t>
            </w:r>
          </w:p>
        </w:tc>
        <w:tc>
          <w:tcPr>
            <w:tcW w:w="1223" w:type="dxa"/>
            <w:tcBorders>
              <w:right w:val="single" w:sz="4" w:space="0" w:color="auto"/>
            </w:tcBorders>
            <w:shd w:val="clear" w:color="auto" w:fill="FFFFFF"/>
            <w:vAlign w:val="center"/>
          </w:tcPr>
          <w:p w:rsidR="004D7B61" w:rsidRPr="004D7B61" w:rsidRDefault="004D7B61" w:rsidP="004D7B61">
            <w:pPr>
              <w:jc w:val="center"/>
              <w:rPr>
                <w:rFonts w:ascii="Palatino Linotype" w:hAnsi="Palatino Linotype" w:cs="Calibri"/>
                <w:sz w:val="22"/>
                <w:szCs w:val="22"/>
              </w:rPr>
            </w:pPr>
            <w:r w:rsidRPr="004D7B61">
              <w:rPr>
                <w:rFonts w:ascii="Palatino Linotype" w:hAnsi="Palatino Linotype" w:cs="Calibri"/>
                <w:sz w:val="22"/>
                <w:szCs w:val="22"/>
              </w:rPr>
              <w:t>20,29 m.</w:t>
            </w:r>
          </w:p>
          <w:p w:rsidR="004D7B61" w:rsidRPr="004D7B61" w:rsidRDefault="00E649A7" w:rsidP="00E649A7">
            <w:pPr>
              <w:jc w:val="center"/>
              <w:rPr>
                <w:rFonts w:ascii="Palatino Linotype" w:hAnsi="Palatino Linotype" w:cs="Calibri"/>
                <w:sz w:val="22"/>
                <w:szCs w:val="22"/>
              </w:rPr>
            </w:pPr>
            <w:r>
              <w:rPr>
                <w:rFonts w:ascii="Palatino Linotype" w:hAnsi="Palatino Linotype" w:cs="Calibri"/>
                <w:sz w:val="22"/>
                <w:szCs w:val="22"/>
              </w:rPr>
              <w:t>11,</w:t>
            </w:r>
            <w:r w:rsidR="004D7B61" w:rsidRPr="004D7B61">
              <w:rPr>
                <w:rFonts w:ascii="Palatino Linotype" w:hAnsi="Palatino Linotype" w:cs="Calibri"/>
                <w:sz w:val="22"/>
                <w:szCs w:val="22"/>
              </w:rPr>
              <w:t>64 m.</w:t>
            </w:r>
          </w:p>
        </w:tc>
        <w:tc>
          <w:tcPr>
            <w:tcW w:w="1204" w:type="dxa"/>
            <w:tcBorders>
              <w:left w:val="single" w:sz="4" w:space="0" w:color="auto"/>
            </w:tcBorders>
            <w:shd w:val="clear" w:color="auto" w:fill="FFFFFF"/>
            <w:vAlign w:val="center"/>
          </w:tcPr>
          <w:p w:rsidR="004D7B61" w:rsidRPr="004D7B61" w:rsidRDefault="004D7B61" w:rsidP="006C53D9">
            <w:pPr>
              <w:jc w:val="center"/>
              <w:rPr>
                <w:rFonts w:ascii="Palatino Linotype" w:hAnsi="Palatino Linotype" w:cs="Calibri"/>
                <w:sz w:val="22"/>
                <w:szCs w:val="22"/>
              </w:rPr>
            </w:pPr>
            <w:r w:rsidRPr="004D7B61">
              <w:rPr>
                <w:rFonts w:ascii="Palatino Linotype" w:hAnsi="Palatino Linotype" w:cs="Calibri"/>
                <w:sz w:val="22"/>
                <w:szCs w:val="22"/>
              </w:rPr>
              <w:t>31,93 m.</w:t>
            </w:r>
          </w:p>
        </w:tc>
        <w:tc>
          <w:tcPr>
            <w:tcW w:w="1418" w:type="dxa"/>
            <w:vMerge/>
            <w:shd w:val="clear" w:color="auto" w:fill="FFFFFF"/>
          </w:tcPr>
          <w:p w:rsidR="004D7B61" w:rsidRPr="004D7B61" w:rsidRDefault="004D7B61" w:rsidP="006C53D9">
            <w:pPr>
              <w:jc w:val="center"/>
              <w:rPr>
                <w:rFonts w:ascii="Palatino Linotype" w:hAnsi="Palatino Linotype" w:cs="Calibri"/>
                <w:sz w:val="22"/>
                <w:szCs w:val="22"/>
              </w:rPr>
            </w:pPr>
          </w:p>
        </w:tc>
      </w:tr>
      <w:tr w:rsidR="004D7B61" w:rsidRPr="004D7B61" w:rsidTr="006C53D9">
        <w:trPr>
          <w:jc w:val="center"/>
        </w:trPr>
        <w:tc>
          <w:tcPr>
            <w:tcW w:w="1742" w:type="dxa"/>
            <w:vMerge w:val="restart"/>
            <w:shd w:val="clear" w:color="auto" w:fill="FFFFFF"/>
          </w:tcPr>
          <w:p w:rsidR="006C53D9" w:rsidRDefault="006C53D9" w:rsidP="004D7B61">
            <w:pPr>
              <w:jc w:val="center"/>
              <w:rPr>
                <w:rFonts w:ascii="Palatino Linotype" w:hAnsi="Palatino Linotype" w:cs="Calibri"/>
                <w:b/>
                <w:sz w:val="22"/>
                <w:szCs w:val="22"/>
              </w:rPr>
            </w:pPr>
          </w:p>
          <w:p w:rsidR="006C53D9" w:rsidRDefault="006C53D9" w:rsidP="006C53D9">
            <w:pPr>
              <w:jc w:val="center"/>
              <w:rPr>
                <w:rFonts w:ascii="Palatino Linotype" w:hAnsi="Palatino Linotype" w:cs="Calibri"/>
                <w:b/>
                <w:sz w:val="22"/>
                <w:szCs w:val="22"/>
              </w:rPr>
            </w:pPr>
          </w:p>
          <w:p w:rsidR="004D7B61" w:rsidRPr="004D7B61" w:rsidRDefault="006C53D9" w:rsidP="006C53D9">
            <w:pPr>
              <w:jc w:val="center"/>
              <w:rPr>
                <w:rFonts w:ascii="Palatino Linotype" w:hAnsi="Palatino Linotype" w:cs="Calibri"/>
                <w:sz w:val="22"/>
                <w:szCs w:val="22"/>
              </w:rPr>
            </w:pPr>
            <w:r>
              <w:rPr>
                <w:rFonts w:ascii="Palatino Linotype" w:hAnsi="Palatino Linotype" w:cs="Calibri"/>
                <w:b/>
                <w:sz w:val="22"/>
                <w:szCs w:val="22"/>
              </w:rPr>
              <w:t>Á</w:t>
            </w:r>
            <w:r w:rsidRPr="004D7B61">
              <w:rPr>
                <w:rFonts w:ascii="Palatino Linotype" w:hAnsi="Palatino Linotype" w:cs="Calibri"/>
                <w:b/>
                <w:sz w:val="22"/>
                <w:szCs w:val="22"/>
              </w:rPr>
              <w:t>rea protecci</w:t>
            </w:r>
            <w:r>
              <w:rPr>
                <w:rFonts w:ascii="Palatino Linotype" w:hAnsi="Palatino Linotype" w:cs="Calibri"/>
                <w:b/>
                <w:sz w:val="22"/>
                <w:szCs w:val="22"/>
              </w:rPr>
              <w:t>ó</w:t>
            </w:r>
            <w:r w:rsidRPr="004D7B61">
              <w:rPr>
                <w:rFonts w:ascii="Palatino Linotype" w:hAnsi="Palatino Linotype" w:cs="Calibri"/>
                <w:b/>
                <w:sz w:val="22"/>
                <w:szCs w:val="22"/>
              </w:rPr>
              <w:t xml:space="preserve">n borde quebrada (área verde adicional) </w:t>
            </w:r>
          </w:p>
        </w:tc>
        <w:tc>
          <w:tcPr>
            <w:tcW w:w="848" w:type="dxa"/>
            <w:shd w:val="clear" w:color="auto" w:fill="FFFFFF"/>
          </w:tcPr>
          <w:p w:rsidR="004D7B61" w:rsidRPr="004D7B61" w:rsidRDefault="004D7B61" w:rsidP="004D7B61">
            <w:pPr>
              <w:rPr>
                <w:rFonts w:ascii="Palatino Linotype" w:hAnsi="Palatino Linotype" w:cs="Calibri"/>
                <w:b/>
                <w:sz w:val="22"/>
                <w:szCs w:val="22"/>
              </w:rPr>
            </w:pPr>
            <w:r w:rsidRPr="004D7B61">
              <w:rPr>
                <w:rFonts w:ascii="Palatino Linotype" w:hAnsi="Palatino Linotype" w:cs="Calibri"/>
                <w:b/>
                <w:sz w:val="22"/>
                <w:szCs w:val="22"/>
              </w:rPr>
              <w:t>Norte:</w:t>
            </w:r>
          </w:p>
        </w:tc>
        <w:tc>
          <w:tcPr>
            <w:tcW w:w="2462" w:type="dxa"/>
            <w:shd w:val="clear" w:color="auto" w:fill="FFFFFF"/>
          </w:tcPr>
          <w:p w:rsidR="00E649A7" w:rsidRDefault="00E649A7" w:rsidP="006C53D9">
            <w:pPr>
              <w:jc w:val="both"/>
              <w:rPr>
                <w:rFonts w:ascii="Palatino Linotype" w:hAnsi="Palatino Linotype" w:cs="Calibri"/>
                <w:sz w:val="22"/>
                <w:szCs w:val="22"/>
              </w:rPr>
            </w:pPr>
          </w:p>
          <w:p w:rsidR="004D7B61" w:rsidRPr="004D7B61" w:rsidRDefault="004D7B61" w:rsidP="006C53D9">
            <w:pPr>
              <w:jc w:val="both"/>
              <w:rPr>
                <w:rFonts w:ascii="Palatino Linotype" w:hAnsi="Palatino Linotype" w:cs="Calibri"/>
                <w:sz w:val="22"/>
                <w:szCs w:val="22"/>
              </w:rPr>
            </w:pPr>
            <w:r w:rsidRPr="004D7B61">
              <w:rPr>
                <w:rFonts w:ascii="Palatino Linotype" w:hAnsi="Palatino Linotype" w:cs="Calibri"/>
                <w:sz w:val="22"/>
                <w:szCs w:val="22"/>
              </w:rPr>
              <w:t xml:space="preserve">Área </w:t>
            </w:r>
            <w:r w:rsidR="006C53D9">
              <w:rPr>
                <w:rFonts w:ascii="Palatino Linotype" w:hAnsi="Palatino Linotype" w:cs="Calibri"/>
                <w:sz w:val="22"/>
                <w:szCs w:val="22"/>
              </w:rPr>
              <w:t>v</w:t>
            </w:r>
            <w:r w:rsidRPr="004D7B61">
              <w:rPr>
                <w:rFonts w:ascii="Palatino Linotype" w:hAnsi="Palatino Linotype" w:cs="Calibri"/>
                <w:sz w:val="22"/>
                <w:szCs w:val="22"/>
              </w:rPr>
              <w:t>erde</w:t>
            </w:r>
          </w:p>
        </w:tc>
        <w:tc>
          <w:tcPr>
            <w:tcW w:w="1223" w:type="dxa"/>
            <w:tcBorders>
              <w:right w:val="single" w:sz="4" w:space="0" w:color="auto"/>
            </w:tcBorders>
            <w:shd w:val="clear" w:color="auto" w:fill="FFFFFF"/>
            <w:vAlign w:val="center"/>
          </w:tcPr>
          <w:p w:rsidR="004D7B61" w:rsidRPr="004D7B61" w:rsidRDefault="004D7B61" w:rsidP="004D7B61">
            <w:pPr>
              <w:jc w:val="center"/>
              <w:rPr>
                <w:rFonts w:ascii="Palatino Linotype" w:hAnsi="Palatino Linotype" w:cs="Calibri"/>
                <w:sz w:val="22"/>
                <w:szCs w:val="22"/>
              </w:rPr>
            </w:pPr>
            <w:r w:rsidRPr="004D7B61">
              <w:rPr>
                <w:rFonts w:ascii="Palatino Linotype" w:hAnsi="Palatino Linotype" w:cs="Calibri"/>
                <w:sz w:val="22"/>
                <w:szCs w:val="22"/>
              </w:rPr>
              <w:t>14,19 m.</w:t>
            </w:r>
          </w:p>
          <w:p w:rsidR="004D7B61" w:rsidRPr="004D7B61" w:rsidRDefault="004D7B61" w:rsidP="004D7B61">
            <w:pPr>
              <w:jc w:val="center"/>
              <w:rPr>
                <w:rFonts w:ascii="Palatino Linotype" w:hAnsi="Palatino Linotype" w:cs="Calibri"/>
                <w:sz w:val="22"/>
                <w:szCs w:val="22"/>
              </w:rPr>
            </w:pPr>
            <w:r w:rsidRPr="004D7B61">
              <w:rPr>
                <w:rFonts w:ascii="Palatino Linotype" w:hAnsi="Palatino Linotype" w:cs="Calibri"/>
                <w:sz w:val="22"/>
                <w:szCs w:val="22"/>
              </w:rPr>
              <w:t>12,90 m.</w:t>
            </w:r>
          </w:p>
          <w:p w:rsidR="004D7B61" w:rsidRPr="004D7B61" w:rsidRDefault="004D7B61" w:rsidP="004D7B61">
            <w:pPr>
              <w:jc w:val="center"/>
              <w:rPr>
                <w:rFonts w:ascii="Palatino Linotype" w:hAnsi="Palatino Linotype" w:cs="Calibri"/>
                <w:sz w:val="22"/>
                <w:szCs w:val="22"/>
              </w:rPr>
            </w:pPr>
            <w:r w:rsidRPr="004D7B61">
              <w:rPr>
                <w:rFonts w:ascii="Palatino Linotype" w:hAnsi="Palatino Linotype" w:cs="Calibri"/>
                <w:sz w:val="22"/>
                <w:szCs w:val="22"/>
              </w:rPr>
              <w:t xml:space="preserve"> 14,26 m.</w:t>
            </w:r>
          </w:p>
          <w:p w:rsidR="004D7B61" w:rsidRPr="004D7B61" w:rsidRDefault="004D7B61" w:rsidP="004D7B61">
            <w:pPr>
              <w:jc w:val="center"/>
              <w:rPr>
                <w:rFonts w:ascii="Palatino Linotype" w:hAnsi="Palatino Linotype" w:cs="Calibri"/>
                <w:sz w:val="22"/>
                <w:szCs w:val="22"/>
              </w:rPr>
            </w:pPr>
            <w:r w:rsidRPr="004D7B61">
              <w:rPr>
                <w:rFonts w:ascii="Palatino Linotype" w:hAnsi="Palatino Linotype" w:cs="Calibri"/>
                <w:sz w:val="22"/>
                <w:szCs w:val="22"/>
              </w:rPr>
              <w:t xml:space="preserve">  7,89 m.</w:t>
            </w:r>
          </w:p>
        </w:tc>
        <w:tc>
          <w:tcPr>
            <w:tcW w:w="1204" w:type="dxa"/>
            <w:tcBorders>
              <w:left w:val="single" w:sz="4" w:space="0" w:color="auto"/>
            </w:tcBorders>
            <w:shd w:val="clear" w:color="auto" w:fill="FFFFFF"/>
            <w:vAlign w:val="center"/>
          </w:tcPr>
          <w:p w:rsidR="004D7B61" w:rsidRPr="004D7B61" w:rsidRDefault="004D7B61" w:rsidP="006C53D9">
            <w:pPr>
              <w:jc w:val="center"/>
              <w:rPr>
                <w:rFonts w:ascii="Palatino Linotype" w:hAnsi="Palatino Linotype" w:cs="Calibri"/>
                <w:sz w:val="22"/>
                <w:szCs w:val="22"/>
              </w:rPr>
            </w:pPr>
            <w:r w:rsidRPr="004D7B61">
              <w:rPr>
                <w:rFonts w:ascii="Palatino Linotype" w:hAnsi="Palatino Linotype" w:cs="Calibri"/>
                <w:sz w:val="22"/>
                <w:szCs w:val="22"/>
              </w:rPr>
              <w:t>49,24 m.</w:t>
            </w:r>
          </w:p>
        </w:tc>
        <w:tc>
          <w:tcPr>
            <w:tcW w:w="1418" w:type="dxa"/>
            <w:vMerge w:val="restart"/>
            <w:shd w:val="clear" w:color="auto" w:fill="FFFFFF"/>
          </w:tcPr>
          <w:p w:rsidR="004D7B61" w:rsidRPr="004D7B61" w:rsidRDefault="004D7B61" w:rsidP="006C53D9">
            <w:pPr>
              <w:spacing w:before="240" w:line="600" w:lineRule="auto"/>
              <w:jc w:val="center"/>
              <w:rPr>
                <w:rFonts w:ascii="Palatino Linotype" w:hAnsi="Palatino Linotype" w:cs="Calibri"/>
                <w:sz w:val="22"/>
                <w:szCs w:val="22"/>
              </w:rPr>
            </w:pPr>
          </w:p>
          <w:p w:rsidR="004D7B61" w:rsidRPr="004D7B61" w:rsidRDefault="004D7B61" w:rsidP="006C53D9">
            <w:pPr>
              <w:spacing w:before="240" w:line="600" w:lineRule="auto"/>
              <w:jc w:val="center"/>
              <w:rPr>
                <w:rFonts w:ascii="Palatino Linotype" w:hAnsi="Palatino Linotype" w:cs="Calibri"/>
                <w:sz w:val="22"/>
                <w:szCs w:val="22"/>
              </w:rPr>
            </w:pPr>
            <w:r w:rsidRPr="004D7B61">
              <w:rPr>
                <w:rFonts w:ascii="Palatino Linotype" w:hAnsi="Palatino Linotype" w:cs="Calibri"/>
                <w:sz w:val="22"/>
                <w:szCs w:val="22"/>
              </w:rPr>
              <w:t>734,15 m</w:t>
            </w:r>
            <w:r w:rsidRPr="006C53D9">
              <w:rPr>
                <w:rFonts w:ascii="Palatino Linotype" w:hAnsi="Palatino Linotype" w:cs="Calibri"/>
                <w:sz w:val="22"/>
                <w:szCs w:val="22"/>
                <w:vertAlign w:val="superscript"/>
              </w:rPr>
              <w:t>2</w:t>
            </w:r>
          </w:p>
        </w:tc>
      </w:tr>
      <w:tr w:rsidR="004D7B61" w:rsidRPr="004D7B61" w:rsidTr="006C53D9">
        <w:trPr>
          <w:jc w:val="center"/>
        </w:trPr>
        <w:tc>
          <w:tcPr>
            <w:tcW w:w="1742" w:type="dxa"/>
            <w:vMerge/>
            <w:shd w:val="clear" w:color="auto" w:fill="FFFFFF"/>
          </w:tcPr>
          <w:p w:rsidR="004D7B61" w:rsidRPr="004D7B61" w:rsidRDefault="004D7B61" w:rsidP="004D7B61">
            <w:pPr>
              <w:rPr>
                <w:rFonts w:ascii="Palatino Linotype" w:hAnsi="Palatino Linotype" w:cs="Calibri"/>
                <w:sz w:val="22"/>
                <w:szCs w:val="22"/>
              </w:rPr>
            </w:pPr>
          </w:p>
        </w:tc>
        <w:tc>
          <w:tcPr>
            <w:tcW w:w="848" w:type="dxa"/>
            <w:shd w:val="clear" w:color="auto" w:fill="FFFFFF"/>
          </w:tcPr>
          <w:p w:rsidR="004D7B61" w:rsidRPr="004D7B61" w:rsidRDefault="004D7B61" w:rsidP="004D7B61">
            <w:pPr>
              <w:rPr>
                <w:rFonts w:ascii="Palatino Linotype" w:hAnsi="Palatino Linotype" w:cs="Calibri"/>
                <w:b/>
                <w:sz w:val="22"/>
                <w:szCs w:val="22"/>
              </w:rPr>
            </w:pPr>
            <w:r w:rsidRPr="004D7B61">
              <w:rPr>
                <w:rFonts w:ascii="Palatino Linotype" w:hAnsi="Palatino Linotype" w:cs="Calibri"/>
                <w:b/>
                <w:sz w:val="22"/>
                <w:szCs w:val="22"/>
              </w:rPr>
              <w:t>Sur:</w:t>
            </w:r>
          </w:p>
        </w:tc>
        <w:tc>
          <w:tcPr>
            <w:tcW w:w="2462" w:type="dxa"/>
            <w:shd w:val="clear" w:color="auto" w:fill="FFFFFF"/>
          </w:tcPr>
          <w:p w:rsidR="004D7B61" w:rsidRPr="004D7B61" w:rsidRDefault="004D7B61" w:rsidP="006C53D9">
            <w:pPr>
              <w:jc w:val="both"/>
              <w:rPr>
                <w:rFonts w:ascii="Palatino Linotype" w:hAnsi="Palatino Linotype" w:cs="Calibri"/>
                <w:sz w:val="22"/>
                <w:szCs w:val="22"/>
              </w:rPr>
            </w:pPr>
            <w:r w:rsidRPr="004D7B61">
              <w:rPr>
                <w:rFonts w:ascii="Palatino Linotype" w:hAnsi="Palatino Linotype" w:cs="Calibri"/>
                <w:sz w:val="22"/>
                <w:szCs w:val="22"/>
              </w:rPr>
              <w:t>Borde superior de quebrada</w:t>
            </w:r>
          </w:p>
        </w:tc>
        <w:tc>
          <w:tcPr>
            <w:tcW w:w="1223" w:type="dxa"/>
            <w:tcBorders>
              <w:right w:val="single" w:sz="4" w:space="0" w:color="auto"/>
            </w:tcBorders>
            <w:shd w:val="clear" w:color="auto" w:fill="FFFFFF"/>
            <w:vAlign w:val="center"/>
          </w:tcPr>
          <w:p w:rsidR="004D7B61" w:rsidRPr="004D7B61" w:rsidRDefault="004D7B61" w:rsidP="004D7B61">
            <w:pPr>
              <w:jc w:val="center"/>
              <w:rPr>
                <w:rFonts w:ascii="Palatino Linotype" w:hAnsi="Palatino Linotype" w:cs="Calibri"/>
                <w:sz w:val="22"/>
                <w:szCs w:val="22"/>
              </w:rPr>
            </w:pPr>
            <w:r w:rsidRPr="004D7B61">
              <w:rPr>
                <w:rFonts w:ascii="Palatino Linotype" w:hAnsi="Palatino Linotype" w:cs="Calibri"/>
                <w:sz w:val="22"/>
                <w:szCs w:val="22"/>
              </w:rPr>
              <w:t xml:space="preserve"> 8,52 m.</w:t>
            </w:r>
          </w:p>
          <w:p w:rsidR="004D7B61" w:rsidRPr="004D7B61" w:rsidRDefault="004D7B61" w:rsidP="004D7B61">
            <w:pPr>
              <w:jc w:val="center"/>
              <w:rPr>
                <w:rFonts w:ascii="Palatino Linotype" w:hAnsi="Palatino Linotype" w:cs="Calibri"/>
                <w:sz w:val="22"/>
                <w:szCs w:val="22"/>
              </w:rPr>
            </w:pPr>
            <w:r w:rsidRPr="004D7B61">
              <w:rPr>
                <w:rFonts w:ascii="Palatino Linotype" w:hAnsi="Palatino Linotype" w:cs="Calibri"/>
                <w:sz w:val="22"/>
                <w:szCs w:val="22"/>
              </w:rPr>
              <w:t xml:space="preserve"> 9,33 m.</w:t>
            </w:r>
          </w:p>
          <w:p w:rsidR="004D7B61" w:rsidRPr="004D7B61" w:rsidRDefault="004D7B61" w:rsidP="004D7B61">
            <w:pPr>
              <w:jc w:val="center"/>
              <w:rPr>
                <w:rFonts w:ascii="Palatino Linotype" w:hAnsi="Palatino Linotype" w:cs="Calibri"/>
                <w:sz w:val="22"/>
                <w:szCs w:val="22"/>
              </w:rPr>
            </w:pPr>
            <w:r w:rsidRPr="004D7B61">
              <w:rPr>
                <w:rFonts w:ascii="Palatino Linotype" w:hAnsi="Palatino Linotype" w:cs="Calibri"/>
                <w:sz w:val="22"/>
                <w:szCs w:val="22"/>
              </w:rPr>
              <w:t>17,10 m.</w:t>
            </w:r>
          </w:p>
          <w:p w:rsidR="004D7B61" w:rsidRPr="004D7B61" w:rsidRDefault="004D7B61" w:rsidP="004D7B61">
            <w:pPr>
              <w:jc w:val="center"/>
              <w:rPr>
                <w:rFonts w:ascii="Palatino Linotype" w:hAnsi="Palatino Linotype" w:cs="Calibri"/>
                <w:sz w:val="22"/>
                <w:szCs w:val="22"/>
              </w:rPr>
            </w:pPr>
            <w:r w:rsidRPr="004D7B61">
              <w:rPr>
                <w:rFonts w:ascii="Palatino Linotype" w:hAnsi="Palatino Linotype" w:cs="Calibri"/>
                <w:sz w:val="22"/>
                <w:szCs w:val="22"/>
              </w:rPr>
              <w:t>13,69 m.</w:t>
            </w:r>
          </w:p>
        </w:tc>
        <w:tc>
          <w:tcPr>
            <w:tcW w:w="1204" w:type="dxa"/>
            <w:tcBorders>
              <w:left w:val="single" w:sz="4" w:space="0" w:color="auto"/>
            </w:tcBorders>
            <w:shd w:val="clear" w:color="auto" w:fill="FFFFFF"/>
            <w:vAlign w:val="center"/>
          </w:tcPr>
          <w:p w:rsidR="004D7B61" w:rsidRPr="004D7B61" w:rsidRDefault="00E649A7" w:rsidP="006C53D9">
            <w:pPr>
              <w:jc w:val="center"/>
              <w:rPr>
                <w:rFonts w:ascii="Palatino Linotype" w:hAnsi="Palatino Linotype" w:cs="Calibri"/>
                <w:sz w:val="22"/>
                <w:szCs w:val="22"/>
              </w:rPr>
            </w:pPr>
            <w:r>
              <w:rPr>
                <w:rFonts w:ascii="Palatino Linotype" w:hAnsi="Palatino Linotype" w:cs="Calibri"/>
                <w:sz w:val="22"/>
                <w:szCs w:val="22"/>
              </w:rPr>
              <w:t>48,64</w:t>
            </w:r>
            <w:r w:rsidR="004D7B61" w:rsidRPr="004D7B61">
              <w:rPr>
                <w:rFonts w:ascii="Palatino Linotype" w:hAnsi="Palatino Linotype" w:cs="Calibri"/>
                <w:sz w:val="22"/>
                <w:szCs w:val="22"/>
              </w:rPr>
              <w:t xml:space="preserve"> m.</w:t>
            </w:r>
          </w:p>
        </w:tc>
        <w:tc>
          <w:tcPr>
            <w:tcW w:w="1418" w:type="dxa"/>
            <w:vMerge/>
            <w:shd w:val="clear" w:color="auto" w:fill="FFFFFF"/>
          </w:tcPr>
          <w:p w:rsidR="004D7B61" w:rsidRPr="004D7B61" w:rsidRDefault="004D7B61" w:rsidP="004D7B61">
            <w:pPr>
              <w:rPr>
                <w:rFonts w:ascii="Palatino Linotype" w:hAnsi="Palatino Linotype" w:cs="Calibri"/>
                <w:sz w:val="22"/>
                <w:szCs w:val="22"/>
              </w:rPr>
            </w:pPr>
          </w:p>
        </w:tc>
      </w:tr>
      <w:tr w:rsidR="004D7B61" w:rsidRPr="004D7B61" w:rsidTr="006C53D9">
        <w:trPr>
          <w:trHeight w:val="382"/>
          <w:jc w:val="center"/>
        </w:trPr>
        <w:tc>
          <w:tcPr>
            <w:tcW w:w="1742" w:type="dxa"/>
            <w:vMerge/>
            <w:shd w:val="clear" w:color="auto" w:fill="FFFFFF"/>
          </w:tcPr>
          <w:p w:rsidR="004D7B61" w:rsidRPr="004D7B61" w:rsidRDefault="004D7B61" w:rsidP="004D7B61">
            <w:pPr>
              <w:rPr>
                <w:rFonts w:ascii="Palatino Linotype" w:hAnsi="Palatino Linotype" w:cs="Calibri"/>
                <w:sz w:val="22"/>
                <w:szCs w:val="22"/>
              </w:rPr>
            </w:pPr>
          </w:p>
        </w:tc>
        <w:tc>
          <w:tcPr>
            <w:tcW w:w="848" w:type="dxa"/>
            <w:shd w:val="clear" w:color="auto" w:fill="FFFFFF"/>
          </w:tcPr>
          <w:p w:rsidR="004D7B61" w:rsidRPr="004D7B61" w:rsidRDefault="004D7B61" w:rsidP="004D7B61">
            <w:pPr>
              <w:rPr>
                <w:rFonts w:ascii="Palatino Linotype" w:hAnsi="Palatino Linotype" w:cs="Calibri"/>
                <w:b/>
                <w:sz w:val="22"/>
                <w:szCs w:val="22"/>
              </w:rPr>
            </w:pPr>
            <w:r w:rsidRPr="004D7B61">
              <w:rPr>
                <w:rFonts w:ascii="Palatino Linotype" w:hAnsi="Palatino Linotype" w:cs="Calibri"/>
                <w:b/>
                <w:sz w:val="22"/>
                <w:szCs w:val="22"/>
              </w:rPr>
              <w:t>Este:</w:t>
            </w:r>
          </w:p>
        </w:tc>
        <w:tc>
          <w:tcPr>
            <w:tcW w:w="2462" w:type="dxa"/>
            <w:shd w:val="clear" w:color="auto" w:fill="FFFFFF"/>
          </w:tcPr>
          <w:p w:rsidR="004D7B61" w:rsidRPr="004D7B61" w:rsidRDefault="006C53D9" w:rsidP="006C53D9">
            <w:pPr>
              <w:jc w:val="both"/>
              <w:rPr>
                <w:rFonts w:ascii="Palatino Linotype" w:hAnsi="Palatino Linotype" w:cs="Calibri"/>
                <w:sz w:val="22"/>
                <w:szCs w:val="22"/>
              </w:rPr>
            </w:pPr>
            <w:r>
              <w:rPr>
                <w:rFonts w:ascii="Palatino Linotype" w:hAnsi="Palatino Linotype" w:cs="Calibri"/>
                <w:sz w:val="22"/>
                <w:szCs w:val="22"/>
              </w:rPr>
              <w:t>Propiedad p</w:t>
            </w:r>
            <w:r w:rsidR="004D7B61" w:rsidRPr="004D7B61">
              <w:rPr>
                <w:rFonts w:ascii="Palatino Linotype" w:hAnsi="Palatino Linotype" w:cs="Calibri"/>
                <w:sz w:val="22"/>
                <w:szCs w:val="22"/>
              </w:rPr>
              <w:t>articular</w:t>
            </w:r>
          </w:p>
        </w:tc>
        <w:tc>
          <w:tcPr>
            <w:tcW w:w="1223" w:type="dxa"/>
            <w:tcBorders>
              <w:right w:val="single" w:sz="4" w:space="0" w:color="auto"/>
            </w:tcBorders>
            <w:shd w:val="clear" w:color="auto" w:fill="FFFFFF"/>
            <w:vAlign w:val="center"/>
          </w:tcPr>
          <w:p w:rsidR="004D7B61" w:rsidRPr="004D7B61" w:rsidRDefault="004D7B61" w:rsidP="004D7B61">
            <w:pPr>
              <w:jc w:val="center"/>
              <w:rPr>
                <w:rFonts w:ascii="Palatino Linotype" w:hAnsi="Palatino Linotype" w:cs="Calibri"/>
                <w:sz w:val="22"/>
                <w:szCs w:val="22"/>
              </w:rPr>
            </w:pPr>
            <w:r w:rsidRPr="004D7B61">
              <w:rPr>
                <w:rFonts w:ascii="Palatino Linotype" w:hAnsi="Palatino Linotype" w:cs="Calibri"/>
                <w:sz w:val="22"/>
                <w:szCs w:val="22"/>
              </w:rPr>
              <w:t>---</w:t>
            </w:r>
          </w:p>
        </w:tc>
        <w:tc>
          <w:tcPr>
            <w:tcW w:w="1204" w:type="dxa"/>
            <w:tcBorders>
              <w:left w:val="single" w:sz="4" w:space="0" w:color="auto"/>
            </w:tcBorders>
            <w:shd w:val="clear" w:color="auto" w:fill="FFFFFF"/>
            <w:vAlign w:val="center"/>
          </w:tcPr>
          <w:p w:rsidR="004D7B61" w:rsidRPr="004D7B61" w:rsidRDefault="004D7B61" w:rsidP="006C53D9">
            <w:pPr>
              <w:jc w:val="center"/>
              <w:rPr>
                <w:rFonts w:ascii="Palatino Linotype" w:hAnsi="Palatino Linotype" w:cs="Calibri"/>
                <w:sz w:val="22"/>
                <w:szCs w:val="22"/>
              </w:rPr>
            </w:pPr>
            <w:r w:rsidRPr="004D7B61">
              <w:rPr>
                <w:rFonts w:ascii="Palatino Linotype" w:hAnsi="Palatino Linotype" w:cs="Calibri"/>
                <w:sz w:val="22"/>
                <w:szCs w:val="22"/>
              </w:rPr>
              <w:t>15,78 m.</w:t>
            </w:r>
          </w:p>
        </w:tc>
        <w:tc>
          <w:tcPr>
            <w:tcW w:w="1418" w:type="dxa"/>
            <w:vMerge/>
            <w:shd w:val="clear" w:color="auto" w:fill="FFFFFF"/>
          </w:tcPr>
          <w:p w:rsidR="004D7B61" w:rsidRPr="004D7B61" w:rsidRDefault="004D7B61" w:rsidP="004D7B61">
            <w:pPr>
              <w:rPr>
                <w:rFonts w:ascii="Palatino Linotype" w:hAnsi="Palatino Linotype" w:cs="Calibri"/>
                <w:sz w:val="22"/>
                <w:szCs w:val="22"/>
              </w:rPr>
            </w:pPr>
          </w:p>
        </w:tc>
      </w:tr>
      <w:tr w:rsidR="004D7B61" w:rsidRPr="004D7B61" w:rsidTr="006C53D9">
        <w:trPr>
          <w:jc w:val="center"/>
        </w:trPr>
        <w:tc>
          <w:tcPr>
            <w:tcW w:w="1742" w:type="dxa"/>
            <w:vMerge/>
            <w:shd w:val="clear" w:color="auto" w:fill="FFFFFF"/>
          </w:tcPr>
          <w:p w:rsidR="004D7B61" w:rsidRPr="004D7B61" w:rsidRDefault="004D7B61" w:rsidP="004D7B61">
            <w:pPr>
              <w:rPr>
                <w:rFonts w:ascii="Palatino Linotype" w:hAnsi="Palatino Linotype" w:cs="Calibri"/>
                <w:sz w:val="22"/>
                <w:szCs w:val="22"/>
              </w:rPr>
            </w:pPr>
          </w:p>
        </w:tc>
        <w:tc>
          <w:tcPr>
            <w:tcW w:w="848" w:type="dxa"/>
            <w:shd w:val="clear" w:color="auto" w:fill="FFFFFF"/>
          </w:tcPr>
          <w:p w:rsidR="004D7B61" w:rsidRPr="004D7B61" w:rsidRDefault="004D7B61" w:rsidP="004D7B61">
            <w:pPr>
              <w:rPr>
                <w:rFonts w:ascii="Palatino Linotype" w:hAnsi="Palatino Linotype" w:cs="Calibri"/>
                <w:b/>
                <w:sz w:val="22"/>
                <w:szCs w:val="22"/>
              </w:rPr>
            </w:pPr>
            <w:r w:rsidRPr="004D7B61">
              <w:rPr>
                <w:rFonts w:ascii="Palatino Linotype" w:hAnsi="Palatino Linotype" w:cs="Calibri"/>
                <w:b/>
                <w:sz w:val="22"/>
                <w:szCs w:val="22"/>
              </w:rPr>
              <w:t>Oeste:</w:t>
            </w:r>
          </w:p>
        </w:tc>
        <w:tc>
          <w:tcPr>
            <w:tcW w:w="2462" w:type="dxa"/>
            <w:shd w:val="clear" w:color="auto" w:fill="FFFFFF"/>
          </w:tcPr>
          <w:p w:rsidR="004D7B61" w:rsidRPr="004D7B61" w:rsidRDefault="004D7B61" w:rsidP="006C53D9">
            <w:pPr>
              <w:jc w:val="both"/>
              <w:rPr>
                <w:rFonts w:ascii="Palatino Linotype" w:hAnsi="Palatino Linotype" w:cs="Calibri"/>
                <w:sz w:val="22"/>
                <w:szCs w:val="22"/>
              </w:rPr>
            </w:pPr>
            <w:r w:rsidRPr="004D7B61">
              <w:rPr>
                <w:rFonts w:ascii="Palatino Linotype" w:hAnsi="Palatino Linotype" w:cs="Calibri"/>
                <w:sz w:val="22"/>
                <w:szCs w:val="22"/>
              </w:rPr>
              <w:t xml:space="preserve">Propiedad </w:t>
            </w:r>
            <w:r w:rsidR="006C53D9">
              <w:rPr>
                <w:rFonts w:ascii="Palatino Linotype" w:hAnsi="Palatino Linotype" w:cs="Calibri"/>
                <w:sz w:val="22"/>
                <w:szCs w:val="22"/>
              </w:rPr>
              <w:t>p</w:t>
            </w:r>
            <w:r w:rsidRPr="004D7B61">
              <w:rPr>
                <w:rFonts w:ascii="Palatino Linotype" w:hAnsi="Palatino Linotype" w:cs="Calibri"/>
                <w:sz w:val="22"/>
                <w:szCs w:val="22"/>
              </w:rPr>
              <w:t>articular</w:t>
            </w:r>
          </w:p>
        </w:tc>
        <w:tc>
          <w:tcPr>
            <w:tcW w:w="1223" w:type="dxa"/>
            <w:tcBorders>
              <w:right w:val="single" w:sz="4" w:space="0" w:color="auto"/>
            </w:tcBorders>
            <w:shd w:val="clear" w:color="auto" w:fill="FFFFFF"/>
            <w:vAlign w:val="center"/>
          </w:tcPr>
          <w:p w:rsidR="004D7B61" w:rsidRPr="004D7B61" w:rsidRDefault="004D7B61" w:rsidP="004D7B61">
            <w:pPr>
              <w:jc w:val="center"/>
              <w:rPr>
                <w:rFonts w:ascii="Palatino Linotype" w:hAnsi="Palatino Linotype" w:cs="Calibri"/>
                <w:sz w:val="22"/>
                <w:szCs w:val="22"/>
              </w:rPr>
            </w:pPr>
            <w:r w:rsidRPr="004D7B61">
              <w:rPr>
                <w:rFonts w:ascii="Palatino Linotype" w:hAnsi="Palatino Linotype" w:cs="Calibri"/>
                <w:sz w:val="22"/>
                <w:szCs w:val="22"/>
              </w:rPr>
              <w:t>---</w:t>
            </w:r>
          </w:p>
        </w:tc>
        <w:tc>
          <w:tcPr>
            <w:tcW w:w="1204" w:type="dxa"/>
            <w:tcBorders>
              <w:left w:val="single" w:sz="4" w:space="0" w:color="auto"/>
            </w:tcBorders>
            <w:shd w:val="clear" w:color="auto" w:fill="FFFFFF"/>
            <w:vAlign w:val="center"/>
          </w:tcPr>
          <w:p w:rsidR="004D7B61" w:rsidRPr="004D7B61" w:rsidRDefault="004D7B61" w:rsidP="006C53D9">
            <w:pPr>
              <w:jc w:val="center"/>
              <w:rPr>
                <w:rFonts w:ascii="Palatino Linotype" w:hAnsi="Palatino Linotype" w:cs="Calibri"/>
                <w:sz w:val="22"/>
                <w:szCs w:val="22"/>
              </w:rPr>
            </w:pPr>
            <w:r w:rsidRPr="004D7B61">
              <w:rPr>
                <w:rFonts w:ascii="Palatino Linotype" w:hAnsi="Palatino Linotype" w:cs="Calibri"/>
                <w:sz w:val="22"/>
                <w:szCs w:val="22"/>
              </w:rPr>
              <w:t>15,00 m.</w:t>
            </w:r>
          </w:p>
        </w:tc>
        <w:tc>
          <w:tcPr>
            <w:tcW w:w="1418" w:type="dxa"/>
            <w:vMerge/>
            <w:shd w:val="clear" w:color="auto" w:fill="FFFFFF"/>
          </w:tcPr>
          <w:p w:rsidR="004D7B61" w:rsidRPr="004D7B61" w:rsidRDefault="004D7B61" w:rsidP="004D7B61">
            <w:pPr>
              <w:rPr>
                <w:rFonts w:ascii="Palatino Linotype" w:hAnsi="Palatino Linotype" w:cs="Calibri"/>
                <w:sz w:val="22"/>
                <w:szCs w:val="22"/>
              </w:rPr>
            </w:pPr>
          </w:p>
        </w:tc>
      </w:tr>
    </w:tbl>
    <w:p w:rsidR="004D7B61" w:rsidRPr="004D7B61" w:rsidRDefault="004D7B61" w:rsidP="004D7B61">
      <w:pPr>
        <w:spacing w:line="276" w:lineRule="auto"/>
        <w:jc w:val="both"/>
        <w:rPr>
          <w:rFonts w:ascii="Palatino Linotype" w:hAnsi="Palatino Linotype" w:cs="Arial"/>
          <w:b/>
          <w:bCs/>
          <w:sz w:val="22"/>
          <w:szCs w:val="22"/>
        </w:rPr>
      </w:pPr>
    </w:p>
    <w:p w:rsidR="004D7B61" w:rsidRDefault="004D7B61" w:rsidP="006C53D9">
      <w:pPr>
        <w:pStyle w:val="Sinespaciado"/>
        <w:spacing w:after="240" w:line="276" w:lineRule="auto"/>
        <w:jc w:val="both"/>
        <w:rPr>
          <w:rFonts w:ascii="Palatino Linotype" w:hAnsi="Palatino Linotype"/>
          <w:iCs/>
        </w:rPr>
      </w:pPr>
      <w:r w:rsidRPr="004D7B61">
        <w:rPr>
          <w:rFonts w:ascii="Palatino Linotype" w:hAnsi="Palatino Linotype"/>
          <w:b/>
          <w:bCs/>
        </w:rPr>
        <w:t xml:space="preserve">Artículo 6.- De las vías.- </w:t>
      </w:r>
      <w:r w:rsidRPr="004D7B61">
        <w:rPr>
          <w:rFonts w:ascii="Palatino Linotype" w:hAnsi="Palatino Linotype"/>
          <w:bCs/>
          <w:iCs/>
        </w:rPr>
        <w:t xml:space="preserve">El </w:t>
      </w:r>
      <w:r w:rsidR="006C53D9">
        <w:rPr>
          <w:rFonts w:ascii="Palatino Linotype" w:hAnsi="Palatino Linotype"/>
          <w:bCs/>
          <w:iCs/>
        </w:rPr>
        <w:t>a</w:t>
      </w:r>
      <w:r w:rsidRPr="004D7B61">
        <w:rPr>
          <w:rFonts w:ascii="Palatino Linotype" w:hAnsi="Palatino Linotype"/>
          <w:bCs/>
          <w:iCs/>
        </w:rPr>
        <w:t xml:space="preserve">sentamiento </w:t>
      </w:r>
      <w:r w:rsidR="006C53D9">
        <w:rPr>
          <w:rFonts w:ascii="Palatino Linotype" w:hAnsi="Palatino Linotype"/>
          <w:bCs/>
          <w:iCs/>
        </w:rPr>
        <w:t>h</w:t>
      </w:r>
      <w:r w:rsidRPr="004D7B61">
        <w:rPr>
          <w:rFonts w:ascii="Palatino Linotype" w:hAnsi="Palatino Linotype"/>
          <w:bCs/>
          <w:iCs/>
        </w:rPr>
        <w:t xml:space="preserve">umano de </w:t>
      </w:r>
      <w:r w:rsidR="006C53D9">
        <w:rPr>
          <w:rFonts w:ascii="Palatino Linotype" w:hAnsi="Palatino Linotype"/>
          <w:bCs/>
          <w:iCs/>
        </w:rPr>
        <w:t>h</w:t>
      </w:r>
      <w:r w:rsidRPr="004D7B61">
        <w:rPr>
          <w:rFonts w:ascii="Palatino Linotype" w:hAnsi="Palatino Linotype"/>
          <w:bCs/>
          <w:iCs/>
        </w:rPr>
        <w:t xml:space="preserve">echo y </w:t>
      </w:r>
      <w:r w:rsidR="006C53D9">
        <w:rPr>
          <w:rFonts w:ascii="Palatino Linotype" w:hAnsi="Palatino Linotype"/>
          <w:bCs/>
          <w:iCs/>
        </w:rPr>
        <w:t>c</w:t>
      </w:r>
      <w:r w:rsidRPr="004D7B61">
        <w:rPr>
          <w:rFonts w:ascii="Palatino Linotype" w:hAnsi="Palatino Linotype"/>
          <w:bCs/>
          <w:iCs/>
        </w:rPr>
        <w:t xml:space="preserve">onsolidado </w:t>
      </w:r>
      <w:r w:rsidRPr="004D7B61">
        <w:rPr>
          <w:rFonts w:ascii="Palatino Linotype" w:hAnsi="Palatino Linotype"/>
          <w:iCs/>
        </w:rPr>
        <w:t>contempla un sistema vial de uso público</w:t>
      </w:r>
      <w:r w:rsidR="006C53D9">
        <w:rPr>
          <w:rFonts w:ascii="Palatino Linotype" w:hAnsi="Palatino Linotype"/>
          <w:iCs/>
        </w:rPr>
        <w:t>; y,</w:t>
      </w:r>
      <w:r w:rsidRPr="004D7B61">
        <w:rPr>
          <w:rFonts w:ascii="Palatino Linotype" w:hAnsi="Palatino Linotype"/>
          <w:iCs/>
        </w:rPr>
        <w:t xml:space="preserve"> debido a que es un </w:t>
      </w:r>
      <w:r w:rsidR="006C53D9">
        <w:rPr>
          <w:rFonts w:ascii="Palatino Linotype" w:hAnsi="Palatino Linotype"/>
          <w:iCs/>
        </w:rPr>
        <w:t>a</w:t>
      </w:r>
      <w:r w:rsidRPr="004D7B61">
        <w:rPr>
          <w:rFonts w:ascii="Palatino Linotype" w:hAnsi="Palatino Linotype"/>
          <w:iCs/>
        </w:rPr>
        <w:t xml:space="preserve">sentamiento </w:t>
      </w:r>
      <w:r w:rsidR="006C53D9">
        <w:rPr>
          <w:rFonts w:ascii="Palatino Linotype" w:hAnsi="Palatino Linotype"/>
          <w:iCs/>
        </w:rPr>
        <w:t>h</w:t>
      </w:r>
      <w:r w:rsidRPr="004D7B61">
        <w:rPr>
          <w:rFonts w:ascii="Palatino Linotype" w:hAnsi="Palatino Linotype"/>
          <w:iCs/>
        </w:rPr>
        <w:t xml:space="preserve">umano de </w:t>
      </w:r>
      <w:r w:rsidR="006C53D9">
        <w:rPr>
          <w:rFonts w:ascii="Palatino Linotype" w:hAnsi="Palatino Linotype"/>
          <w:iCs/>
        </w:rPr>
        <w:t>h</w:t>
      </w:r>
      <w:r w:rsidRPr="004D7B61">
        <w:rPr>
          <w:rFonts w:ascii="Palatino Linotype" w:hAnsi="Palatino Linotype"/>
          <w:iCs/>
        </w:rPr>
        <w:t xml:space="preserve">echo y </w:t>
      </w:r>
      <w:r w:rsidR="006C53D9">
        <w:rPr>
          <w:rFonts w:ascii="Palatino Linotype" w:hAnsi="Palatino Linotype"/>
          <w:iCs/>
        </w:rPr>
        <w:t>c</w:t>
      </w:r>
      <w:r w:rsidRPr="004D7B61">
        <w:rPr>
          <w:rFonts w:ascii="Palatino Linotype" w:hAnsi="Palatino Linotype"/>
          <w:iCs/>
        </w:rPr>
        <w:t xml:space="preserve">onsolidado </w:t>
      </w:r>
      <w:r w:rsidR="006C53D9">
        <w:rPr>
          <w:rFonts w:ascii="Palatino Linotype" w:hAnsi="Palatino Linotype"/>
          <w:iCs/>
        </w:rPr>
        <w:t>con</w:t>
      </w:r>
      <w:r w:rsidRPr="004D7B61">
        <w:rPr>
          <w:rFonts w:ascii="Palatino Linotype" w:hAnsi="Palatino Linotype"/>
          <w:iCs/>
        </w:rPr>
        <w:t xml:space="preserve"> 19 años de existencia</w:t>
      </w:r>
      <w:r w:rsidR="006C53D9">
        <w:rPr>
          <w:rFonts w:ascii="Palatino Linotype" w:hAnsi="Palatino Linotype"/>
          <w:iCs/>
        </w:rPr>
        <w:t xml:space="preserve"> y</w:t>
      </w:r>
      <w:r w:rsidRPr="004D7B61">
        <w:rPr>
          <w:rFonts w:ascii="Palatino Linotype" w:hAnsi="Palatino Linotype"/>
          <w:iCs/>
        </w:rPr>
        <w:t xml:space="preserve"> 57</w:t>
      </w:r>
      <w:r w:rsidR="006C53D9">
        <w:rPr>
          <w:rFonts w:ascii="Palatino Linotype" w:hAnsi="Palatino Linotype"/>
          <w:iCs/>
        </w:rPr>
        <w:t>,</w:t>
      </w:r>
      <w:r w:rsidRPr="004D7B61">
        <w:rPr>
          <w:rFonts w:ascii="Palatino Linotype" w:hAnsi="Palatino Linotype"/>
          <w:iCs/>
        </w:rPr>
        <w:t>89</w:t>
      </w:r>
      <w:r w:rsidRPr="004D7B61">
        <w:rPr>
          <w:rFonts w:ascii="Palatino Linotype" w:hAnsi="Palatino Linotype"/>
          <w:iCs/>
          <w:lang w:val="es-ES"/>
        </w:rPr>
        <w:t>%</w:t>
      </w:r>
      <w:r w:rsidRPr="004D7B61">
        <w:rPr>
          <w:rFonts w:ascii="Palatino Linotype" w:hAnsi="Palatino Linotype"/>
          <w:iCs/>
        </w:rPr>
        <w:t xml:space="preserve"> de consolidación de viviendas, </w:t>
      </w:r>
      <w:r w:rsidR="006C53D9">
        <w:rPr>
          <w:rFonts w:ascii="Palatino Linotype" w:hAnsi="Palatino Linotype"/>
          <w:iCs/>
        </w:rPr>
        <w:t>los anchos de vías y pasajes se sujetarán al plano adjunto a la presente ordenanza.</w:t>
      </w:r>
    </w:p>
    <w:p w:rsidR="006C53D9" w:rsidRPr="002E70F1" w:rsidRDefault="006C53D9" w:rsidP="006C53D9">
      <w:pPr>
        <w:spacing w:after="240" w:line="276" w:lineRule="auto"/>
        <w:jc w:val="both"/>
        <w:rPr>
          <w:rFonts w:ascii="Palatino Linotype" w:hAnsi="Palatino Linotype"/>
          <w:iCs/>
          <w:sz w:val="22"/>
          <w:szCs w:val="22"/>
          <w:lang w:val="es-EC"/>
        </w:rPr>
      </w:pPr>
      <w:r>
        <w:rPr>
          <w:rFonts w:ascii="Palatino Linotype" w:hAnsi="Palatino Linotype"/>
          <w:iCs/>
          <w:sz w:val="22"/>
          <w:szCs w:val="22"/>
          <w:lang w:val="es-EC"/>
        </w:rPr>
        <w:t>Los anchos de vías y pasajes que se aprueban son la</w:t>
      </w:r>
      <w:r w:rsidRPr="002E70F1">
        <w:rPr>
          <w:rFonts w:ascii="Palatino Linotype" w:hAnsi="Palatino Linotype"/>
          <w:iCs/>
          <w:sz w:val="22"/>
          <w:szCs w:val="22"/>
          <w:lang w:val="es-EC"/>
        </w:rPr>
        <w:t>s siguientes:</w:t>
      </w:r>
    </w:p>
    <w:p w:rsidR="006C53D9" w:rsidRDefault="006C53D9" w:rsidP="003953BD">
      <w:pPr>
        <w:pStyle w:val="Sinespaciado"/>
        <w:spacing w:after="240" w:line="276" w:lineRule="auto"/>
        <w:jc w:val="both"/>
        <w:rPr>
          <w:rFonts w:ascii="Palatino Linotype" w:hAnsi="Palatino Linotype"/>
          <w:iCs/>
        </w:rPr>
      </w:pPr>
      <w:r>
        <w:rPr>
          <w:rFonts w:ascii="Palatino Linotype" w:hAnsi="Palatino Linotype"/>
          <w:iCs/>
        </w:rPr>
        <w:t>Calle “Las Dalias”:</w:t>
      </w:r>
      <w:r>
        <w:rPr>
          <w:rFonts w:ascii="Palatino Linotype" w:hAnsi="Palatino Linotype"/>
          <w:iCs/>
        </w:rPr>
        <w:tab/>
      </w:r>
      <w:r>
        <w:rPr>
          <w:rFonts w:ascii="Palatino Linotype" w:hAnsi="Palatino Linotype"/>
          <w:iCs/>
        </w:rPr>
        <w:tab/>
      </w:r>
      <w:r>
        <w:rPr>
          <w:rFonts w:ascii="Palatino Linotype" w:hAnsi="Palatino Linotype"/>
          <w:iCs/>
        </w:rPr>
        <w:tab/>
        <w:t>10,00 m</w:t>
      </w:r>
    </w:p>
    <w:p w:rsidR="006C53D9" w:rsidRDefault="006C53D9" w:rsidP="003953BD">
      <w:pPr>
        <w:pStyle w:val="Sinespaciado"/>
        <w:spacing w:after="240" w:line="276" w:lineRule="auto"/>
        <w:jc w:val="both"/>
        <w:rPr>
          <w:rFonts w:ascii="Palatino Linotype" w:hAnsi="Palatino Linotype"/>
          <w:iCs/>
        </w:rPr>
      </w:pPr>
      <w:r>
        <w:rPr>
          <w:rFonts w:ascii="Palatino Linotype" w:hAnsi="Palatino Linotype"/>
          <w:iCs/>
        </w:rPr>
        <w:t>Pasaje “s/n”:</w:t>
      </w:r>
      <w:r>
        <w:rPr>
          <w:rFonts w:ascii="Palatino Linotype" w:hAnsi="Palatino Linotype"/>
          <w:iCs/>
        </w:rPr>
        <w:tab/>
      </w:r>
      <w:r>
        <w:rPr>
          <w:rFonts w:ascii="Palatino Linotype" w:hAnsi="Palatino Linotype"/>
          <w:iCs/>
        </w:rPr>
        <w:tab/>
      </w:r>
      <w:r>
        <w:rPr>
          <w:rFonts w:ascii="Palatino Linotype" w:hAnsi="Palatino Linotype"/>
          <w:iCs/>
        </w:rPr>
        <w:tab/>
      </w:r>
      <w:r>
        <w:rPr>
          <w:rFonts w:ascii="Palatino Linotype" w:hAnsi="Palatino Linotype"/>
          <w:iCs/>
        </w:rPr>
        <w:tab/>
        <w:t>8,00 m</w:t>
      </w:r>
    </w:p>
    <w:p w:rsidR="004D7B61" w:rsidRPr="006C53D9" w:rsidRDefault="004D7B61" w:rsidP="003953BD">
      <w:pPr>
        <w:pStyle w:val="Sinespaciado"/>
        <w:spacing w:after="240" w:line="276" w:lineRule="auto"/>
        <w:jc w:val="both"/>
        <w:rPr>
          <w:rFonts w:ascii="Palatino Linotype" w:hAnsi="Palatino Linotype"/>
          <w:iCs/>
        </w:rPr>
      </w:pPr>
      <w:r w:rsidRPr="004D7B61">
        <w:rPr>
          <w:rFonts w:ascii="Palatino Linotype" w:hAnsi="Palatino Linotype"/>
          <w:b/>
          <w:bCs/>
        </w:rPr>
        <w:t xml:space="preserve">Artículo 7.- De las obras a ejecutarse.- </w:t>
      </w:r>
      <w:r w:rsidRPr="004D7B61">
        <w:rPr>
          <w:rFonts w:ascii="Palatino Linotype" w:hAnsi="Palatino Linotype"/>
        </w:rPr>
        <w:t xml:space="preserve">Las obras a ejecutarse en el </w:t>
      </w:r>
      <w:r w:rsidR="006B7A7E">
        <w:rPr>
          <w:rFonts w:ascii="Palatino Linotype" w:hAnsi="Palatino Linotype"/>
        </w:rPr>
        <w:t>a</w:t>
      </w:r>
      <w:r w:rsidRPr="004D7B61">
        <w:rPr>
          <w:rFonts w:ascii="Palatino Linotype" w:hAnsi="Palatino Linotype"/>
        </w:rPr>
        <w:t xml:space="preserve">sentamiento </w:t>
      </w:r>
      <w:r w:rsidR="006B7A7E">
        <w:rPr>
          <w:rFonts w:ascii="Palatino Linotype" w:hAnsi="Palatino Linotype"/>
        </w:rPr>
        <w:t xml:space="preserve">humano de hecho y consolidado </w:t>
      </w:r>
      <w:r w:rsidRPr="004D7B61">
        <w:rPr>
          <w:rFonts w:ascii="Palatino Linotype" w:hAnsi="Palatino Linotype"/>
        </w:rPr>
        <w:t>son las siguientes:</w:t>
      </w:r>
    </w:p>
    <w:p w:rsidR="004D7B61" w:rsidRDefault="003953BD" w:rsidP="003953BD">
      <w:pPr>
        <w:spacing w:after="240" w:line="276" w:lineRule="auto"/>
        <w:rPr>
          <w:rFonts w:ascii="Palatino Linotype" w:hAnsi="Palatino Linotype"/>
          <w:b/>
          <w:sz w:val="22"/>
          <w:szCs w:val="22"/>
          <w:lang w:val="es-EC"/>
        </w:rPr>
      </w:pPr>
      <w:r w:rsidRPr="003953BD">
        <w:rPr>
          <w:rFonts w:ascii="Palatino Linotype" w:hAnsi="Palatino Linotype"/>
          <w:b/>
          <w:sz w:val="22"/>
          <w:szCs w:val="22"/>
          <w:lang w:val="es-EC"/>
        </w:rPr>
        <w:t>Obras</w:t>
      </w:r>
      <w:r>
        <w:rPr>
          <w:rFonts w:ascii="Palatino Linotype" w:hAnsi="Palatino Linotype"/>
          <w:b/>
          <w:sz w:val="22"/>
          <w:szCs w:val="22"/>
          <w:lang w:val="es-EC"/>
        </w:rPr>
        <w:t xml:space="preserve"> civiles (vías):</w:t>
      </w:r>
    </w:p>
    <w:p w:rsidR="003953BD" w:rsidRDefault="003953BD" w:rsidP="003953BD">
      <w:pPr>
        <w:spacing w:after="240" w:line="276" w:lineRule="auto"/>
        <w:rPr>
          <w:rFonts w:ascii="Palatino Linotype" w:hAnsi="Palatino Linotype"/>
          <w:sz w:val="22"/>
          <w:szCs w:val="22"/>
          <w:lang w:val="es-EC"/>
        </w:rPr>
      </w:pPr>
      <w:r w:rsidRPr="003953BD">
        <w:rPr>
          <w:rFonts w:ascii="Palatino Linotype" w:hAnsi="Palatino Linotype"/>
          <w:sz w:val="22"/>
          <w:szCs w:val="22"/>
          <w:lang w:val="es-EC"/>
        </w:rPr>
        <w:t>C</w:t>
      </w:r>
      <w:r>
        <w:rPr>
          <w:rFonts w:ascii="Palatino Linotype" w:hAnsi="Palatino Linotype"/>
          <w:sz w:val="22"/>
          <w:szCs w:val="22"/>
          <w:lang w:val="es-EC"/>
        </w:rPr>
        <w:t>alzadas:</w:t>
      </w:r>
      <w:r>
        <w:rPr>
          <w:rFonts w:ascii="Palatino Linotype" w:hAnsi="Palatino Linotype"/>
          <w:sz w:val="22"/>
          <w:szCs w:val="22"/>
          <w:lang w:val="es-EC"/>
        </w:rPr>
        <w:tab/>
      </w:r>
      <w:r>
        <w:rPr>
          <w:rFonts w:ascii="Palatino Linotype" w:hAnsi="Palatino Linotype"/>
          <w:sz w:val="22"/>
          <w:szCs w:val="22"/>
          <w:lang w:val="es-EC"/>
        </w:rPr>
        <w:tab/>
      </w:r>
      <w:r>
        <w:rPr>
          <w:rFonts w:ascii="Palatino Linotype" w:hAnsi="Palatino Linotype"/>
          <w:sz w:val="22"/>
          <w:szCs w:val="22"/>
          <w:lang w:val="es-EC"/>
        </w:rPr>
        <w:tab/>
      </w:r>
      <w:r>
        <w:rPr>
          <w:rFonts w:ascii="Palatino Linotype" w:hAnsi="Palatino Linotype"/>
          <w:sz w:val="22"/>
          <w:szCs w:val="22"/>
          <w:lang w:val="es-EC"/>
        </w:rPr>
        <w:tab/>
        <w:t>100%</w:t>
      </w:r>
      <w:r>
        <w:rPr>
          <w:rFonts w:ascii="Palatino Linotype" w:hAnsi="Palatino Linotype"/>
          <w:sz w:val="22"/>
          <w:szCs w:val="22"/>
          <w:lang w:val="es-EC"/>
        </w:rPr>
        <w:tab/>
      </w:r>
      <w:r>
        <w:rPr>
          <w:rFonts w:ascii="Palatino Linotype" w:hAnsi="Palatino Linotype"/>
          <w:sz w:val="22"/>
          <w:szCs w:val="22"/>
          <w:lang w:val="es-EC"/>
        </w:rPr>
        <w:tab/>
      </w:r>
      <w:r>
        <w:rPr>
          <w:rFonts w:ascii="Palatino Linotype" w:hAnsi="Palatino Linotype"/>
          <w:sz w:val="22"/>
          <w:szCs w:val="22"/>
          <w:lang w:val="es-EC"/>
        </w:rPr>
        <w:tab/>
        <w:t>Aceras:</w:t>
      </w:r>
      <w:r>
        <w:rPr>
          <w:rFonts w:ascii="Palatino Linotype" w:hAnsi="Palatino Linotype"/>
          <w:sz w:val="22"/>
          <w:szCs w:val="22"/>
          <w:lang w:val="es-EC"/>
        </w:rPr>
        <w:tab/>
      </w:r>
      <w:r>
        <w:rPr>
          <w:rFonts w:ascii="Palatino Linotype" w:hAnsi="Palatino Linotype"/>
          <w:sz w:val="22"/>
          <w:szCs w:val="22"/>
          <w:lang w:val="es-EC"/>
        </w:rPr>
        <w:tab/>
      </w:r>
      <w:r>
        <w:rPr>
          <w:rFonts w:ascii="Palatino Linotype" w:hAnsi="Palatino Linotype"/>
          <w:sz w:val="22"/>
          <w:szCs w:val="22"/>
          <w:lang w:val="es-EC"/>
        </w:rPr>
        <w:tab/>
        <w:t>100%</w:t>
      </w:r>
    </w:p>
    <w:p w:rsidR="003953BD" w:rsidRDefault="003953BD" w:rsidP="003953BD">
      <w:pPr>
        <w:spacing w:after="240" w:line="276" w:lineRule="auto"/>
        <w:rPr>
          <w:rFonts w:ascii="Palatino Linotype" w:hAnsi="Palatino Linotype"/>
          <w:sz w:val="22"/>
          <w:szCs w:val="22"/>
          <w:lang w:val="es-EC"/>
        </w:rPr>
      </w:pPr>
      <w:r>
        <w:rPr>
          <w:rFonts w:ascii="Palatino Linotype" w:hAnsi="Palatino Linotype"/>
          <w:sz w:val="22"/>
          <w:szCs w:val="22"/>
          <w:lang w:val="es-EC"/>
        </w:rPr>
        <w:t>Bordillos:</w:t>
      </w:r>
      <w:r>
        <w:rPr>
          <w:rFonts w:ascii="Palatino Linotype" w:hAnsi="Palatino Linotype"/>
          <w:sz w:val="22"/>
          <w:szCs w:val="22"/>
          <w:lang w:val="es-EC"/>
        </w:rPr>
        <w:tab/>
      </w:r>
      <w:r>
        <w:rPr>
          <w:rFonts w:ascii="Palatino Linotype" w:hAnsi="Palatino Linotype"/>
          <w:sz w:val="22"/>
          <w:szCs w:val="22"/>
          <w:lang w:val="es-EC"/>
        </w:rPr>
        <w:tab/>
      </w:r>
      <w:r>
        <w:rPr>
          <w:rFonts w:ascii="Palatino Linotype" w:hAnsi="Palatino Linotype"/>
          <w:sz w:val="22"/>
          <w:szCs w:val="22"/>
          <w:lang w:val="es-EC"/>
        </w:rPr>
        <w:tab/>
      </w:r>
      <w:r>
        <w:rPr>
          <w:rFonts w:ascii="Palatino Linotype" w:hAnsi="Palatino Linotype"/>
          <w:sz w:val="22"/>
          <w:szCs w:val="22"/>
          <w:lang w:val="es-EC"/>
        </w:rPr>
        <w:tab/>
        <w:t>100%</w:t>
      </w:r>
    </w:p>
    <w:p w:rsidR="003953BD" w:rsidRDefault="003953BD" w:rsidP="003953BD">
      <w:pPr>
        <w:spacing w:after="240" w:line="276" w:lineRule="auto"/>
        <w:rPr>
          <w:rFonts w:ascii="Palatino Linotype" w:hAnsi="Palatino Linotype"/>
          <w:b/>
          <w:sz w:val="22"/>
          <w:szCs w:val="22"/>
          <w:lang w:val="es-EC"/>
        </w:rPr>
      </w:pPr>
      <w:r w:rsidRPr="003953BD">
        <w:rPr>
          <w:rFonts w:ascii="Palatino Linotype" w:hAnsi="Palatino Linotype"/>
          <w:b/>
          <w:sz w:val="22"/>
          <w:szCs w:val="22"/>
          <w:lang w:val="es-EC"/>
        </w:rPr>
        <w:t>Obras</w:t>
      </w:r>
      <w:r>
        <w:rPr>
          <w:rFonts w:ascii="Palatino Linotype" w:hAnsi="Palatino Linotype"/>
          <w:b/>
          <w:sz w:val="22"/>
          <w:szCs w:val="22"/>
          <w:lang w:val="es-EC"/>
        </w:rPr>
        <w:t xml:space="preserve"> de infraestructura:</w:t>
      </w:r>
    </w:p>
    <w:p w:rsidR="003953BD" w:rsidRDefault="003953BD" w:rsidP="003953BD">
      <w:pPr>
        <w:spacing w:after="240" w:line="276" w:lineRule="auto"/>
        <w:rPr>
          <w:rFonts w:ascii="Palatino Linotype" w:hAnsi="Palatino Linotype"/>
          <w:sz w:val="22"/>
          <w:szCs w:val="22"/>
          <w:lang w:val="es-EC"/>
        </w:rPr>
      </w:pPr>
      <w:r>
        <w:rPr>
          <w:rFonts w:ascii="Palatino Linotype" w:hAnsi="Palatino Linotype"/>
          <w:sz w:val="22"/>
          <w:szCs w:val="22"/>
          <w:lang w:val="es-EC"/>
        </w:rPr>
        <w:t>Agua potable:</w:t>
      </w:r>
      <w:r>
        <w:rPr>
          <w:rFonts w:ascii="Palatino Linotype" w:hAnsi="Palatino Linotype"/>
          <w:sz w:val="22"/>
          <w:szCs w:val="22"/>
          <w:lang w:val="es-EC"/>
        </w:rPr>
        <w:tab/>
      </w:r>
      <w:r>
        <w:rPr>
          <w:rFonts w:ascii="Palatino Linotype" w:hAnsi="Palatino Linotype"/>
          <w:sz w:val="22"/>
          <w:szCs w:val="22"/>
          <w:lang w:val="es-EC"/>
        </w:rPr>
        <w:tab/>
      </w:r>
      <w:r>
        <w:rPr>
          <w:rFonts w:ascii="Palatino Linotype" w:hAnsi="Palatino Linotype"/>
          <w:sz w:val="22"/>
          <w:szCs w:val="22"/>
          <w:lang w:val="es-EC"/>
        </w:rPr>
        <w:tab/>
      </w:r>
      <w:r>
        <w:rPr>
          <w:rFonts w:ascii="Palatino Linotype" w:hAnsi="Palatino Linotype"/>
          <w:sz w:val="22"/>
          <w:szCs w:val="22"/>
          <w:lang w:val="es-EC"/>
        </w:rPr>
        <w:tab/>
        <w:t>100%</w:t>
      </w:r>
      <w:r>
        <w:rPr>
          <w:rFonts w:ascii="Palatino Linotype" w:hAnsi="Palatino Linotype"/>
          <w:sz w:val="22"/>
          <w:szCs w:val="22"/>
          <w:lang w:val="es-EC"/>
        </w:rPr>
        <w:tab/>
      </w:r>
      <w:r>
        <w:rPr>
          <w:rFonts w:ascii="Palatino Linotype" w:hAnsi="Palatino Linotype"/>
          <w:sz w:val="22"/>
          <w:szCs w:val="22"/>
          <w:lang w:val="es-EC"/>
        </w:rPr>
        <w:tab/>
      </w:r>
      <w:r>
        <w:rPr>
          <w:rFonts w:ascii="Palatino Linotype" w:hAnsi="Palatino Linotype"/>
          <w:sz w:val="22"/>
          <w:szCs w:val="22"/>
          <w:lang w:val="es-EC"/>
        </w:rPr>
        <w:tab/>
        <w:t>Alcantarillado:</w:t>
      </w:r>
      <w:r>
        <w:rPr>
          <w:rFonts w:ascii="Palatino Linotype" w:hAnsi="Palatino Linotype"/>
          <w:sz w:val="22"/>
          <w:szCs w:val="22"/>
          <w:lang w:val="es-EC"/>
        </w:rPr>
        <w:tab/>
      </w:r>
      <w:r>
        <w:rPr>
          <w:rFonts w:ascii="Palatino Linotype" w:hAnsi="Palatino Linotype"/>
          <w:sz w:val="22"/>
          <w:szCs w:val="22"/>
          <w:lang w:val="es-EC"/>
        </w:rPr>
        <w:tab/>
        <w:t>100%</w:t>
      </w:r>
    </w:p>
    <w:p w:rsidR="003953BD" w:rsidRDefault="003953BD" w:rsidP="003953BD">
      <w:pPr>
        <w:spacing w:after="240" w:line="276" w:lineRule="auto"/>
        <w:rPr>
          <w:rFonts w:ascii="Palatino Linotype" w:hAnsi="Palatino Linotype"/>
          <w:sz w:val="22"/>
          <w:szCs w:val="22"/>
          <w:lang w:val="es-EC"/>
        </w:rPr>
      </w:pPr>
      <w:r>
        <w:rPr>
          <w:rFonts w:ascii="Palatino Linotype" w:hAnsi="Palatino Linotype"/>
          <w:sz w:val="22"/>
          <w:szCs w:val="22"/>
          <w:lang w:val="es-EC"/>
        </w:rPr>
        <w:t>Energía eléctrica:</w:t>
      </w:r>
      <w:r>
        <w:rPr>
          <w:rFonts w:ascii="Palatino Linotype" w:hAnsi="Palatino Linotype"/>
          <w:sz w:val="22"/>
          <w:szCs w:val="22"/>
          <w:lang w:val="es-EC"/>
        </w:rPr>
        <w:tab/>
      </w:r>
      <w:r>
        <w:rPr>
          <w:rFonts w:ascii="Palatino Linotype" w:hAnsi="Palatino Linotype"/>
          <w:sz w:val="22"/>
          <w:szCs w:val="22"/>
          <w:lang w:val="es-EC"/>
        </w:rPr>
        <w:tab/>
      </w:r>
      <w:r>
        <w:rPr>
          <w:rFonts w:ascii="Palatino Linotype" w:hAnsi="Palatino Linotype"/>
          <w:sz w:val="22"/>
          <w:szCs w:val="22"/>
          <w:lang w:val="es-EC"/>
        </w:rPr>
        <w:tab/>
        <w:t>100%</w:t>
      </w:r>
    </w:p>
    <w:p w:rsidR="004D7B61" w:rsidRPr="004D7B61" w:rsidRDefault="004D7B61" w:rsidP="003953BD">
      <w:pPr>
        <w:spacing w:after="240" w:line="276" w:lineRule="auto"/>
        <w:jc w:val="both"/>
        <w:rPr>
          <w:rFonts w:ascii="Palatino Linotype" w:hAnsi="Palatino Linotype"/>
          <w:b/>
          <w:bCs/>
          <w:sz w:val="22"/>
          <w:szCs w:val="22"/>
          <w:lang w:val="es-EC"/>
        </w:rPr>
      </w:pPr>
      <w:r w:rsidRPr="004D7B61">
        <w:rPr>
          <w:rFonts w:ascii="Palatino Linotype" w:hAnsi="Palatino Linotype"/>
          <w:b/>
          <w:bCs/>
          <w:sz w:val="22"/>
          <w:szCs w:val="22"/>
          <w:lang w:val="es-EC"/>
        </w:rPr>
        <w:lastRenderedPageBreak/>
        <w:t>Artículo 8.- Del plazo de ejecución de las obras.-</w:t>
      </w:r>
      <w:r w:rsidRPr="004D7B61">
        <w:rPr>
          <w:rFonts w:ascii="Palatino Linotype" w:hAnsi="Palatino Linotype"/>
          <w:sz w:val="22"/>
          <w:szCs w:val="22"/>
          <w:lang w:val="es-EC"/>
        </w:rPr>
        <w:t xml:space="preserve"> El plazo de ejecución de la totalidad de las obras de urbanización, incluido el equipamiento del área comunal, es de ocho (8) años, </w:t>
      </w:r>
      <w:r w:rsidRPr="004D7B61">
        <w:rPr>
          <w:rFonts w:ascii="Palatino Linotype" w:hAnsi="Palatino Linotype"/>
          <w:iCs/>
          <w:sz w:val="22"/>
          <w:szCs w:val="22"/>
          <w:lang w:val="es-EC"/>
        </w:rPr>
        <w:t>de conformidad al cronograma de obras presentado por los dirigentes del Asentamiento Humano de Hecho y Consolidado denominado</w:t>
      </w:r>
      <w:r w:rsidRPr="004D7B61">
        <w:rPr>
          <w:rFonts w:ascii="Palatino Linotype" w:hAnsi="Palatino Linotype"/>
          <w:sz w:val="22"/>
          <w:szCs w:val="22"/>
          <w:lang w:val="es-EC"/>
        </w:rPr>
        <w:t xml:space="preserve"> Comité Pro</w:t>
      </w:r>
      <w:r w:rsidR="006B7A7E">
        <w:rPr>
          <w:rFonts w:ascii="Palatino Linotype" w:hAnsi="Palatino Linotype"/>
          <w:sz w:val="22"/>
          <w:szCs w:val="22"/>
          <w:lang w:val="es-EC"/>
        </w:rPr>
        <w:t>-</w:t>
      </w:r>
      <w:r w:rsidRPr="004D7B61">
        <w:rPr>
          <w:rFonts w:ascii="Palatino Linotype" w:hAnsi="Palatino Linotype"/>
          <w:sz w:val="22"/>
          <w:szCs w:val="22"/>
          <w:lang w:val="es-EC"/>
        </w:rPr>
        <w:t xml:space="preserve">Mejoras del Barrio </w:t>
      </w:r>
      <w:r w:rsidRPr="004D7B61">
        <w:rPr>
          <w:rFonts w:ascii="Palatino Linotype" w:hAnsi="Palatino Linotype" w:cs="Arial"/>
          <w:sz w:val="22"/>
          <w:szCs w:val="22"/>
        </w:rPr>
        <w:t>“La Dolorosa Alta”</w:t>
      </w:r>
      <w:r w:rsidR="003953BD">
        <w:rPr>
          <w:rFonts w:ascii="Palatino Linotype" w:eastAsia="Calibri" w:hAnsi="Palatino Linotype"/>
          <w:sz w:val="22"/>
          <w:szCs w:val="22"/>
          <w:lang w:val="es-EC" w:eastAsia="en-US"/>
        </w:rPr>
        <w:t xml:space="preserve"> de la p</w:t>
      </w:r>
      <w:r w:rsidRPr="004D7B61">
        <w:rPr>
          <w:rFonts w:ascii="Palatino Linotype" w:eastAsia="Calibri" w:hAnsi="Palatino Linotype"/>
          <w:sz w:val="22"/>
          <w:szCs w:val="22"/>
          <w:lang w:val="es-EC" w:eastAsia="en-US"/>
        </w:rPr>
        <w:t>arroquia Chillogallo</w:t>
      </w:r>
      <w:r w:rsidRPr="004D7B61">
        <w:rPr>
          <w:rFonts w:ascii="Palatino Linotype" w:hAnsi="Palatino Linotype"/>
          <w:iCs/>
          <w:sz w:val="22"/>
          <w:szCs w:val="22"/>
          <w:lang w:val="es-EC"/>
        </w:rPr>
        <w:t>, plazo que se contará a partir de la fecha de sanción de la presente ordenanza. De estas obras</w:t>
      </w:r>
      <w:r w:rsidR="003953BD">
        <w:rPr>
          <w:rFonts w:ascii="Palatino Linotype" w:hAnsi="Palatino Linotype"/>
          <w:iCs/>
          <w:sz w:val="22"/>
          <w:szCs w:val="22"/>
          <w:lang w:val="es-EC"/>
        </w:rPr>
        <w:t>,</w:t>
      </w:r>
      <w:r w:rsidRPr="004D7B61">
        <w:rPr>
          <w:rFonts w:ascii="Palatino Linotype" w:hAnsi="Palatino Linotype"/>
          <w:iCs/>
          <w:sz w:val="22"/>
          <w:szCs w:val="22"/>
          <w:lang w:val="es-EC"/>
        </w:rPr>
        <w:t xml:space="preserve"> e</w:t>
      </w:r>
      <w:r w:rsidRPr="004D7B61">
        <w:rPr>
          <w:rFonts w:ascii="Palatino Linotype" w:hAnsi="Palatino Linotype"/>
          <w:sz w:val="22"/>
          <w:szCs w:val="22"/>
          <w:lang w:val="es-EC"/>
        </w:rPr>
        <w:t>l Comité Pro</w:t>
      </w:r>
      <w:r w:rsidR="006B7A7E">
        <w:rPr>
          <w:rFonts w:ascii="Palatino Linotype" w:hAnsi="Palatino Linotype"/>
          <w:sz w:val="22"/>
          <w:szCs w:val="22"/>
          <w:lang w:val="es-EC"/>
        </w:rPr>
        <w:t>-</w:t>
      </w:r>
      <w:r w:rsidRPr="004D7B61">
        <w:rPr>
          <w:rFonts w:ascii="Palatino Linotype" w:hAnsi="Palatino Linotype"/>
          <w:sz w:val="22"/>
          <w:szCs w:val="22"/>
          <w:lang w:val="es-EC"/>
        </w:rPr>
        <w:t xml:space="preserve">Mejoras del Barrio </w:t>
      </w:r>
      <w:r w:rsidRPr="004D7B61">
        <w:rPr>
          <w:rFonts w:ascii="Palatino Linotype" w:hAnsi="Palatino Linotype" w:cs="Arial"/>
          <w:sz w:val="22"/>
          <w:szCs w:val="22"/>
        </w:rPr>
        <w:t>“La Dolorosa Alta”</w:t>
      </w:r>
      <w:r w:rsidRPr="004D7B61">
        <w:rPr>
          <w:rFonts w:ascii="Palatino Linotype" w:hAnsi="Palatino Linotype"/>
          <w:iCs/>
          <w:sz w:val="22"/>
          <w:szCs w:val="22"/>
          <w:lang w:val="es-EC"/>
        </w:rPr>
        <w:t xml:space="preserve">, </w:t>
      </w:r>
      <w:r w:rsidRPr="004D7B61">
        <w:rPr>
          <w:rFonts w:ascii="Palatino Linotype" w:hAnsi="Palatino Linotype"/>
          <w:sz w:val="22"/>
          <w:szCs w:val="22"/>
          <w:lang w:val="es-EC"/>
        </w:rPr>
        <w:t xml:space="preserve"> </w:t>
      </w:r>
      <w:r w:rsidRPr="004D7B61">
        <w:rPr>
          <w:rFonts w:ascii="Palatino Linotype" w:hAnsi="Palatino Linotype"/>
          <w:bCs/>
          <w:sz w:val="22"/>
          <w:szCs w:val="22"/>
          <w:lang w:val="es-EC"/>
        </w:rPr>
        <w:t>propietario del predio fraccionado</w:t>
      </w:r>
      <w:r w:rsidRPr="004D7B61">
        <w:rPr>
          <w:rFonts w:ascii="Palatino Linotype" w:hAnsi="Palatino Linotype"/>
          <w:iCs/>
          <w:sz w:val="22"/>
          <w:szCs w:val="22"/>
          <w:lang w:val="es-EC"/>
        </w:rPr>
        <w:t xml:space="preserve"> pagará las contribuciones especiales y mejoras de ley.</w:t>
      </w:r>
    </w:p>
    <w:p w:rsidR="004D7B61" w:rsidRPr="004D7B61" w:rsidRDefault="004D7B61" w:rsidP="003953BD">
      <w:pPr>
        <w:spacing w:after="240" w:line="276" w:lineRule="auto"/>
        <w:jc w:val="both"/>
        <w:rPr>
          <w:rFonts w:ascii="Palatino Linotype" w:hAnsi="Palatino Linotype"/>
          <w:sz w:val="22"/>
          <w:szCs w:val="22"/>
          <w:lang w:val="es-EC"/>
        </w:rPr>
      </w:pPr>
      <w:r w:rsidRPr="004D7B61">
        <w:rPr>
          <w:rFonts w:ascii="Palatino Linotype" w:hAnsi="Palatino Linotype"/>
          <w:b/>
          <w:bCs/>
          <w:iCs/>
          <w:sz w:val="22"/>
          <w:szCs w:val="22"/>
          <w:lang w:val="es-EC"/>
        </w:rPr>
        <w:t xml:space="preserve">Artículo </w:t>
      </w:r>
      <w:r w:rsidRPr="004D7B61">
        <w:rPr>
          <w:rFonts w:ascii="Palatino Linotype" w:hAnsi="Palatino Linotype"/>
          <w:b/>
          <w:bCs/>
          <w:iCs/>
          <w:sz w:val="22"/>
          <w:szCs w:val="22"/>
          <w:lang w:val="es-ES_tradnl"/>
        </w:rPr>
        <w:t>9.- Del control de ejecución de las obras.-</w:t>
      </w:r>
      <w:r w:rsidRPr="004D7B61">
        <w:rPr>
          <w:rFonts w:ascii="Palatino Linotype" w:hAnsi="Palatino Linotype"/>
          <w:iCs/>
          <w:sz w:val="22"/>
          <w:szCs w:val="22"/>
          <w:lang w:val="es-EC"/>
        </w:rPr>
        <w:t xml:space="preserve"> La Administración Zonal Quitumbe r</w:t>
      </w:r>
      <w:r w:rsidRPr="004D7B61">
        <w:rPr>
          <w:rFonts w:ascii="Palatino Linotype" w:hAnsi="Palatino Linotype"/>
          <w:sz w:val="22"/>
          <w:szCs w:val="22"/>
          <w:lang w:val="es-EC"/>
        </w:rPr>
        <w:t xml:space="preserve">ealizará el seguimiento en la ejecución y avance de las obras de urbanización hasta la terminación de las mismas, </w:t>
      </w:r>
      <w:r w:rsidR="003953BD" w:rsidRPr="005D59E8">
        <w:rPr>
          <w:rFonts w:ascii="Palatino Linotype" w:hAnsi="Palatino Linotype"/>
          <w:sz w:val="22"/>
          <w:szCs w:val="22"/>
          <w:lang w:val="es-EC"/>
        </w:rPr>
        <w:t>para lo cual el departamento de fiscalización y el departamento de obras públicas emitirán un informe técnico de manera semestral. Su informe favorable final será indispensable para cancelar la hipoteca</w:t>
      </w:r>
      <w:r w:rsidR="003953BD">
        <w:rPr>
          <w:rFonts w:ascii="Palatino Linotype" w:hAnsi="Palatino Linotype"/>
          <w:sz w:val="22"/>
          <w:szCs w:val="22"/>
          <w:lang w:val="es-EC"/>
        </w:rPr>
        <w:t>.</w:t>
      </w:r>
    </w:p>
    <w:p w:rsidR="004D7B61" w:rsidRPr="004D7B61" w:rsidRDefault="004D7B61" w:rsidP="003953BD">
      <w:pPr>
        <w:spacing w:after="240" w:line="276" w:lineRule="auto"/>
        <w:jc w:val="both"/>
        <w:rPr>
          <w:rFonts w:ascii="Palatino Linotype" w:hAnsi="Palatino Linotype"/>
          <w:sz w:val="22"/>
          <w:szCs w:val="22"/>
          <w:lang w:val="es-ES_tradnl"/>
        </w:rPr>
      </w:pPr>
      <w:r w:rsidRPr="004D7B61">
        <w:rPr>
          <w:rFonts w:ascii="Palatino Linotype" w:hAnsi="Palatino Linotype"/>
          <w:b/>
          <w:bCs/>
          <w:iCs/>
          <w:sz w:val="22"/>
          <w:szCs w:val="22"/>
          <w:lang w:val="es-EC"/>
        </w:rPr>
        <w:t>Artículo</w:t>
      </w:r>
      <w:r w:rsidRPr="004D7B61">
        <w:rPr>
          <w:rFonts w:ascii="Palatino Linotype" w:hAnsi="Palatino Linotype"/>
          <w:b/>
          <w:bCs/>
          <w:iCs/>
          <w:sz w:val="22"/>
          <w:szCs w:val="22"/>
          <w:lang w:val="es-ES_tradnl"/>
        </w:rPr>
        <w:t xml:space="preserve"> 10.- De la multa por retraso en la ejecución de obras.- </w:t>
      </w:r>
      <w:r w:rsidRPr="004D7B61">
        <w:rPr>
          <w:rFonts w:ascii="Palatino Linotype" w:hAnsi="Palatino Linotype"/>
          <w:sz w:val="22"/>
          <w:szCs w:val="22"/>
          <w:lang w:val="es-ES_tradnl"/>
        </w:rPr>
        <w:t xml:space="preserve">En caso de retraso en la ejecución de las obras de urbanización, </w:t>
      </w:r>
      <w:r w:rsidRPr="004D7B61">
        <w:rPr>
          <w:rFonts w:ascii="Palatino Linotype" w:hAnsi="Palatino Linotype"/>
          <w:sz w:val="22"/>
          <w:szCs w:val="22"/>
          <w:lang w:val="es-EC"/>
        </w:rPr>
        <w:t>El Comité Pro</w:t>
      </w:r>
      <w:r w:rsidR="006B7A7E">
        <w:rPr>
          <w:rFonts w:ascii="Palatino Linotype" w:hAnsi="Palatino Linotype"/>
          <w:sz w:val="22"/>
          <w:szCs w:val="22"/>
          <w:lang w:val="es-EC"/>
        </w:rPr>
        <w:t>-</w:t>
      </w:r>
      <w:r w:rsidRPr="004D7B61">
        <w:rPr>
          <w:rFonts w:ascii="Palatino Linotype" w:hAnsi="Palatino Linotype"/>
          <w:sz w:val="22"/>
          <w:szCs w:val="22"/>
          <w:lang w:val="es-EC"/>
        </w:rPr>
        <w:t xml:space="preserve">Mejoras del Barrio </w:t>
      </w:r>
      <w:r w:rsidRPr="004D7B61">
        <w:rPr>
          <w:rFonts w:ascii="Palatino Linotype" w:hAnsi="Palatino Linotype" w:cs="Arial"/>
          <w:sz w:val="22"/>
          <w:szCs w:val="22"/>
        </w:rPr>
        <w:t>“La Dolorosa Alta”</w:t>
      </w:r>
      <w:r w:rsidR="003953BD">
        <w:rPr>
          <w:rFonts w:ascii="Palatino Linotype" w:eastAsia="Calibri" w:hAnsi="Palatino Linotype"/>
          <w:sz w:val="22"/>
          <w:szCs w:val="22"/>
          <w:lang w:val="es-EC" w:eastAsia="en-US"/>
        </w:rPr>
        <w:t xml:space="preserve"> de la p</w:t>
      </w:r>
      <w:r w:rsidRPr="004D7B61">
        <w:rPr>
          <w:rFonts w:ascii="Palatino Linotype" w:eastAsia="Calibri" w:hAnsi="Palatino Linotype"/>
          <w:sz w:val="22"/>
          <w:szCs w:val="22"/>
          <w:lang w:val="es-EC" w:eastAsia="en-US"/>
        </w:rPr>
        <w:t>arroquia Chillogallo</w:t>
      </w:r>
      <w:r w:rsidRPr="004D7B61">
        <w:rPr>
          <w:rFonts w:ascii="Palatino Linotype" w:hAnsi="Palatino Linotype"/>
          <w:iCs/>
          <w:sz w:val="22"/>
          <w:szCs w:val="22"/>
          <w:lang w:val="es-EC"/>
        </w:rPr>
        <w:t xml:space="preserve">, </w:t>
      </w:r>
      <w:r w:rsidRPr="004D7B61">
        <w:rPr>
          <w:rFonts w:ascii="Palatino Linotype" w:hAnsi="Palatino Linotype"/>
          <w:sz w:val="22"/>
          <w:szCs w:val="22"/>
          <w:lang w:val="es-EC"/>
        </w:rPr>
        <w:t xml:space="preserve"> </w:t>
      </w:r>
      <w:r w:rsidRPr="004D7B61">
        <w:rPr>
          <w:rFonts w:ascii="Palatino Linotype" w:hAnsi="Palatino Linotype"/>
          <w:sz w:val="22"/>
          <w:szCs w:val="22"/>
          <w:lang w:val="es-ES_tradnl"/>
        </w:rPr>
        <w:t>pagará a la Municipalidad en calidad de multa, el uno por mil por cada día de retraso, calculado del costo de las obras no ejecutadas.</w:t>
      </w:r>
    </w:p>
    <w:p w:rsidR="004D7B61" w:rsidRPr="004D7B61" w:rsidRDefault="004D7B61" w:rsidP="003953BD">
      <w:pPr>
        <w:spacing w:after="240" w:line="276" w:lineRule="auto"/>
        <w:jc w:val="both"/>
        <w:rPr>
          <w:rFonts w:ascii="Palatino Linotype" w:hAnsi="Palatino Linotype"/>
          <w:sz w:val="22"/>
          <w:szCs w:val="22"/>
          <w:lang w:val="es-ES_tradnl"/>
        </w:rPr>
      </w:pPr>
      <w:r w:rsidRPr="004D7B61">
        <w:rPr>
          <w:rFonts w:ascii="Palatino Linotype" w:hAnsi="Palatino Linotype"/>
          <w:sz w:val="22"/>
          <w:szCs w:val="22"/>
          <w:lang w:val="es-ES_tradnl"/>
        </w:rPr>
        <w:t xml:space="preserve">De persistir el incumplimiento, el Municipio podrá ejecutar las obras, cuyo costo estará a cargo </w:t>
      </w:r>
      <w:r w:rsidRPr="004D7B61">
        <w:rPr>
          <w:rFonts w:ascii="Palatino Linotype" w:hAnsi="Palatino Linotype"/>
          <w:sz w:val="22"/>
          <w:szCs w:val="22"/>
          <w:lang w:val="es-EC"/>
        </w:rPr>
        <w:t>de todos los propietarios de los lotes</w:t>
      </w:r>
      <w:r w:rsidRPr="004D7B61">
        <w:rPr>
          <w:rFonts w:ascii="Palatino Linotype" w:hAnsi="Palatino Linotype"/>
          <w:sz w:val="22"/>
          <w:szCs w:val="22"/>
          <w:lang w:val="es-ES_tradnl"/>
        </w:rPr>
        <w:t>, además de un recargo del 30%.</w:t>
      </w:r>
    </w:p>
    <w:p w:rsidR="004D7B61" w:rsidRPr="004D7B61" w:rsidRDefault="004D7B61" w:rsidP="003953BD">
      <w:pPr>
        <w:spacing w:after="240" w:line="276" w:lineRule="auto"/>
        <w:jc w:val="both"/>
        <w:rPr>
          <w:rFonts w:ascii="Palatino Linotype" w:hAnsi="Palatino Linotype"/>
          <w:iCs/>
          <w:sz w:val="22"/>
          <w:szCs w:val="22"/>
          <w:lang w:val="es-ES_tradnl"/>
        </w:rPr>
      </w:pPr>
      <w:r w:rsidRPr="004D7B61">
        <w:rPr>
          <w:rFonts w:ascii="Palatino Linotype" w:hAnsi="Palatino Linotype"/>
          <w:sz w:val="22"/>
          <w:szCs w:val="22"/>
          <w:lang w:val="es-ES_tradnl"/>
        </w:rPr>
        <w:t>Emitidos los informes correspondientes que establezcan la multa por incumplimiento de las obras de urbanización, se notificará a la Dirección Metropolitana Financiera para que emita el título de crédito respectivo y proceda a su cobro, incluso por la vía coactiva.</w:t>
      </w:r>
    </w:p>
    <w:p w:rsidR="004D7B61" w:rsidRPr="004D7B61" w:rsidRDefault="004D7B61" w:rsidP="003953BD">
      <w:pPr>
        <w:spacing w:after="240" w:line="276" w:lineRule="auto"/>
        <w:jc w:val="both"/>
        <w:rPr>
          <w:rFonts w:ascii="Palatino Linotype" w:hAnsi="Palatino Linotype"/>
          <w:sz w:val="22"/>
          <w:szCs w:val="22"/>
          <w:lang w:val="es-EC"/>
        </w:rPr>
      </w:pPr>
      <w:r w:rsidRPr="004D7B61">
        <w:rPr>
          <w:rFonts w:ascii="Palatino Linotype" w:hAnsi="Palatino Linotype"/>
          <w:b/>
          <w:bCs/>
          <w:iCs/>
          <w:sz w:val="22"/>
          <w:szCs w:val="22"/>
          <w:lang w:val="es-EC"/>
        </w:rPr>
        <w:t xml:space="preserve">Artículo 11.- De la garantía de ejecución de las obras.- </w:t>
      </w:r>
      <w:r w:rsidRPr="004D7B61">
        <w:rPr>
          <w:rFonts w:ascii="Palatino Linotype" w:hAnsi="Palatino Linotype"/>
          <w:sz w:val="22"/>
          <w:szCs w:val="22"/>
          <w:lang w:val="es-EC"/>
        </w:rPr>
        <w:t xml:space="preserve">Los lotes producto del presente reconocimiento de </w:t>
      </w:r>
      <w:r w:rsidR="003953BD">
        <w:rPr>
          <w:rFonts w:ascii="Palatino Linotype" w:hAnsi="Palatino Linotype"/>
          <w:sz w:val="22"/>
          <w:szCs w:val="22"/>
          <w:lang w:val="es-EC"/>
        </w:rPr>
        <w:t>a</w:t>
      </w:r>
      <w:r w:rsidRPr="004D7B61">
        <w:rPr>
          <w:rFonts w:ascii="Palatino Linotype" w:hAnsi="Palatino Linotype"/>
          <w:sz w:val="22"/>
          <w:szCs w:val="22"/>
          <w:lang w:val="es-EC"/>
        </w:rPr>
        <w:t xml:space="preserve">sentamiento </w:t>
      </w:r>
      <w:r w:rsidR="003953BD">
        <w:rPr>
          <w:rFonts w:ascii="Palatino Linotype" w:hAnsi="Palatino Linotype"/>
          <w:sz w:val="22"/>
          <w:szCs w:val="22"/>
          <w:lang w:val="es-EC"/>
        </w:rPr>
        <w:t>h</w:t>
      </w:r>
      <w:r w:rsidRPr="004D7B61">
        <w:rPr>
          <w:rFonts w:ascii="Palatino Linotype" w:hAnsi="Palatino Linotype"/>
          <w:sz w:val="22"/>
          <w:szCs w:val="22"/>
          <w:lang w:val="es-EC"/>
        </w:rPr>
        <w:t xml:space="preserve">umano de </w:t>
      </w:r>
      <w:r w:rsidR="003953BD">
        <w:rPr>
          <w:rFonts w:ascii="Palatino Linotype" w:hAnsi="Palatino Linotype"/>
          <w:sz w:val="22"/>
          <w:szCs w:val="22"/>
          <w:lang w:val="es-EC"/>
        </w:rPr>
        <w:t>h</w:t>
      </w:r>
      <w:r w:rsidRPr="004D7B61">
        <w:rPr>
          <w:rFonts w:ascii="Palatino Linotype" w:hAnsi="Palatino Linotype"/>
          <w:sz w:val="22"/>
          <w:szCs w:val="22"/>
          <w:lang w:val="es-EC"/>
        </w:rPr>
        <w:t xml:space="preserve">echo y </w:t>
      </w:r>
      <w:r w:rsidR="003953BD">
        <w:rPr>
          <w:rFonts w:ascii="Palatino Linotype" w:hAnsi="Palatino Linotype"/>
          <w:sz w:val="22"/>
          <w:szCs w:val="22"/>
          <w:lang w:val="es-EC"/>
        </w:rPr>
        <w:t>c</w:t>
      </w:r>
      <w:r w:rsidRPr="004D7B61">
        <w:rPr>
          <w:rFonts w:ascii="Palatino Linotype" w:hAnsi="Palatino Linotype"/>
          <w:sz w:val="22"/>
          <w:szCs w:val="22"/>
          <w:lang w:val="es-EC"/>
        </w:rPr>
        <w:t>onsolidado, quedan gravados con primera, especial y preferente hipoteca a favor del Municipio del Distrito Metropolitano de Quito, gravamen que regirá una vez que se adjudiquen los lotes a sus respectivos beneficiarios de la presente Ordenanza, y que subsistirá hasta la terminación de la ejecución de las obras de urbanización.</w:t>
      </w:r>
    </w:p>
    <w:p w:rsidR="004D7B61" w:rsidRPr="004D7B61" w:rsidRDefault="004D7B61" w:rsidP="003953BD">
      <w:pPr>
        <w:spacing w:after="240" w:line="276" w:lineRule="auto"/>
        <w:jc w:val="both"/>
        <w:rPr>
          <w:rFonts w:ascii="Palatino Linotype" w:hAnsi="Palatino Linotype"/>
          <w:sz w:val="22"/>
          <w:szCs w:val="22"/>
          <w:lang w:val="es-ES_tradnl"/>
        </w:rPr>
      </w:pPr>
      <w:r w:rsidRPr="004D7B61">
        <w:rPr>
          <w:rFonts w:ascii="Palatino Linotype" w:hAnsi="Palatino Linotype"/>
          <w:b/>
          <w:bCs/>
          <w:sz w:val="22"/>
          <w:szCs w:val="22"/>
          <w:lang w:val="es-EC"/>
        </w:rPr>
        <w:t>Artículo</w:t>
      </w:r>
      <w:r w:rsidRPr="004D7B61">
        <w:rPr>
          <w:rFonts w:ascii="Palatino Linotype" w:hAnsi="Palatino Linotype"/>
          <w:b/>
          <w:bCs/>
          <w:sz w:val="22"/>
          <w:szCs w:val="22"/>
          <w:lang w:val="es-ES_tradnl"/>
        </w:rPr>
        <w:t xml:space="preserve"> 12.- De la protocolización e inscripción de la ordenanza.-</w:t>
      </w:r>
      <w:r w:rsidRPr="004D7B61">
        <w:rPr>
          <w:rFonts w:ascii="Palatino Linotype" w:hAnsi="Palatino Linotype"/>
          <w:sz w:val="22"/>
          <w:szCs w:val="22"/>
          <w:lang w:val="es-EC"/>
        </w:rPr>
        <w:t xml:space="preserve"> El Comité Pro</w:t>
      </w:r>
      <w:r w:rsidR="006B7A7E">
        <w:rPr>
          <w:rFonts w:ascii="Palatino Linotype" w:hAnsi="Palatino Linotype"/>
          <w:sz w:val="22"/>
          <w:szCs w:val="22"/>
          <w:lang w:val="es-EC"/>
        </w:rPr>
        <w:t>-</w:t>
      </w:r>
      <w:r w:rsidRPr="004D7B61">
        <w:rPr>
          <w:rFonts w:ascii="Palatino Linotype" w:hAnsi="Palatino Linotype"/>
          <w:sz w:val="22"/>
          <w:szCs w:val="22"/>
          <w:lang w:val="es-EC"/>
        </w:rPr>
        <w:t xml:space="preserve">Mejoras del Barrio </w:t>
      </w:r>
      <w:r w:rsidRPr="004D7B61">
        <w:rPr>
          <w:rFonts w:ascii="Palatino Linotype" w:hAnsi="Palatino Linotype" w:cs="Arial"/>
          <w:sz w:val="22"/>
          <w:szCs w:val="22"/>
        </w:rPr>
        <w:t>“La Dolorosa Alta”</w:t>
      </w:r>
      <w:r w:rsidR="003953BD">
        <w:rPr>
          <w:rFonts w:ascii="Palatino Linotype" w:eastAsia="Calibri" w:hAnsi="Palatino Linotype"/>
          <w:sz w:val="22"/>
          <w:szCs w:val="22"/>
          <w:lang w:val="es-EC" w:eastAsia="en-US"/>
        </w:rPr>
        <w:t xml:space="preserve"> de la p</w:t>
      </w:r>
      <w:r w:rsidRPr="004D7B61">
        <w:rPr>
          <w:rFonts w:ascii="Palatino Linotype" w:eastAsia="Calibri" w:hAnsi="Palatino Linotype"/>
          <w:sz w:val="22"/>
          <w:szCs w:val="22"/>
          <w:lang w:val="es-EC" w:eastAsia="en-US"/>
        </w:rPr>
        <w:t>arroquia Chillogallo</w:t>
      </w:r>
      <w:r w:rsidRPr="004D7B61">
        <w:rPr>
          <w:rFonts w:ascii="Palatino Linotype" w:hAnsi="Palatino Linotype"/>
          <w:iCs/>
          <w:sz w:val="22"/>
          <w:szCs w:val="22"/>
          <w:lang w:val="es-EC"/>
        </w:rPr>
        <w:t xml:space="preserve">, a través de sus dirigentes </w:t>
      </w:r>
      <w:r w:rsidRPr="004D7B61">
        <w:rPr>
          <w:rFonts w:ascii="Palatino Linotype" w:hAnsi="Palatino Linotype"/>
          <w:sz w:val="22"/>
          <w:szCs w:val="22"/>
          <w:lang w:val="es-EC"/>
        </w:rPr>
        <w:t xml:space="preserve">se </w:t>
      </w:r>
      <w:r w:rsidRPr="004D7B61">
        <w:rPr>
          <w:rFonts w:ascii="Palatino Linotype" w:hAnsi="Palatino Linotype"/>
          <w:sz w:val="22"/>
          <w:szCs w:val="22"/>
          <w:lang w:val="es-ES_tradnl"/>
        </w:rPr>
        <w:t xml:space="preserve">compromete a </w:t>
      </w:r>
      <w:r w:rsidRPr="004D7B61">
        <w:rPr>
          <w:rFonts w:ascii="Palatino Linotype" w:hAnsi="Palatino Linotype"/>
          <w:sz w:val="22"/>
          <w:szCs w:val="22"/>
          <w:lang w:val="es-EC"/>
        </w:rPr>
        <w:t xml:space="preserve">protocolizar </w:t>
      </w:r>
      <w:r w:rsidRPr="004D7B61">
        <w:rPr>
          <w:rFonts w:ascii="Palatino Linotype" w:hAnsi="Palatino Linotype"/>
          <w:sz w:val="22"/>
          <w:szCs w:val="22"/>
          <w:lang w:val="es-ES_tradnl"/>
        </w:rPr>
        <w:t xml:space="preserve">en el término de ciento ochenta (180) días, la </w:t>
      </w:r>
      <w:r w:rsidRPr="004D7B61">
        <w:rPr>
          <w:rFonts w:ascii="Palatino Linotype" w:hAnsi="Palatino Linotype"/>
          <w:sz w:val="22"/>
          <w:szCs w:val="22"/>
          <w:lang w:val="es-EC"/>
        </w:rPr>
        <w:t xml:space="preserve">presente ordenanza   </w:t>
      </w:r>
      <w:r w:rsidRPr="004D7B61">
        <w:rPr>
          <w:rFonts w:ascii="Palatino Linotype" w:hAnsi="Palatino Linotype"/>
          <w:sz w:val="22"/>
          <w:szCs w:val="22"/>
          <w:lang w:val="es-ES_tradnl"/>
        </w:rPr>
        <w:t>contados a partir de la fecha de emisión de la resolución de regularización de excedentes y/o diferencias de áreas por parte de la Autoridad Administrativa Competente,</w:t>
      </w:r>
      <w:r w:rsidRPr="004D7B61">
        <w:rPr>
          <w:rFonts w:ascii="Palatino Linotype" w:hAnsi="Palatino Linotype"/>
          <w:sz w:val="22"/>
          <w:szCs w:val="22"/>
          <w:lang w:val="es-EC"/>
        </w:rPr>
        <w:t xml:space="preserve"> ante Notario Público e inscribirla en el Registro de la Propiedad del Distrito Metropolitano de Quito, </w:t>
      </w:r>
      <w:r w:rsidRPr="004D7B61">
        <w:rPr>
          <w:rFonts w:ascii="Palatino Linotype" w:hAnsi="Palatino Linotype"/>
          <w:sz w:val="22"/>
          <w:szCs w:val="22"/>
          <w:lang w:val="es-ES_tradnl"/>
        </w:rPr>
        <w:t xml:space="preserve">con </w:t>
      </w:r>
      <w:r w:rsidRPr="004D7B61">
        <w:rPr>
          <w:rFonts w:ascii="Palatino Linotype" w:hAnsi="Palatino Linotype"/>
          <w:sz w:val="22"/>
          <w:szCs w:val="22"/>
          <w:lang w:val="es-ES_tradnl"/>
        </w:rPr>
        <w:lastRenderedPageBreak/>
        <w:t>todos sus documentos habilitantes</w:t>
      </w:r>
      <w:r w:rsidRPr="004D7B61">
        <w:rPr>
          <w:rFonts w:ascii="Palatino Linotype" w:hAnsi="Palatino Linotype"/>
          <w:sz w:val="22"/>
          <w:szCs w:val="22"/>
          <w:lang w:val="es-EC"/>
        </w:rPr>
        <w:t>;</w:t>
      </w:r>
      <w:r w:rsidRPr="004D7B61">
        <w:rPr>
          <w:rFonts w:ascii="Palatino Linotype" w:hAnsi="Palatino Linotype"/>
          <w:sz w:val="22"/>
          <w:szCs w:val="22"/>
          <w:lang w:val="es-ES_tradnl"/>
        </w:rPr>
        <w:t xml:space="preserve"> caso contrario el Concejo Metropolitano revocará la presente ordenanza, notificándose del particular a la Comisaría de la Administración Zonal correspondiente, para que inicie las acciones pertinentes.</w:t>
      </w:r>
    </w:p>
    <w:p w:rsidR="004D7B61" w:rsidRPr="004D7B61" w:rsidRDefault="004D7B61" w:rsidP="003953BD">
      <w:pPr>
        <w:spacing w:after="240" w:line="276" w:lineRule="auto"/>
        <w:jc w:val="both"/>
        <w:rPr>
          <w:rFonts w:ascii="Palatino Linotype" w:hAnsi="Palatino Linotype"/>
          <w:sz w:val="22"/>
          <w:szCs w:val="22"/>
          <w:lang w:val="es-ES_tradnl"/>
        </w:rPr>
      </w:pPr>
      <w:r w:rsidRPr="004D7B61">
        <w:rPr>
          <w:rFonts w:ascii="Palatino Linotype" w:hAnsi="Palatino Linotype" w:cs="Arial"/>
          <w:b/>
          <w:sz w:val="22"/>
          <w:szCs w:val="22"/>
          <w:lang w:val="es-ES_tradnl"/>
        </w:rPr>
        <w:t xml:space="preserve">Artículo 13.- De la entrega de escrituras individuales.- </w:t>
      </w:r>
      <w:r w:rsidR="006B7A7E" w:rsidRPr="006B7A7E">
        <w:rPr>
          <w:rFonts w:ascii="Palatino Linotype" w:hAnsi="Palatino Linotype" w:cs="Arial"/>
          <w:sz w:val="22"/>
          <w:szCs w:val="22"/>
          <w:lang w:val="es-ES_tradnl"/>
        </w:rPr>
        <w:t xml:space="preserve">El </w:t>
      </w:r>
      <w:r w:rsidRPr="004D7B61">
        <w:rPr>
          <w:rFonts w:ascii="Palatino Linotype" w:hAnsi="Palatino Linotype"/>
          <w:sz w:val="22"/>
          <w:szCs w:val="22"/>
          <w:lang w:val="es-EC"/>
        </w:rPr>
        <w:t>Comité Pro</w:t>
      </w:r>
      <w:r w:rsidR="006B7A7E">
        <w:rPr>
          <w:rFonts w:ascii="Palatino Linotype" w:hAnsi="Palatino Linotype"/>
          <w:sz w:val="22"/>
          <w:szCs w:val="22"/>
          <w:lang w:val="es-EC"/>
        </w:rPr>
        <w:t>-</w:t>
      </w:r>
      <w:r w:rsidRPr="004D7B61">
        <w:rPr>
          <w:rFonts w:ascii="Palatino Linotype" w:hAnsi="Palatino Linotype"/>
          <w:sz w:val="22"/>
          <w:szCs w:val="22"/>
          <w:lang w:val="es-EC"/>
        </w:rPr>
        <w:t xml:space="preserve">Mejoras del Barrio </w:t>
      </w:r>
      <w:r w:rsidRPr="004D7B61">
        <w:rPr>
          <w:rFonts w:ascii="Palatino Linotype" w:hAnsi="Palatino Linotype" w:cs="Arial"/>
          <w:sz w:val="22"/>
          <w:szCs w:val="22"/>
        </w:rPr>
        <w:t>“La Dolorosa Alta”</w:t>
      </w:r>
      <w:r w:rsidR="003953BD">
        <w:rPr>
          <w:rFonts w:ascii="Palatino Linotype" w:eastAsia="Calibri" w:hAnsi="Palatino Linotype"/>
          <w:sz w:val="22"/>
          <w:szCs w:val="22"/>
          <w:lang w:val="es-EC" w:eastAsia="en-US"/>
        </w:rPr>
        <w:t xml:space="preserve"> de la p</w:t>
      </w:r>
      <w:r w:rsidRPr="004D7B61">
        <w:rPr>
          <w:rFonts w:ascii="Palatino Linotype" w:eastAsia="Calibri" w:hAnsi="Palatino Linotype"/>
          <w:sz w:val="22"/>
          <w:szCs w:val="22"/>
          <w:lang w:val="es-EC" w:eastAsia="en-US"/>
        </w:rPr>
        <w:t xml:space="preserve">arroquia </w:t>
      </w:r>
      <w:proofErr w:type="spellStart"/>
      <w:r w:rsidRPr="004D7B61">
        <w:rPr>
          <w:rFonts w:ascii="Palatino Linotype" w:eastAsia="Calibri" w:hAnsi="Palatino Linotype"/>
          <w:sz w:val="22"/>
          <w:szCs w:val="22"/>
          <w:lang w:val="es-EC" w:eastAsia="en-US"/>
        </w:rPr>
        <w:t>Chillogallo</w:t>
      </w:r>
      <w:proofErr w:type="spellEnd"/>
      <w:r w:rsidRPr="004D7B61">
        <w:rPr>
          <w:rFonts w:ascii="Palatino Linotype" w:hAnsi="Palatino Linotype"/>
          <w:iCs/>
          <w:sz w:val="22"/>
          <w:szCs w:val="22"/>
          <w:lang w:val="es-EC"/>
        </w:rPr>
        <w:t xml:space="preserve">, a través de sus dirigentes </w:t>
      </w:r>
      <w:r w:rsidRPr="004D7B61">
        <w:rPr>
          <w:rFonts w:ascii="Palatino Linotype" w:hAnsi="Palatino Linotype"/>
          <w:sz w:val="22"/>
          <w:szCs w:val="22"/>
          <w:lang w:val="es-EC"/>
        </w:rPr>
        <w:t xml:space="preserve"> </w:t>
      </w:r>
      <w:r w:rsidRPr="004D7B61">
        <w:rPr>
          <w:rFonts w:ascii="Palatino Linotype" w:hAnsi="Palatino Linotype"/>
          <w:iCs/>
          <w:sz w:val="22"/>
          <w:szCs w:val="22"/>
          <w:lang w:val="es-EC"/>
        </w:rPr>
        <w:t>de</w:t>
      </w:r>
      <w:r w:rsidRPr="004D7B61">
        <w:rPr>
          <w:rFonts w:ascii="Palatino Linotype" w:hAnsi="Palatino Linotype"/>
          <w:sz w:val="22"/>
          <w:szCs w:val="22"/>
          <w:lang w:val="es-EC"/>
        </w:rPr>
        <w:t>berá entregar  las respectivas escrituras individuales a favor de los posesionarios conforme consta en el plano adjunto a esta Ordenanza, en el plazo máximo de</w:t>
      </w:r>
      <w:r w:rsidRPr="004D7B61">
        <w:rPr>
          <w:rFonts w:ascii="Palatino Linotype" w:hAnsi="Palatino Linotype"/>
          <w:sz w:val="22"/>
          <w:szCs w:val="22"/>
          <w:lang w:val="es-ES_tradnl"/>
        </w:rPr>
        <w:t xml:space="preserve"> un año contado a partir de la inscripción de la Ordenanza en el Registro de la Propiedad del Cantón Quito, bajo eventual responsabilidad civil y penal de los dirigentes en caso de incumplimiento. </w:t>
      </w:r>
    </w:p>
    <w:p w:rsidR="004D7B61" w:rsidRPr="004D7B61" w:rsidRDefault="004D7B61" w:rsidP="003953BD">
      <w:pPr>
        <w:spacing w:after="240" w:line="276" w:lineRule="auto"/>
        <w:jc w:val="both"/>
        <w:rPr>
          <w:rFonts w:ascii="Palatino Linotype" w:hAnsi="Palatino Linotype" w:cs="Arial"/>
          <w:sz w:val="22"/>
          <w:szCs w:val="22"/>
          <w:lang w:val="es-ES_tradnl"/>
        </w:rPr>
      </w:pPr>
      <w:r w:rsidRPr="004D7B61">
        <w:rPr>
          <w:rFonts w:ascii="Palatino Linotype" w:hAnsi="Palatino Linotype"/>
          <w:sz w:val="22"/>
          <w:szCs w:val="22"/>
          <w:lang w:val="es-ES_tradnl"/>
        </w:rPr>
        <w:t xml:space="preserve">Se autoriza que en caso de producirse transferencias de dominio hasta la protocolización e inscripción de la presente Ordenanza en el Registro de la Propiedad del Cantón Quito, estas sean avalizadas con el correspondiente certificado de ventas conferido por el Registro de la Propiedad del Cantón Quito, para que surtan los efectos legales  pertinentes. </w:t>
      </w:r>
    </w:p>
    <w:p w:rsidR="004D7B61" w:rsidRPr="004D7B61" w:rsidRDefault="004D7B61" w:rsidP="003953BD">
      <w:pPr>
        <w:spacing w:after="240" w:line="276" w:lineRule="auto"/>
        <w:jc w:val="both"/>
        <w:rPr>
          <w:rFonts w:ascii="Palatino Linotype" w:hAnsi="Palatino Linotype"/>
          <w:sz w:val="22"/>
          <w:szCs w:val="22"/>
          <w:lang w:val="es-EC"/>
        </w:rPr>
      </w:pPr>
      <w:r w:rsidRPr="004D7B61">
        <w:rPr>
          <w:rFonts w:ascii="Palatino Linotype" w:hAnsi="Palatino Linotype"/>
          <w:b/>
          <w:bCs/>
          <w:sz w:val="22"/>
          <w:szCs w:val="22"/>
          <w:lang w:val="es-EC"/>
        </w:rPr>
        <w:t>Artículo</w:t>
      </w:r>
      <w:r w:rsidRPr="004D7B61">
        <w:rPr>
          <w:rFonts w:ascii="Palatino Linotype" w:hAnsi="Palatino Linotype"/>
          <w:b/>
          <w:sz w:val="22"/>
          <w:szCs w:val="22"/>
          <w:lang w:val="es-EC"/>
        </w:rPr>
        <w:t xml:space="preserve"> 14.- Potestad de ejecución.- </w:t>
      </w:r>
      <w:r w:rsidRPr="004D7B61">
        <w:rPr>
          <w:rFonts w:ascii="Palatino Linotype" w:hAnsi="Palatino Linotype"/>
          <w:sz w:val="22"/>
          <w:szCs w:val="22"/>
          <w:lang w:val="es-EC"/>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4D7B61" w:rsidRPr="004D7B61" w:rsidRDefault="004D7B61" w:rsidP="003953BD">
      <w:pPr>
        <w:spacing w:after="240" w:line="276" w:lineRule="auto"/>
        <w:jc w:val="both"/>
        <w:rPr>
          <w:rFonts w:ascii="Palatino Linotype" w:hAnsi="Palatino Linotype"/>
          <w:bCs/>
          <w:sz w:val="22"/>
          <w:szCs w:val="22"/>
          <w:lang w:val="es-ES_tradnl"/>
        </w:rPr>
      </w:pPr>
      <w:r w:rsidRPr="004D7B61">
        <w:rPr>
          <w:rFonts w:ascii="Palatino Linotype" w:hAnsi="Palatino Linotype"/>
          <w:b/>
          <w:bCs/>
          <w:sz w:val="22"/>
          <w:szCs w:val="22"/>
          <w:lang w:val="es-ES_tradnl"/>
        </w:rPr>
        <w:t xml:space="preserve">Artículo 15.- Solicitudes de ampliación de plazo.- </w:t>
      </w:r>
      <w:r w:rsidRPr="004D7B61">
        <w:rPr>
          <w:rFonts w:ascii="Palatino Linotype" w:hAnsi="Palatino Linotype"/>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BA5D17" w:rsidRPr="004D7B61" w:rsidRDefault="00BA5D17" w:rsidP="00077615">
      <w:pPr>
        <w:spacing w:after="240" w:line="276" w:lineRule="auto"/>
        <w:jc w:val="both"/>
        <w:rPr>
          <w:rFonts w:ascii="Palatino Linotype" w:hAnsi="Palatino Linotype" w:cs="Arial"/>
          <w:bCs/>
          <w:sz w:val="22"/>
          <w:szCs w:val="22"/>
          <w:lang w:val="es-ES_tradnl"/>
        </w:rPr>
      </w:pPr>
      <w:r w:rsidRPr="004D7B61">
        <w:rPr>
          <w:rFonts w:ascii="Palatino Linotype" w:hAnsi="Palatino Linotype" w:cs="Arial"/>
          <w:b/>
          <w:sz w:val="22"/>
          <w:szCs w:val="22"/>
          <w:lang w:val="es-ES_tradnl"/>
        </w:rPr>
        <w:t xml:space="preserve">Disposición </w:t>
      </w:r>
      <w:r w:rsidR="006B7A7E">
        <w:rPr>
          <w:rFonts w:ascii="Palatino Linotype" w:hAnsi="Palatino Linotype" w:cs="Arial"/>
          <w:b/>
          <w:sz w:val="22"/>
          <w:szCs w:val="22"/>
          <w:lang w:val="es-ES_tradnl"/>
        </w:rPr>
        <w:t>f</w:t>
      </w:r>
      <w:r w:rsidRPr="004D7B61">
        <w:rPr>
          <w:rFonts w:ascii="Palatino Linotype" w:hAnsi="Palatino Linotype" w:cs="Arial"/>
          <w:b/>
          <w:sz w:val="22"/>
          <w:szCs w:val="22"/>
          <w:lang w:val="es-ES_tradnl"/>
        </w:rPr>
        <w:t xml:space="preserve">inal.- </w:t>
      </w:r>
      <w:r w:rsidRPr="004D7B61">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 de la Municipalidad.</w:t>
      </w:r>
    </w:p>
    <w:p w:rsidR="00302F52" w:rsidRPr="00B072AF" w:rsidRDefault="00302F52" w:rsidP="0013584F">
      <w:pPr>
        <w:spacing w:before="240" w:line="276" w:lineRule="auto"/>
        <w:jc w:val="both"/>
        <w:rPr>
          <w:rFonts w:ascii="Palatino Linotype" w:hAnsi="Palatino Linotype" w:cs="Arial"/>
          <w:sz w:val="22"/>
          <w:szCs w:val="22"/>
        </w:rPr>
      </w:pPr>
      <w:r w:rsidRPr="0013584F">
        <w:rPr>
          <w:rFonts w:ascii="Palatino Linotype" w:hAnsi="Palatino Linotype" w:cs="Arial"/>
          <w:sz w:val="22"/>
          <w:szCs w:val="22"/>
        </w:rPr>
        <w:t xml:space="preserve">Dada, en la Sala de Sesiones del Concejo Metropolitano de Quito, el </w:t>
      </w:r>
      <w:r w:rsidR="006B7A7E">
        <w:rPr>
          <w:rFonts w:ascii="Palatino Linotype" w:hAnsi="Palatino Linotype" w:cs="Arial"/>
          <w:sz w:val="22"/>
          <w:szCs w:val="22"/>
        </w:rPr>
        <w:t>27</w:t>
      </w:r>
      <w:r w:rsidRPr="0013584F">
        <w:rPr>
          <w:rFonts w:ascii="Palatino Linotype" w:hAnsi="Palatino Linotype" w:cs="Arial"/>
          <w:sz w:val="22"/>
          <w:szCs w:val="22"/>
        </w:rPr>
        <w:t xml:space="preserve"> de</w:t>
      </w:r>
      <w:r w:rsidRPr="00B072AF">
        <w:rPr>
          <w:rFonts w:ascii="Palatino Linotype" w:hAnsi="Palatino Linotype" w:cs="Arial"/>
          <w:sz w:val="22"/>
          <w:szCs w:val="22"/>
        </w:rPr>
        <w:t xml:space="preserve"> </w:t>
      </w:r>
      <w:r w:rsidR="006B7A7E">
        <w:rPr>
          <w:rFonts w:ascii="Palatino Linotype" w:hAnsi="Palatino Linotype" w:cs="Arial"/>
          <w:sz w:val="22"/>
          <w:szCs w:val="22"/>
        </w:rPr>
        <w:t xml:space="preserve">agosto </w:t>
      </w:r>
      <w:r w:rsidRPr="00B072AF">
        <w:rPr>
          <w:rFonts w:ascii="Palatino Linotype" w:hAnsi="Palatino Linotype" w:cs="Arial"/>
          <w:sz w:val="22"/>
          <w:szCs w:val="22"/>
        </w:rPr>
        <w:t>de 201</w:t>
      </w:r>
      <w:r w:rsidR="00BA5D17" w:rsidRPr="00B072AF">
        <w:rPr>
          <w:rFonts w:ascii="Palatino Linotype" w:hAnsi="Palatino Linotype" w:cs="Arial"/>
          <w:sz w:val="22"/>
          <w:szCs w:val="22"/>
        </w:rPr>
        <w:t>5</w:t>
      </w:r>
      <w:r w:rsidRPr="00B072AF">
        <w:rPr>
          <w:rFonts w:ascii="Palatino Linotype" w:hAnsi="Palatino Linotype" w:cs="Arial"/>
          <w:sz w:val="22"/>
          <w:szCs w:val="22"/>
        </w:rPr>
        <w:t>.</w:t>
      </w:r>
    </w:p>
    <w:p w:rsidR="00302F52" w:rsidRPr="00B072AF" w:rsidRDefault="00302F52" w:rsidP="00B072AF">
      <w:pPr>
        <w:pStyle w:val="Textopredeterminado"/>
        <w:shd w:val="clear" w:color="auto" w:fill="FFFFFF"/>
        <w:spacing w:before="240" w:line="276" w:lineRule="auto"/>
        <w:jc w:val="both"/>
        <w:rPr>
          <w:rFonts w:ascii="Palatino Linotype" w:hAnsi="Palatino Linotype" w:cs="Arial"/>
          <w:sz w:val="22"/>
          <w:szCs w:val="22"/>
          <w:lang w:val="es-ES"/>
        </w:rPr>
      </w:pPr>
    </w:p>
    <w:p w:rsidR="00A44DC3" w:rsidRDefault="00A44DC3" w:rsidP="00302F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302F52" w:rsidRPr="00680EAC" w:rsidTr="00A571E2">
        <w:trPr>
          <w:jc w:val="center"/>
        </w:trPr>
        <w:tc>
          <w:tcPr>
            <w:tcW w:w="5575" w:type="dxa"/>
            <w:hideMark/>
          </w:tcPr>
          <w:p w:rsidR="00302F52" w:rsidRPr="00680EAC" w:rsidRDefault="006B7A7E" w:rsidP="00A571E2">
            <w:pPr>
              <w:pStyle w:val="Textopredeterminado"/>
              <w:jc w:val="center"/>
              <w:rPr>
                <w:rFonts w:ascii="Palatino Linotype" w:hAnsi="Palatino Linotype" w:cs="Arial"/>
                <w:sz w:val="19"/>
                <w:szCs w:val="19"/>
              </w:rPr>
            </w:pPr>
            <w:r>
              <w:rPr>
                <w:rFonts w:ascii="Palatino Linotype" w:hAnsi="Palatino Linotype" w:cs="Arial"/>
                <w:sz w:val="19"/>
                <w:szCs w:val="19"/>
              </w:rPr>
              <w:t>Ing. Anabel Hermosa Acosta</w:t>
            </w:r>
          </w:p>
          <w:p w:rsidR="00302F52" w:rsidRPr="00680EAC" w:rsidRDefault="006B7A7E" w:rsidP="00A571E2">
            <w:pPr>
              <w:pStyle w:val="Textopredeterminado"/>
              <w:jc w:val="center"/>
              <w:rPr>
                <w:rFonts w:ascii="Palatino Linotype" w:hAnsi="Palatino Linotype" w:cs="Arial"/>
                <w:b/>
                <w:sz w:val="19"/>
                <w:szCs w:val="19"/>
              </w:rPr>
            </w:pPr>
            <w:r>
              <w:rPr>
                <w:rFonts w:ascii="Palatino Linotype" w:hAnsi="Palatino Linotype" w:cs="Arial"/>
                <w:b/>
                <w:sz w:val="19"/>
                <w:szCs w:val="19"/>
              </w:rPr>
              <w:t xml:space="preserve">Segunda </w:t>
            </w:r>
            <w:r w:rsidR="00302F52" w:rsidRPr="00680EAC">
              <w:rPr>
                <w:rFonts w:ascii="Palatino Linotype" w:hAnsi="Palatino Linotype" w:cs="Arial"/>
                <w:b/>
                <w:sz w:val="19"/>
                <w:szCs w:val="19"/>
              </w:rPr>
              <w:t>Vicepresident</w:t>
            </w:r>
            <w:r w:rsidR="00302F52">
              <w:rPr>
                <w:rFonts w:ascii="Palatino Linotype" w:hAnsi="Palatino Linotype" w:cs="Arial"/>
                <w:b/>
                <w:sz w:val="19"/>
                <w:szCs w:val="19"/>
              </w:rPr>
              <w:t>a</w:t>
            </w:r>
            <w:r w:rsidR="00302F52" w:rsidRPr="00680EAC">
              <w:rPr>
                <w:rFonts w:ascii="Palatino Linotype" w:hAnsi="Palatino Linotype" w:cs="Arial"/>
                <w:b/>
                <w:sz w:val="19"/>
                <w:szCs w:val="19"/>
              </w:rPr>
              <w:t xml:space="preserve"> del Concejo Metropolitano de Quito</w:t>
            </w:r>
          </w:p>
        </w:tc>
        <w:tc>
          <w:tcPr>
            <w:tcW w:w="5324" w:type="dxa"/>
            <w:hideMark/>
          </w:tcPr>
          <w:p w:rsidR="00302F52" w:rsidRPr="00680EAC" w:rsidRDefault="00302F52" w:rsidP="00A571E2">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302F52" w:rsidRDefault="00302F52" w:rsidP="00A571E2">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302F52" w:rsidRDefault="00302F52" w:rsidP="00A571E2">
            <w:pPr>
              <w:pStyle w:val="Textopredeterminado"/>
              <w:jc w:val="center"/>
              <w:rPr>
                <w:rFonts w:ascii="Palatino Linotype" w:hAnsi="Palatino Linotype" w:cs="Arial"/>
                <w:b/>
                <w:sz w:val="19"/>
                <w:szCs w:val="19"/>
              </w:rPr>
            </w:pPr>
          </w:p>
          <w:p w:rsidR="00A01024" w:rsidRDefault="00A01024" w:rsidP="00A571E2">
            <w:pPr>
              <w:pStyle w:val="Textopredeterminado"/>
              <w:jc w:val="center"/>
              <w:rPr>
                <w:rFonts w:ascii="Palatino Linotype" w:hAnsi="Palatino Linotype" w:cs="Arial"/>
                <w:b/>
                <w:sz w:val="19"/>
                <w:szCs w:val="19"/>
              </w:rPr>
            </w:pPr>
          </w:p>
          <w:p w:rsidR="00A01024" w:rsidRPr="00680EAC" w:rsidRDefault="00A01024" w:rsidP="006B7A7E">
            <w:pPr>
              <w:pStyle w:val="Textopredeterminado"/>
              <w:rPr>
                <w:rFonts w:ascii="Palatino Linotype" w:hAnsi="Palatino Linotype" w:cs="Arial"/>
                <w:b/>
                <w:sz w:val="19"/>
                <w:szCs w:val="19"/>
              </w:rPr>
            </w:pPr>
          </w:p>
        </w:tc>
      </w:tr>
    </w:tbl>
    <w:p w:rsidR="00302F52" w:rsidRPr="003843CA"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lastRenderedPageBreak/>
        <w:t>CERTIFICADO DE DISCUSIÓN</w:t>
      </w:r>
    </w:p>
    <w:p w:rsidR="00302F52" w:rsidRPr="003843CA" w:rsidRDefault="00302F52" w:rsidP="00302F52">
      <w:pPr>
        <w:pStyle w:val="Textosinformato"/>
        <w:jc w:val="both"/>
        <w:rPr>
          <w:rFonts w:ascii="Palatino Linotype" w:eastAsia="MS Mincho" w:hAnsi="Palatino Linotype" w:cs="Arial"/>
          <w:sz w:val="22"/>
          <w:szCs w:val="22"/>
        </w:rPr>
      </w:pPr>
    </w:p>
    <w:p w:rsidR="00302F52" w:rsidRPr="003843CA" w:rsidRDefault="00302F52" w:rsidP="00302F52">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w:t>
      </w:r>
      <w:r w:rsidR="006B7A7E">
        <w:rPr>
          <w:rFonts w:ascii="Palatino Linotype" w:eastAsia="MS Mincho" w:hAnsi="Palatino Linotype" w:cs="Arial"/>
          <w:sz w:val="22"/>
          <w:szCs w:val="22"/>
        </w:rPr>
        <w:t>O</w:t>
      </w:r>
      <w:r w:rsidRPr="003843CA">
        <w:rPr>
          <w:rFonts w:ascii="Palatino Linotype" w:eastAsia="MS Mincho" w:hAnsi="Palatino Linotype" w:cs="Arial"/>
          <w:sz w:val="22"/>
          <w:szCs w:val="22"/>
        </w:rPr>
        <w:t>rdenanza fue discutida y aprobada</w:t>
      </w:r>
      <w:r w:rsidR="000A0F48">
        <w:rPr>
          <w:rFonts w:ascii="Palatino Linotype" w:eastAsia="MS Mincho" w:hAnsi="Palatino Linotype" w:cs="Arial"/>
          <w:sz w:val="22"/>
          <w:szCs w:val="22"/>
        </w:rPr>
        <w:t xml:space="preserve"> en dos debates, en sesiones de </w:t>
      </w:r>
      <w:r w:rsidR="006B7A7E">
        <w:rPr>
          <w:rFonts w:ascii="Palatino Linotype" w:eastAsia="MS Mincho" w:hAnsi="Palatino Linotype" w:cs="Arial"/>
          <w:sz w:val="22"/>
          <w:szCs w:val="22"/>
        </w:rPr>
        <w:t>13</w:t>
      </w:r>
      <w:r w:rsidR="000A0F48">
        <w:rPr>
          <w:rFonts w:ascii="Palatino Linotype" w:eastAsia="MS Mincho" w:hAnsi="Palatino Linotype" w:cs="Arial"/>
          <w:sz w:val="22"/>
          <w:szCs w:val="22"/>
        </w:rPr>
        <w:t xml:space="preserve"> </w:t>
      </w:r>
      <w:r>
        <w:rPr>
          <w:rFonts w:ascii="Palatino Linotype" w:eastAsia="MS Mincho" w:hAnsi="Palatino Linotype" w:cs="Arial"/>
          <w:sz w:val="22"/>
          <w:szCs w:val="22"/>
        </w:rPr>
        <w:t xml:space="preserve">y </w:t>
      </w:r>
      <w:r w:rsidR="006B7A7E">
        <w:rPr>
          <w:rFonts w:ascii="Palatino Linotype" w:eastAsia="MS Mincho" w:hAnsi="Palatino Linotype" w:cs="Arial"/>
          <w:sz w:val="22"/>
          <w:szCs w:val="22"/>
        </w:rPr>
        <w:t>27</w:t>
      </w:r>
      <w:r w:rsidRPr="003843CA">
        <w:rPr>
          <w:rFonts w:ascii="Palatino Linotype" w:eastAsia="MS Mincho" w:hAnsi="Palatino Linotype" w:cs="Arial"/>
          <w:sz w:val="22"/>
          <w:szCs w:val="22"/>
        </w:rPr>
        <w:t xml:space="preserve"> de </w:t>
      </w:r>
      <w:r w:rsidR="006B7A7E">
        <w:rPr>
          <w:rFonts w:ascii="Palatino Linotype" w:eastAsia="MS Mincho" w:hAnsi="Palatino Linotype" w:cs="Arial"/>
          <w:sz w:val="22"/>
          <w:szCs w:val="22"/>
        </w:rPr>
        <w:t xml:space="preserve">agosto </w:t>
      </w:r>
      <w:r w:rsidRPr="003843CA">
        <w:rPr>
          <w:rFonts w:ascii="Palatino Linotype" w:eastAsia="MS Mincho" w:hAnsi="Palatino Linotype" w:cs="Arial"/>
          <w:sz w:val="22"/>
          <w:szCs w:val="22"/>
        </w:rPr>
        <w:t>de 201</w:t>
      </w:r>
      <w:r w:rsidR="00BA5D17">
        <w:rPr>
          <w:rFonts w:ascii="Palatino Linotype" w:eastAsia="MS Mincho" w:hAnsi="Palatino Linotype" w:cs="Arial"/>
          <w:sz w:val="22"/>
          <w:szCs w:val="22"/>
        </w:rPr>
        <w:t>5</w:t>
      </w:r>
      <w:r w:rsidRPr="003843CA">
        <w:rPr>
          <w:rFonts w:ascii="Palatino Linotype" w:eastAsia="MS Mincho" w:hAnsi="Palatino Linotype" w:cs="Arial"/>
          <w:sz w:val="22"/>
          <w:szCs w:val="22"/>
        </w:rPr>
        <w:t>.- Quito,</w:t>
      </w:r>
    </w:p>
    <w:p w:rsidR="00302F52" w:rsidRPr="003843CA" w:rsidRDefault="00302F52" w:rsidP="00302F52">
      <w:pPr>
        <w:pStyle w:val="Textosinformato"/>
        <w:jc w:val="both"/>
        <w:rPr>
          <w:rFonts w:ascii="Palatino Linotype" w:eastAsia="MS Mincho" w:hAnsi="Palatino Linotype" w:cs="Arial"/>
          <w:sz w:val="22"/>
          <w:szCs w:val="22"/>
        </w:rPr>
      </w:pPr>
    </w:p>
    <w:p w:rsidR="00A44DC3" w:rsidRDefault="00A44DC3" w:rsidP="00302F52">
      <w:pPr>
        <w:pStyle w:val="Textosinformato"/>
        <w:jc w:val="center"/>
        <w:rPr>
          <w:rFonts w:ascii="Palatino Linotype" w:eastAsia="MS Mincho" w:hAnsi="Palatino Linotype" w:cs="Arial"/>
          <w:sz w:val="22"/>
          <w:szCs w:val="22"/>
        </w:rPr>
      </w:pPr>
    </w:p>
    <w:p w:rsidR="008079C6" w:rsidRDefault="008079C6"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302F52" w:rsidRDefault="00302F52" w:rsidP="00302F52">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302F52" w:rsidRDefault="00302F52"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302F52" w:rsidRDefault="00302F52" w:rsidP="00302F52">
      <w:pPr>
        <w:pStyle w:val="Textosinformato"/>
        <w:jc w:val="center"/>
        <w:rPr>
          <w:rFonts w:ascii="Palatino Linotype" w:eastAsia="MS Mincho" w:hAnsi="Palatino Linotype" w:cs="Arial"/>
          <w:b/>
          <w:sz w:val="22"/>
          <w:szCs w:val="22"/>
        </w:rPr>
      </w:pPr>
    </w:p>
    <w:p w:rsidR="00302F52" w:rsidRPr="003843CA" w:rsidRDefault="00302F52" w:rsidP="00302F52">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302F52" w:rsidRPr="003843CA" w:rsidRDefault="00302F52" w:rsidP="00302F52">
      <w:pPr>
        <w:pStyle w:val="Textosinformato"/>
        <w:jc w:val="center"/>
        <w:rPr>
          <w:rFonts w:ascii="Palatino Linotype" w:eastAsia="MS Mincho" w:hAnsi="Palatino Linotype" w:cs="Arial"/>
          <w:sz w:val="22"/>
          <w:szCs w:val="22"/>
        </w:rPr>
      </w:pPr>
    </w:p>
    <w:p w:rsidR="002D3569" w:rsidRDefault="002D3569" w:rsidP="00302F52">
      <w:pPr>
        <w:pStyle w:val="Textosinformato"/>
        <w:jc w:val="center"/>
        <w:rPr>
          <w:rFonts w:ascii="Palatino Linotype" w:eastAsia="MS Mincho" w:hAnsi="Palatino Linotype" w:cs="Arial"/>
          <w:sz w:val="22"/>
          <w:szCs w:val="22"/>
        </w:rPr>
      </w:pPr>
    </w:p>
    <w:p w:rsidR="008079C6" w:rsidRPr="003843CA" w:rsidRDefault="008079C6" w:rsidP="00302F52">
      <w:pPr>
        <w:pStyle w:val="Textosinformato"/>
        <w:jc w:val="center"/>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302F52" w:rsidRPr="003843CA" w:rsidRDefault="00302F52" w:rsidP="00302F52">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302F52" w:rsidRPr="003843CA" w:rsidRDefault="00302F52" w:rsidP="00302F52">
      <w:pPr>
        <w:pStyle w:val="Textosinformato"/>
        <w:jc w:val="center"/>
        <w:rPr>
          <w:rFonts w:ascii="Palatino Linotype" w:eastAsia="MS Mincho" w:hAnsi="Palatino Linotype" w:cs="Arial"/>
          <w:sz w:val="22"/>
          <w:szCs w:val="22"/>
        </w:rPr>
      </w:pPr>
    </w:p>
    <w:p w:rsidR="008079C6" w:rsidRDefault="008079C6" w:rsidP="00302F52">
      <w:pPr>
        <w:pStyle w:val="Textosinformato"/>
        <w:spacing w:line="276" w:lineRule="auto"/>
        <w:jc w:val="both"/>
        <w:rPr>
          <w:rFonts w:ascii="Palatino Linotype" w:eastAsia="MS Mincho" w:hAnsi="Palatino Linotype" w:cs="Arial"/>
          <w:b/>
          <w:bCs/>
          <w:sz w:val="22"/>
          <w:szCs w:val="22"/>
        </w:rPr>
      </w:pPr>
    </w:p>
    <w:p w:rsidR="00302F52" w:rsidRDefault="00302F52" w:rsidP="00302F52">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302F52" w:rsidRPr="003843CA"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302F52" w:rsidRPr="003843CA" w:rsidRDefault="00302F52" w:rsidP="00302F52">
      <w:pPr>
        <w:pStyle w:val="Textosinformato"/>
        <w:jc w:val="center"/>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A44DC3" w:rsidRDefault="00A44DC3"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CA554A" w:rsidRDefault="00302F52" w:rsidP="00111D4F">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6B7A7E" w:rsidRPr="006B7A7E" w:rsidRDefault="006B7A7E" w:rsidP="006B7A7E">
      <w:pPr>
        <w:pStyle w:val="Textosinformato"/>
        <w:rPr>
          <w:rFonts w:ascii="Palatino Linotype" w:eastAsia="MS Mincho" w:hAnsi="Palatino Linotype" w:cs="Arial"/>
          <w:b/>
          <w:bCs/>
          <w:sz w:val="12"/>
          <w:szCs w:val="12"/>
        </w:rPr>
      </w:pPr>
      <w:r>
        <w:rPr>
          <w:rFonts w:ascii="Palatino Linotype" w:eastAsia="MS Mincho" w:hAnsi="Palatino Linotype" w:cs="Arial"/>
          <w:b/>
          <w:bCs/>
          <w:sz w:val="12"/>
          <w:szCs w:val="12"/>
        </w:rPr>
        <w:t>DSCS</w:t>
      </w:r>
    </w:p>
    <w:sectPr w:rsidR="006B7A7E" w:rsidRPr="006B7A7E" w:rsidSect="006B7A7E">
      <w:headerReference w:type="even" r:id="rId11"/>
      <w:headerReference w:type="default" r:id="rId12"/>
      <w:footerReference w:type="default" r:id="rId13"/>
      <w:headerReference w:type="first" r:id="rId14"/>
      <w:pgSz w:w="11906" w:h="16838"/>
      <w:pgMar w:top="3402" w:right="1133" w:bottom="567" w:left="1560"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A37" w:rsidRDefault="00C15A37" w:rsidP="00B14643">
      <w:r>
        <w:separator/>
      </w:r>
    </w:p>
  </w:endnote>
  <w:endnote w:type="continuationSeparator" w:id="0">
    <w:p w:rsidR="00C15A37" w:rsidRDefault="00C15A37"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A37" w:rsidRPr="00723B61" w:rsidRDefault="00C15A37">
    <w:pPr>
      <w:pStyle w:val="Piedepgina"/>
      <w:jc w:val="right"/>
      <w:rPr>
        <w:rFonts w:ascii="Palatino Linotype" w:hAnsi="Palatino Linotype"/>
      </w:rPr>
    </w:pPr>
  </w:p>
  <w:p w:rsidR="00C15A37" w:rsidRDefault="00C15A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A37" w:rsidRPr="00723B61" w:rsidRDefault="00C15A37" w:rsidP="003078EC">
    <w:pPr>
      <w:pStyle w:val="Piedepgina"/>
      <w:jc w:val="right"/>
      <w:rPr>
        <w:rFonts w:ascii="Palatino Linotype" w:hAnsi="Palatino Linotype"/>
      </w:rPr>
    </w:pPr>
    <w:r w:rsidRPr="00723B61">
      <w:rPr>
        <w:rFonts w:ascii="Palatino Linotype" w:hAnsi="Palatino Linotype"/>
      </w:rPr>
      <w:t xml:space="preserve">Página </w:t>
    </w:r>
    <w:r w:rsidRPr="00723B61">
      <w:rPr>
        <w:rFonts w:ascii="Palatino Linotype" w:hAnsi="Palatino Linotype"/>
        <w:b/>
        <w:sz w:val="24"/>
        <w:szCs w:val="24"/>
      </w:rPr>
      <w:fldChar w:fldCharType="begin"/>
    </w:r>
    <w:r w:rsidRPr="00723B61">
      <w:rPr>
        <w:rFonts w:ascii="Palatino Linotype" w:hAnsi="Palatino Linotype"/>
        <w:b/>
      </w:rPr>
      <w:instrText>PAGE</w:instrText>
    </w:r>
    <w:r w:rsidRPr="00723B61">
      <w:rPr>
        <w:rFonts w:ascii="Palatino Linotype" w:hAnsi="Palatino Linotype"/>
        <w:b/>
        <w:sz w:val="24"/>
        <w:szCs w:val="24"/>
      </w:rPr>
      <w:fldChar w:fldCharType="separate"/>
    </w:r>
    <w:r w:rsidR="006B7A7E">
      <w:rPr>
        <w:rFonts w:ascii="Palatino Linotype" w:hAnsi="Palatino Linotype"/>
        <w:b/>
        <w:noProof/>
      </w:rPr>
      <w:t>3</w:t>
    </w:r>
    <w:r w:rsidRPr="00723B61">
      <w:rPr>
        <w:rFonts w:ascii="Palatino Linotype" w:hAnsi="Palatino Linotype"/>
        <w:b/>
        <w:sz w:val="24"/>
        <w:szCs w:val="24"/>
      </w:rPr>
      <w:fldChar w:fldCharType="end"/>
    </w:r>
    <w:r w:rsidRPr="00723B61">
      <w:rPr>
        <w:rFonts w:ascii="Palatino Linotype" w:hAnsi="Palatino Linotype"/>
      </w:rPr>
      <w:t xml:space="preserve"> de </w:t>
    </w:r>
    <w:r>
      <w:rPr>
        <w:rFonts w:ascii="Palatino Linotype" w:hAnsi="Palatino Linotype"/>
        <w:b/>
      </w:rPr>
      <w:t>8</w:t>
    </w:r>
  </w:p>
  <w:p w:rsidR="00C15A37" w:rsidRDefault="00C15A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A37" w:rsidRDefault="00C15A37" w:rsidP="00B14643">
      <w:r>
        <w:separator/>
      </w:r>
    </w:p>
  </w:footnote>
  <w:footnote w:type="continuationSeparator" w:id="0">
    <w:p w:rsidR="00C15A37" w:rsidRDefault="00C15A37"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A37" w:rsidRDefault="00C15A37">
    <w:pPr>
      <w:pStyle w:val="Encabezado"/>
      <w:rPr>
        <w:lang w:val="es-EC"/>
      </w:rPr>
    </w:pPr>
  </w:p>
  <w:p w:rsidR="00C15A37" w:rsidRDefault="00C15A37">
    <w:pPr>
      <w:pStyle w:val="Encabezado"/>
      <w:rPr>
        <w:lang w:val="es-EC"/>
      </w:rPr>
    </w:pPr>
  </w:p>
  <w:p w:rsidR="00C15A37" w:rsidRDefault="00C15A37">
    <w:pPr>
      <w:pStyle w:val="Encabezado"/>
      <w:rPr>
        <w:lang w:val="es-EC"/>
      </w:rPr>
    </w:pPr>
  </w:p>
  <w:p w:rsidR="00C15A37" w:rsidRDefault="00C15A37">
    <w:pPr>
      <w:pStyle w:val="Encabezado"/>
      <w:rPr>
        <w:lang w:val="es-EC"/>
      </w:rPr>
    </w:pPr>
  </w:p>
  <w:p w:rsidR="00C15A37" w:rsidRDefault="00C15A37" w:rsidP="00150606">
    <w:pPr>
      <w:pStyle w:val="Ttulo"/>
      <w:rPr>
        <w:rFonts w:ascii="Palatino Linotype" w:hAnsi="Palatino Linotype" w:cs="Arial"/>
        <w:sz w:val="22"/>
        <w:szCs w:val="22"/>
      </w:rPr>
    </w:pPr>
  </w:p>
  <w:p w:rsidR="00C15A37" w:rsidRDefault="00C15A37" w:rsidP="00150606">
    <w:pPr>
      <w:pStyle w:val="Ttulo"/>
      <w:rPr>
        <w:rFonts w:ascii="Palatino Linotype" w:hAnsi="Palatino Linotype" w:cs="Arial"/>
        <w:sz w:val="22"/>
        <w:szCs w:val="22"/>
      </w:rPr>
    </w:pPr>
  </w:p>
  <w:p w:rsidR="00C15A37" w:rsidRDefault="00C15A37" w:rsidP="00150606">
    <w:pPr>
      <w:pStyle w:val="Ttulo"/>
      <w:rPr>
        <w:rFonts w:ascii="Palatino Linotype" w:hAnsi="Palatino Linotype" w:cs="Arial"/>
        <w:sz w:val="22"/>
        <w:szCs w:val="22"/>
      </w:rPr>
    </w:pPr>
  </w:p>
  <w:p w:rsidR="00C15A37" w:rsidRDefault="00C15A37" w:rsidP="00150606">
    <w:pPr>
      <w:pStyle w:val="Ttulo"/>
      <w:rPr>
        <w:rFonts w:ascii="Palatino Linotype" w:hAnsi="Palatino Linotype" w:cs="Arial"/>
        <w:sz w:val="22"/>
        <w:szCs w:val="22"/>
      </w:rPr>
    </w:pPr>
  </w:p>
  <w:p w:rsidR="00C15A37" w:rsidRPr="00476B21" w:rsidRDefault="00C15A37"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C15A37" w:rsidRPr="00150606" w:rsidRDefault="00C15A37">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A37" w:rsidRDefault="00C15A3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A37" w:rsidRDefault="00C15A37" w:rsidP="002D3569">
    <w:pPr>
      <w:pStyle w:val="Ttulo"/>
      <w:rPr>
        <w:rFonts w:ascii="Palatino Linotype" w:hAnsi="Palatino Linotype" w:cs="Arial"/>
        <w:sz w:val="22"/>
        <w:szCs w:val="22"/>
      </w:rPr>
    </w:pPr>
  </w:p>
  <w:p w:rsidR="00C15A37" w:rsidRDefault="00C15A37" w:rsidP="002D3569">
    <w:pPr>
      <w:pStyle w:val="Ttulo"/>
      <w:rPr>
        <w:rFonts w:ascii="Palatino Linotype" w:hAnsi="Palatino Linotype" w:cs="Arial"/>
        <w:sz w:val="22"/>
        <w:szCs w:val="22"/>
      </w:rPr>
    </w:pPr>
  </w:p>
  <w:p w:rsidR="00C15A37" w:rsidRDefault="00C15A37" w:rsidP="002D3569">
    <w:pPr>
      <w:pStyle w:val="Ttulo"/>
      <w:rPr>
        <w:rFonts w:ascii="Palatino Linotype" w:hAnsi="Palatino Linotype" w:cs="Arial"/>
        <w:sz w:val="22"/>
        <w:szCs w:val="22"/>
      </w:rPr>
    </w:pPr>
  </w:p>
  <w:p w:rsidR="00C15A37" w:rsidRDefault="00C15A37" w:rsidP="002D3569">
    <w:pPr>
      <w:pStyle w:val="Ttulo"/>
      <w:rPr>
        <w:rFonts w:ascii="Palatino Linotype" w:hAnsi="Palatino Linotype" w:cs="Arial"/>
        <w:sz w:val="22"/>
        <w:szCs w:val="22"/>
      </w:rPr>
    </w:pPr>
  </w:p>
  <w:p w:rsidR="00C15A37" w:rsidRDefault="00C15A37" w:rsidP="002D3569">
    <w:pPr>
      <w:pStyle w:val="Ttulo"/>
      <w:rPr>
        <w:rFonts w:ascii="Palatino Linotype" w:hAnsi="Palatino Linotype" w:cs="Arial"/>
        <w:sz w:val="22"/>
        <w:szCs w:val="22"/>
      </w:rPr>
    </w:pPr>
  </w:p>
  <w:p w:rsidR="00C15A37" w:rsidRDefault="00C15A37" w:rsidP="002D3569">
    <w:pPr>
      <w:pStyle w:val="Ttulo"/>
      <w:rPr>
        <w:rFonts w:ascii="Palatino Linotype" w:hAnsi="Palatino Linotype" w:cs="Arial"/>
        <w:sz w:val="22"/>
        <w:szCs w:val="22"/>
      </w:rPr>
    </w:pPr>
  </w:p>
  <w:p w:rsidR="00C15A37" w:rsidRDefault="00C15A37" w:rsidP="002D3569">
    <w:pPr>
      <w:pStyle w:val="Ttulo"/>
      <w:rPr>
        <w:rFonts w:ascii="Palatino Linotype" w:hAnsi="Palatino Linotype" w:cs="Arial"/>
        <w:sz w:val="22"/>
        <w:szCs w:val="22"/>
      </w:rPr>
    </w:pPr>
  </w:p>
  <w:p w:rsidR="00C15A37" w:rsidRPr="00476B21" w:rsidRDefault="00C15A37"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C15A37" w:rsidRDefault="00C15A3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A37" w:rsidRDefault="00C15A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0">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5">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2"/>
  </w:num>
  <w:num w:numId="11">
    <w:abstractNumId w:val="28"/>
  </w:num>
  <w:num w:numId="12">
    <w:abstractNumId w:val="1"/>
  </w:num>
  <w:num w:numId="13">
    <w:abstractNumId w:val="29"/>
  </w:num>
  <w:num w:numId="14">
    <w:abstractNumId w:val="23"/>
  </w:num>
  <w:num w:numId="15">
    <w:abstractNumId w:val="10"/>
  </w:num>
  <w:num w:numId="16">
    <w:abstractNumId w:val="13"/>
  </w:num>
  <w:num w:numId="17">
    <w:abstractNumId w:val="9"/>
  </w:num>
  <w:num w:numId="18">
    <w:abstractNumId w:val="24"/>
  </w:num>
  <w:num w:numId="19">
    <w:abstractNumId w:val="6"/>
  </w:num>
  <w:num w:numId="20">
    <w:abstractNumId w:val="18"/>
  </w:num>
  <w:num w:numId="21">
    <w:abstractNumId w:val="26"/>
  </w:num>
  <w:num w:numId="22">
    <w:abstractNumId w:val="17"/>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1"/>
  </w:num>
  <w:num w:numId="27">
    <w:abstractNumId w:val="20"/>
  </w:num>
  <w:num w:numId="28">
    <w:abstractNumId w:val="16"/>
  </w:num>
  <w:num w:numId="29">
    <w:abstractNumId w:val="27"/>
  </w:num>
  <w:num w:numId="30">
    <w:abstractNumId w:val="8"/>
  </w:num>
  <w:num w:numId="31">
    <w:abstractNumId w:val="22"/>
  </w:num>
  <w:num w:numId="32">
    <w:abstractNumId w:val="1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hdrShapeDefaults>
    <o:shapedefaults v:ext="edit" spidmax="7175"/>
  </w:hdrShapeDefaults>
  <w:footnotePr>
    <w:footnote w:id="-1"/>
    <w:footnote w:id="0"/>
  </w:footnotePr>
  <w:endnotePr>
    <w:endnote w:id="-1"/>
    <w:endnote w:id="0"/>
  </w:endnotePr>
  <w:compat>
    <w:compatSetting w:name="compatibilityMode" w:uri="http://schemas.microsoft.com/office/word" w:val="12"/>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57D41"/>
    <w:rsid w:val="00064C9D"/>
    <w:rsid w:val="00070E32"/>
    <w:rsid w:val="000726A0"/>
    <w:rsid w:val="00074B5F"/>
    <w:rsid w:val="00077615"/>
    <w:rsid w:val="0008239D"/>
    <w:rsid w:val="00090566"/>
    <w:rsid w:val="000926DD"/>
    <w:rsid w:val="000950B5"/>
    <w:rsid w:val="00097181"/>
    <w:rsid w:val="000A0F48"/>
    <w:rsid w:val="000A124A"/>
    <w:rsid w:val="000A2823"/>
    <w:rsid w:val="000A3329"/>
    <w:rsid w:val="000A458D"/>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26F8"/>
    <w:rsid w:val="000F35C3"/>
    <w:rsid w:val="000F4323"/>
    <w:rsid w:val="000F577D"/>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7214"/>
    <w:rsid w:val="0018731A"/>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853"/>
    <w:rsid w:val="001D28A3"/>
    <w:rsid w:val="001D55AF"/>
    <w:rsid w:val="001E0584"/>
    <w:rsid w:val="001E1441"/>
    <w:rsid w:val="001E156B"/>
    <w:rsid w:val="001E3A15"/>
    <w:rsid w:val="001F49BC"/>
    <w:rsid w:val="00200A5C"/>
    <w:rsid w:val="00201A13"/>
    <w:rsid w:val="0020264C"/>
    <w:rsid w:val="00203A7C"/>
    <w:rsid w:val="00203D43"/>
    <w:rsid w:val="002076F1"/>
    <w:rsid w:val="00210534"/>
    <w:rsid w:val="00210EC5"/>
    <w:rsid w:val="00212D0E"/>
    <w:rsid w:val="002149A1"/>
    <w:rsid w:val="002151EE"/>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615B"/>
    <w:rsid w:val="00280339"/>
    <w:rsid w:val="00280717"/>
    <w:rsid w:val="00285D7F"/>
    <w:rsid w:val="00287155"/>
    <w:rsid w:val="00291C0F"/>
    <w:rsid w:val="00291F1C"/>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A63"/>
    <w:rsid w:val="002C3D9C"/>
    <w:rsid w:val="002C6383"/>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F0B"/>
    <w:rsid w:val="003027F9"/>
    <w:rsid w:val="00302F52"/>
    <w:rsid w:val="003078EC"/>
    <w:rsid w:val="00307FF2"/>
    <w:rsid w:val="00310945"/>
    <w:rsid w:val="0031234E"/>
    <w:rsid w:val="003153D2"/>
    <w:rsid w:val="003176EC"/>
    <w:rsid w:val="00324764"/>
    <w:rsid w:val="00325E9B"/>
    <w:rsid w:val="003261DA"/>
    <w:rsid w:val="003336D9"/>
    <w:rsid w:val="00336F6D"/>
    <w:rsid w:val="00341621"/>
    <w:rsid w:val="0034212F"/>
    <w:rsid w:val="00344324"/>
    <w:rsid w:val="00345E3C"/>
    <w:rsid w:val="00354992"/>
    <w:rsid w:val="003562D9"/>
    <w:rsid w:val="00356889"/>
    <w:rsid w:val="003654EA"/>
    <w:rsid w:val="003664D5"/>
    <w:rsid w:val="003667C0"/>
    <w:rsid w:val="00370943"/>
    <w:rsid w:val="00372E2D"/>
    <w:rsid w:val="003759CD"/>
    <w:rsid w:val="00381ADA"/>
    <w:rsid w:val="003834FF"/>
    <w:rsid w:val="00383E00"/>
    <w:rsid w:val="003843CA"/>
    <w:rsid w:val="003843DB"/>
    <w:rsid w:val="003870B9"/>
    <w:rsid w:val="003946FB"/>
    <w:rsid w:val="003953BD"/>
    <w:rsid w:val="003958F3"/>
    <w:rsid w:val="0039693E"/>
    <w:rsid w:val="003A0D5E"/>
    <w:rsid w:val="003A129C"/>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41ABC"/>
    <w:rsid w:val="00446D8B"/>
    <w:rsid w:val="00453BC2"/>
    <w:rsid w:val="00460147"/>
    <w:rsid w:val="00461AE0"/>
    <w:rsid w:val="00462E51"/>
    <w:rsid w:val="0046790E"/>
    <w:rsid w:val="004750CA"/>
    <w:rsid w:val="00476B21"/>
    <w:rsid w:val="004809D5"/>
    <w:rsid w:val="004824E7"/>
    <w:rsid w:val="00484932"/>
    <w:rsid w:val="0048545E"/>
    <w:rsid w:val="004868B3"/>
    <w:rsid w:val="00487381"/>
    <w:rsid w:val="00487ABE"/>
    <w:rsid w:val="00492BEE"/>
    <w:rsid w:val="004A00A6"/>
    <w:rsid w:val="004A4B92"/>
    <w:rsid w:val="004A4C76"/>
    <w:rsid w:val="004C15AD"/>
    <w:rsid w:val="004C24A3"/>
    <w:rsid w:val="004C2E58"/>
    <w:rsid w:val="004C3380"/>
    <w:rsid w:val="004C5073"/>
    <w:rsid w:val="004C6E38"/>
    <w:rsid w:val="004D3164"/>
    <w:rsid w:val="004D3B8F"/>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6AA"/>
    <w:rsid w:val="0053123C"/>
    <w:rsid w:val="00533481"/>
    <w:rsid w:val="00535B31"/>
    <w:rsid w:val="0053751B"/>
    <w:rsid w:val="005402D2"/>
    <w:rsid w:val="005408BE"/>
    <w:rsid w:val="0054440D"/>
    <w:rsid w:val="00544EEB"/>
    <w:rsid w:val="00545995"/>
    <w:rsid w:val="005473C3"/>
    <w:rsid w:val="00550DC7"/>
    <w:rsid w:val="00554B2F"/>
    <w:rsid w:val="0055533F"/>
    <w:rsid w:val="00556CE1"/>
    <w:rsid w:val="00561414"/>
    <w:rsid w:val="00562440"/>
    <w:rsid w:val="00562572"/>
    <w:rsid w:val="0056510A"/>
    <w:rsid w:val="00566BF3"/>
    <w:rsid w:val="00567405"/>
    <w:rsid w:val="00573F9B"/>
    <w:rsid w:val="0057409F"/>
    <w:rsid w:val="00574311"/>
    <w:rsid w:val="00580137"/>
    <w:rsid w:val="00581B8B"/>
    <w:rsid w:val="005831C5"/>
    <w:rsid w:val="00587621"/>
    <w:rsid w:val="005878A2"/>
    <w:rsid w:val="0058791B"/>
    <w:rsid w:val="00590CEC"/>
    <w:rsid w:val="005925D4"/>
    <w:rsid w:val="00594578"/>
    <w:rsid w:val="00595261"/>
    <w:rsid w:val="00595499"/>
    <w:rsid w:val="005A5EB9"/>
    <w:rsid w:val="005B126F"/>
    <w:rsid w:val="005B2C64"/>
    <w:rsid w:val="005B34EF"/>
    <w:rsid w:val="005B40BD"/>
    <w:rsid w:val="005C01D0"/>
    <w:rsid w:val="005C0836"/>
    <w:rsid w:val="005C15D2"/>
    <w:rsid w:val="005C68FC"/>
    <w:rsid w:val="005D2616"/>
    <w:rsid w:val="005D3175"/>
    <w:rsid w:val="005D43CA"/>
    <w:rsid w:val="005D59E8"/>
    <w:rsid w:val="005E0184"/>
    <w:rsid w:val="005E4085"/>
    <w:rsid w:val="005E64B1"/>
    <w:rsid w:val="005E7CBA"/>
    <w:rsid w:val="005F1A76"/>
    <w:rsid w:val="005F2841"/>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5AC1"/>
    <w:rsid w:val="00640CCB"/>
    <w:rsid w:val="00641D37"/>
    <w:rsid w:val="00642909"/>
    <w:rsid w:val="006432E2"/>
    <w:rsid w:val="00644F06"/>
    <w:rsid w:val="00645AC6"/>
    <w:rsid w:val="00654F80"/>
    <w:rsid w:val="00661700"/>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B7A7E"/>
    <w:rsid w:val="006C23B8"/>
    <w:rsid w:val="006C53D9"/>
    <w:rsid w:val="006D3AAD"/>
    <w:rsid w:val="006D3DD7"/>
    <w:rsid w:val="006D6757"/>
    <w:rsid w:val="006D7BAE"/>
    <w:rsid w:val="006E111C"/>
    <w:rsid w:val="006E2129"/>
    <w:rsid w:val="006E2294"/>
    <w:rsid w:val="006E24E6"/>
    <w:rsid w:val="006E56AD"/>
    <w:rsid w:val="006F435D"/>
    <w:rsid w:val="006F4DF0"/>
    <w:rsid w:val="006F5682"/>
    <w:rsid w:val="006F5A11"/>
    <w:rsid w:val="006F68C0"/>
    <w:rsid w:val="006F77BC"/>
    <w:rsid w:val="00701131"/>
    <w:rsid w:val="00702D95"/>
    <w:rsid w:val="00703563"/>
    <w:rsid w:val="00703851"/>
    <w:rsid w:val="00705B99"/>
    <w:rsid w:val="00714C8B"/>
    <w:rsid w:val="00715516"/>
    <w:rsid w:val="007165BB"/>
    <w:rsid w:val="00717A14"/>
    <w:rsid w:val="00723B61"/>
    <w:rsid w:val="00724088"/>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3CEA"/>
    <w:rsid w:val="007D4E08"/>
    <w:rsid w:val="007D62F0"/>
    <w:rsid w:val="007E2C33"/>
    <w:rsid w:val="007F1F08"/>
    <w:rsid w:val="007F3A59"/>
    <w:rsid w:val="007F44D9"/>
    <w:rsid w:val="007F69CD"/>
    <w:rsid w:val="007F7470"/>
    <w:rsid w:val="00800224"/>
    <w:rsid w:val="00801DD7"/>
    <w:rsid w:val="008053AC"/>
    <w:rsid w:val="008079C6"/>
    <w:rsid w:val="0081056B"/>
    <w:rsid w:val="00813CBA"/>
    <w:rsid w:val="0081441B"/>
    <w:rsid w:val="00815428"/>
    <w:rsid w:val="00816E9E"/>
    <w:rsid w:val="00817FE4"/>
    <w:rsid w:val="00833268"/>
    <w:rsid w:val="0083612B"/>
    <w:rsid w:val="00836B43"/>
    <w:rsid w:val="00840609"/>
    <w:rsid w:val="0084153F"/>
    <w:rsid w:val="00841633"/>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54E0"/>
    <w:rsid w:val="008A621A"/>
    <w:rsid w:val="008A625B"/>
    <w:rsid w:val="008A6FBC"/>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3328"/>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E71"/>
    <w:rsid w:val="009F504C"/>
    <w:rsid w:val="009F7CD5"/>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36E8"/>
    <w:rsid w:val="00AF1275"/>
    <w:rsid w:val="00AF1475"/>
    <w:rsid w:val="00AF3FA6"/>
    <w:rsid w:val="00AF7530"/>
    <w:rsid w:val="00AF7E74"/>
    <w:rsid w:val="00B00707"/>
    <w:rsid w:val="00B030DB"/>
    <w:rsid w:val="00B03F29"/>
    <w:rsid w:val="00B064EA"/>
    <w:rsid w:val="00B069DA"/>
    <w:rsid w:val="00B072AF"/>
    <w:rsid w:val="00B125FD"/>
    <w:rsid w:val="00B12E92"/>
    <w:rsid w:val="00B13ABD"/>
    <w:rsid w:val="00B14643"/>
    <w:rsid w:val="00B20086"/>
    <w:rsid w:val="00B207A5"/>
    <w:rsid w:val="00B21789"/>
    <w:rsid w:val="00B2220D"/>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EBD"/>
    <w:rsid w:val="00B6630F"/>
    <w:rsid w:val="00B742EF"/>
    <w:rsid w:val="00B74318"/>
    <w:rsid w:val="00B7468B"/>
    <w:rsid w:val="00B747F5"/>
    <w:rsid w:val="00B74F7F"/>
    <w:rsid w:val="00B81472"/>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5A41"/>
    <w:rsid w:val="00BD5A99"/>
    <w:rsid w:val="00BD617B"/>
    <w:rsid w:val="00BE0042"/>
    <w:rsid w:val="00BE06BA"/>
    <w:rsid w:val="00BE28DF"/>
    <w:rsid w:val="00BE4F22"/>
    <w:rsid w:val="00BE6BAC"/>
    <w:rsid w:val="00BF5971"/>
    <w:rsid w:val="00C05343"/>
    <w:rsid w:val="00C05911"/>
    <w:rsid w:val="00C06591"/>
    <w:rsid w:val="00C1176C"/>
    <w:rsid w:val="00C15531"/>
    <w:rsid w:val="00C15A37"/>
    <w:rsid w:val="00C16B2C"/>
    <w:rsid w:val="00C173C6"/>
    <w:rsid w:val="00C17CCD"/>
    <w:rsid w:val="00C222AD"/>
    <w:rsid w:val="00C236F8"/>
    <w:rsid w:val="00C242AD"/>
    <w:rsid w:val="00C251A6"/>
    <w:rsid w:val="00C269A3"/>
    <w:rsid w:val="00C26E0B"/>
    <w:rsid w:val="00C27958"/>
    <w:rsid w:val="00C3085E"/>
    <w:rsid w:val="00C331A8"/>
    <w:rsid w:val="00C42D96"/>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8321D"/>
    <w:rsid w:val="00C85FED"/>
    <w:rsid w:val="00C87902"/>
    <w:rsid w:val="00C90BFA"/>
    <w:rsid w:val="00C92FF4"/>
    <w:rsid w:val="00C9504D"/>
    <w:rsid w:val="00C96AAE"/>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3E08"/>
    <w:rsid w:val="00CE3FA8"/>
    <w:rsid w:val="00CE5C3A"/>
    <w:rsid w:val="00CE618E"/>
    <w:rsid w:val="00CE661B"/>
    <w:rsid w:val="00CE6A80"/>
    <w:rsid w:val="00CE751E"/>
    <w:rsid w:val="00CF350D"/>
    <w:rsid w:val="00CF3C94"/>
    <w:rsid w:val="00CF6872"/>
    <w:rsid w:val="00D005A3"/>
    <w:rsid w:val="00D0199B"/>
    <w:rsid w:val="00D0271B"/>
    <w:rsid w:val="00D04849"/>
    <w:rsid w:val="00D057C6"/>
    <w:rsid w:val="00D071B4"/>
    <w:rsid w:val="00D123D9"/>
    <w:rsid w:val="00D17A49"/>
    <w:rsid w:val="00D20544"/>
    <w:rsid w:val="00D21B39"/>
    <w:rsid w:val="00D2362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5291"/>
    <w:rsid w:val="00D66D9A"/>
    <w:rsid w:val="00D7039D"/>
    <w:rsid w:val="00D73F39"/>
    <w:rsid w:val="00D761D6"/>
    <w:rsid w:val="00D76A72"/>
    <w:rsid w:val="00D8101D"/>
    <w:rsid w:val="00D82CFE"/>
    <w:rsid w:val="00D90E6D"/>
    <w:rsid w:val="00D91B5E"/>
    <w:rsid w:val="00D92288"/>
    <w:rsid w:val="00D94DEC"/>
    <w:rsid w:val="00D95385"/>
    <w:rsid w:val="00DA1585"/>
    <w:rsid w:val="00DA3162"/>
    <w:rsid w:val="00DA329B"/>
    <w:rsid w:val="00DA3641"/>
    <w:rsid w:val="00DB1AD0"/>
    <w:rsid w:val="00DB6A9F"/>
    <w:rsid w:val="00DC10E8"/>
    <w:rsid w:val="00DC21E8"/>
    <w:rsid w:val="00DC252C"/>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6ACC"/>
    <w:rsid w:val="00E07811"/>
    <w:rsid w:val="00E123FB"/>
    <w:rsid w:val="00E130CF"/>
    <w:rsid w:val="00E16E4D"/>
    <w:rsid w:val="00E23B34"/>
    <w:rsid w:val="00E2474D"/>
    <w:rsid w:val="00E3169E"/>
    <w:rsid w:val="00E31C4C"/>
    <w:rsid w:val="00E32D82"/>
    <w:rsid w:val="00E35FC9"/>
    <w:rsid w:val="00E40127"/>
    <w:rsid w:val="00E42468"/>
    <w:rsid w:val="00E43914"/>
    <w:rsid w:val="00E45E97"/>
    <w:rsid w:val="00E46257"/>
    <w:rsid w:val="00E46CCC"/>
    <w:rsid w:val="00E506FA"/>
    <w:rsid w:val="00E515DC"/>
    <w:rsid w:val="00E51A77"/>
    <w:rsid w:val="00E552C1"/>
    <w:rsid w:val="00E60674"/>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DD9"/>
    <w:rsid w:val="00EB17F2"/>
    <w:rsid w:val="00EB2F5E"/>
    <w:rsid w:val="00EB32DC"/>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66AD5-C3A3-488E-B625-CF521454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2728</Words>
  <Characters>15096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Secretaria de Concejo</cp:lastModifiedBy>
  <cp:revision>8</cp:revision>
  <cp:lastPrinted>2015-07-28T17:22:00Z</cp:lastPrinted>
  <dcterms:created xsi:type="dcterms:W3CDTF">2015-07-27T19:14:00Z</dcterms:created>
  <dcterms:modified xsi:type="dcterms:W3CDTF">2015-08-27T16:09:00Z</dcterms:modified>
</cp:coreProperties>
</file>